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FA72">
      <w:pPr>
        <w:widowControl/>
        <w:spacing w:line="360" w:lineRule="auto"/>
        <w:jc w:val="center"/>
        <w:rPr>
          <w:rFonts w:ascii="宋体" w:hAnsi="宋体" w:eastAsia="宋体" w:cs="宋体"/>
          <w:b/>
          <w:bCs/>
          <w:color w:val="auto"/>
          <w:sz w:val="52"/>
          <w:szCs w:val="52"/>
        </w:rPr>
      </w:pPr>
    </w:p>
    <w:p w14:paraId="2C990BB4">
      <w:pPr>
        <w:widowControl/>
        <w:spacing w:line="36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长春市综合实验中学多功能报告厅建设</w:t>
      </w:r>
    </w:p>
    <w:p w14:paraId="41A0A6B6">
      <w:pPr>
        <w:pStyle w:val="14"/>
        <w:rPr>
          <w:rFonts w:hint="eastAsia"/>
          <w:color w:val="auto"/>
        </w:rPr>
      </w:pPr>
    </w:p>
    <w:p w14:paraId="40566ED9">
      <w:pPr>
        <w:widowControl/>
        <w:spacing w:line="360" w:lineRule="auto"/>
        <w:jc w:val="center"/>
        <w:rPr>
          <w:rFonts w:ascii="宋体" w:hAnsi="宋体" w:eastAsia="宋体" w:cs="宋体"/>
          <w:b/>
          <w:bCs/>
          <w:color w:val="auto"/>
          <w:sz w:val="80"/>
          <w:szCs w:val="80"/>
        </w:rPr>
      </w:pPr>
      <w:r>
        <w:rPr>
          <w:rFonts w:hint="eastAsia" w:ascii="宋体" w:hAnsi="宋体" w:eastAsia="宋体" w:cs="宋体"/>
          <w:b/>
          <w:bCs/>
          <w:color w:val="auto"/>
          <w:sz w:val="80"/>
          <w:szCs w:val="80"/>
        </w:rPr>
        <w:t>竞争性磋商</w:t>
      </w:r>
    </w:p>
    <w:p w14:paraId="517E8523">
      <w:pPr>
        <w:spacing w:line="360" w:lineRule="auto"/>
        <w:jc w:val="center"/>
        <w:rPr>
          <w:rFonts w:hint="eastAsia" w:ascii="宋体" w:hAnsi="宋体" w:eastAsia="宋体" w:cs="宋体"/>
          <w:b/>
          <w:smallCaps/>
          <w:color w:val="auto"/>
          <w:sz w:val="30"/>
          <w:szCs w:val="30"/>
          <w:lang w:eastAsia="zh-CN"/>
        </w:rPr>
      </w:pPr>
      <w:bookmarkStart w:id="0" w:name="_Toc25248"/>
      <w:bookmarkStart w:id="1" w:name="_Toc23325"/>
      <w:bookmarkStart w:id="2" w:name="_Toc7231"/>
      <w:bookmarkStart w:id="3" w:name="_Toc13388"/>
      <w:bookmarkStart w:id="4" w:name="_Toc32187"/>
      <w:bookmarkStart w:id="5" w:name="_Toc1966"/>
      <w:bookmarkStart w:id="6" w:name="_Toc29453"/>
      <w:bookmarkStart w:id="7" w:name="_Toc2288"/>
      <w:bookmarkStart w:id="8" w:name="_Toc13633"/>
      <w:bookmarkStart w:id="9" w:name="_Toc11466"/>
      <w:bookmarkStart w:id="10" w:name="_Toc8325"/>
      <w:r>
        <w:rPr>
          <w:rFonts w:hint="eastAsia" w:ascii="宋体" w:hAnsi="宋体" w:eastAsia="宋体" w:cs="宋体"/>
          <w:b/>
          <w:smallCaps/>
          <w:color w:val="auto"/>
          <w:sz w:val="30"/>
          <w:szCs w:val="30"/>
        </w:rPr>
        <w:t>采购项目编号：</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smallCaps/>
          <w:color w:val="auto"/>
          <w:sz w:val="30"/>
          <w:szCs w:val="30"/>
          <w:lang w:eastAsia="zh-CN"/>
        </w:rPr>
        <w:t>JM-2024-12-01714-01</w:t>
      </w:r>
    </w:p>
    <w:p w14:paraId="31C4A5E3">
      <w:pPr>
        <w:rPr>
          <w:color w:val="auto"/>
        </w:rPr>
      </w:pPr>
    </w:p>
    <w:p w14:paraId="400F74B7">
      <w:pPr>
        <w:pStyle w:val="14"/>
        <w:rPr>
          <w:color w:val="auto"/>
        </w:rPr>
      </w:pPr>
    </w:p>
    <w:p w14:paraId="21184A6D">
      <w:pPr>
        <w:pStyle w:val="15"/>
        <w:rPr>
          <w:color w:val="auto"/>
        </w:rPr>
      </w:pPr>
    </w:p>
    <w:p w14:paraId="45C84F02">
      <w:pPr>
        <w:rPr>
          <w:color w:val="auto"/>
        </w:rPr>
      </w:pPr>
    </w:p>
    <w:p w14:paraId="53E48490">
      <w:pPr>
        <w:pStyle w:val="14"/>
        <w:rPr>
          <w:color w:val="auto"/>
        </w:rPr>
      </w:pPr>
    </w:p>
    <w:p w14:paraId="74CF2898">
      <w:pPr>
        <w:pStyle w:val="15"/>
        <w:rPr>
          <w:color w:val="auto"/>
        </w:rPr>
      </w:pPr>
    </w:p>
    <w:p w14:paraId="28FB5EF5">
      <w:pPr>
        <w:rPr>
          <w:color w:val="auto"/>
        </w:rPr>
      </w:pPr>
    </w:p>
    <w:p w14:paraId="5684B2DD">
      <w:pPr>
        <w:pStyle w:val="14"/>
        <w:rPr>
          <w:color w:val="auto"/>
        </w:rPr>
      </w:pPr>
    </w:p>
    <w:p w14:paraId="1DE2D47C">
      <w:pPr>
        <w:pStyle w:val="15"/>
        <w:rPr>
          <w:color w:val="auto"/>
        </w:rPr>
      </w:pPr>
    </w:p>
    <w:p w14:paraId="2B63D3C9">
      <w:pPr>
        <w:rPr>
          <w:color w:val="auto"/>
        </w:rPr>
      </w:pPr>
    </w:p>
    <w:p w14:paraId="3DF1FAB8">
      <w:pPr>
        <w:pStyle w:val="14"/>
        <w:rPr>
          <w:color w:val="auto"/>
        </w:rPr>
      </w:pPr>
    </w:p>
    <w:p w14:paraId="31CDC4AD">
      <w:pPr>
        <w:pStyle w:val="15"/>
        <w:rPr>
          <w:rFonts w:hint="eastAsia"/>
          <w:color w:val="auto"/>
        </w:rPr>
      </w:pPr>
    </w:p>
    <w:p w14:paraId="6A98AD25">
      <w:pPr>
        <w:spacing w:line="360" w:lineRule="auto"/>
        <w:jc w:val="center"/>
        <w:rPr>
          <w:rFonts w:hint="eastAsia" w:ascii="宋体" w:hAnsi="宋体" w:eastAsia="宋体" w:cs="宋体"/>
          <w:b/>
          <w:smallCaps/>
          <w:color w:val="auto"/>
          <w:sz w:val="32"/>
          <w:lang w:eastAsia="zh-CN"/>
        </w:rPr>
      </w:pPr>
      <w:r>
        <w:rPr>
          <w:rFonts w:hint="eastAsia" w:ascii="宋体" w:hAnsi="宋体" w:eastAsia="宋体" w:cs="宋体"/>
          <w:b/>
          <w:smallCaps/>
          <w:color w:val="auto"/>
          <w:sz w:val="32"/>
        </w:rPr>
        <w:t>采购人：</w:t>
      </w:r>
      <w:r>
        <w:rPr>
          <w:rFonts w:hint="eastAsia" w:ascii="宋体" w:hAnsi="宋体" w:eastAsia="宋体" w:cs="宋体"/>
          <w:b/>
          <w:smallCaps/>
          <w:color w:val="auto"/>
          <w:sz w:val="32"/>
          <w:lang w:eastAsia="zh-CN"/>
        </w:rPr>
        <w:t>长春市综合实验中学</w:t>
      </w:r>
    </w:p>
    <w:p w14:paraId="6236B38F">
      <w:pPr>
        <w:spacing w:line="360" w:lineRule="auto"/>
        <w:jc w:val="center"/>
        <w:rPr>
          <w:rFonts w:ascii="宋体" w:hAnsi="宋体" w:eastAsia="宋体" w:cs="宋体"/>
          <w:b/>
          <w:smallCaps/>
          <w:color w:val="auto"/>
          <w:sz w:val="32"/>
        </w:rPr>
      </w:pPr>
      <w:r>
        <w:rPr>
          <w:rFonts w:hint="eastAsia" w:ascii="宋体" w:hAnsi="宋体" w:eastAsia="宋体" w:cs="宋体"/>
          <w:b/>
          <w:smallCaps/>
          <w:color w:val="auto"/>
          <w:sz w:val="32"/>
        </w:rPr>
        <w:t>采购代理机构：中研（长春）工程咨询有限公司</w:t>
      </w:r>
    </w:p>
    <w:p w14:paraId="795DF1F3">
      <w:pPr>
        <w:pStyle w:val="14"/>
        <w:jc w:val="center"/>
        <w:rPr>
          <w:rFonts w:ascii="宋体" w:hAnsi="宋体" w:eastAsia="宋体" w:cs="宋体"/>
          <w:b/>
          <w:smallCaps/>
          <w:color w:val="auto"/>
          <w:sz w:val="32"/>
          <w:szCs w:val="22"/>
        </w:rPr>
        <w:sectPr>
          <w:headerReference r:id="rId4" w:type="first"/>
          <w:footerReference r:id="rId6" w:type="first"/>
          <w:headerReference r:id="rId3" w:type="even"/>
          <w:footerReference r:id="rId5" w:type="even"/>
          <w:pgSz w:w="11906" w:h="16838"/>
          <w:pgMar w:top="1440" w:right="1080" w:bottom="1440" w:left="1080" w:header="1134" w:footer="1134" w:gutter="0"/>
          <w:pgNumType w:start="0"/>
          <w:cols w:space="720" w:num="1"/>
          <w:docGrid w:type="lines" w:linePitch="490" w:charSpace="0"/>
        </w:sectPr>
      </w:pPr>
      <w:r>
        <w:rPr>
          <w:rFonts w:hint="eastAsia" w:ascii="宋体" w:hAnsi="宋体" w:eastAsia="宋体" w:cs="宋体"/>
          <w:b/>
          <w:smallCaps/>
          <w:color w:val="auto"/>
          <w:sz w:val="32"/>
          <w:szCs w:val="22"/>
        </w:rPr>
        <w:t>二〇二</w:t>
      </w:r>
      <w:r>
        <w:rPr>
          <w:rFonts w:hint="eastAsia" w:ascii="宋体" w:hAnsi="宋体" w:eastAsia="宋体" w:cs="宋体"/>
          <w:b/>
          <w:smallCaps/>
          <w:color w:val="auto"/>
          <w:sz w:val="32"/>
          <w:szCs w:val="22"/>
          <w:lang w:eastAsia="zh-CN"/>
        </w:rPr>
        <w:t>五</w:t>
      </w:r>
      <w:r>
        <w:rPr>
          <w:rFonts w:hint="eastAsia" w:ascii="宋体" w:hAnsi="宋体" w:eastAsia="宋体" w:cs="宋体"/>
          <w:b/>
          <w:smallCaps/>
          <w:color w:val="auto"/>
          <w:sz w:val="32"/>
          <w:szCs w:val="22"/>
        </w:rPr>
        <w:t>年</w:t>
      </w:r>
      <w:r>
        <w:rPr>
          <w:rFonts w:hint="eastAsia" w:ascii="宋体" w:hAnsi="宋体" w:eastAsia="宋体" w:cs="宋体"/>
          <w:b/>
          <w:smallCaps/>
          <w:color w:val="auto"/>
          <w:sz w:val="32"/>
          <w:szCs w:val="22"/>
          <w:lang w:eastAsia="zh-CN"/>
        </w:rPr>
        <w:t>一</w:t>
      </w:r>
      <w:r>
        <w:rPr>
          <w:rFonts w:hint="eastAsia" w:ascii="宋体" w:hAnsi="宋体" w:eastAsia="宋体" w:cs="宋体"/>
          <w:b/>
          <w:smallCaps/>
          <w:color w:val="auto"/>
          <w:sz w:val="32"/>
          <w:szCs w:val="22"/>
        </w:rPr>
        <w:t>月</w:t>
      </w:r>
    </w:p>
    <w:p w14:paraId="07F88630">
      <w:pPr>
        <w:pStyle w:val="33"/>
        <w:rPr>
          <w:rFonts w:ascii="宋体" w:hAnsi="宋体" w:eastAsia="宋体"/>
          <w:color w:val="auto"/>
        </w:rPr>
      </w:pPr>
    </w:p>
    <w:p w14:paraId="5B29E09C">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目录</w:t>
      </w:r>
    </w:p>
    <w:p w14:paraId="797A65A8">
      <w:pPr>
        <w:spacing w:line="360" w:lineRule="auto"/>
        <w:jc w:val="center"/>
        <w:rPr>
          <w:rFonts w:ascii="宋体" w:hAnsi="宋体" w:eastAsia="宋体" w:cs="宋体"/>
          <w:b/>
          <w:bCs/>
          <w:color w:val="auto"/>
          <w:sz w:val="24"/>
          <w:szCs w:val="24"/>
        </w:rPr>
      </w:pPr>
    </w:p>
    <w:p w14:paraId="1EDEB9A7">
      <w:pPr>
        <w:pStyle w:val="23"/>
        <w:tabs>
          <w:tab w:val="right" w:leader="dot" w:pos="9746"/>
        </w:tabs>
        <w:rPr>
          <w:sz w:val="24"/>
          <w:szCs w:val="24"/>
        </w:rPr>
      </w:pPr>
      <w:r>
        <w:rPr>
          <w:rFonts w:ascii="宋体" w:hAnsi="宋体" w:eastAsia="宋体" w:cs="宋体"/>
          <w:b/>
          <w:bCs/>
          <w:color w:val="auto"/>
          <w:sz w:val="24"/>
          <w:szCs w:val="24"/>
        </w:rPr>
        <w:fldChar w:fldCharType="begin"/>
      </w:r>
      <w:r>
        <w:rPr>
          <w:rFonts w:ascii="宋体" w:hAnsi="宋体" w:eastAsia="宋体" w:cs="宋体"/>
          <w:b/>
          <w:bCs/>
          <w:color w:val="auto"/>
          <w:sz w:val="24"/>
          <w:szCs w:val="24"/>
        </w:rPr>
        <w:instrText xml:space="preserve">TOC \o "1-3" \h \u </w:instrText>
      </w:r>
      <w:r>
        <w:rPr>
          <w:rFonts w:ascii="宋体" w:hAnsi="宋体" w:eastAsia="宋体" w:cs="宋体"/>
          <w:b/>
          <w:bCs/>
          <w:color w:val="auto"/>
          <w:sz w:val="24"/>
          <w:szCs w:val="24"/>
        </w:rPr>
        <w:fldChar w:fldCharType="separate"/>
      </w: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_Toc26076 </w:instrText>
      </w:r>
      <w:r>
        <w:rPr>
          <w:rFonts w:ascii="宋体" w:hAnsi="宋体" w:eastAsia="宋体" w:cs="宋体"/>
          <w:bCs/>
          <w:sz w:val="24"/>
          <w:szCs w:val="24"/>
        </w:rPr>
        <w:fldChar w:fldCharType="separate"/>
      </w:r>
      <w:r>
        <w:rPr>
          <w:rFonts w:hint="eastAsia" w:ascii="宋体" w:hAnsi="宋体"/>
          <w:sz w:val="24"/>
          <w:szCs w:val="24"/>
        </w:rPr>
        <w:t>第一章</w:t>
      </w:r>
      <w:r>
        <w:rPr>
          <w:rFonts w:hint="eastAsia" w:ascii="宋体" w:hAnsi="宋体"/>
          <w:sz w:val="24"/>
          <w:szCs w:val="24"/>
          <w:lang w:val="en-US" w:eastAsia="zh-CN"/>
        </w:rPr>
        <w:t xml:space="preserve"> </w:t>
      </w:r>
      <w:r>
        <w:rPr>
          <w:rFonts w:hint="eastAsia" w:ascii="宋体" w:hAnsi="宋体"/>
          <w:sz w:val="24"/>
          <w:szCs w:val="24"/>
          <w:lang w:val="zh-CN"/>
        </w:rPr>
        <w:t>竞争性磋商公告</w:t>
      </w:r>
      <w:r>
        <w:rPr>
          <w:sz w:val="24"/>
          <w:szCs w:val="24"/>
        </w:rPr>
        <w:tab/>
      </w:r>
      <w:r>
        <w:rPr>
          <w:sz w:val="24"/>
          <w:szCs w:val="24"/>
        </w:rPr>
        <w:fldChar w:fldCharType="begin"/>
      </w:r>
      <w:r>
        <w:rPr>
          <w:sz w:val="24"/>
          <w:szCs w:val="24"/>
        </w:rPr>
        <w:instrText xml:space="preserve"> PAGEREF _Toc26076 \h </w:instrText>
      </w:r>
      <w:r>
        <w:rPr>
          <w:sz w:val="24"/>
          <w:szCs w:val="24"/>
        </w:rPr>
        <w:fldChar w:fldCharType="separate"/>
      </w:r>
      <w:r>
        <w:rPr>
          <w:sz w:val="24"/>
          <w:szCs w:val="24"/>
        </w:rPr>
        <w:t>1</w:t>
      </w:r>
      <w:r>
        <w:rPr>
          <w:sz w:val="24"/>
          <w:szCs w:val="24"/>
        </w:rPr>
        <w:fldChar w:fldCharType="end"/>
      </w:r>
      <w:r>
        <w:rPr>
          <w:rFonts w:ascii="宋体" w:hAnsi="宋体" w:eastAsia="宋体" w:cs="宋体"/>
          <w:bCs/>
          <w:color w:val="auto"/>
          <w:sz w:val="24"/>
          <w:szCs w:val="24"/>
        </w:rPr>
        <w:fldChar w:fldCharType="end"/>
      </w:r>
    </w:p>
    <w:p w14:paraId="7B408553">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_Toc11812 </w:instrText>
      </w:r>
      <w:r>
        <w:rPr>
          <w:rFonts w:ascii="宋体" w:hAnsi="宋体" w:eastAsia="宋体" w:cs="宋体"/>
          <w:bCs/>
          <w:sz w:val="24"/>
          <w:szCs w:val="24"/>
        </w:rPr>
        <w:fldChar w:fldCharType="separate"/>
      </w:r>
      <w:r>
        <w:rPr>
          <w:rFonts w:hint="eastAsia" w:ascii="宋体" w:hAnsi="宋体"/>
          <w:sz w:val="24"/>
          <w:szCs w:val="24"/>
          <w:lang w:val="zh-CN"/>
        </w:rPr>
        <w:t>第二章</w:t>
      </w:r>
      <w:r>
        <w:rPr>
          <w:rFonts w:hint="eastAsia" w:ascii="宋体" w:hAnsi="宋体"/>
          <w:sz w:val="24"/>
          <w:szCs w:val="24"/>
          <w:lang w:val="en-US" w:eastAsia="zh-CN"/>
        </w:rPr>
        <w:t xml:space="preserve"> </w:t>
      </w:r>
      <w:r>
        <w:rPr>
          <w:rFonts w:hint="eastAsia" w:ascii="宋体" w:hAnsi="宋体"/>
          <w:sz w:val="24"/>
          <w:szCs w:val="24"/>
          <w:lang w:val="zh-CN"/>
        </w:rPr>
        <w:t>供应商须知</w:t>
      </w:r>
      <w:r>
        <w:rPr>
          <w:sz w:val="24"/>
          <w:szCs w:val="24"/>
        </w:rPr>
        <w:tab/>
      </w:r>
      <w:r>
        <w:rPr>
          <w:sz w:val="24"/>
          <w:szCs w:val="24"/>
        </w:rPr>
        <w:fldChar w:fldCharType="begin"/>
      </w:r>
      <w:r>
        <w:rPr>
          <w:sz w:val="24"/>
          <w:szCs w:val="24"/>
        </w:rPr>
        <w:instrText xml:space="preserve"> PAGEREF _Toc11812 \h </w:instrText>
      </w:r>
      <w:r>
        <w:rPr>
          <w:sz w:val="24"/>
          <w:szCs w:val="24"/>
        </w:rPr>
        <w:fldChar w:fldCharType="separate"/>
      </w:r>
      <w:r>
        <w:rPr>
          <w:sz w:val="24"/>
          <w:szCs w:val="24"/>
        </w:rPr>
        <w:t>4</w:t>
      </w:r>
      <w:r>
        <w:rPr>
          <w:sz w:val="24"/>
          <w:szCs w:val="24"/>
        </w:rPr>
        <w:fldChar w:fldCharType="end"/>
      </w:r>
      <w:r>
        <w:rPr>
          <w:rFonts w:ascii="宋体" w:hAnsi="宋体" w:eastAsia="宋体" w:cs="宋体"/>
          <w:bCs/>
          <w:color w:val="auto"/>
          <w:sz w:val="24"/>
          <w:szCs w:val="24"/>
        </w:rPr>
        <w:fldChar w:fldCharType="end"/>
      </w:r>
    </w:p>
    <w:p w14:paraId="2A9966FA">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_Toc29797 </w:instrText>
      </w:r>
      <w:r>
        <w:rPr>
          <w:rFonts w:ascii="宋体" w:hAnsi="宋体" w:eastAsia="宋体" w:cs="宋体"/>
          <w:bCs/>
          <w:sz w:val="24"/>
          <w:szCs w:val="24"/>
        </w:rPr>
        <w:fldChar w:fldCharType="separate"/>
      </w:r>
      <w:r>
        <w:rPr>
          <w:rFonts w:hint="eastAsia" w:ascii="宋体" w:hAnsi="宋体"/>
          <w:sz w:val="24"/>
          <w:szCs w:val="24"/>
        </w:rPr>
        <w:t>第三章</w:t>
      </w:r>
      <w:r>
        <w:rPr>
          <w:rFonts w:hint="eastAsia" w:ascii="宋体" w:hAnsi="宋体"/>
          <w:sz w:val="24"/>
          <w:szCs w:val="24"/>
          <w:lang w:val="en-US" w:eastAsia="zh-CN"/>
        </w:rPr>
        <w:t xml:space="preserve"> </w:t>
      </w:r>
      <w:r>
        <w:rPr>
          <w:rFonts w:hint="eastAsia" w:ascii="宋体" w:hAnsi="宋体"/>
          <w:sz w:val="24"/>
          <w:szCs w:val="24"/>
        </w:rPr>
        <w:t>评标标准和方法（综合评分法）</w:t>
      </w:r>
      <w:r>
        <w:rPr>
          <w:sz w:val="24"/>
          <w:szCs w:val="24"/>
        </w:rPr>
        <w:tab/>
      </w:r>
      <w:r>
        <w:rPr>
          <w:sz w:val="24"/>
          <w:szCs w:val="24"/>
        </w:rPr>
        <w:fldChar w:fldCharType="begin"/>
      </w:r>
      <w:r>
        <w:rPr>
          <w:sz w:val="24"/>
          <w:szCs w:val="24"/>
        </w:rPr>
        <w:instrText xml:space="preserve"> PAGEREF _Toc29797 \h </w:instrText>
      </w:r>
      <w:r>
        <w:rPr>
          <w:sz w:val="24"/>
          <w:szCs w:val="24"/>
        </w:rPr>
        <w:fldChar w:fldCharType="separate"/>
      </w:r>
      <w:r>
        <w:rPr>
          <w:sz w:val="24"/>
          <w:szCs w:val="24"/>
        </w:rPr>
        <w:t>16</w:t>
      </w:r>
      <w:r>
        <w:rPr>
          <w:sz w:val="24"/>
          <w:szCs w:val="24"/>
        </w:rPr>
        <w:fldChar w:fldCharType="end"/>
      </w:r>
      <w:r>
        <w:rPr>
          <w:rFonts w:ascii="宋体" w:hAnsi="宋体" w:eastAsia="宋体" w:cs="宋体"/>
          <w:bCs/>
          <w:color w:val="auto"/>
          <w:sz w:val="24"/>
          <w:szCs w:val="24"/>
        </w:rPr>
        <w:fldChar w:fldCharType="end"/>
      </w:r>
    </w:p>
    <w:p w14:paraId="410632DB">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_Toc29383 </w:instrText>
      </w:r>
      <w:r>
        <w:rPr>
          <w:rFonts w:ascii="宋体" w:hAnsi="宋体" w:eastAsia="宋体" w:cs="宋体"/>
          <w:bCs/>
          <w:sz w:val="24"/>
          <w:szCs w:val="24"/>
        </w:rPr>
        <w:fldChar w:fldCharType="separate"/>
      </w:r>
      <w:r>
        <w:rPr>
          <w:rFonts w:hint="eastAsia" w:ascii="宋体" w:hAnsi="宋体"/>
          <w:sz w:val="24"/>
          <w:szCs w:val="24"/>
          <w:lang w:val="zh-CN"/>
        </w:rPr>
        <w:t>第四章</w:t>
      </w:r>
      <w:r>
        <w:rPr>
          <w:rFonts w:hint="eastAsia" w:ascii="宋体" w:hAnsi="宋体" w:cs="宋体"/>
          <w:sz w:val="24"/>
          <w:szCs w:val="24"/>
        </w:rPr>
        <w:t xml:space="preserve"> 合同条款</w:t>
      </w:r>
      <w:r>
        <w:rPr>
          <w:sz w:val="24"/>
          <w:szCs w:val="24"/>
        </w:rPr>
        <w:tab/>
      </w:r>
      <w:r>
        <w:rPr>
          <w:sz w:val="24"/>
          <w:szCs w:val="24"/>
        </w:rPr>
        <w:fldChar w:fldCharType="begin"/>
      </w:r>
      <w:r>
        <w:rPr>
          <w:sz w:val="24"/>
          <w:szCs w:val="24"/>
        </w:rPr>
        <w:instrText xml:space="preserve"> PAGEREF _Toc29383 \h </w:instrText>
      </w:r>
      <w:r>
        <w:rPr>
          <w:sz w:val="24"/>
          <w:szCs w:val="24"/>
        </w:rPr>
        <w:fldChar w:fldCharType="separate"/>
      </w:r>
      <w:r>
        <w:rPr>
          <w:sz w:val="24"/>
          <w:szCs w:val="24"/>
        </w:rPr>
        <w:t>23</w:t>
      </w:r>
      <w:r>
        <w:rPr>
          <w:sz w:val="24"/>
          <w:szCs w:val="24"/>
        </w:rPr>
        <w:fldChar w:fldCharType="end"/>
      </w:r>
      <w:r>
        <w:rPr>
          <w:rFonts w:ascii="宋体" w:hAnsi="宋体" w:eastAsia="宋体" w:cs="宋体"/>
          <w:bCs/>
          <w:color w:val="auto"/>
          <w:sz w:val="24"/>
          <w:szCs w:val="24"/>
        </w:rPr>
        <w:fldChar w:fldCharType="end"/>
      </w:r>
    </w:p>
    <w:p w14:paraId="5B1623D4">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_Toc14562 </w:instrText>
      </w:r>
      <w:r>
        <w:rPr>
          <w:rFonts w:ascii="宋体" w:hAnsi="宋体" w:eastAsia="宋体" w:cs="宋体"/>
          <w:bCs/>
          <w:sz w:val="24"/>
          <w:szCs w:val="24"/>
        </w:rPr>
        <w:fldChar w:fldCharType="separate"/>
      </w:r>
      <w:r>
        <w:rPr>
          <w:rFonts w:hint="eastAsia" w:ascii="宋体" w:hAnsi="宋体"/>
          <w:sz w:val="24"/>
          <w:szCs w:val="24"/>
        </w:rPr>
        <w:t>第五章 采购需求</w:t>
      </w:r>
      <w:r>
        <w:rPr>
          <w:sz w:val="24"/>
          <w:szCs w:val="24"/>
        </w:rPr>
        <w:tab/>
      </w:r>
      <w:r>
        <w:rPr>
          <w:sz w:val="24"/>
          <w:szCs w:val="24"/>
        </w:rPr>
        <w:fldChar w:fldCharType="begin"/>
      </w:r>
      <w:r>
        <w:rPr>
          <w:sz w:val="24"/>
          <w:szCs w:val="24"/>
        </w:rPr>
        <w:instrText xml:space="preserve"> PAGEREF _Toc14562 \h </w:instrText>
      </w:r>
      <w:r>
        <w:rPr>
          <w:sz w:val="24"/>
          <w:szCs w:val="24"/>
        </w:rPr>
        <w:fldChar w:fldCharType="separate"/>
      </w:r>
      <w:r>
        <w:rPr>
          <w:sz w:val="24"/>
          <w:szCs w:val="24"/>
        </w:rPr>
        <w:t>24</w:t>
      </w:r>
      <w:r>
        <w:rPr>
          <w:sz w:val="24"/>
          <w:szCs w:val="24"/>
        </w:rPr>
        <w:fldChar w:fldCharType="end"/>
      </w:r>
      <w:r>
        <w:rPr>
          <w:rFonts w:ascii="宋体" w:hAnsi="宋体" w:eastAsia="宋体" w:cs="宋体"/>
          <w:bCs/>
          <w:color w:val="auto"/>
          <w:sz w:val="24"/>
          <w:szCs w:val="24"/>
        </w:rPr>
        <w:fldChar w:fldCharType="end"/>
      </w:r>
    </w:p>
    <w:p w14:paraId="3DBFC0C7">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_Toc17601 </w:instrText>
      </w:r>
      <w:r>
        <w:rPr>
          <w:rFonts w:ascii="宋体" w:hAnsi="宋体" w:eastAsia="宋体" w:cs="宋体"/>
          <w:bCs/>
          <w:sz w:val="24"/>
          <w:szCs w:val="24"/>
        </w:rPr>
        <w:fldChar w:fldCharType="separate"/>
      </w:r>
      <w:r>
        <w:rPr>
          <w:rFonts w:hint="eastAsia" w:ascii="宋体" w:hAnsi="宋体"/>
          <w:sz w:val="24"/>
          <w:szCs w:val="24"/>
        </w:rPr>
        <w:t>第六章 响应文件格式</w:t>
      </w:r>
      <w:r>
        <w:rPr>
          <w:sz w:val="24"/>
          <w:szCs w:val="24"/>
        </w:rPr>
        <w:tab/>
      </w:r>
      <w:r>
        <w:rPr>
          <w:sz w:val="24"/>
          <w:szCs w:val="24"/>
        </w:rPr>
        <w:fldChar w:fldCharType="begin"/>
      </w:r>
      <w:r>
        <w:rPr>
          <w:sz w:val="24"/>
          <w:szCs w:val="24"/>
        </w:rPr>
        <w:instrText xml:space="preserve"> PAGEREF _Toc17601 \h </w:instrText>
      </w:r>
      <w:r>
        <w:rPr>
          <w:sz w:val="24"/>
          <w:szCs w:val="24"/>
        </w:rPr>
        <w:fldChar w:fldCharType="separate"/>
      </w:r>
      <w:r>
        <w:rPr>
          <w:sz w:val="24"/>
          <w:szCs w:val="24"/>
        </w:rPr>
        <w:t>57</w:t>
      </w:r>
      <w:r>
        <w:rPr>
          <w:sz w:val="24"/>
          <w:szCs w:val="24"/>
        </w:rPr>
        <w:fldChar w:fldCharType="end"/>
      </w:r>
      <w:r>
        <w:rPr>
          <w:rFonts w:ascii="宋体" w:hAnsi="宋体" w:eastAsia="宋体" w:cs="宋体"/>
          <w:bCs/>
          <w:color w:val="auto"/>
          <w:sz w:val="24"/>
          <w:szCs w:val="24"/>
        </w:rPr>
        <w:fldChar w:fldCharType="end"/>
      </w:r>
    </w:p>
    <w:p w14:paraId="142D32C1">
      <w:pPr>
        <w:pStyle w:val="23"/>
        <w:tabs>
          <w:tab w:val="right" w:leader="dot" w:pos="9746"/>
        </w:tabs>
        <w:rPr>
          <w:sz w:val="24"/>
          <w:szCs w:val="24"/>
        </w:rPr>
      </w:pPr>
      <w:r>
        <w:rPr>
          <w:rFonts w:ascii="宋体" w:hAnsi="宋体" w:eastAsia="宋体" w:cs="宋体"/>
          <w:bCs/>
          <w:color w:val="auto"/>
          <w:sz w:val="24"/>
          <w:szCs w:val="24"/>
        </w:rPr>
        <w:fldChar w:fldCharType="begin"/>
      </w:r>
      <w:r>
        <w:rPr>
          <w:rFonts w:ascii="宋体" w:hAnsi="宋体" w:eastAsia="宋体" w:cs="宋体"/>
          <w:bCs/>
          <w:sz w:val="24"/>
          <w:szCs w:val="24"/>
        </w:rPr>
        <w:instrText xml:space="preserve"> HYPERLINK \l _Toc24770 </w:instrText>
      </w:r>
      <w:r>
        <w:rPr>
          <w:rFonts w:ascii="宋体" w:hAnsi="宋体" w:eastAsia="宋体" w:cs="宋体"/>
          <w:bCs/>
          <w:sz w:val="24"/>
          <w:szCs w:val="24"/>
        </w:rPr>
        <w:fldChar w:fldCharType="separate"/>
      </w:r>
      <w:r>
        <w:rPr>
          <w:rFonts w:hint="eastAsia" w:ascii="宋体" w:hAnsi="宋体"/>
          <w:sz w:val="24"/>
          <w:szCs w:val="24"/>
          <w:lang w:val="zh-CN"/>
        </w:rPr>
        <w:t>第七章</w:t>
      </w:r>
      <w:r>
        <w:rPr>
          <w:rFonts w:hint="eastAsia" w:ascii="宋体" w:hAnsi="宋体"/>
          <w:sz w:val="24"/>
          <w:szCs w:val="24"/>
          <w:lang w:val="en-US" w:eastAsia="zh-CN"/>
        </w:rPr>
        <w:t xml:space="preserve"> </w:t>
      </w:r>
      <w:r>
        <w:rPr>
          <w:rFonts w:hint="eastAsia" w:ascii="宋体" w:hAnsi="宋体"/>
          <w:sz w:val="24"/>
          <w:szCs w:val="24"/>
          <w:lang w:val="zh-CN"/>
        </w:rPr>
        <w:t>附件</w:t>
      </w:r>
      <w:r>
        <w:rPr>
          <w:sz w:val="24"/>
          <w:szCs w:val="24"/>
        </w:rPr>
        <w:tab/>
      </w:r>
      <w:r>
        <w:rPr>
          <w:sz w:val="24"/>
          <w:szCs w:val="24"/>
        </w:rPr>
        <w:fldChar w:fldCharType="begin"/>
      </w:r>
      <w:r>
        <w:rPr>
          <w:sz w:val="24"/>
          <w:szCs w:val="24"/>
        </w:rPr>
        <w:instrText xml:space="preserve"> PAGEREF _Toc24770 \h </w:instrText>
      </w:r>
      <w:r>
        <w:rPr>
          <w:sz w:val="24"/>
          <w:szCs w:val="24"/>
        </w:rPr>
        <w:fldChar w:fldCharType="separate"/>
      </w:r>
      <w:r>
        <w:rPr>
          <w:sz w:val="24"/>
          <w:szCs w:val="24"/>
        </w:rPr>
        <w:t>73</w:t>
      </w:r>
      <w:r>
        <w:rPr>
          <w:sz w:val="24"/>
          <w:szCs w:val="24"/>
        </w:rPr>
        <w:fldChar w:fldCharType="end"/>
      </w:r>
      <w:r>
        <w:rPr>
          <w:rFonts w:ascii="宋体" w:hAnsi="宋体" w:eastAsia="宋体" w:cs="宋体"/>
          <w:bCs/>
          <w:color w:val="auto"/>
          <w:sz w:val="24"/>
          <w:szCs w:val="24"/>
        </w:rPr>
        <w:fldChar w:fldCharType="end"/>
      </w:r>
    </w:p>
    <w:p w14:paraId="31E1DF02">
      <w:pPr>
        <w:spacing w:line="360" w:lineRule="auto"/>
        <w:jc w:val="center"/>
        <w:rPr>
          <w:rFonts w:ascii="宋体" w:hAnsi="宋体" w:eastAsia="宋体" w:cs="宋体"/>
          <w:b/>
          <w:bCs/>
          <w:color w:val="auto"/>
          <w:sz w:val="44"/>
          <w:szCs w:val="44"/>
        </w:rPr>
        <w:sectPr>
          <w:footerReference r:id="rId7" w:type="default"/>
          <w:pgSz w:w="11906" w:h="16838"/>
          <w:pgMar w:top="1440" w:right="1080" w:bottom="1440" w:left="1080" w:header="1134" w:footer="1134" w:gutter="0"/>
          <w:pgNumType w:start="1"/>
          <w:cols w:space="720" w:num="1"/>
          <w:docGrid w:type="lines" w:linePitch="490" w:charSpace="0"/>
        </w:sectPr>
      </w:pPr>
      <w:r>
        <w:rPr>
          <w:rFonts w:ascii="宋体" w:hAnsi="宋体" w:eastAsia="宋体" w:cs="宋体"/>
          <w:bCs/>
          <w:color w:val="auto"/>
          <w:sz w:val="24"/>
          <w:szCs w:val="24"/>
        </w:rPr>
        <w:fldChar w:fldCharType="end"/>
      </w:r>
      <w:bookmarkStart w:id="11" w:name="_Toc25760"/>
      <w:bookmarkStart w:id="12" w:name="_Toc13742"/>
      <w:bookmarkStart w:id="13" w:name="_Toc14486"/>
    </w:p>
    <w:p w14:paraId="6C089DA6">
      <w:pPr>
        <w:pStyle w:val="2"/>
        <w:rPr>
          <w:rFonts w:ascii="宋体" w:hAnsi="宋体"/>
          <w:color w:val="auto"/>
          <w:lang w:val="zh-CN"/>
        </w:rPr>
      </w:pPr>
      <w:bookmarkStart w:id="14" w:name="_Toc26076"/>
      <w:r>
        <w:rPr>
          <w:rFonts w:hint="eastAsia" w:ascii="宋体" w:hAnsi="宋体"/>
          <w:color w:val="auto"/>
        </w:rPr>
        <w:t>第一章</w:t>
      </w:r>
      <w:bookmarkEnd w:id="11"/>
      <w:bookmarkEnd w:id="12"/>
      <w:bookmarkEnd w:id="13"/>
      <w:r>
        <w:rPr>
          <w:rFonts w:hint="eastAsia" w:ascii="宋体" w:hAnsi="宋体"/>
          <w:color w:val="auto"/>
          <w:lang w:val="en-US" w:eastAsia="zh-CN"/>
        </w:rPr>
        <w:t xml:space="preserve"> </w:t>
      </w:r>
      <w:r>
        <w:rPr>
          <w:rFonts w:hint="eastAsia" w:ascii="宋体" w:hAnsi="宋体"/>
          <w:color w:val="auto"/>
          <w:lang w:val="zh-CN"/>
        </w:rPr>
        <w:t>竞争性磋商公告</w:t>
      </w:r>
      <w:bookmarkEnd w:id="14"/>
    </w:p>
    <w:p w14:paraId="04A62956">
      <w:pPr>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b/>
          <w:bCs/>
          <w:color w:val="auto"/>
          <w:sz w:val="24"/>
          <w:szCs w:val="24"/>
          <w:lang w:val="zh-CN"/>
        </w:rPr>
        <w:t>竞争性磋商公告</w:t>
      </w:r>
    </w:p>
    <w:p w14:paraId="1C54B0A1">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项目概况</w:t>
      </w:r>
    </w:p>
    <w:p w14:paraId="3A7C88B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u w:val="single"/>
          <w:lang w:eastAsia="zh-CN"/>
        </w:rPr>
        <w:t>长春市综合实验中学多功能报告厅建设</w:t>
      </w:r>
      <w:r>
        <w:rPr>
          <w:rFonts w:hint="eastAsia" w:ascii="宋体" w:hAnsi="宋体" w:eastAsia="宋体" w:cs="宋体"/>
          <w:color w:val="auto"/>
          <w:sz w:val="24"/>
          <w:szCs w:val="24"/>
          <w:u w:val="none"/>
          <w:lang w:val="en-US" w:eastAsia="zh-CN"/>
        </w:rPr>
        <w:t>采购项目</w:t>
      </w:r>
      <w:r>
        <w:rPr>
          <w:rFonts w:hint="eastAsia" w:ascii="宋体" w:hAnsi="宋体" w:eastAsia="宋体" w:cs="宋体"/>
          <w:color w:val="auto"/>
          <w:sz w:val="24"/>
          <w:szCs w:val="24"/>
        </w:rPr>
        <w:t>的潜在供应商应在政采云平台线上获取获取采购文件，并</w:t>
      </w:r>
      <w:r>
        <w:rPr>
          <w:rFonts w:hint="eastAsia" w:ascii="宋体" w:hAnsi="宋体" w:eastAsia="宋体" w:cs="宋体"/>
          <w:color w:val="auto"/>
          <w:sz w:val="24"/>
          <w:szCs w:val="24"/>
        </w:rPr>
        <w:t>于20</w:t>
      </w:r>
      <w:r>
        <w:rPr>
          <w:rFonts w:hint="eastAsia" w:ascii="宋体" w:hAnsi="宋体" w:eastAsia="宋体" w:cs="宋体"/>
          <w:color w:val="auto"/>
          <w:sz w:val="24"/>
          <w:szCs w:val="24"/>
          <w:lang w:val="en-US" w:eastAsia="zh-CN"/>
        </w:rPr>
        <w:t>25</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21</w:t>
      </w:r>
      <w:r>
        <w:rPr>
          <w:rFonts w:hint="eastAsia" w:ascii="宋体" w:hAnsi="宋体" w:eastAsia="宋体" w:cs="宋体"/>
          <w:bCs/>
          <w:color w:val="auto"/>
          <w:sz w:val="24"/>
          <w:szCs w:val="24"/>
        </w:rPr>
        <w:t>日</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点</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分（北京</w:t>
      </w:r>
      <w:r>
        <w:rPr>
          <w:rFonts w:hint="eastAsia" w:ascii="宋体" w:hAnsi="宋体" w:eastAsia="宋体" w:cs="宋体"/>
          <w:bCs/>
          <w:color w:val="auto"/>
          <w:sz w:val="24"/>
          <w:szCs w:val="24"/>
        </w:rPr>
        <w:t>时间）前提交响应文件</w:t>
      </w:r>
      <w:r>
        <w:rPr>
          <w:rFonts w:hint="eastAsia" w:ascii="宋体" w:hAnsi="宋体" w:eastAsia="宋体" w:cs="宋体"/>
          <w:color w:val="auto"/>
          <w:sz w:val="24"/>
          <w:szCs w:val="24"/>
        </w:rPr>
        <w:t>。</w:t>
      </w:r>
    </w:p>
    <w:p w14:paraId="64FDBC34">
      <w:pPr>
        <w:adjustRightInd w:val="0"/>
        <w:snapToGrid w:val="0"/>
        <w:spacing w:line="360" w:lineRule="auto"/>
        <w:rPr>
          <w:rFonts w:ascii="宋体" w:hAnsi="宋体" w:eastAsia="宋体"/>
          <w:b/>
          <w:bCs/>
          <w:color w:val="auto"/>
          <w:sz w:val="24"/>
          <w:szCs w:val="24"/>
        </w:rPr>
      </w:pPr>
      <w:bookmarkStart w:id="15" w:name="_Toc28359012"/>
      <w:bookmarkStart w:id="16" w:name="_Toc35393798"/>
      <w:bookmarkStart w:id="17" w:name="_Toc35393629"/>
      <w:bookmarkStart w:id="18" w:name="_Toc28359089"/>
      <w:r>
        <w:rPr>
          <w:rFonts w:hint="eastAsia" w:ascii="宋体" w:hAnsi="宋体" w:eastAsia="宋体"/>
          <w:b/>
          <w:bCs/>
          <w:color w:val="auto"/>
          <w:sz w:val="24"/>
          <w:szCs w:val="24"/>
        </w:rPr>
        <w:t>一、项目基本情况</w:t>
      </w:r>
      <w:bookmarkEnd w:id="15"/>
      <w:bookmarkEnd w:id="16"/>
      <w:bookmarkEnd w:id="17"/>
      <w:bookmarkEnd w:id="18"/>
    </w:p>
    <w:p w14:paraId="5F9CDCC1">
      <w:pPr>
        <w:adjustRightInd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1.1项目编号：</w:t>
      </w:r>
      <w:r>
        <w:rPr>
          <w:rFonts w:hint="eastAsia" w:ascii="宋体" w:hAnsi="宋体" w:eastAsia="宋体" w:cs="宋体"/>
          <w:color w:val="auto"/>
          <w:sz w:val="24"/>
          <w:szCs w:val="24"/>
          <w:lang w:eastAsia="zh-CN"/>
        </w:rPr>
        <w:t>JM-2024-12-01714-01</w:t>
      </w:r>
    </w:p>
    <w:p w14:paraId="2959D014">
      <w:pPr>
        <w:adjustRightInd w:val="0"/>
        <w:snapToGrid w:val="0"/>
        <w:spacing w:line="360" w:lineRule="auto"/>
        <w:ind w:firstLine="480" w:firstLineChars="20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1.2项目名称：</w:t>
      </w:r>
      <w:r>
        <w:rPr>
          <w:rFonts w:hint="eastAsia" w:ascii="宋体" w:hAnsi="宋体" w:eastAsia="宋体" w:cs="宋体"/>
          <w:color w:val="auto"/>
          <w:sz w:val="24"/>
          <w:szCs w:val="24"/>
          <w:lang w:eastAsia="zh-CN"/>
        </w:rPr>
        <w:t>长春市综合实验中学多功能报告厅建设</w:t>
      </w:r>
    </w:p>
    <w:p w14:paraId="2B0F5BDD">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1.3采购方式：竞争性磋商</w:t>
      </w:r>
    </w:p>
    <w:p w14:paraId="01F0FD18">
      <w:pPr>
        <w:adjustRightInd w:val="0"/>
        <w:snapToGrid w:val="0"/>
        <w:spacing w:line="360" w:lineRule="auto"/>
        <w:ind w:firstLine="480" w:firstLineChars="200"/>
        <w:jc w:val="left"/>
        <w:rPr>
          <w:rFonts w:ascii="宋体" w:hAnsi="宋体" w:eastAsia="宋体"/>
          <w:color w:val="auto"/>
        </w:rPr>
      </w:pPr>
      <w:r>
        <w:rPr>
          <w:rFonts w:hint="eastAsia" w:ascii="宋体" w:hAnsi="宋体" w:eastAsia="宋体" w:cs="宋体"/>
          <w:color w:val="auto"/>
          <w:sz w:val="24"/>
          <w:szCs w:val="24"/>
        </w:rPr>
        <w:t>1.4预算金额：</w:t>
      </w:r>
      <w:r>
        <w:rPr>
          <w:rFonts w:hint="eastAsia" w:ascii="宋体" w:hAnsi="宋体" w:eastAsia="宋体" w:cs="宋体"/>
          <w:color w:val="auto"/>
          <w:sz w:val="24"/>
          <w:szCs w:val="24"/>
          <w:lang w:val="en-US" w:eastAsia="zh-CN"/>
        </w:rPr>
        <w:t>127</w:t>
      </w:r>
      <w:r>
        <w:rPr>
          <w:rFonts w:hint="eastAsia" w:ascii="宋体" w:hAnsi="宋体" w:eastAsia="宋体" w:cs="宋体"/>
          <w:color w:val="auto"/>
          <w:sz w:val="24"/>
          <w:szCs w:val="24"/>
        </w:rPr>
        <w:t>万元</w:t>
      </w:r>
    </w:p>
    <w:p w14:paraId="396693B8">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1.5最高限价：</w:t>
      </w:r>
      <w:r>
        <w:rPr>
          <w:rFonts w:hint="eastAsia" w:ascii="宋体" w:hAnsi="宋体" w:eastAsia="宋体" w:cs="宋体"/>
          <w:color w:val="auto"/>
          <w:sz w:val="24"/>
          <w:szCs w:val="24"/>
          <w:lang w:val="en-US" w:eastAsia="zh-CN"/>
        </w:rPr>
        <w:t>127</w:t>
      </w:r>
      <w:r>
        <w:rPr>
          <w:rFonts w:hint="eastAsia" w:ascii="宋体" w:hAnsi="宋体" w:eastAsia="宋体" w:cs="宋体"/>
          <w:color w:val="auto"/>
          <w:sz w:val="24"/>
          <w:szCs w:val="24"/>
        </w:rPr>
        <w:t>万元</w:t>
      </w:r>
    </w:p>
    <w:p w14:paraId="6BD30353">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1.6采购需求：</w:t>
      </w:r>
      <w:r>
        <w:rPr>
          <w:rFonts w:hint="eastAsia" w:ascii="宋体" w:hAnsi="宋体" w:eastAsia="宋体" w:cs="宋体"/>
          <w:color w:val="auto"/>
          <w:sz w:val="24"/>
          <w:szCs w:val="24"/>
          <w:lang w:eastAsia="zh-CN"/>
        </w:rPr>
        <w:t>长春市综合实验中学多功能报告厅建设</w:t>
      </w:r>
      <w:r>
        <w:rPr>
          <w:rFonts w:hint="eastAsia" w:ascii="宋体" w:hAnsi="宋体" w:eastAsia="宋体" w:cs="宋体"/>
          <w:color w:val="auto"/>
          <w:sz w:val="24"/>
          <w:szCs w:val="24"/>
        </w:rPr>
        <w:t>（详见磋商文件）</w:t>
      </w:r>
    </w:p>
    <w:p w14:paraId="75A31222">
      <w:pPr>
        <w:adjustRightInd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1.7合同履行期限：合同签订后30日内完成供货、安装及调试</w:t>
      </w:r>
    </w:p>
    <w:p w14:paraId="4791C16F">
      <w:pPr>
        <w:adjustRightInd w:val="0"/>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1.8本项目（</w:t>
      </w:r>
      <w:r>
        <w:rPr>
          <w:rFonts w:hint="eastAsia" w:ascii="宋体" w:hAnsi="宋体" w:eastAsia="宋体" w:cs="宋体"/>
          <w:color w:val="auto"/>
          <w:sz w:val="24"/>
          <w:szCs w:val="24"/>
          <w:lang w:val="en-US" w:eastAsia="zh-CN"/>
        </w:rPr>
        <w:t>不接受</w:t>
      </w:r>
      <w:r>
        <w:rPr>
          <w:rFonts w:hint="eastAsia" w:ascii="宋体" w:hAnsi="宋体" w:eastAsia="宋体" w:cs="宋体"/>
          <w:color w:val="auto"/>
          <w:sz w:val="24"/>
          <w:szCs w:val="24"/>
        </w:rPr>
        <w:t>）联合体</w:t>
      </w:r>
      <w:r>
        <w:rPr>
          <w:rFonts w:hint="eastAsia" w:ascii="宋体" w:hAnsi="宋体" w:eastAsia="宋体" w:cs="宋体"/>
          <w:color w:val="auto"/>
          <w:sz w:val="24"/>
          <w:szCs w:val="24"/>
          <w:lang w:val="en-US" w:eastAsia="zh-CN"/>
        </w:rPr>
        <w:t>投标</w:t>
      </w:r>
    </w:p>
    <w:p w14:paraId="74EB7B6B">
      <w:pPr>
        <w:adjustRightInd w:val="0"/>
        <w:snapToGrid w:val="0"/>
        <w:spacing w:line="360" w:lineRule="auto"/>
        <w:rPr>
          <w:rFonts w:ascii="宋体" w:hAnsi="宋体" w:eastAsia="宋体"/>
          <w:b/>
          <w:bCs/>
          <w:color w:val="auto"/>
          <w:sz w:val="24"/>
          <w:szCs w:val="24"/>
        </w:rPr>
      </w:pPr>
      <w:bookmarkStart w:id="19" w:name="_Toc28359090"/>
      <w:bookmarkStart w:id="20" w:name="_Toc35393630"/>
      <w:bookmarkStart w:id="21" w:name="_Toc35393799"/>
      <w:bookmarkStart w:id="22" w:name="_Toc28359013"/>
      <w:r>
        <w:rPr>
          <w:rFonts w:hint="eastAsia" w:ascii="宋体" w:hAnsi="宋体" w:eastAsia="宋体"/>
          <w:b/>
          <w:bCs/>
          <w:color w:val="auto"/>
          <w:sz w:val="24"/>
          <w:szCs w:val="24"/>
        </w:rPr>
        <w:t>二、申请人的资格要求</w:t>
      </w:r>
      <w:bookmarkEnd w:id="19"/>
      <w:bookmarkEnd w:id="20"/>
      <w:bookmarkEnd w:id="21"/>
      <w:bookmarkEnd w:id="22"/>
    </w:p>
    <w:p w14:paraId="51603436">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FBFC070">
      <w:pPr>
        <w:adjustRightInd w:val="0"/>
        <w:snapToGrid w:val="0"/>
        <w:spacing w:line="360" w:lineRule="auto"/>
        <w:ind w:firstLine="480" w:firstLineChars="200"/>
        <w:jc w:val="left"/>
        <w:rPr>
          <w:rFonts w:ascii="宋体" w:hAnsi="宋体" w:eastAsia="宋体" w:cs="宋体"/>
          <w:color w:val="auto"/>
          <w:sz w:val="24"/>
          <w:szCs w:val="24"/>
        </w:rPr>
      </w:pPr>
      <w:bookmarkStart w:id="23" w:name="_Toc28359091"/>
      <w:bookmarkStart w:id="24" w:name="_Toc28359014"/>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本项目非专门面向中小企业采购</w:t>
      </w:r>
      <w:r>
        <w:rPr>
          <w:rFonts w:hint="eastAsia" w:ascii="宋体" w:hAnsi="宋体" w:eastAsia="宋体" w:cs="宋体"/>
          <w:color w:val="auto"/>
          <w:sz w:val="24"/>
          <w:szCs w:val="24"/>
        </w:rPr>
        <w:t>；</w:t>
      </w:r>
    </w:p>
    <w:p w14:paraId="5A8978E5">
      <w:pPr>
        <w:adjustRightInd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79676179">
      <w:pPr>
        <w:adjustRightInd w:val="0"/>
        <w:snapToGrid w:val="0"/>
        <w:spacing w:line="360" w:lineRule="auto"/>
        <w:rPr>
          <w:rFonts w:ascii="宋体" w:hAnsi="宋体" w:eastAsia="宋体"/>
          <w:b/>
          <w:bCs/>
          <w:color w:val="auto"/>
          <w:sz w:val="24"/>
          <w:szCs w:val="24"/>
        </w:rPr>
      </w:pPr>
      <w:bookmarkStart w:id="25" w:name="_Toc35393800"/>
      <w:bookmarkStart w:id="26" w:name="_Toc35393631"/>
      <w:r>
        <w:rPr>
          <w:rFonts w:hint="eastAsia" w:ascii="宋体" w:hAnsi="宋体" w:eastAsia="宋体"/>
          <w:b/>
          <w:bCs/>
          <w:color w:val="auto"/>
          <w:sz w:val="24"/>
          <w:szCs w:val="24"/>
        </w:rPr>
        <w:t>三、获取磋商文件</w:t>
      </w:r>
      <w:bookmarkEnd w:id="23"/>
      <w:bookmarkEnd w:id="24"/>
      <w:bookmarkEnd w:id="25"/>
      <w:bookmarkEnd w:id="26"/>
    </w:p>
    <w:p w14:paraId="3C8D752C">
      <w:pPr>
        <w:adjustRightInd w:val="0"/>
        <w:snapToGrid w:val="0"/>
        <w:spacing w:line="360" w:lineRule="auto"/>
        <w:ind w:firstLine="540"/>
        <w:jc w:val="left"/>
        <w:rPr>
          <w:rFonts w:ascii="宋体" w:hAnsi="宋体" w:eastAsia="宋体" w:cs="宋体"/>
          <w:color w:val="auto"/>
          <w:sz w:val="24"/>
          <w:szCs w:val="24"/>
        </w:rPr>
      </w:pPr>
      <w:r>
        <w:rPr>
          <w:rFonts w:hint="eastAsia" w:ascii="宋体" w:hAnsi="宋体" w:eastAsia="宋体" w:cs="宋体"/>
          <w:color w:val="auto"/>
          <w:sz w:val="24"/>
          <w:szCs w:val="24"/>
        </w:rPr>
        <w:t>时间：</w:t>
      </w:r>
      <w:bookmarkStart w:id="94" w:name="_GoBack"/>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日至</w:t>
      </w:r>
      <w:bookmarkEnd w:id="94"/>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日，每天上午9:00至11:00，下午13:00至16:00（北京时间，法定节假日除外）</w:t>
      </w:r>
    </w:p>
    <w:p w14:paraId="575DA8D2">
      <w:pPr>
        <w:adjustRightInd w:val="0"/>
        <w:snapToGrid w:val="0"/>
        <w:spacing w:line="360" w:lineRule="auto"/>
        <w:ind w:firstLine="540"/>
        <w:jc w:val="left"/>
        <w:rPr>
          <w:rFonts w:ascii="宋体" w:hAnsi="宋体" w:eastAsia="宋体" w:cs="宋体"/>
          <w:color w:val="auto"/>
          <w:sz w:val="24"/>
          <w:szCs w:val="24"/>
          <w:u w:val="single"/>
        </w:rPr>
      </w:pPr>
      <w:r>
        <w:rPr>
          <w:rFonts w:hint="eastAsia" w:ascii="宋体" w:hAnsi="宋体" w:eastAsia="宋体" w:cs="宋体"/>
          <w:color w:val="auto"/>
          <w:sz w:val="24"/>
          <w:szCs w:val="24"/>
        </w:rPr>
        <w:t>地点：政采云平台线上获取</w:t>
      </w:r>
    </w:p>
    <w:p w14:paraId="3C794E70">
      <w:pPr>
        <w:adjustRightInd w:val="0"/>
        <w:snapToGrid w:val="0"/>
        <w:spacing w:line="360" w:lineRule="auto"/>
        <w:ind w:firstLine="540"/>
        <w:jc w:val="left"/>
        <w:rPr>
          <w:rFonts w:ascii="宋体" w:hAnsi="宋体" w:eastAsia="宋体" w:cs="宋体"/>
          <w:color w:val="auto"/>
          <w:sz w:val="24"/>
          <w:szCs w:val="24"/>
        </w:rPr>
      </w:pPr>
      <w:r>
        <w:rPr>
          <w:rFonts w:hint="eastAsia" w:ascii="宋体" w:hAnsi="宋体" w:eastAsia="宋体" w:cs="宋体"/>
          <w:color w:val="auto"/>
          <w:sz w:val="24"/>
          <w:szCs w:val="24"/>
        </w:rPr>
        <w:t>方式：供应商登录政采云平台 https://www.zcygov.cn/在线申请获取采购文件（进入“项目采购”应用，在获取采购文件菜单中选择项目，申请获取采购文件），其他途径获取的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开标时一律按无效投标处理。申请获取采购文件时需提交以下资料并加盖公章（以下资料须在“政采云”平台“申请获取采购文件”时的附件处提交）：（1）企业营业执照副本复印件；（2）法定代表人办理投标的须提供法定代表人身份证明书（附法人身份证复印件），委派授权代理人办理投标的须提供法定代表人授权委托书（附法人及授权委托人身份证复印件）；</w:t>
      </w:r>
    </w:p>
    <w:p w14:paraId="3A5B780F">
      <w:pPr>
        <w:adjustRightInd w:val="0"/>
        <w:snapToGrid w:val="0"/>
        <w:spacing w:line="360" w:lineRule="auto"/>
        <w:ind w:firstLine="540"/>
        <w:jc w:val="left"/>
        <w:rPr>
          <w:rFonts w:ascii="宋体" w:hAnsi="宋体" w:eastAsia="宋体" w:cs="宋体"/>
          <w:color w:val="auto"/>
          <w:sz w:val="24"/>
          <w:szCs w:val="24"/>
        </w:rPr>
      </w:pPr>
      <w:r>
        <w:rPr>
          <w:rFonts w:hint="eastAsia" w:ascii="宋体" w:hAnsi="宋体" w:eastAsia="宋体" w:cs="宋体"/>
          <w:color w:val="auto"/>
          <w:sz w:val="24"/>
          <w:szCs w:val="24"/>
        </w:rPr>
        <w:t>售价：</w:t>
      </w:r>
      <w:r>
        <w:rPr>
          <w:rFonts w:ascii="宋体" w:hAnsi="宋体" w:eastAsia="宋体" w:cs="宋体"/>
          <w:color w:val="auto"/>
          <w:sz w:val="24"/>
          <w:szCs w:val="24"/>
        </w:rPr>
        <w:t>0</w:t>
      </w:r>
      <w:r>
        <w:rPr>
          <w:rFonts w:hint="eastAsia" w:ascii="宋体" w:hAnsi="宋体" w:eastAsia="宋体" w:cs="宋体"/>
          <w:color w:val="auto"/>
          <w:sz w:val="24"/>
          <w:szCs w:val="24"/>
        </w:rPr>
        <w:t>元</w:t>
      </w:r>
    </w:p>
    <w:p w14:paraId="55B3D5EA">
      <w:pPr>
        <w:adjustRightInd w:val="0"/>
        <w:snapToGrid w:val="0"/>
        <w:spacing w:line="360" w:lineRule="auto"/>
        <w:rPr>
          <w:rFonts w:ascii="宋体" w:hAnsi="宋体" w:eastAsia="宋体"/>
          <w:b/>
          <w:bCs/>
          <w:color w:val="auto"/>
          <w:sz w:val="24"/>
          <w:szCs w:val="24"/>
        </w:rPr>
      </w:pPr>
      <w:bookmarkStart w:id="27" w:name="_Toc28359092"/>
      <w:bookmarkStart w:id="28" w:name="_Toc35393632"/>
      <w:bookmarkStart w:id="29" w:name="_Toc28359015"/>
      <w:bookmarkStart w:id="30" w:name="_Toc35393801"/>
      <w:r>
        <w:rPr>
          <w:rFonts w:hint="eastAsia" w:ascii="宋体" w:hAnsi="宋体" w:eastAsia="宋体"/>
          <w:b/>
          <w:bCs/>
          <w:color w:val="auto"/>
          <w:sz w:val="24"/>
          <w:szCs w:val="24"/>
        </w:rPr>
        <w:t>四、响应文件提交</w:t>
      </w:r>
      <w:bookmarkEnd w:id="27"/>
      <w:bookmarkEnd w:id="28"/>
      <w:bookmarkEnd w:id="29"/>
      <w:bookmarkEnd w:id="30"/>
    </w:p>
    <w:p w14:paraId="06F4E5DA">
      <w:pPr>
        <w:adjustRightInd w:val="0"/>
        <w:snapToGrid w:val="0"/>
        <w:spacing w:line="360" w:lineRule="auto"/>
        <w:ind w:firstLine="480" w:firstLineChars="200"/>
        <w:jc w:val="left"/>
        <w:rPr>
          <w:rFonts w:ascii="宋体" w:hAnsi="宋体" w:eastAsia="宋体" w:cs="宋体"/>
          <w:bCs/>
          <w:color w:val="auto"/>
          <w:sz w:val="24"/>
          <w:szCs w:val="24"/>
          <w:u w:val="single"/>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u w:val="single"/>
          <w:lang w:val="en-US" w:eastAsia="zh-CN"/>
        </w:rPr>
        <w:t>25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21</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14:paraId="6D44D71A">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地点：长春市二道区洋浦大街6999号凯利中心AB栋</w:t>
      </w:r>
      <w:r>
        <w:rPr>
          <w:rFonts w:hint="eastAsia" w:ascii="宋体" w:hAnsi="宋体" w:eastAsia="宋体" w:cs="宋体"/>
          <w:color w:val="auto"/>
          <w:sz w:val="24"/>
          <w:szCs w:val="24"/>
        </w:rPr>
        <w:t>101开标二室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全流程电子化招投标,供应商须通过政府采购云平台（网址：http://www.zcygov.cn）递交电子版投标文件。操作流程：供应商在政府采购云平台网注册入库成为正式供应商后，在平台上按《政府采购项目电子交易管理操作指南-供应商》进行操作。由于供应商自身原因在递交响应文件截止时间前无法完成办理的，后果自负。数字证书办理及投标技术咨询：投标人须办理数字证书方可参加投标。供应商须自行考虑数字证书办理时限，由于供应商自身原因在开标前无法完成办理，后果自负。若对项目采购电子交易系统操作有疑问，可登录“政采云”平台（https://www.zcygov.cn）点击右侧咨询小采，获取采小蜜智能服务管家帮助，或拨打政采云服务热线95763获取热线服务帮助。</w:t>
      </w:r>
    </w:p>
    <w:p w14:paraId="3F222FDC">
      <w:pPr>
        <w:adjustRightInd w:val="0"/>
        <w:snapToGrid w:val="0"/>
        <w:spacing w:line="360" w:lineRule="auto"/>
        <w:rPr>
          <w:rFonts w:ascii="宋体" w:hAnsi="宋体" w:eastAsia="宋体"/>
          <w:b/>
          <w:bCs/>
          <w:color w:val="auto"/>
          <w:sz w:val="24"/>
          <w:szCs w:val="24"/>
        </w:rPr>
      </w:pPr>
      <w:bookmarkStart w:id="31" w:name="_Toc28359093"/>
      <w:bookmarkStart w:id="32" w:name="_Toc35393633"/>
      <w:bookmarkStart w:id="33" w:name="_Toc35393802"/>
      <w:bookmarkStart w:id="34" w:name="_Toc28359016"/>
      <w:r>
        <w:rPr>
          <w:rFonts w:hint="eastAsia" w:ascii="宋体" w:hAnsi="宋体" w:eastAsia="宋体"/>
          <w:b/>
          <w:bCs/>
          <w:color w:val="auto"/>
          <w:sz w:val="24"/>
          <w:szCs w:val="24"/>
        </w:rPr>
        <w:t>五、开启</w:t>
      </w:r>
      <w:bookmarkEnd w:id="31"/>
      <w:bookmarkEnd w:id="32"/>
      <w:bookmarkEnd w:id="33"/>
      <w:bookmarkEnd w:id="34"/>
    </w:p>
    <w:p w14:paraId="1367B0D9">
      <w:pPr>
        <w:adjustRightInd w:val="0"/>
        <w:snapToGrid w:val="0"/>
        <w:spacing w:line="360" w:lineRule="auto"/>
        <w:ind w:firstLine="480" w:firstLineChars="200"/>
        <w:jc w:val="left"/>
        <w:rPr>
          <w:rFonts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u w:val="single"/>
          <w:lang w:val="en-US" w:eastAsia="zh-CN"/>
        </w:rPr>
        <w:t>25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21</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14:paraId="30214B27">
      <w:pPr>
        <w:adjustRightInd w:val="0"/>
        <w:snapToGrid w:val="0"/>
        <w:spacing w:line="360" w:lineRule="auto"/>
        <w:ind w:firstLine="480" w:firstLineChars="200"/>
        <w:jc w:val="left"/>
        <w:rPr>
          <w:rFonts w:ascii="宋体" w:hAnsi="宋体" w:eastAsia="宋体" w:cs="宋体"/>
          <w:bCs/>
          <w:color w:val="auto"/>
          <w:sz w:val="24"/>
          <w:szCs w:val="24"/>
          <w:u w:val="single"/>
        </w:rPr>
      </w:pPr>
      <w:r>
        <w:rPr>
          <w:rFonts w:hint="eastAsia" w:ascii="宋体" w:hAnsi="宋体" w:eastAsia="宋体" w:cs="宋体"/>
          <w:color w:val="auto"/>
          <w:sz w:val="24"/>
          <w:szCs w:val="24"/>
        </w:rPr>
        <w:t>地点：长春市二道区洋浦大街6999号凯利中心AB栋101开标二室</w:t>
      </w:r>
    </w:p>
    <w:p w14:paraId="39B90629">
      <w:pPr>
        <w:adjustRightInd w:val="0"/>
        <w:snapToGrid w:val="0"/>
        <w:spacing w:line="360" w:lineRule="auto"/>
        <w:rPr>
          <w:rFonts w:ascii="宋体" w:hAnsi="宋体" w:eastAsia="宋体"/>
          <w:b/>
          <w:bCs/>
          <w:color w:val="auto"/>
          <w:sz w:val="24"/>
          <w:szCs w:val="24"/>
        </w:rPr>
      </w:pPr>
      <w:bookmarkStart w:id="35" w:name="_Toc35393803"/>
      <w:bookmarkStart w:id="36" w:name="_Toc28359094"/>
      <w:bookmarkStart w:id="37" w:name="_Toc28359017"/>
      <w:bookmarkStart w:id="38" w:name="_Toc35393634"/>
      <w:r>
        <w:rPr>
          <w:rFonts w:hint="eastAsia" w:ascii="宋体" w:hAnsi="宋体" w:eastAsia="宋体"/>
          <w:b/>
          <w:bCs/>
          <w:color w:val="auto"/>
          <w:sz w:val="24"/>
          <w:szCs w:val="24"/>
        </w:rPr>
        <w:t>六、公告期限</w:t>
      </w:r>
      <w:bookmarkEnd w:id="35"/>
      <w:bookmarkEnd w:id="36"/>
      <w:bookmarkEnd w:id="37"/>
      <w:bookmarkEnd w:id="38"/>
    </w:p>
    <w:p w14:paraId="06CD0CDB">
      <w:pPr>
        <w:adjustRightInd w:val="0"/>
        <w:snapToGri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14:paraId="40E6C894">
      <w:pPr>
        <w:adjustRightInd w:val="0"/>
        <w:snapToGrid w:val="0"/>
        <w:spacing w:line="360" w:lineRule="auto"/>
        <w:rPr>
          <w:rFonts w:ascii="宋体" w:hAnsi="宋体" w:eastAsia="宋体"/>
          <w:b/>
          <w:bCs/>
          <w:color w:val="auto"/>
          <w:sz w:val="24"/>
          <w:szCs w:val="24"/>
        </w:rPr>
      </w:pPr>
      <w:bookmarkStart w:id="39" w:name="_Toc35393804"/>
      <w:bookmarkStart w:id="40" w:name="_Toc35393635"/>
      <w:r>
        <w:rPr>
          <w:rFonts w:hint="eastAsia" w:ascii="宋体" w:hAnsi="宋体" w:eastAsia="宋体"/>
          <w:b/>
          <w:bCs/>
          <w:color w:val="auto"/>
          <w:sz w:val="24"/>
          <w:szCs w:val="24"/>
        </w:rPr>
        <w:t>七、其他补充事宜</w:t>
      </w:r>
      <w:bookmarkEnd w:id="39"/>
      <w:bookmarkEnd w:id="40"/>
    </w:p>
    <w:p w14:paraId="1F126092">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kern w:val="0"/>
          <w:sz w:val="24"/>
          <w:szCs w:val="24"/>
        </w:rPr>
        <w:t>1、本次公告同时在中国政府采购网、长春市公共资源交易网发布。</w:t>
      </w:r>
    </w:p>
    <w:p w14:paraId="006C6203">
      <w:pPr>
        <w:adjustRightInd w:val="0"/>
        <w:snapToGri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2、本次招标采用线上提交响应文件的方式进行采购，线上响应文件必须在响应文件递交截止时间前上传平台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并在响应文件递交截止时间后30分钟内完成解密。</w:t>
      </w:r>
    </w:p>
    <w:p w14:paraId="63577768">
      <w:pPr>
        <w:adjustRightInd w:val="0"/>
        <w:snapToGrid w:val="0"/>
        <w:spacing w:line="360" w:lineRule="auto"/>
        <w:rPr>
          <w:rFonts w:ascii="宋体" w:hAnsi="宋体" w:eastAsia="宋体"/>
          <w:b/>
          <w:bCs/>
          <w:color w:val="auto"/>
          <w:sz w:val="24"/>
          <w:szCs w:val="24"/>
        </w:rPr>
      </w:pPr>
      <w:bookmarkStart w:id="41" w:name="_Toc28359018"/>
      <w:bookmarkStart w:id="42" w:name="_Toc35393805"/>
      <w:bookmarkStart w:id="43" w:name="_Toc35393636"/>
      <w:bookmarkStart w:id="44" w:name="_Toc28359095"/>
      <w:r>
        <w:rPr>
          <w:rFonts w:hint="eastAsia" w:ascii="宋体" w:hAnsi="宋体" w:eastAsia="宋体"/>
          <w:b/>
          <w:bCs/>
          <w:color w:val="auto"/>
          <w:sz w:val="24"/>
          <w:szCs w:val="24"/>
        </w:rPr>
        <w:t>八、凡对本次采购提出询问，请按以下方式联系。</w:t>
      </w:r>
      <w:bookmarkEnd w:id="41"/>
      <w:bookmarkEnd w:id="42"/>
      <w:bookmarkEnd w:id="43"/>
      <w:bookmarkEnd w:id="44"/>
    </w:p>
    <w:p w14:paraId="40943402">
      <w:pPr>
        <w:adjustRightInd w:val="0"/>
        <w:snapToGrid w:val="0"/>
        <w:spacing w:line="360" w:lineRule="auto"/>
        <w:ind w:firstLine="482" w:firstLineChars="200"/>
        <w:rPr>
          <w:rFonts w:ascii="宋体" w:hAnsi="宋体" w:eastAsia="宋体"/>
          <w:b/>
          <w:bCs/>
          <w:color w:val="auto"/>
          <w:sz w:val="24"/>
          <w:szCs w:val="24"/>
        </w:rPr>
      </w:pPr>
      <w:bookmarkStart w:id="45" w:name="_Toc28359096"/>
      <w:bookmarkStart w:id="46" w:name="_Toc28359019"/>
      <w:bookmarkStart w:id="47" w:name="_Toc35393806"/>
      <w:bookmarkStart w:id="48" w:name="_Toc35393637"/>
      <w:r>
        <w:rPr>
          <w:rFonts w:hint="eastAsia" w:ascii="宋体" w:hAnsi="宋体" w:eastAsia="宋体"/>
          <w:b/>
          <w:bCs/>
          <w:color w:val="auto"/>
          <w:sz w:val="24"/>
          <w:szCs w:val="24"/>
        </w:rPr>
        <w:t>1.采购人信息</w:t>
      </w:r>
      <w:bookmarkEnd w:id="45"/>
      <w:bookmarkEnd w:id="46"/>
      <w:bookmarkEnd w:id="47"/>
      <w:bookmarkEnd w:id="48"/>
    </w:p>
    <w:p w14:paraId="26E38081">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olor w:val="auto"/>
          <w:sz w:val="24"/>
          <w:szCs w:val="24"/>
          <w:lang w:eastAsia="zh-CN"/>
        </w:rPr>
        <w:t>长春市综合实验中学</w:t>
      </w:r>
    </w:p>
    <w:p w14:paraId="225F8043">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长春市莲花山劝农东段长吉南线19号</w:t>
      </w:r>
    </w:p>
    <w:p w14:paraId="5559CAF5">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李主任、15843163403</w:t>
      </w:r>
    </w:p>
    <w:p w14:paraId="3727B576">
      <w:pPr>
        <w:adjustRightInd w:val="0"/>
        <w:snapToGrid w:val="0"/>
        <w:spacing w:line="360" w:lineRule="auto"/>
        <w:ind w:firstLine="482" w:firstLineChars="200"/>
        <w:rPr>
          <w:rFonts w:ascii="宋体" w:hAnsi="宋体" w:eastAsia="宋体"/>
          <w:b/>
          <w:bCs/>
          <w:color w:val="auto"/>
          <w:sz w:val="24"/>
          <w:szCs w:val="24"/>
        </w:rPr>
      </w:pPr>
      <w:bookmarkStart w:id="49" w:name="_Toc28359097"/>
      <w:bookmarkStart w:id="50" w:name="_Toc35393638"/>
      <w:bookmarkStart w:id="51" w:name="_Toc28359020"/>
      <w:bookmarkStart w:id="52" w:name="_Toc35393807"/>
      <w:r>
        <w:rPr>
          <w:rFonts w:hint="eastAsia" w:ascii="宋体" w:hAnsi="宋体" w:eastAsia="宋体"/>
          <w:b/>
          <w:bCs/>
          <w:color w:val="auto"/>
          <w:sz w:val="24"/>
          <w:szCs w:val="24"/>
        </w:rPr>
        <w:t>2.采购代理机构信息</w:t>
      </w:r>
      <w:bookmarkEnd w:id="49"/>
      <w:bookmarkEnd w:id="50"/>
      <w:bookmarkEnd w:id="51"/>
      <w:bookmarkEnd w:id="52"/>
    </w:p>
    <w:p w14:paraId="2BE06370">
      <w:pPr>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名    称：</w:t>
      </w:r>
      <w:r>
        <w:rPr>
          <w:rFonts w:hint="eastAsia" w:ascii="宋体" w:hAnsi="宋体" w:eastAsia="宋体" w:cs="宋体"/>
          <w:color w:val="auto"/>
          <w:sz w:val="24"/>
          <w:szCs w:val="24"/>
        </w:rPr>
        <w:t>中研（长春）工程咨询有限公司</w:t>
      </w:r>
    </w:p>
    <w:p w14:paraId="134C84B1">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地址：长春市经开区威海路600号5层501室</w:t>
      </w:r>
    </w:p>
    <w:p w14:paraId="1B979691">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联系方式：白明弘、</w:t>
      </w:r>
      <w:r>
        <w:rPr>
          <w:rFonts w:hint="eastAsia" w:ascii="宋体" w:hAnsi="宋体" w:eastAsia="宋体" w:cs="宋体"/>
          <w:color w:val="auto"/>
          <w:sz w:val="24"/>
          <w:szCs w:val="24"/>
          <w:lang w:val="en-US" w:eastAsia="zh-CN"/>
        </w:rPr>
        <w:t>0431-89121755</w:t>
      </w:r>
    </w:p>
    <w:p w14:paraId="4251BA24">
      <w:pPr>
        <w:adjustRightInd w:val="0"/>
        <w:snapToGrid w:val="0"/>
        <w:spacing w:line="360" w:lineRule="auto"/>
        <w:ind w:firstLine="482" w:firstLineChars="200"/>
        <w:rPr>
          <w:rFonts w:ascii="宋体" w:hAnsi="宋体" w:eastAsia="宋体" w:cs="宋体"/>
          <w:b/>
          <w:bCs/>
          <w:color w:val="auto"/>
          <w:sz w:val="24"/>
          <w:szCs w:val="24"/>
        </w:rPr>
      </w:pPr>
      <w:bookmarkStart w:id="53" w:name="_Toc28359098"/>
      <w:bookmarkStart w:id="54" w:name="_Toc28359021"/>
      <w:bookmarkStart w:id="55" w:name="_Toc35393808"/>
      <w:bookmarkStart w:id="56" w:name="_Toc35393639"/>
      <w:r>
        <w:rPr>
          <w:rFonts w:hint="eastAsia" w:ascii="宋体" w:hAnsi="宋体" w:eastAsia="宋体" w:cs="宋体"/>
          <w:b/>
          <w:bCs/>
          <w:color w:val="auto"/>
          <w:sz w:val="24"/>
          <w:szCs w:val="24"/>
        </w:rPr>
        <w:t>3.项目联系方式</w:t>
      </w:r>
      <w:bookmarkEnd w:id="53"/>
      <w:bookmarkEnd w:id="54"/>
      <w:bookmarkEnd w:id="55"/>
      <w:bookmarkEnd w:id="56"/>
    </w:p>
    <w:p w14:paraId="0B3E98DB">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项目联系人：白明弘</w:t>
      </w:r>
    </w:p>
    <w:p w14:paraId="3275B41D">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0431-89121755</w:t>
      </w:r>
    </w:p>
    <w:p w14:paraId="7F3BE8B7">
      <w:pPr>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监督部门：长春市财政局政府采购管理工作办公室</w:t>
      </w:r>
    </w:p>
    <w:p w14:paraId="672BB3DA">
      <w:pPr>
        <w:adjustRightInd w:val="0"/>
        <w:snapToGrid w:val="0"/>
        <w:spacing w:line="360" w:lineRule="auto"/>
        <w:ind w:firstLine="482" w:firstLineChars="200"/>
        <w:rPr>
          <w:rFonts w:ascii="宋体" w:hAnsi="宋体" w:eastAsia="宋体" w:cs="宋体"/>
          <w:color w:val="auto"/>
          <w:sz w:val="24"/>
          <w:szCs w:val="24"/>
        </w:rPr>
      </w:pPr>
      <w:r>
        <w:rPr>
          <w:rFonts w:ascii="宋体" w:hAnsi="宋体" w:eastAsia="宋体" w:cs="Times New Roman"/>
          <w:b/>
          <w:color w:val="auto"/>
          <w:sz w:val="24"/>
          <w:szCs w:val="36"/>
        </w:rPr>
        <w:br w:type="page"/>
      </w:r>
    </w:p>
    <w:p w14:paraId="5DFB2A77">
      <w:pPr>
        <w:widowControl/>
        <w:jc w:val="left"/>
        <w:rPr>
          <w:rFonts w:ascii="宋体" w:hAnsi="宋体" w:eastAsia="宋体" w:cs="宋体"/>
          <w:b/>
          <w:bCs/>
          <w:color w:val="auto"/>
          <w:sz w:val="44"/>
          <w:szCs w:val="44"/>
        </w:rPr>
        <w:sectPr>
          <w:headerReference r:id="rId8" w:type="first"/>
          <w:footerReference r:id="rId9" w:type="default"/>
          <w:pgSz w:w="11906" w:h="16838"/>
          <w:pgMar w:top="1440" w:right="1080" w:bottom="1440" w:left="1080" w:header="851" w:footer="992" w:gutter="0"/>
          <w:pgNumType w:start="1"/>
          <w:cols w:space="425" w:num="1"/>
          <w:docGrid w:type="lines" w:linePitch="312" w:charSpace="0"/>
        </w:sectPr>
      </w:pPr>
    </w:p>
    <w:p w14:paraId="5524A998">
      <w:pPr>
        <w:pStyle w:val="2"/>
        <w:rPr>
          <w:rFonts w:ascii="宋体" w:hAnsi="宋体"/>
          <w:color w:val="auto"/>
          <w:lang w:val="zh-CN"/>
        </w:rPr>
      </w:pPr>
      <w:bookmarkStart w:id="57" w:name="_Toc11812"/>
      <w:r>
        <w:rPr>
          <w:rFonts w:hint="eastAsia" w:ascii="宋体" w:hAnsi="宋体"/>
          <w:color w:val="auto"/>
          <w:lang w:val="zh-CN"/>
        </w:rPr>
        <w:t>第二章</w:t>
      </w:r>
      <w:r>
        <w:rPr>
          <w:rFonts w:hint="eastAsia" w:ascii="宋体" w:hAnsi="宋体"/>
          <w:color w:val="auto"/>
          <w:lang w:val="en-US" w:eastAsia="zh-CN"/>
        </w:rPr>
        <w:t xml:space="preserve"> </w:t>
      </w:r>
      <w:r>
        <w:rPr>
          <w:rFonts w:hint="eastAsia" w:ascii="宋体" w:hAnsi="宋体"/>
          <w:color w:val="auto"/>
          <w:lang w:val="zh-CN"/>
        </w:rPr>
        <w:t>供应商须知</w:t>
      </w:r>
      <w:bookmarkEnd w:id="57"/>
    </w:p>
    <w:p w14:paraId="5FA9742F">
      <w:pPr>
        <w:jc w:val="center"/>
        <w:rPr>
          <w:rFonts w:ascii="宋体" w:hAnsi="宋体" w:eastAsia="宋体"/>
          <w:b/>
          <w:bCs/>
          <w:color w:val="auto"/>
          <w:sz w:val="24"/>
          <w:szCs w:val="24"/>
        </w:rPr>
      </w:pPr>
      <w:r>
        <w:rPr>
          <w:rFonts w:hint="eastAsia" w:ascii="宋体" w:hAnsi="宋体" w:eastAsia="宋体"/>
          <w:b/>
          <w:bCs/>
          <w:color w:val="auto"/>
          <w:sz w:val="24"/>
          <w:szCs w:val="24"/>
        </w:rPr>
        <w:t>投标须知前附表</w:t>
      </w:r>
    </w:p>
    <w:tbl>
      <w:tblPr>
        <w:tblStyle w:val="3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60"/>
        <w:gridCol w:w="6009"/>
      </w:tblGrid>
      <w:tr w14:paraId="21C5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1116" w:type="dxa"/>
            <w:noWrap/>
            <w:vAlign w:val="center"/>
          </w:tcPr>
          <w:p w14:paraId="58C4A0A2">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560" w:type="dxa"/>
            <w:noWrap/>
            <w:vAlign w:val="center"/>
          </w:tcPr>
          <w:p w14:paraId="20E828DB">
            <w:pPr>
              <w:pStyle w:val="22"/>
              <w:pBdr>
                <w:bottom w:val="none" w:color="auto" w:sz="0" w:space="0"/>
              </w:pBdr>
              <w:tabs>
                <w:tab w:val="clear" w:pos="4153"/>
                <w:tab w:val="clear" w:pos="8306"/>
              </w:tabs>
              <w:autoSpaceDE w:val="0"/>
              <w:autoSpaceDN w:val="0"/>
              <w:adjustRightInd w:val="0"/>
              <w:snapToGrid/>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条款名称</w:t>
            </w:r>
          </w:p>
        </w:tc>
        <w:tc>
          <w:tcPr>
            <w:tcW w:w="6009" w:type="dxa"/>
            <w:noWrap/>
            <w:vAlign w:val="center"/>
          </w:tcPr>
          <w:p w14:paraId="55DF7182">
            <w:pPr>
              <w:pStyle w:val="22"/>
              <w:pBdr>
                <w:bottom w:val="none" w:color="auto" w:sz="0" w:space="0"/>
              </w:pBdr>
              <w:tabs>
                <w:tab w:val="clear" w:pos="4153"/>
                <w:tab w:val="clear" w:pos="8306"/>
              </w:tabs>
              <w:autoSpaceDE w:val="0"/>
              <w:autoSpaceDN w:val="0"/>
              <w:adjustRightInd w:val="0"/>
              <w:snapToGrid/>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编列内容</w:t>
            </w:r>
          </w:p>
        </w:tc>
      </w:tr>
      <w:tr w14:paraId="6B31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3DF26500">
            <w:pPr>
              <w:autoSpaceDE w:val="0"/>
              <w:autoSpaceDN w:val="0"/>
              <w:adjustRightInd w:val="0"/>
              <w:spacing w:line="360" w:lineRule="auto"/>
              <w:jc w:val="center"/>
              <w:rPr>
                <w:rFonts w:ascii="宋体" w:hAnsi="宋体" w:eastAsia="宋体" w:cs="宋体"/>
                <w:bCs/>
                <w:color w:val="auto"/>
                <w:sz w:val="24"/>
                <w:szCs w:val="24"/>
                <w:lang w:val="zh-CN"/>
              </w:rPr>
            </w:pPr>
            <w:r>
              <w:rPr>
                <w:rFonts w:ascii="宋体" w:hAnsi="宋体" w:eastAsia="宋体" w:cs="宋体"/>
                <w:bCs/>
                <w:color w:val="auto"/>
                <w:sz w:val="24"/>
                <w:szCs w:val="24"/>
                <w:lang w:val="zh-CN"/>
              </w:rPr>
              <w:t>1</w:t>
            </w:r>
          </w:p>
        </w:tc>
        <w:tc>
          <w:tcPr>
            <w:tcW w:w="2560" w:type="dxa"/>
            <w:noWrap/>
            <w:vAlign w:val="center"/>
          </w:tcPr>
          <w:p w14:paraId="2CC13ABA">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采购人</w:t>
            </w:r>
          </w:p>
        </w:tc>
        <w:tc>
          <w:tcPr>
            <w:tcW w:w="6009" w:type="dxa"/>
            <w:noWrap/>
          </w:tcPr>
          <w:p w14:paraId="5422ED54">
            <w:pPr>
              <w:autoSpaceDE w:val="0"/>
              <w:autoSpaceDN w:val="0"/>
              <w:adjustRightInd w:val="0"/>
              <w:snapToGri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采购人：长春市综合实验中学</w:t>
            </w:r>
          </w:p>
          <w:p w14:paraId="0CA2C942">
            <w:pPr>
              <w:adjustRightInd w:val="0"/>
              <w:snapToGrid w:val="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lang w:val="zh-CN"/>
              </w:rPr>
              <w:t>地址:长春市莲花山劝农东段长吉南线19号</w:t>
            </w:r>
          </w:p>
          <w:p w14:paraId="04917812">
            <w:pPr>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联系人：李主任</w:t>
            </w:r>
          </w:p>
          <w:p w14:paraId="2A6DD19F">
            <w:pPr>
              <w:autoSpaceDE w:val="0"/>
              <w:autoSpaceDN w:val="0"/>
              <w:adjustRightInd w:val="0"/>
              <w:snapToGrid w:val="0"/>
              <w:spacing w:line="360" w:lineRule="auto"/>
              <w:rPr>
                <w:rFonts w:ascii="宋体" w:hAnsi="宋体" w:eastAsia="宋体"/>
                <w:bCs/>
                <w:color w:val="auto"/>
                <w:sz w:val="24"/>
                <w:szCs w:val="24"/>
                <w:lang w:val="zh-CN"/>
              </w:rPr>
            </w:pPr>
            <w:r>
              <w:rPr>
                <w:rFonts w:hint="eastAsia" w:ascii="宋体" w:hAnsi="宋体" w:eastAsia="宋体" w:cs="宋体"/>
                <w:color w:val="auto"/>
                <w:sz w:val="24"/>
                <w:szCs w:val="24"/>
                <w:lang w:val="zh-CN"/>
              </w:rPr>
              <w:t>联系电话：15843163403</w:t>
            </w:r>
          </w:p>
        </w:tc>
      </w:tr>
      <w:tr w14:paraId="220A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59B31F27">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w:t>
            </w:r>
          </w:p>
        </w:tc>
        <w:tc>
          <w:tcPr>
            <w:tcW w:w="2560" w:type="dxa"/>
            <w:noWrap/>
            <w:vAlign w:val="center"/>
          </w:tcPr>
          <w:p w14:paraId="74314806">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采购代理机构</w:t>
            </w:r>
          </w:p>
        </w:tc>
        <w:tc>
          <w:tcPr>
            <w:tcW w:w="6009" w:type="dxa"/>
            <w:noWrap/>
            <w:vAlign w:val="center"/>
          </w:tcPr>
          <w:p w14:paraId="57754B15">
            <w:pPr>
              <w:autoSpaceDE w:val="0"/>
              <w:autoSpaceDN w:val="0"/>
              <w:spacing w:line="400" w:lineRule="exact"/>
              <w:jc w:val="left"/>
              <w:rPr>
                <w:color w:val="auto"/>
                <w:sz w:val="24"/>
                <w:szCs w:val="24"/>
                <w:lang w:val="zh-CN"/>
              </w:rPr>
            </w:pPr>
            <w:r>
              <w:rPr>
                <w:rFonts w:hint="eastAsia"/>
                <w:color w:val="auto"/>
                <w:sz w:val="24"/>
                <w:szCs w:val="24"/>
                <w:lang w:val="zh-CN"/>
              </w:rPr>
              <w:t>采购代理机构</w:t>
            </w:r>
            <w:r>
              <w:rPr>
                <w:color w:val="auto"/>
                <w:sz w:val="24"/>
                <w:szCs w:val="24"/>
                <w:lang w:val="zh-CN"/>
              </w:rPr>
              <w:t>：</w:t>
            </w:r>
            <w:r>
              <w:rPr>
                <w:rFonts w:hint="eastAsia"/>
                <w:color w:val="auto"/>
                <w:sz w:val="24"/>
                <w:szCs w:val="24"/>
              </w:rPr>
              <w:t>中研（长春）工程咨询有限公司</w:t>
            </w:r>
          </w:p>
          <w:p w14:paraId="11BFE972">
            <w:pPr>
              <w:autoSpaceDE w:val="0"/>
              <w:autoSpaceDN w:val="0"/>
              <w:spacing w:line="400" w:lineRule="exact"/>
              <w:jc w:val="left"/>
              <w:rPr>
                <w:color w:val="auto"/>
                <w:sz w:val="24"/>
                <w:szCs w:val="24"/>
                <w:lang w:val="zh-CN"/>
              </w:rPr>
            </w:pPr>
            <w:r>
              <w:rPr>
                <w:rFonts w:hint="eastAsia"/>
                <w:color w:val="auto"/>
                <w:sz w:val="24"/>
                <w:szCs w:val="24"/>
                <w:lang w:val="zh-CN"/>
              </w:rPr>
              <w:t>地址</w:t>
            </w:r>
            <w:r>
              <w:rPr>
                <w:color w:val="auto"/>
                <w:sz w:val="24"/>
                <w:szCs w:val="24"/>
                <w:lang w:val="zh-CN"/>
              </w:rPr>
              <w:t>：</w:t>
            </w:r>
            <w:r>
              <w:rPr>
                <w:rFonts w:hint="eastAsia"/>
                <w:color w:val="auto"/>
                <w:sz w:val="24"/>
                <w:szCs w:val="24"/>
              </w:rPr>
              <w:t>长春市经开区威海路600号5层501室</w:t>
            </w:r>
          </w:p>
          <w:p w14:paraId="75650831">
            <w:pPr>
              <w:autoSpaceDE w:val="0"/>
              <w:autoSpaceDN w:val="0"/>
              <w:spacing w:line="400" w:lineRule="exact"/>
              <w:jc w:val="left"/>
              <w:rPr>
                <w:color w:val="auto"/>
                <w:sz w:val="24"/>
                <w:szCs w:val="24"/>
                <w:lang w:val="zh-CN"/>
              </w:rPr>
            </w:pPr>
            <w:r>
              <w:rPr>
                <w:rFonts w:hint="eastAsia"/>
                <w:color w:val="auto"/>
                <w:sz w:val="24"/>
                <w:szCs w:val="24"/>
                <w:lang w:val="zh-CN"/>
              </w:rPr>
              <w:t>联系人</w:t>
            </w:r>
            <w:r>
              <w:rPr>
                <w:color w:val="auto"/>
                <w:sz w:val="24"/>
                <w:szCs w:val="24"/>
                <w:lang w:val="zh-CN"/>
              </w:rPr>
              <w:t>：</w:t>
            </w:r>
            <w:r>
              <w:rPr>
                <w:rFonts w:hint="eastAsia"/>
                <w:color w:val="auto"/>
                <w:sz w:val="24"/>
                <w:szCs w:val="24"/>
                <w:lang w:val="zh-CN"/>
              </w:rPr>
              <w:t>白明弘</w:t>
            </w:r>
          </w:p>
          <w:p w14:paraId="5F87A5FB">
            <w:pPr>
              <w:autoSpaceDE w:val="0"/>
              <w:autoSpaceDN w:val="0"/>
              <w:spacing w:line="400" w:lineRule="exact"/>
              <w:jc w:val="left"/>
              <w:rPr>
                <w:rFonts w:hint="default" w:eastAsiaTheme="minorEastAsia"/>
                <w:color w:val="auto"/>
                <w:sz w:val="24"/>
                <w:szCs w:val="24"/>
                <w:lang w:val="en-US" w:eastAsia="zh-CN"/>
              </w:rPr>
            </w:pPr>
            <w:r>
              <w:rPr>
                <w:rFonts w:hint="eastAsia"/>
                <w:color w:val="auto"/>
                <w:sz w:val="24"/>
                <w:szCs w:val="24"/>
                <w:lang w:val="zh-CN"/>
              </w:rPr>
              <w:t>电话</w:t>
            </w:r>
            <w:r>
              <w:rPr>
                <w:color w:val="auto"/>
                <w:sz w:val="24"/>
                <w:szCs w:val="24"/>
                <w:lang w:val="zh-CN"/>
              </w:rPr>
              <w:t>：</w:t>
            </w:r>
            <w:r>
              <w:rPr>
                <w:rFonts w:hint="eastAsia"/>
                <w:color w:val="auto"/>
                <w:sz w:val="24"/>
                <w:szCs w:val="24"/>
                <w:lang w:val="en-US" w:eastAsia="zh-CN"/>
              </w:rPr>
              <w:t>0431-89121755</w:t>
            </w:r>
          </w:p>
          <w:p w14:paraId="0B2E9695">
            <w:pPr>
              <w:pStyle w:val="14"/>
              <w:rPr>
                <w:color w:val="auto"/>
                <w:sz w:val="24"/>
                <w:szCs w:val="24"/>
              </w:rPr>
            </w:pPr>
            <w:r>
              <w:rPr>
                <w:rFonts w:hint="eastAsia" w:eastAsiaTheme="minorEastAsia"/>
                <w:color w:val="auto"/>
                <w:sz w:val="24"/>
                <w:szCs w:val="24"/>
              </w:rPr>
              <w:t>邮箱：zhongyanchangchun@163.com</w:t>
            </w:r>
          </w:p>
        </w:tc>
      </w:tr>
      <w:tr w14:paraId="514D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116" w:type="dxa"/>
            <w:noWrap/>
            <w:vAlign w:val="center"/>
          </w:tcPr>
          <w:p w14:paraId="7A222CB8">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w:t>
            </w:r>
          </w:p>
        </w:tc>
        <w:tc>
          <w:tcPr>
            <w:tcW w:w="2560" w:type="dxa"/>
            <w:noWrap/>
            <w:vAlign w:val="center"/>
          </w:tcPr>
          <w:p w14:paraId="6D375698">
            <w:pPr>
              <w:autoSpaceDE w:val="0"/>
              <w:autoSpaceDN w:val="0"/>
              <w:adjustRightInd w:val="0"/>
              <w:spacing w:line="400" w:lineRule="exact"/>
              <w:jc w:val="center"/>
              <w:rPr>
                <w:rFonts w:ascii="宋体" w:hAnsi="宋体" w:eastAsia="宋体" w:cs="宋体"/>
                <w:bCs/>
                <w:color w:val="auto"/>
                <w:sz w:val="24"/>
                <w:szCs w:val="24"/>
              </w:rPr>
            </w:pPr>
            <w:r>
              <w:rPr>
                <w:rFonts w:hint="eastAsia" w:ascii="宋体" w:hAnsi="宋体" w:eastAsia="宋体" w:cs="宋体"/>
                <w:bCs/>
                <w:color w:val="auto"/>
                <w:sz w:val="24"/>
                <w:szCs w:val="24"/>
                <w:lang w:val="zh-CN"/>
              </w:rPr>
              <w:t>项目名称</w:t>
            </w:r>
            <w:r>
              <w:rPr>
                <w:rFonts w:hint="eastAsia" w:ascii="宋体" w:hAnsi="宋体" w:eastAsia="宋体" w:cs="宋体"/>
                <w:bCs/>
                <w:color w:val="auto"/>
                <w:sz w:val="24"/>
                <w:szCs w:val="24"/>
              </w:rPr>
              <w:t>及项目编号</w:t>
            </w:r>
          </w:p>
        </w:tc>
        <w:tc>
          <w:tcPr>
            <w:tcW w:w="6009" w:type="dxa"/>
            <w:noWrap/>
            <w:vAlign w:val="center"/>
          </w:tcPr>
          <w:p w14:paraId="17BB20BB">
            <w:pPr>
              <w:autoSpaceDE w:val="0"/>
              <w:autoSpaceDN w:val="0"/>
              <w:spacing w:line="400" w:lineRule="exact"/>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rPr>
              <w:t>项目名称：</w:t>
            </w:r>
            <w:r>
              <w:rPr>
                <w:rFonts w:hint="eastAsia" w:ascii="宋体" w:hAnsi="宋体" w:eastAsia="宋体" w:cs="宋体"/>
                <w:color w:val="auto"/>
                <w:kern w:val="0"/>
                <w:sz w:val="24"/>
                <w:szCs w:val="24"/>
                <w:lang w:eastAsia="zh-CN"/>
              </w:rPr>
              <w:t>长春市综合实验中学多功能报告厅建设</w:t>
            </w:r>
          </w:p>
          <w:p w14:paraId="0E3AA4AF">
            <w:pPr>
              <w:autoSpaceDE w:val="0"/>
              <w:autoSpaceDN w:val="0"/>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项目编号:</w:t>
            </w:r>
            <w:r>
              <w:rPr>
                <w:rFonts w:hint="eastAsia" w:ascii="宋体" w:hAnsi="宋体" w:eastAsia="宋体" w:cs="宋体"/>
                <w:color w:val="auto"/>
                <w:sz w:val="24"/>
                <w:szCs w:val="24"/>
                <w:lang w:eastAsia="zh-CN"/>
              </w:rPr>
              <w:t>JM-2024-12-01714-01</w:t>
            </w:r>
          </w:p>
        </w:tc>
      </w:tr>
      <w:tr w14:paraId="4CE5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116" w:type="dxa"/>
            <w:noWrap/>
            <w:vAlign w:val="center"/>
          </w:tcPr>
          <w:p w14:paraId="29301E4E">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4</w:t>
            </w:r>
          </w:p>
        </w:tc>
        <w:tc>
          <w:tcPr>
            <w:tcW w:w="2560" w:type="dxa"/>
            <w:noWrap/>
            <w:vAlign w:val="center"/>
          </w:tcPr>
          <w:p w14:paraId="4F974E0D">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交付（实施）的地点（范围）</w:t>
            </w:r>
          </w:p>
        </w:tc>
        <w:tc>
          <w:tcPr>
            <w:tcW w:w="6009" w:type="dxa"/>
            <w:noWrap/>
            <w:vAlign w:val="center"/>
          </w:tcPr>
          <w:p w14:paraId="1C45F4D1">
            <w:pPr>
              <w:autoSpaceDE w:val="0"/>
              <w:autoSpaceDN w:val="0"/>
              <w:adjustRightInd w:val="0"/>
              <w:spacing w:line="400" w:lineRule="exact"/>
              <w:jc w:val="left"/>
              <w:rPr>
                <w:rFonts w:ascii="宋体" w:hAnsi="宋体" w:eastAsia="宋体" w:cs="宋体"/>
                <w:bCs/>
                <w:color w:val="auto"/>
                <w:sz w:val="24"/>
                <w:szCs w:val="24"/>
              </w:rPr>
            </w:pPr>
            <w:r>
              <w:rPr>
                <w:rFonts w:hint="eastAsia" w:ascii="宋体" w:hAnsi="宋体" w:eastAsia="宋体" w:cs="宋体"/>
                <w:color w:val="auto"/>
                <w:sz w:val="24"/>
                <w:szCs w:val="24"/>
              </w:rPr>
              <w:t>采购人指定地点</w:t>
            </w:r>
          </w:p>
        </w:tc>
      </w:tr>
      <w:tr w14:paraId="16B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116" w:type="dxa"/>
            <w:noWrap/>
            <w:vAlign w:val="center"/>
          </w:tcPr>
          <w:p w14:paraId="3278AE2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5</w:t>
            </w:r>
          </w:p>
        </w:tc>
        <w:tc>
          <w:tcPr>
            <w:tcW w:w="2560" w:type="dxa"/>
            <w:noWrap/>
            <w:vAlign w:val="center"/>
          </w:tcPr>
          <w:p w14:paraId="3638DA1F">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资金来源</w:t>
            </w:r>
          </w:p>
        </w:tc>
        <w:tc>
          <w:tcPr>
            <w:tcW w:w="6009" w:type="dxa"/>
            <w:noWrap/>
            <w:vAlign w:val="center"/>
          </w:tcPr>
          <w:p w14:paraId="2EAEB16A">
            <w:pPr>
              <w:autoSpaceDE w:val="0"/>
              <w:autoSpaceDN w:val="0"/>
              <w:adjustRightInd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中央资金和省级资金</w:t>
            </w:r>
          </w:p>
        </w:tc>
      </w:tr>
      <w:tr w14:paraId="173E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16" w:type="dxa"/>
            <w:noWrap/>
            <w:vAlign w:val="center"/>
          </w:tcPr>
          <w:p w14:paraId="7A020572">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6</w:t>
            </w:r>
          </w:p>
        </w:tc>
        <w:tc>
          <w:tcPr>
            <w:tcW w:w="2560" w:type="dxa"/>
            <w:noWrap/>
            <w:vAlign w:val="center"/>
          </w:tcPr>
          <w:p w14:paraId="19B8D51E">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出资比例</w:t>
            </w:r>
          </w:p>
        </w:tc>
        <w:tc>
          <w:tcPr>
            <w:tcW w:w="6009" w:type="dxa"/>
            <w:noWrap/>
            <w:vAlign w:val="center"/>
          </w:tcPr>
          <w:p w14:paraId="6F24B746">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100%</w:t>
            </w:r>
          </w:p>
        </w:tc>
      </w:tr>
      <w:tr w14:paraId="2E2E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116" w:type="dxa"/>
            <w:noWrap/>
            <w:vAlign w:val="center"/>
          </w:tcPr>
          <w:p w14:paraId="57C4141F">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7</w:t>
            </w:r>
          </w:p>
        </w:tc>
        <w:tc>
          <w:tcPr>
            <w:tcW w:w="2560" w:type="dxa"/>
            <w:noWrap/>
            <w:vAlign w:val="center"/>
          </w:tcPr>
          <w:p w14:paraId="141535A2">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资金落实情况</w:t>
            </w:r>
          </w:p>
        </w:tc>
        <w:tc>
          <w:tcPr>
            <w:tcW w:w="6009" w:type="dxa"/>
            <w:tcBorders>
              <w:bottom w:val="single" w:color="auto" w:sz="4" w:space="0"/>
            </w:tcBorders>
            <w:noWrap/>
            <w:vAlign w:val="center"/>
          </w:tcPr>
          <w:p w14:paraId="7C64AA95">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已落实</w:t>
            </w:r>
          </w:p>
        </w:tc>
      </w:tr>
      <w:tr w14:paraId="1433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116" w:type="dxa"/>
            <w:noWrap/>
            <w:vAlign w:val="center"/>
          </w:tcPr>
          <w:p w14:paraId="146CCDAE">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8</w:t>
            </w:r>
          </w:p>
        </w:tc>
        <w:tc>
          <w:tcPr>
            <w:tcW w:w="2560" w:type="dxa"/>
            <w:noWrap/>
            <w:vAlign w:val="center"/>
          </w:tcPr>
          <w:p w14:paraId="0CA3CCB3">
            <w:pPr>
              <w:autoSpaceDE w:val="0"/>
              <w:autoSpaceDN w:val="0"/>
              <w:adjustRightInd w:val="0"/>
              <w:spacing w:line="400" w:lineRule="exact"/>
              <w:jc w:val="center"/>
              <w:rPr>
                <w:rFonts w:ascii="宋体" w:hAnsi="宋体" w:eastAsia="宋体" w:cs="宋体"/>
                <w:bCs/>
                <w:color w:val="auto"/>
                <w:sz w:val="24"/>
                <w:szCs w:val="24"/>
              </w:rPr>
            </w:pPr>
            <w:r>
              <w:rPr>
                <w:rFonts w:hint="eastAsia" w:ascii="宋体" w:hAnsi="宋体" w:eastAsia="宋体" w:cs="宋体"/>
                <w:bCs/>
                <w:color w:val="auto"/>
                <w:sz w:val="24"/>
                <w:szCs w:val="24"/>
              </w:rPr>
              <w:t>预算金额</w:t>
            </w:r>
          </w:p>
        </w:tc>
        <w:tc>
          <w:tcPr>
            <w:tcW w:w="6009" w:type="dxa"/>
            <w:tcBorders>
              <w:bottom w:val="single" w:color="auto" w:sz="4" w:space="0"/>
            </w:tcBorders>
            <w:noWrap/>
            <w:vAlign w:val="center"/>
          </w:tcPr>
          <w:p w14:paraId="798B566A">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s="宋体"/>
                <w:color w:val="auto"/>
                <w:sz w:val="24"/>
                <w:szCs w:val="24"/>
                <w:lang w:val="en-US" w:eastAsia="zh-CN"/>
              </w:rPr>
              <w:t>127</w:t>
            </w:r>
            <w:r>
              <w:rPr>
                <w:rFonts w:hint="eastAsia" w:ascii="宋体" w:hAnsi="宋体" w:eastAsia="宋体" w:cs="宋体"/>
                <w:color w:val="auto"/>
                <w:sz w:val="24"/>
                <w:szCs w:val="24"/>
              </w:rPr>
              <w:t>万元</w:t>
            </w:r>
          </w:p>
        </w:tc>
      </w:tr>
      <w:tr w14:paraId="2274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16" w:type="dxa"/>
            <w:noWrap/>
            <w:vAlign w:val="center"/>
          </w:tcPr>
          <w:p w14:paraId="1D3E3F9E">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9</w:t>
            </w:r>
          </w:p>
        </w:tc>
        <w:tc>
          <w:tcPr>
            <w:tcW w:w="2560" w:type="dxa"/>
            <w:noWrap/>
            <w:vAlign w:val="center"/>
          </w:tcPr>
          <w:p w14:paraId="721E35E1">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采购需求</w:t>
            </w:r>
          </w:p>
        </w:tc>
        <w:tc>
          <w:tcPr>
            <w:tcW w:w="6009" w:type="dxa"/>
            <w:noWrap/>
            <w:vAlign w:val="center"/>
          </w:tcPr>
          <w:p w14:paraId="33A8C13F">
            <w:pPr>
              <w:spacing w:line="400" w:lineRule="exact"/>
              <w:jc w:val="left"/>
              <w:rPr>
                <w:rFonts w:ascii="宋体" w:hAnsi="宋体" w:eastAsia="宋体"/>
                <w:color w:val="auto"/>
                <w:sz w:val="24"/>
                <w:szCs w:val="24"/>
              </w:rPr>
            </w:pPr>
            <w:r>
              <w:rPr>
                <w:rFonts w:hint="eastAsia" w:ascii="宋体" w:hAnsi="宋体" w:eastAsia="宋体"/>
                <w:color w:val="auto"/>
                <w:sz w:val="24"/>
                <w:szCs w:val="24"/>
              </w:rPr>
              <w:t>详见第五章采购需求</w:t>
            </w:r>
          </w:p>
        </w:tc>
      </w:tr>
      <w:tr w14:paraId="3CFB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116" w:type="dxa"/>
            <w:noWrap/>
            <w:vAlign w:val="center"/>
          </w:tcPr>
          <w:p w14:paraId="44F11106">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10</w:t>
            </w:r>
          </w:p>
        </w:tc>
        <w:tc>
          <w:tcPr>
            <w:tcW w:w="2560" w:type="dxa"/>
            <w:noWrap/>
            <w:vAlign w:val="center"/>
          </w:tcPr>
          <w:p w14:paraId="0C3DFF9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合同履行期限</w:t>
            </w:r>
          </w:p>
        </w:tc>
        <w:tc>
          <w:tcPr>
            <w:tcW w:w="6009" w:type="dxa"/>
            <w:tcBorders>
              <w:top w:val="nil"/>
            </w:tcBorders>
            <w:noWrap/>
            <w:vAlign w:val="center"/>
          </w:tcPr>
          <w:p w14:paraId="1CE9B00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合同签订后30日内完成供货、安装及调试</w:t>
            </w:r>
          </w:p>
        </w:tc>
      </w:tr>
      <w:tr w14:paraId="4671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116" w:type="dxa"/>
            <w:noWrap/>
            <w:vAlign w:val="center"/>
          </w:tcPr>
          <w:p w14:paraId="1BE19E05">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11</w:t>
            </w:r>
          </w:p>
        </w:tc>
        <w:tc>
          <w:tcPr>
            <w:tcW w:w="2560" w:type="dxa"/>
            <w:noWrap/>
            <w:vAlign w:val="center"/>
          </w:tcPr>
          <w:p w14:paraId="75FB8316">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质量要求</w:t>
            </w:r>
          </w:p>
        </w:tc>
        <w:tc>
          <w:tcPr>
            <w:tcW w:w="6009" w:type="dxa"/>
            <w:noWrap/>
            <w:vAlign w:val="center"/>
          </w:tcPr>
          <w:p w14:paraId="13D07295">
            <w:pPr>
              <w:spacing w:line="400" w:lineRule="exact"/>
              <w:jc w:val="left"/>
              <w:rPr>
                <w:rFonts w:ascii="宋体" w:hAnsi="宋体" w:eastAsia="宋体"/>
                <w:color w:val="auto"/>
                <w:sz w:val="24"/>
                <w:szCs w:val="24"/>
              </w:rPr>
            </w:pPr>
            <w:r>
              <w:rPr>
                <w:rFonts w:hint="eastAsia" w:ascii="宋体" w:hAnsi="宋体" w:eastAsia="宋体" w:cs="宋体"/>
                <w:bCs/>
                <w:color w:val="auto"/>
                <w:sz w:val="24"/>
                <w:szCs w:val="24"/>
              </w:rPr>
              <w:t>符合国家、行业规定的合格标准及采购人需求</w:t>
            </w:r>
          </w:p>
        </w:tc>
      </w:tr>
      <w:tr w14:paraId="134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16" w:type="dxa"/>
            <w:noWrap/>
            <w:vAlign w:val="center"/>
          </w:tcPr>
          <w:p w14:paraId="4D0E5DE9">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12</w:t>
            </w:r>
          </w:p>
        </w:tc>
        <w:tc>
          <w:tcPr>
            <w:tcW w:w="2560" w:type="dxa"/>
            <w:noWrap/>
            <w:vAlign w:val="center"/>
          </w:tcPr>
          <w:p w14:paraId="3EA26FE7">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供应商资格条件</w:t>
            </w:r>
          </w:p>
        </w:tc>
        <w:tc>
          <w:tcPr>
            <w:tcW w:w="6009" w:type="dxa"/>
            <w:noWrap/>
            <w:vAlign w:val="center"/>
          </w:tcPr>
          <w:p w14:paraId="4849F756">
            <w:pPr>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rPr>
              <w:t>详见磋商公告</w:t>
            </w:r>
          </w:p>
        </w:tc>
      </w:tr>
      <w:tr w14:paraId="4EA4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4A6D660F">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13</w:t>
            </w:r>
          </w:p>
        </w:tc>
        <w:tc>
          <w:tcPr>
            <w:tcW w:w="2560" w:type="dxa"/>
            <w:noWrap/>
            <w:vAlign w:val="center"/>
          </w:tcPr>
          <w:p w14:paraId="1F099E9A">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是否接受联合体投标</w:t>
            </w:r>
          </w:p>
        </w:tc>
        <w:tc>
          <w:tcPr>
            <w:tcW w:w="6009" w:type="dxa"/>
            <w:noWrap/>
            <w:vAlign w:val="center"/>
          </w:tcPr>
          <w:p w14:paraId="058080F5">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olor w:val="auto"/>
                <w:sz w:val="24"/>
                <w:szCs w:val="24"/>
                <w:bdr w:val="single" w:color="auto" w:sz="4" w:space="0"/>
              </w:rPr>
              <w:t>√</w:t>
            </w:r>
            <w:r>
              <w:rPr>
                <w:rFonts w:hint="eastAsia" w:ascii="宋体" w:hAnsi="宋体" w:eastAsia="宋体" w:cs="宋体"/>
                <w:bCs/>
                <w:color w:val="auto"/>
                <w:sz w:val="24"/>
                <w:szCs w:val="24"/>
                <w:lang w:val="zh-CN"/>
              </w:rPr>
              <w:t>不接受</w:t>
            </w:r>
          </w:p>
          <w:p w14:paraId="25681DD5">
            <w:pPr>
              <w:autoSpaceDE w:val="0"/>
              <w:autoSpaceDN w:val="0"/>
              <w:adjustRightInd w:val="0"/>
              <w:spacing w:line="400" w:lineRule="exact"/>
              <w:ind w:firstLine="360" w:firstLineChars="150"/>
              <w:jc w:val="left"/>
              <w:rPr>
                <w:rFonts w:ascii="宋体" w:hAnsi="宋体" w:eastAsia="宋体" w:cs="宋体"/>
                <w:bCs/>
                <w:color w:val="auto"/>
                <w:sz w:val="24"/>
                <w:szCs w:val="24"/>
                <w:lang w:val="zh-CN"/>
              </w:rPr>
            </w:pPr>
            <w:r>
              <w:rPr>
                <w:rFonts w:ascii="宋体" w:hAnsi="宋体" w:eastAsia="宋体" w:cs="宋体"/>
                <w:bCs/>
                <w:color w:val="auto"/>
                <w:sz w:val="24"/>
                <w:szCs w:val="24"/>
                <w:lang w:val="zh-CN"/>
              </w:rPr>
              <w:pict>
                <v:rect id="_x0000_s2054" o:spid="_x0000_s2054" o:spt="1" style="position:absolute;left:0pt;margin-left:-1.25pt;margin-top:9pt;height:9.75pt;width:9.75pt;z-index:-251649024;mso-width-relative:page;mso-height-relative:page;"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NtksvD7AQAAKwQAAA4AAABkcnMvZTJvRG9jLnhtbK1TS44T&#10;MRDdI3EHy3umkzCDhlY6syCEDYKRBg5Qsau7Lfkn20knp0FixyE4DuIalN1NyAwssqAX7rJdfn7v&#10;VXl5dzCa7TFE5WzD51czztAKJ5XtGv750+bFLWcxgZWgncWGHzHyu9XzZ8vB17hwvdMSAyMQG+vB&#10;N7xPyddVFUWPBuKV82hps3XBQKJp6CoZYCB0o6vFbPaqGlyQPjiBMdLqetzkE2K4BNC1rRK4dmJn&#10;0KYRNaCGRJJir3zkq8K2bVGkj20bMTHdcFKaykiXULzNY7VaQt0F8L0SEwW4hMITTQaUpUtPUGtI&#10;wHZB/QVllAguujZdCWeqUUhxhFTMZ0+8eejBY9FCVkd/Mj3+P1jxYX8fmJINv+bMgqGC//zy7cf3&#10;r+w6ezP4WFPKg78P0yxSmIUe2mDynySwQ/HzePITD4kJWpwvXt4ubjgTtDXFhFL9OexDTO/QGZaD&#10;hgcqV3ER9u9jGlN/p+S7otNKbpTWZRK67Rsd2B6otJvyZcaE/ihNWzY0/PVN4QHUry31CVEynjRH&#10;25X7Hp2I58Cz8v0LOBNbQ+xHAgUhp0FtVMLsFtQ9gnxrJUtHT75aek48kzEoOdNIry9HJTOB0pdk&#10;kjptMzSW3p5cylUa65KjrZNHqunOB9X15Oq8sM871EPFoKnfc5Oezyk+f+O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SmIfWAAAABwEAAA8AAAAAAAAAAQAgAAAAIgAAAGRycy9kb3ducmV2Lnht&#10;bFBLAQIUABQAAAAIAIdO4kDbZLLw+wEAACsEAAAOAAAAAAAAAAEAIAAAACUBAABkcnMvZTJvRG9j&#10;LnhtbFBLBQYAAAAABgAGAFkBAACSBQAAAAA=&#10;">
                  <v:path/>
                  <v:fill focussize="0,0"/>
                  <v:stroke/>
                  <v:imagedata o:title=""/>
                  <o:lock v:ext="edit"/>
                </v:rect>
              </w:pict>
            </w:r>
            <w:r>
              <w:rPr>
                <w:rFonts w:hint="eastAsia" w:ascii="宋体" w:hAnsi="宋体" w:eastAsia="宋体" w:cs="宋体"/>
                <w:bCs/>
                <w:color w:val="auto"/>
                <w:sz w:val="24"/>
                <w:szCs w:val="24"/>
                <w:lang w:val="zh-CN"/>
              </w:rPr>
              <w:t>接  受，应满足下列要求：</w:t>
            </w:r>
          </w:p>
        </w:tc>
      </w:tr>
      <w:tr w14:paraId="1259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6" w:type="dxa"/>
            <w:noWrap/>
            <w:vAlign w:val="center"/>
          </w:tcPr>
          <w:p w14:paraId="6B6FCE8A">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14</w:t>
            </w:r>
          </w:p>
        </w:tc>
        <w:tc>
          <w:tcPr>
            <w:tcW w:w="2560" w:type="dxa"/>
            <w:noWrap/>
            <w:vAlign w:val="center"/>
          </w:tcPr>
          <w:p w14:paraId="76E87FDD">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踏勘现场</w:t>
            </w:r>
          </w:p>
        </w:tc>
        <w:tc>
          <w:tcPr>
            <w:tcW w:w="6009" w:type="dxa"/>
            <w:tcBorders>
              <w:top w:val="single" w:color="auto" w:sz="4" w:space="0"/>
            </w:tcBorders>
            <w:noWrap/>
            <w:vAlign w:val="center"/>
          </w:tcPr>
          <w:p w14:paraId="2D9B3EA2">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自行踏勘</w:t>
            </w:r>
          </w:p>
        </w:tc>
      </w:tr>
      <w:tr w14:paraId="4213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16" w:type="dxa"/>
            <w:noWrap/>
            <w:vAlign w:val="center"/>
          </w:tcPr>
          <w:p w14:paraId="3FCE519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15</w:t>
            </w:r>
          </w:p>
        </w:tc>
        <w:tc>
          <w:tcPr>
            <w:tcW w:w="2560" w:type="dxa"/>
            <w:noWrap/>
            <w:vAlign w:val="center"/>
          </w:tcPr>
          <w:p w14:paraId="6B1C378A">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答疑会</w:t>
            </w:r>
          </w:p>
        </w:tc>
        <w:tc>
          <w:tcPr>
            <w:tcW w:w="6009" w:type="dxa"/>
            <w:noWrap/>
            <w:vAlign w:val="center"/>
          </w:tcPr>
          <w:p w14:paraId="4C014066">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olor w:val="auto"/>
                <w:sz w:val="24"/>
                <w:szCs w:val="24"/>
                <w:bdr w:val="single" w:color="auto" w:sz="4" w:space="0"/>
              </w:rPr>
              <w:t>√</w:t>
            </w:r>
            <w:r>
              <w:rPr>
                <w:rFonts w:hint="eastAsia" w:ascii="宋体" w:hAnsi="宋体" w:eastAsia="宋体" w:cs="宋体"/>
                <w:bCs/>
                <w:color w:val="auto"/>
                <w:sz w:val="24"/>
                <w:szCs w:val="24"/>
                <w:lang w:val="zh-CN"/>
              </w:rPr>
              <w:t>不召开</w:t>
            </w:r>
          </w:p>
          <w:p w14:paraId="729C77C1">
            <w:pPr>
              <w:autoSpaceDE w:val="0"/>
              <w:autoSpaceDN w:val="0"/>
              <w:spacing w:line="400" w:lineRule="exact"/>
              <w:ind w:firstLine="240" w:firstLineChars="100"/>
              <w:jc w:val="left"/>
              <w:rPr>
                <w:rFonts w:ascii="宋体" w:hAnsi="宋体" w:eastAsia="宋体" w:cs="宋体"/>
                <w:bCs/>
                <w:color w:val="auto"/>
                <w:sz w:val="24"/>
                <w:szCs w:val="24"/>
                <w:lang w:val="zh-CN"/>
              </w:rPr>
            </w:pPr>
            <w:r>
              <w:rPr>
                <w:rFonts w:ascii="宋体" w:hAnsi="宋体" w:eastAsia="宋体" w:cs="宋体"/>
                <w:bCs/>
                <w:color w:val="auto"/>
                <w:sz w:val="24"/>
                <w:szCs w:val="24"/>
                <w:lang w:val="zh-CN"/>
              </w:rPr>
              <w:pict>
                <v:rect id="_x0000_s2053" o:spid="_x0000_s2053" o:spt="1" style="position:absolute;left:0pt;margin-left:-0.4pt;margin-top:7.35pt;height:9.75pt;width:9.75pt;z-index:-251646976;mso-width-relative:page;mso-height-relative:page;" coordsize="21600,21600" o:gfxdata="UEsDBAoAAAAAAIdO4kAAAAAAAAAAAAAAAAAEAAAAZHJzL1BLAwQUAAAACACHTuJAS765EdQAAAAG&#10;AQAADwAAAGRycy9kb3ducmV2LnhtbE2OwU7DMBBE70j8g7VI3KjdtIKSxukBVCSObXrhtom3SSBe&#10;R7HTBr4e5wSn1eyMZl62m2wnLjT41rGG5UKBIK6cabnWcCr2DxsQPiAb7ByThm/ysMtvbzJMjbvy&#10;gS7HUItYwj5FDU0IfSqlrxqy6BeuJ47e2Q0WQ5RDLc2A11huO5ko9SgtthwXGuzppaHq6zhaDWWb&#10;nPDnULwp+7xfhfep+Bw/XrW+v1uqLYhAU/gLw4wf0SGPTKUb2XjRaZjBQ3yvn0DM9ibeUsNqnYDM&#10;M/kfP/8FUEsDBBQAAAAIAIdO4kBY3zq0+wEAACsEAAAOAAAAZHJzL2Uyb0RvYy54bWytU82O0zAQ&#10;viPxDpbvNGmrRUvUdA+UckGw0rIP4DqTxJL/5HGb9mmQuPEQPA7iNRg7oXQXDj2QgzO2x5+/75vx&#10;6u5oNDtAQOVszeezkjOw0jXKdjV//Lx9dcsZRmEboZ2Fmp8A+d365YvV4CtYuN7pBgIjEIvV4Gve&#10;x+irokDZgxE4cx4sbbYuGBFpGrqiCWIgdKOLRVm+LgYXGh+cBERa3YybfEIM1wC6tlUSNk7uDdg4&#10;ogbQIpIk7JVHvs5s2xZk/NS2CJHpmpPSmEe6hOJdGov1SlRdEL5XcqIgrqHwTJMRytKlZ6iNiILt&#10;g/oLyigZHLo2zqQzxSgkO0Iq5uUzbx564SFrIavRn03H/wcrPx7uA1NNzZecWWGo4D+/fPvx/Stb&#10;Jm8GjxWlPPj7MM2QwiT02AaT/iSBHbOfp7OfcIxM0uJ8sbxd3HAmaWuKCaX4c9gHjO/BGZaCmgcq&#10;V3ZRHD5gHFN/p6S70GnVbJXWeRK63Vsd2EFQabf5S4wJ/Umatmyo+ZubzENQv7bUJ0TJeNKMtsv3&#10;PTmBl8Bl/v4FnIhtBPYjgYyQ0kRlVITklqh6EM0727B48uSrpefEExkDDWca6PWlKGdGofQ1maRO&#10;2wQNubcnl1KVxrqkaOeaE9V074PqenJ1ntmnHeqhbNDU76lJL+cUX77x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vrkR1AAAAAYBAAAPAAAAAAAAAAEAIAAAACIAAABkcnMvZG93bnJldi54bWxQ&#10;SwECFAAUAAAACACHTuJAWN86tPsBAAArBAAADgAAAAAAAAABACAAAAAjAQAAZHJzL2Uyb0RvYy54&#10;bWxQSwUGAAAAAAYABgBZAQAAkAUAAAAA&#10;">
                  <v:path/>
                  <v:fill focussize="0,0"/>
                  <v:stroke/>
                  <v:imagedata o:title=""/>
                  <o:lock v:ext="edit"/>
                </v:rect>
              </w:pict>
            </w:r>
            <w:r>
              <w:rPr>
                <w:rFonts w:hint="eastAsia" w:ascii="宋体" w:hAnsi="宋体" w:eastAsia="宋体" w:cs="宋体"/>
                <w:bCs/>
                <w:color w:val="auto"/>
                <w:sz w:val="24"/>
                <w:szCs w:val="24"/>
                <w:lang w:val="zh-CN"/>
              </w:rPr>
              <w:t>召  开</w:t>
            </w:r>
          </w:p>
        </w:tc>
      </w:tr>
      <w:tr w14:paraId="1206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6" w:type="dxa"/>
            <w:noWrap/>
            <w:vAlign w:val="center"/>
          </w:tcPr>
          <w:p w14:paraId="3D50BAF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16</w:t>
            </w:r>
          </w:p>
        </w:tc>
        <w:tc>
          <w:tcPr>
            <w:tcW w:w="2560" w:type="dxa"/>
            <w:noWrap/>
            <w:vAlign w:val="center"/>
          </w:tcPr>
          <w:p w14:paraId="107C3CE3">
            <w:pPr>
              <w:autoSpaceDE w:val="0"/>
              <w:autoSpaceDN w:val="0"/>
              <w:spacing w:line="400" w:lineRule="exact"/>
              <w:ind w:left="735" w:hanging="840" w:hangingChars="35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供应商提出问题的截止时间</w:t>
            </w:r>
          </w:p>
        </w:tc>
        <w:tc>
          <w:tcPr>
            <w:tcW w:w="6009" w:type="dxa"/>
            <w:noWrap/>
            <w:vAlign w:val="center"/>
          </w:tcPr>
          <w:p w14:paraId="223AFF41">
            <w:pPr>
              <w:autoSpaceDE w:val="0"/>
              <w:autoSpaceDN w:val="0"/>
              <w:spacing w:line="400" w:lineRule="exact"/>
              <w:jc w:val="left"/>
              <w:rPr>
                <w:rFonts w:ascii="宋体" w:hAnsi="宋体" w:eastAsia="宋体" w:cs="宋体"/>
                <w:bCs/>
                <w:color w:val="auto"/>
                <w:sz w:val="24"/>
                <w:szCs w:val="24"/>
              </w:rPr>
            </w:pPr>
            <w:r>
              <w:rPr>
                <w:rFonts w:hint="eastAsia" w:ascii="宋体" w:hAnsi="宋体" w:eastAsia="宋体" w:cs="宋体"/>
                <w:bCs/>
                <w:color w:val="auto"/>
                <w:sz w:val="24"/>
                <w:szCs w:val="24"/>
                <w:lang w:val="zh-CN"/>
              </w:rPr>
              <w:t>递交响应文件截止时间5日前</w:t>
            </w:r>
          </w:p>
        </w:tc>
      </w:tr>
      <w:tr w14:paraId="7BC0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116" w:type="dxa"/>
            <w:noWrap/>
            <w:vAlign w:val="center"/>
          </w:tcPr>
          <w:p w14:paraId="5DDBEC7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17</w:t>
            </w:r>
          </w:p>
        </w:tc>
        <w:tc>
          <w:tcPr>
            <w:tcW w:w="2560" w:type="dxa"/>
            <w:noWrap/>
            <w:vAlign w:val="center"/>
          </w:tcPr>
          <w:p w14:paraId="68147A2C">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采购人书面澄清的时间</w:t>
            </w:r>
          </w:p>
        </w:tc>
        <w:tc>
          <w:tcPr>
            <w:tcW w:w="6009" w:type="dxa"/>
            <w:noWrap/>
            <w:vAlign w:val="center"/>
          </w:tcPr>
          <w:p w14:paraId="65EEE8C2">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递交响应文件截止时间5日前</w:t>
            </w:r>
          </w:p>
        </w:tc>
      </w:tr>
      <w:tr w14:paraId="2120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16" w:type="dxa"/>
            <w:noWrap/>
            <w:vAlign w:val="center"/>
          </w:tcPr>
          <w:p w14:paraId="4C2FEBFC">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18</w:t>
            </w:r>
          </w:p>
        </w:tc>
        <w:tc>
          <w:tcPr>
            <w:tcW w:w="2560" w:type="dxa"/>
            <w:noWrap/>
            <w:vAlign w:val="center"/>
          </w:tcPr>
          <w:p w14:paraId="1DF13A70">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分包</w:t>
            </w:r>
          </w:p>
        </w:tc>
        <w:tc>
          <w:tcPr>
            <w:tcW w:w="6009" w:type="dxa"/>
            <w:noWrap/>
            <w:vAlign w:val="center"/>
          </w:tcPr>
          <w:p w14:paraId="6FC77141">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olor w:val="auto"/>
                <w:sz w:val="24"/>
                <w:szCs w:val="24"/>
                <w:bdr w:val="single" w:color="auto" w:sz="4" w:space="0"/>
              </w:rPr>
              <w:t>√</w:t>
            </w:r>
            <w:r>
              <w:rPr>
                <w:rFonts w:hint="eastAsia" w:ascii="宋体" w:hAnsi="宋体" w:eastAsia="宋体" w:cs="宋体"/>
                <w:bCs/>
                <w:color w:val="auto"/>
                <w:sz w:val="24"/>
                <w:szCs w:val="24"/>
                <w:lang w:val="zh-CN"/>
              </w:rPr>
              <w:t>不允许</w:t>
            </w:r>
          </w:p>
          <w:p w14:paraId="0143E540">
            <w:pPr>
              <w:autoSpaceDE w:val="0"/>
              <w:autoSpaceDN w:val="0"/>
              <w:adjustRightInd w:val="0"/>
              <w:spacing w:line="400" w:lineRule="exact"/>
              <w:ind w:firstLine="360" w:firstLineChars="150"/>
              <w:jc w:val="left"/>
              <w:rPr>
                <w:rFonts w:ascii="宋体" w:hAnsi="宋体" w:eastAsia="宋体" w:cs="宋体"/>
                <w:bCs/>
                <w:color w:val="auto"/>
                <w:sz w:val="24"/>
                <w:szCs w:val="24"/>
                <w:lang w:val="zh-CN"/>
              </w:rPr>
            </w:pPr>
            <w:r>
              <w:rPr>
                <w:rFonts w:ascii="宋体" w:hAnsi="宋体" w:eastAsia="宋体" w:cs="宋体"/>
                <w:bCs/>
                <w:color w:val="auto"/>
                <w:sz w:val="24"/>
                <w:szCs w:val="24"/>
                <w:lang w:val="zh-CN"/>
              </w:rPr>
              <w:pict>
                <v:rect id="_x0000_s2052" o:spid="_x0000_s2052" o:spt="1" style="position:absolute;left:0pt;margin-left:-1.25pt;margin-top:9pt;height:9.75pt;width:9.75pt;z-index:-251648000;mso-width-relative:page;mso-height-relative:page;"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K5WxOv7AQAAKwQAAA4AAABkcnMvZTJvRG9jLnhtbK1TzY7T&#10;MBC+I/EOlu80adCiJWq6B0q5IFhp4QFcZ5JY8p88btM+DRI3HoLHQbwGYyeU7sKhB3Jwxvb48/d9&#10;M17dHY1mBwionG34clFyBla6Vtm+4Z8/bV/ccoZR2FZoZ6HhJ0B+t37+bDX6Gio3ON1CYARisR59&#10;w4cYfV0UKAcwAhfOg6XNzgUjIk1DX7RBjIRudFGV5atidKH1wUlApNXNtMlnxHANoOs6JWHj5N6A&#10;jRNqAC0iScJBeeTrzLbrQMaPXYcQmW44KY15pEso3qWxWK9E3QfhByVnCuIaCk80GaEsXXqG2ogo&#10;2D6ov6CMksGh6+JCOlNMQrIjpGJZPvHmYRAeshayGv3ZdPx/sPLD4T4w1Ta84swKQwX/+eXbj+9f&#10;WZW8GT3WlPLg78M8QwqT0GMXTPqTBHbMfp7OfsIxMkmLy+rlbXXDmaStOSaU4s9hHzC+A2dYChoe&#10;qFzZRXF4j3FK/Z2S7kKnVbtVWudJ6HdvdGAHQaXd5i8xJvRHadqyseGvbzIPQf3aUZ8QJeNJM9o+&#10;3/foBF4Cl/n7F3AithE4TAQyQkoTtVERkluiHkC0b23L4smTr5aeE09kDLScaaDXl6KcGYXS12SS&#10;Om0TNOTenl1KVZrqkqKda09U070Pqh/I1WVmn3aoh7JBc7+nJr2cU3z5x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SmIfWAAAABwEAAA8AAAAAAAAAAQAgAAAAIgAAAGRycy9kb3ducmV2Lnht&#10;bFBLAQIUABQAAAAIAIdO4kCuVsTr+wEAACsEAAAOAAAAAAAAAAEAIAAAACUBAABkcnMvZTJvRG9j&#10;LnhtbFBLBQYAAAAABgAGAFkBAACSBQAAAAA=&#10;">
                  <v:path/>
                  <v:fill focussize="0,0"/>
                  <v:stroke/>
                  <v:imagedata o:title=""/>
                  <o:lock v:ext="edit"/>
                </v:rect>
              </w:pict>
            </w:r>
            <w:r>
              <w:rPr>
                <w:rFonts w:hint="eastAsia" w:ascii="宋体" w:hAnsi="宋体" w:eastAsia="宋体" w:cs="宋体"/>
                <w:bCs/>
                <w:color w:val="auto"/>
                <w:sz w:val="24"/>
                <w:szCs w:val="24"/>
                <w:lang w:val="zh-CN"/>
              </w:rPr>
              <w:t>允  许</w:t>
            </w:r>
          </w:p>
        </w:tc>
      </w:tr>
      <w:tr w14:paraId="426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16" w:type="dxa"/>
            <w:noWrap/>
            <w:vAlign w:val="center"/>
          </w:tcPr>
          <w:p w14:paraId="0C7946D6">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19</w:t>
            </w:r>
          </w:p>
        </w:tc>
        <w:tc>
          <w:tcPr>
            <w:tcW w:w="2560" w:type="dxa"/>
            <w:noWrap/>
            <w:vAlign w:val="center"/>
          </w:tcPr>
          <w:p w14:paraId="38ED6842">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偏离</w:t>
            </w:r>
          </w:p>
        </w:tc>
        <w:tc>
          <w:tcPr>
            <w:tcW w:w="6009" w:type="dxa"/>
            <w:noWrap/>
            <w:vAlign w:val="center"/>
          </w:tcPr>
          <w:p w14:paraId="2C82E4B3">
            <w:pPr>
              <w:autoSpaceDE w:val="0"/>
              <w:autoSpaceDN w:val="0"/>
              <w:adjustRightInd w:val="0"/>
              <w:spacing w:line="400" w:lineRule="exact"/>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允许</w:t>
            </w:r>
          </w:p>
        </w:tc>
      </w:tr>
      <w:tr w14:paraId="777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116" w:type="dxa"/>
            <w:noWrap/>
            <w:vAlign w:val="center"/>
          </w:tcPr>
          <w:p w14:paraId="6E65DFF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20</w:t>
            </w:r>
          </w:p>
        </w:tc>
        <w:tc>
          <w:tcPr>
            <w:tcW w:w="2560" w:type="dxa"/>
            <w:noWrap/>
            <w:vAlign w:val="center"/>
          </w:tcPr>
          <w:p w14:paraId="00534507">
            <w:pPr>
              <w:autoSpaceDE w:val="0"/>
              <w:autoSpaceDN w:val="0"/>
              <w:adjustRightInd w:val="0"/>
              <w:spacing w:line="400" w:lineRule="exact"/>
              <w:jc w:val="center"/>
              <w:rPr>
                <w:rFonts w:ascii="宋体" w:hAnsi="宋体" w:eastAsia="宋体" w:cs="宋体"/>
                <w:bCs/>
                <w:color w:val="auto"/>
                <w:sz w:val="24"/>
                <w:szCs w:val="24"/>
              </w:rPr>
            </w:pPr>
            <w:r>
              <w:rPr>
                <w:rFonts w:hint="eastAsia" w:ascii="宋体" w:hAnsi="宋体" w:eastAsia="宋体" w:cs="宋体"/>
                <w:bCs/>
                <w:color w:val="auto"/>
                <w:sz w:val="24"/>
                <w:szCs w:val="24"/>
                <w:lang w:val="zh-CN"/>
              </w:rPr>
              <w:t>构成磋商文件的其他材料</w:t>
            </w:r>
          </w:p>
        </w:tc>
        <w:tc>
          <w:tcPr>
            <w:tcW w:w="6009" w:type="dxa"/>
            <w:noWrap/>
            <w:vAlign w:val="center"/>
          </w:tcPr>
          <w:p w14:paraId="382614A6">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p>
        </w:tc>
      </w:tr>
      <w:tr w14:paraId="21B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116" w:type="dxa"/>
            <w:noWrap/>
            <w:vAlign w:val="center"/>
          </w:tcPr>
          <w:p w14:paraId="56400D06">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21</w:t>
            </w:r>
          </w:p>
        </w:tc>
        <w:tc>
          <w:tcPr>
            <w:tcW w:w="2560" w:type="dxa"/>
            <w:noWrap/>
            <w:vAlign w:val="center"/>
          </w:tcPr>
          <w:p w14:paraId="0575C95E">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供应商要求澄清</w:t>
            </w:r>
          </w:p>
          <w:p w14:paraId="49B807AD">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磋商文件的截止时间</w:t>
            </w:r>
          </w:p>
        </w:tc>
        <w:tc>
          <w:tcPr>
            <w:tcW w:w="6009" w:type="dxa"/>
            <w:noWrap/>
            <w:vAlign w:val="center"/>
          </w:tcPr>
          <w:p w14:paraId="3CF62C8A">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递交响应文件截止时间5日前</w:t>
            </w:r>
          </w:p>
        </w:tc>
      </w:tr>
      <w:tr w14:paraId="773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116" w:type="dxa"/>
            <w:noWrap/>
            <w:vAlign w:val="center"/>
          </w:tcPr>
          <w:p w14:paraId="7223EAD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22</w:t>
            </w:r>
          </w:p>
        </w:tc>
        <w:tc>
          <w:tcPr>
            <w:tcW w:w="2560" w:type="dxa"/>
            <w:noWrap/>
            <w:vAlign w:val="center"/>
          </w:tcPr>
          <w:p w14:paraId="6EBC185C">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递交响应文件截止时间</w:t>
            </w:r>
          </w:p>
        </w:tc>
        <w:tc>
          <w:tcPr>
            <w:tcW w:w="6009" w:type="dxa"/>
            <w:noWrap/>
            <w:vAlign w:val="center"/>
          </w:tcPr>
          <w:p w14:paraId="1C7627FF">
            <w:pPr>
              <w:autoSpaceDE w:val="0"/>
              <w:autoSpaceDN w:val="0"/>
              <w:adjustRightInd w:val="0"/>
              <w:spacing w:line="400" w:lineRule="exact"/>
              <w:rPr>
                <w:rFonts w:ascii="宋体" w:hAnsi="宋体" w:eastAsia="宋体"/>
                <w:color w:val="auto"/>
                <w:sz w:val="24"/>
                <w:szCs w:val="24"/>
              </w:rPr>
            </w:pPr>
            <w:r>
              <w:rPr>
                <w:rFonts w:hint="eastAsia" w:ascii="宋体" w:hAnsi="宋体" w:eastAsia="宋体" w:cs="宋体"/>
                <w:bCs/>
                <w:color w:val="auto"/>
                <w:kern w:val="0"/>
                <w:sz w:val="24"/>
                <w:szCs w:val="24"/>
              </w:rPr>
              <w:t>同磋商公告</w:t>
            </w:r>
          </w:p>
        </w:tc>
      </w:tr>
      <w:tr w14:paraId="5A28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1116" w:type="dxa"/>
            <w:noWrap/>
            <w:vAlign w:val="center"/>
          </w:tcPr>
          <w:p w14:paraId="313A287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23</w:t>
            </w:r>
          </w:p>
        </w:tc>
        <w:tc>
          <w:tcPr>
            <w:tcW w:w="2560" w:type="dxa"/>
            <w:noWrap/>
            <w:vAlign w:val="center"/>
          </w:tcPr>
          <w:p w14:paraId="2997FB74">
            <w:pPr>
              <w:autoSpaceDE w:val="0"/>
              <w:autoSpaceDN w:val="0"/>
              <w:adjustRightInd w:val="0"/>
              <w:spacing w:line="400" w:lineRule="exact"/>
              <w:ind w:firstLine="240" w:firstLineChars="100"/>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供应商确认收到</w:t>
            </w:r>
          </w:p>
          <w:p w14:paraId="75519177">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磋商文件澄清的时间</w:t>
            </w:r>
          </w:p>
        </w:tc>
        <w:tc>
          <w:tcPr>
            <w:tcW w:w="6009" w:type="dxa"/>
            <w:noWrap/>
            <w:vAlign w:val="center"/>
          </w:tcPr>
          <w:p w14:paraId="7AA8081A">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24小时以内</w:t>
            </w:r>
          </w:p>
        </w:tc>
      </w:tr>
      <w:tr w14:paraId="244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1116" w:type="dxa"/>
            <w:noWrap/>
            <w:vAlign w:val="center"/>
          </w:tcPr>
          <w:p w14:paraId="414BC45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24</w:t>
            </w:r>
          </w:p>
        </w:tc>
        <w:tc>
          <w:tcPr>
            <w:tcW w:w="2560" w:type="dxa"/>
            <w:noWrap/>
            <w:vAlign w:val="center"/>
          </w:tcPr>
          <w:p w14:paraId="77661766">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供应商确认收到</w:t>
            </w:r>
          </w:p>
          <w:p w14:paraId="1A10F26E">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磋商文件修改的时间</w:t>
            </w:r>
          </w:p>
        </w:tc>
        <w:tc>
          <w:tcPr>
            <w:tcW w:w="6009" w:type="dxa"/>
            <w:noWrap/>
            <w:vAlign w:val="center"/>
          </w:tcPr>
          <w:p w14:paraId="237908D7">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24小时以内</w:t>
            </w:r>
          </w:p>
        </w:tc>
      </w:tr>
      <w:tr w14:paraId="560D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116" w:type="dxa"/>
            <w:noWrap/>
            <w:vAlign w:val="center"/>
          </w:tcPr>
          <w:p w14:paraId="0F4B20C2">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25</w:t>
            </w:r>
          </w:p>
        </w:tc>
        <w:tc>
          <w:tcPr>
            <w:tcW w:w="2560" w:type="dxa"/>
            <w:noWrap/>
            <w:vAlign w:val="center"/>
          </w:tcPr>
          <w:p w14:paraId="03AC656B">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磋商有效期</w:t>
            </w:r>
          </w:p>
        </w:tc>
        <w:tc>
          <w:tcPr>
            <w:tcW w:w="6009" w:type="dxa"/>
            <w:noWrap/>
            <w:vAlign w:val="center"/>
          </w:tcPr>
          <w:p w14:paraId="60EA6BD1">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递交响应文件截止之日后</w:t>
            </w:r>
            <w:r>
              <w:rPr>
                <w:rFonts w:hint="eastAsia" w:ascii="宋体" w:hAnsi="宋体" w:eastAsia="宋体" w:cs="宋体"/>
                <w:bCs/>
                <w:color w:val="auto"/>
                <w:sz w:val="24"/>
                <w:szCs w:val="24"/>
              </w:rPr>
              <w:t>90</w:t>
            </w:r>
            <w:r>
              <w:rPr>
                <w:rFonts w:hint="eastAsia" w:ascii="宋体" w:hAnsi="宋体" w:eastAsia="宋体" w:cs="宋体"/>
                <w:bCs/>
                <w:color w:val="auto"/>
                <w:sz w:val="24"/>
                <w:szCs w:val="24"/>
                <w:lang w:val="zh-CN"/>
              </w:rPr>
              <w:t>天（日历天）</w:t>
            </w:r>
          </w:p>
        </w:tc>
      </w:tr>
      <w:tr w14:paraId="4909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116" w:type="dxa"/>
            <w:noWrap/>
            <w:vAlign w:val="center"/>
          </w:tcPr>
          <w:p w14:paraId="3019FD73">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26</w:t>
            </w:r>
          </w:p>
        </w:tc>
        <w:tc>
          <w:tcPr>
            <w:tcW w:w="2560" w:type="dxa"/>
            <w:noWrap/>
            <w:vAlign w:val="center"/>
          </w:tcPr>
          <w:p w14:paraId="514227A0">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磋商保证金</w:t>
            </w:r>
          </w:p>
        </w:tc>
        <w:tc>
          <w:tcPr>
            <w:tcW w:w="6009" w:type="dxa"/>
            <w:noWrap/>
            <w:vAlign w:val="center"/>
          </w:tcPr>
          <w:p w14:paraId="3C98E8AE">
            <w:pPr>
              <w:autoSpaceDE w:val="0"/>
              <w:autoSpaceDN w:val="0"/>
              <w:adjustRightInd w:val="0"/>
              <w:spacing w:line="22" w:lineRule="atLeast"/>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无</w:t>
            </w:r>
          </w:p>
        </w:tc>
      </w:tr>
      <w:tr w14:paraId="5CD5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7E79B9B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27</w:t>
            </w:r>
          </w:p>
        </w:tc>
        <w:tc>
          <w:tcPr>
            <w:tcW w:w="2560" w:type="dxa"/>
            <w:noWrap/>
            <w:vAlign w:val="center"/>
          </w:tcPr>
          <w:p w14:paraId="54498701">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是否允许递交备选投标方案</w:t>
            </w:r>
          </w:p>
        </w:tc>
        <w:tc>
          <w:tcPr>
            <w:tcW w:w="6009" w:type="dxa"/>
            <w:noWrap/>
            <w:vAlign w:val="center"/>
          </w:tcPr>
          <w:p w14:paraId="69AD9DB5">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olor w:val="auto"/>
                <w:sz w:val="24"/>
                <w:szCs w:val="24"/>
                <w:bdr w:val="single" w:color="auto" w:sz="4" w:space="0"/>
              </w:rPr>
              <w:t>√</w:t>
            </w:r>
            <w:r>
              <w:rPr>
                <w:rFonts w:hint="eastAsia" w:ascii="宋体" w:hAnsi="宋体" w:eastAsia="宋体" w:cs="宋体"/>
                <w:bCs/>
                <w:color w:val="auto"/>
                <w:sz w:val="24"/>
                <w:szCs w:val="24"/>
                <w:lang w:val="zh-CN"/>
              </w:rPr>
              <w:t>不允许</w:t>
            </w:r>
          </w:p>
          <w:p w14:paraId="5F79869C">
            <w:pPr>
              <w:autoSpaceDE w:val="0"/>
              <w:autoSpaceDN w:val="0"/>
              <w:adjustRightInd w:val="0"/>
              <w:spacing w:line="400" w:lineRule="exact"/>
              <w:ind w:firstLine="360" w:firstLineChars="150"/>
              <w:rPr>
                <w:rFonts w:ascii="宋体" w:hAnsi="宋体" w:eastAsia="宋体" w:cs="宋体"/>
                <w:bCs/>
                <w:color w:val="auto"/>
                <w:sz w:val="24"/>
                <w:szCs w:val="24"/>
                <w:lang w:val="zh-CN"/>
              </w:rPr>
            </w:pPr>
            <w:r>
              <w:rPr>
                <w:rFonts w:ascii="宋体" w:hAnsi="宋体" w:eastAsia="宋体" w:cs="宋体"/>
                <w:bCs/>
                <w:color w:val="auto"/>
                <w:sz w:val="24"/>
                <w:szCs w:val="24"/>
                <w:lang w:val="zh-CN"/>
              </w:rPr>
              <w:pict>
                <v:rect id="_x0000_s2051" o:spid="_x0000_s2051" o:spt="1" style="position:absolute;left:0pt;margin-left:-1.25pt;margin-top:9pt;height:9.75pt;width:9.75pt;z-index:-251645952;mso-width-relative:page;mso-height-relative:page;"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C3tTK/6AQAAKwQAAA4AAABkcnMvZTJvRG9jLnhtbK1TS44T&#10;MRDdI3EHy3umk6CgoZXOLAhhg2CkgQNU7OpuS/7JdtLJaZDYcQiOg7gGZXcTMgOLLOiFu2yXn997&#10;VV7dHY1mBwxROdvw+c2MM7TCSWW7hn/+tH1xy1lMYCVoZ7HhJ4z8bv382WrwNS5c77TEwAjExnrw&#10;De9T8nVVRdGjgXjjPFrabF0wkGgaukoGGAjd6Goxm72qBhekD05gjLS6GTf5hBiuAXRtqwRunNgb&#10;tGlEDaghkaTYKx/5urBtWxTpY9tGTEw3nJSmMtIlFO/yWK1XUHcBfK/ERAGuofBEkwFl6dIz1AYS&#10;sH1Qf0EZJYKLrk03wplqFFIcIRXz2RNvHnrwWLSQ1dGfTY//D1Z8ONwHpmTDl5xZMFTwn1++/fj+&#10;lS2zN4OPNaU8+PswzSKFWeixDSb/SQI7Fj9PZz/xmJigxfni5e2CcAVtTTGhVH8O+xDTO3SG5aDh&#10;gcpVXITD+5jG1N8p+a7otJJbpXWZhG73Rgd2ACrttnyZMaE/StOWDQ1/vSw8gPq1pT4hSsaT5mi7&#10;ct+jE/ESeFa+fwFnYhuI/UigIOQ0qI1KmN2CukeQb61k6eTJV0vPiWcyBiVnGun15ahkJlD6mkxS&#10;p22GxtLbk0u5SmNdcrRz8kQ13fugup5cnRf2eYd6qBg09Xtu0ss5xZdvf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KYh9YAAAAHAQAADwAAAAAAAAABACAAAAAiAAAAZHJzL2Rvd25yZXYueG1s&#10;UEsBAhQAFAAAAAgAh07iQC3tTK/6AQAAKwQAAA4AAAAAAAAAAQAgAAAAJQEAAGRycy9lMm9Eb2Mu&#10;eG1sUEsFBgAAAAAGAAYAWQEAAJEFAAAAAA==&#10;">
                  <v:path/>
                  <v:fill focussize="0,0"/>
                  <v:stroke/>
                  <v:imagedata o:title=""/>
                  <o:lock v:ext="edit"/>
                </v:rect>
              </w:pict>
            </w:r>
            <w:r>
              <w:rPr>
                <w:rFonts w:hint="eastAsia" w:ascii="宋体" w:hAnsi="宋体" w:eastAsia="宋体" w:cs="宋体"/>
                <w:bCs/>
                <w:color w:val="auto"/>
                <w:sz w:val="24"/>
                <w:szCs w:val="24"/>
                <w:lang w:val="zh-CN"/>
              </w:rPr>
              <w:t>允  许</w:t>
            </w:r>
          </w:p>
        </w:tc>
      </w:tr>
      <w:tr w14:paraId="591E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16" w:type="dxa"/>
            <w:noWrap/>
            <w:vAlign w:val="center"/>
          </w:tcPr>
          <w:p w14:paraId="3ED42CDB">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28</w:t>
            </w:r>
          </w:p>
        </w:tc>
        <w:tc>
          <w:tcPr>
            <w:tcW w:w="2560" w:type="dxa"/>
            <w:noWrap/>
            <w:vAlign w:val="center"/>
          </w:tcPr>
          <w:p w14:paraId="117B3DD8">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签字或盖章要求</w:t>
            </w:r>
          </w:p>
        </w:tc>
        <w:tc>
          <w:tcPr>
            <w:tcW w:w="6009" w:type="dxa"/>
            <w:noWrap/>
            <w:vAlign w:val="center"/>
          </w:tcPr>
          <w:p w14:paraId="77B234DD">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rPr>
              <w:t>上传的电子证件及资料均需按磋商文件中提供的格式及要求签字盖章上传，否则按未签章处理。</w:t>
            </w:r>
          </w:p>
        </w:tc>
      </w:tr>
      <w:tr w14:paraId="261D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6" w:type="dxa"/>
            <w:noWrap/>
            <w:vAlign w:val="center"/>
          </w:tcPr>
          <w:p w14:paraId="2BA4A13C">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29</w:t>
            </w:r>
          </w:p>
        </w:tc>
        <w:tc>
          <w:tcPr>
            <w:tcW w:w="2560" w:type="dxa"/>
            <w:noWrap/>
            <w:vAlign w:val="center"/>
          </w:tcPr>
          <w:p w14:paraId="13C0EECE">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响应文件份数</w:t>
            </w:r>
          </w:p>
        </w:tc>
        <w:tc>
          <w:tcPr>
            <w:tcW w:w="6009" w:type="dxa"/>
            <w:noWrap/>
            <w:vAlign w:val="center"/>
          </w:tcPr>
          <w:p w14:paraId="5ECCE8E7">
            <w:pPr>
              <w:autoSpaceDE w:val="0"/>
              <w:autoSpaceDN w:val="0"/>
              <w:adjustRightInd w:val="0"/>
              <w:spacing w:line="400" w:lineRule="exact"/>
              <w:rPr>
                <w:rFonts w:ascii="宋体" w:hAnsi="宋体" w:eastAsia="宋体"/>
                <w:bCs/>
                <w:color w:val="auto"/>
                <w:kern w:val="15"/>
                <w:sz w:val="24"/>
                <w:szCs w:val="24"/>
              </w:rPr>
            </w:pPr>
            <w:r>
              <w:rPr>
                <w:rFonts w:hint="eastAsia" w:ascii="宋体" w:hAnsi="宋体" w:eastAsia="宋体"/>
                <w:bCs/>
                <w:color w:val="auto"/>
                <w:kern w:val="15"/>
                <w:sz w:val="24"/>
                <w:szCs w:val="24"/>
              </w:rPr>
              <w:t>1、供应商在政采云平台（https://www.zcygov.cn/）制作的响应文件1份，并于提交响应文件截止时间前上传至政采云平台。</w:t>
            </w:r>
          </w:p>
          <w:p w14:paraId="085CDA94">
            <w:pPr>
              <w:autoSpaceDE w:val="0"/>
              <w:autoSpaceDN w:val="0"/>
              <w:adjustRightInd w:val="0"/>
              <w:spacing w:line="400" w:lineRule="exact"/>
              <w:rPr>
                <w:rFonts w:ascii="宋体" w:hAnsi="宋体" w:eastAsia="宋体" w:cs="宋体"/>
                <w:bCs/>
                <w:color w:val="auto"/>
                <w:sz w:val="24"/>
                <w:szCs w:val="24"/>
              </w:rPr>
            </w:pPr>
            <w:r>
              <w:rPr>
                <w:rFonts w:hint="eastAsia" w:ascii="宋体" w:hAnsi="宋体" w:eastAsia="宋体"/>
                <w:bCs/>
                <w:color w:val="auto"/>
                <w:kern w:val="15"/>
                <w:sz w:val="24"/>
                <w:szCs w:val="24"/>
              </w:rPr>
              <w:t>2、纸质响应文件：正本</w:t>
            </w:r>
            <w:r>
              <w:rPr>
                <w:rFonts w:hint="eastAsia" w:ascii="宋体" w:hAnsi="宋体" w:eastAsia="宋体"/>
                <w:bCs/>
                <w:color w:val="auto"/>
                <w:kern w:val="15"/>
                <w:sz w:val="24"/>
                <w:szCs w:val="24"/>
                <w:u w:val="single"/>
              </w:rPr>
              <w:t>1</w:t>
            </w:r>
            <w:r>
              <w:rPr>
                <w:rFonts w:hint="eastAsia" w:ascii="宋体" w:hAnsi="宋体" w:eastAsia="宋体"/>
                <w:bCs/>
                <w:color w:val="auto"/>
                <w:kern w:val="15"/>
                <w:sz w:val="24"/>
                <w:szCs w:val="24"/>
              </w:rPr>
              <w:t>份，副本</w:t>
            </w:r>
            <w:r>
              <w:rPr>
                <w:rFonts w:hint="eastAsia" w:ascii="宋体" w:hAnsi="宋体" w:eastAsia="宋体"/>
                <w:bCs/>
                <w:color w:val="auto"/>
                <w:kern w:val="15"/>
                <w:sz w:val="24"/>
                <w:szCs w:val="24"/>
                <w:u w:val="single"/>
              </w:rPr>
              <w:t>2</w:t>
            </w:r>
            <w:r>
              <w:rPr>
                <w:rFonts w:hint="eastAsia" w:ascii="宋体" w:hAnsi="宋体" w:eastAsia="宋体"/>
                <w:bCs/>
                <w:color w:val="auto"/>
                <w:kern w:val="15"/>
                <w:sz w:val="24"/>
                <w:szCs w:val="24"/>
              </w:rPr>
              <w:t>份，电子版</w:t>
            </w:r>
            <w:r>
              <w:rPr>
                <w:rFonts w:hint="eastAsia" w:ascii="宋体" w:hAnsi="宋体" w:eastAsia="宋体"/>
                <w:bCs/>
                <w:color w:val="auto"/>
                <w:kern w:val="15"/>
                <w:sz w:val="24"/>
                <w:szCs w:val="24"/>
                <w:u w:val="single"/>
              </w:rPr>
              <w:t>2</w:t>
            </w:r>
            <w:r>
              <w:rPr>
                <w:rFonts w:hint="eastAsia" w:ascii="宋体" w:hAnsi="宋体" w:eastAsia="宋体"/>
                <w:bCs/>
                <w:color w:val="auto"/>
                <w:kern w:val="15"/>
                <w:sz w:val="24"/>
                <w:szCs w:val="24"/>
              </w:rPr>
              <w:t>份（电子版须是响应文件签字盖章后</w:t>
            </w:r>
            <w:r>
              <w:rPr>
                <w:rFonts w:hint="eastAsia" w:ascii="宋体" w:hAnsi="宋体" w:eastAsia="宋体"/>
                <w:bCs/>
                <w:color w:val="auto"/>
                <w:kern w:val="15"/>
                <w:sz w:val="24"/>
                <w:szCs w:val="24"/>
                <w:lang w:eastAsia="zh-CN"/>
              </w:rPr>
              <w:t>的</w:t>
            </w:r>
            <w:r>
              <w:rPr>
                <w:rFonts w:hint="eastAsia" w:ascii="宋体" w:hAnsi="宋体" w:eastAsia="宋体"/>
                <w:bCs/>
                <w:color w:val="auto"/>
                <w:kern w:val="15"/>
                <w:sz w:val="24"/>
                <w:szCs w:val="24"/>
              </w:rPr>
              <w:t>PDF版本后</w:t>
            </w:r>
            <w:r>
              <w:rPr>
                <w:rFonts w:hint="eastAsia" w:ascii="宋体" w:hAnsi="宋体" w:eastAsia="宋体"/>
                <w:bCs/>
                <w:color w:val="auto"/>
                <w:kern w:val="15"/>
                <w:sz w:val="24"/>
                <w:szCs w:val="24"/>
                <w:lang w:eastAsia="zh-CN"/>
              </w:rPr>
              <w:t>，</w:t>
            </w:r>
            <w:r>
              <w:rPr>
                <w:rFonts w:hint="eastAsia" w:ascii="宋体" w:hAnsi="宋体" w:eastAsia="宋体"/>
                <w:bCs/>
                <w:color w:val="auto"/>
                <w:kern w:val="15"/>
                <w:sz w:val="24"/>
                <w:szCs w:val="24"/>
              </w:rPr>
              <w:t>以U盘形式提交，响应文件命名为供应商名称+项目名称+响应文件），纸质版响应文件须于开标后一日内递交至代理机构。</w:t>
            </w:r>
          </w:p>
        </w:tc>
      </w:tr>
      <w:tr w14:paraId="3ACF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45DA59DF">
            <w:pPr>
              <w:autoSpaceDE w:val="0"/>
              <w:autoSpaceDN w:val="0"/>
              <w:adjustRightInd w:val="0"/>
              <w:spacing w:line="360" w:lineRule="auto"/>
              <w:jc w:val="center"/>
              <w:rPr>
                <w:rFonts w:ascii="宋体" w:hAnsi="宋体" w:eastAsia="宋体" w:cs="宋体"/>
                <w:bCs/>
                <w:color w:val="auto"/>
                <w:sz w:val="24"/>
                <w:szCs w:val="24"/>
              </w:rPr>
            </w:pPr>
            <w:bookmarkStart w:id="58" w:name="OLE_LINK6" w:colFirst="1" w:colLast="2"/>
            <w:r>
              <w:rPr>
                <w:rFonts w:hint="eastAsia" w:ascii="宋体" w:hAnsi="宋体" w:eastAsia="宋体" w:cs="宋体"/>
                <w:bCs/>
                <w:color w:val="auto"/>
                <w:sz w:val="24"/>
                <w:szCs w:val="24"/>
              </w:rPr>
              <w:t>30</w:t>
            </w:r>
          </w:p>
        </w:tc>
        <w:tc>
          <w:tcPr>
            <w:tcW w:w="2560" w:type="dxa"/>
            <w:noWrap/>
            <w:vAlign w:val="center"/>
          </w:tcPr>
          <w:p w14:paraId="58C3F952">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递交响应文件地点</w:t>
            </w:r>
          </w:p>
        </w:tc>
        <w:tc>
          <w:tcPr>
            <w:tcW w:w="6009" w:type="dxa"/>
            <w:noWrap/>
            <w:vAlign w:val="center"/>
          </w:tcPr>
          <w:p w14:paraId="1D0DB151">
            <w:pPr>
              <w:autoSpaceDE w:val="0"/>
              <w:autoSpaceDN w:val="0"/>
              <w:adjustRightInd w:val="0"/>
              <w:spacing w:line="400" w:lineRule="exact"/>
              <w:rPr>
                <w:rFonts w:ascii="宋体" w:hAnsi="宋体" w:eastAsia="宋体"/>
                <w:bCs/>
                <w:color w:val="auto"/>
                <w:sz w:val="24"/>
                <w:szCs w:val="24"/>
                <w:lang w:val="zh-CN"/>
              </w:rPr>
            </w:pPr>
            <w:r>
              <w:rPr>
                <w:rFonts w:hint="eastAsia" w:ascii="宋体" w:hAnsi="宋体" w:eastAsia="宋体" w:cs="宋体"/>
                <w:color w:val="auto"/>
                <w:sz w:val="24"/>
                <w:szCs w:val="24"/>
              </w:rPr>
              <w:t>同磋商公告</w:t>
            </w:r>
          </w:p>
        </w:tc>
      </w:tr>
      <w:tr w14:paraId="4660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55CAD533">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31</w:t>
            </w:r>
          </w:p>
        </w:tc>
        <w:tc>
          <w:tcPr>
            <w:tcW w:w="2560" w:type="dxa"/>
            <w:noWrap/>
            <w:vAlign w:val="center"/>
          </w:tcPr>
          <w:p w14:paraId="60DC6ABA">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是否退还响应文件</w:t>
            </w:r>
          </w:p>
        </w:tc>
        <w:tc>
          <w:tcPr>
            <w:tcW w:w="6009" w:type="dxa"/>
            <w:noWrap/>
            <w:vAlign w:val="center"/>
          </w:tcPr>
          <w:p w14:paraId="1D36B2DF">
            <w:pPr>
              <w:autoSpaceDE w:val="0"/>
              <w:autoSpaceDN w:val="0"/>
              <w:adjustRightInd w:val="0"/>
              <w:spacing w:line="400" w:lineRule="exact"/>
              <w:rPr>
                <w:rFonts w:ascii="宋体" w:hAnsi="宋体" w:eastAsia="宋体" w:cs="宋体"/>
                <w:bCs/>
                <w:color w:val="auto"/>
                <w:sz w:val="24"/>
                <w:szCs w:val="24"/>
              </w:rPr>
            </w:pPr>
            <w:r>
              <w:rPr>
                <w:rFonts w:hint="eastAsia" w:ascii="宋体" w:hAnsi="宋体" w:eastAsia="宋体"/>
                <w:bCs/>
                <w:color w:val="auto"/>
                <w:sz w:val="24"/>
                <w:szCs w:val="24"/>
                <w:lang w:val="zh-CN"/>
              </w:rPr>
              <w:t>不退还，</w:t>
            </w:r>
            <w:r>
              <w:rPr>
                <w:rFonts w:hint="eastAsia" w:ascii="宋体" w:hAnsi="宋体" w:eastAsia="宋体"/>
                <w:bCs/>
                <w:color w:val="auto"/>
                <w:sz w:val="24"/>
                <w:szCs w:val="24"/>
              </w:rPr>
              <w:t>供应商自行做好备份。</w:t>
            </w:r>
          </w:p>
        </w:tc>
      </w:tr>
      <w:bookmarkEnd w:id="58"/>
      <w:tr w14:paraId="0B4A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71779FC7">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32</w:t>
            </w:r>
          </w:p>
        </w:tc>
        <w:tc>
          <w:tcPr>
            <w:tcW w:w="2560" w:type="dxa"/>
            <w:noWrap/>
            <w:vAlign w:val="center"/>
          </w:tcPr>
          <w:p w14:paraId="0789CF27">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磋商时间和地点</w:t>
            </w:r>
          </w:p>
        </w:tc>
        <w:tc>
          <w:tcPr>
            <w:tcW w:w="6009" w:type="dxa"/>
            <w:noWrap/>
            <w:vAlign w:val="center"/>
          </w:tcPr>
          <w:p w14:paraId="174BC0A9">
            <w:pPr>
              <w:autoSpaceDE w:val="0"/>
              <w:autoSpaceDN w:val="0"/>
              <w:adjustRightInd w:val="0"/>
              <w:spacing w:line="400" w:lineRule="exact"/>
              <w:rPr>
                <w:rFonts w:ascii="宋体" w:hAnsi="宋体" w:eastAsia="宋体" w:cs="宋体"/>
                <w:bCs/>
                <w:color w:val="auto"/>
                <w:sz w:val="24"/>
                <w:szCs w:val="24"/>
              </w:rPr>
            </w:pPr>
            <w:r>
              <w:rPr>
                <w:rFonts w:hint="eastAsia" w:ascii="宋体" w:hAnsi="宋体" w:eastAsia="宋体"/>
                <w:bCs/>
                <w:color w:val="auto"/>
                <w:sz w:val="24"/>
                <w:szCs w:val="24"/>
              </w:rPr>
              <w:t>时间：</w:t>
            </w:r>
            <w:r>
              <w:rPr>
                <w:rFonts w:hint="eastAsia" w:ascii="宋体" w:hAnsi="宋体" w:eastAsia="宋体" w:cs="宋体"/>
                <w:bCs/>
                <w:color w:val="auto"/>
                <w:sz w:val="24"/>
                <w:szCs w:val="24"/>
              </w:rPr>
              <w:t>同提交响应文件截止时间</w:t>
            </w:r>
          </w:p>
          <w:p w14:paraId="56E50367">
            <w:pPr>
              <w:autoSpaceDE w:val="0"/>
              <w:autoSpaceDN w:val="0"/>
              <w:adjustRightInd w:val="0"/>
              <w:spacing w:line="400" w:lineRule="exact"/>
              <w:rPr>
                <w:rFonts w:ascii="宋体" w:hAnsi="宋体" w:eastAsia="宋体" w:cs="Times New Roman"/>
                <w:bCs/>
                <w:color w:val="auto"/>
                <w:sz w:val="24"/>
                <w:szCs w:val="24"/>
                <w:lang w:val="zh-CN"/>
              </w:rPr>
            </w:pPr>
            <w:r>
              <w:rPr>
                <w:rFonts w:hint="eastAsia" w:ascii="宋体" w:hAnsi="宋体" w:eastAsia="宋体"/>
                <w:bCs/>
                <w:color w:val="auto"/>
                <w:sz w:val="24"/>
                <w:szCs w:val="24"/>
              </w:rPr>
              <w:t>地点：</w:t>
            </w:r>
            <w:r>
              <w:rPr>
                <w:rFonts w:hint="eastAsia" w:ascii="宋体" w:hAnsi="宋体" w:eastAsia="宋体" w:cs="宋体"/>
                <w:color w:val="auto"/>
                <w:sz w:val="24"/>
                <w:szCs w:val="24"/>
              </w:rPr>
              <w:t>同提交响应文件地点</w:t>
            </w:r>
          </w:p>
        </w:tc>
      </w:tr>
      <w:tr w14:paraId="72CC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1D64B9DC">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33</w:t>
            </w:r>
          </w:p>
        </w:tc>
        <w:tc>
          <w:tcPr>
            <w:tcW w:w="2560" w:type="dxa"/>
            <w:noWrap/>
            <w:vAlign w:val="center"/>
          </w:tcPr>
          <w:p w14:paraId="148B3E93">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磋商会议程序</w:t>
            </w:r>
          </w:p>
        </w:tc>
        <w:tc>
          <w:tcPr>
            <w:tcW w:w="6009" w:type="dxa"/>
            <w:noWrap/>
            <w:vAlign w:val="center"/>
          </w:tcPr>
          <w:p w14:paraId="233462CB">
            <w:pPr>
              <w:autoSpaceDE w:val="0"/>
              <w:autoSpaceDN w:val="0"/>
              <w:adjustRightInd w:val="0"/>
              <w:spacing w:line="400" w:lineRule="exact"/>
              <w:rPr>
                <w:rFonts w:ascii="宋体" w:hAnsi="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rPr>
              <w:t>本次磋商会议采用腾讯会议形式，供应商须提前下载腾讯会议软件，并于提交响应文件截止时间前进入腾讯会议本项目工作群（本项目</w:t>
            </w:r>
            <w:r>
              <w:rPr>
                <w:rFonts w:hint="eastAsia" w:ascii="宋体" w:hAnsi="宋体" w:cs="宋体"/>
                <w:bCs/>
                <w:color w:val="auto"/>
                <w:sz w:val="24"/>
                <w:szCs w:val="24"/>
                <w:lang w:eastAsia="zh-CN"/>
              </w:rPr>
              <w:t>会议</w:t>
            </w:r>
            <w:r>
              <w:rPr>
                <w:rFonts w:hint="eastAsia" w:ascii="宋体" w:hAnsi="宋体" w:cs="宋体"/>
                <w:bCs/>
                <w:color w:val="auto"/>
                <w:sz w:val="24"/>
                <w:szCs w:val="24"/>
              </w:rPr>
              <w:t>号：</w:t>
            </w:r>
            <w:r>
              <w:rPr>
                <w:rFonts w:hint="eastAsia" w:ascii="宋体" w:hAnsi="宋体" w:cs="宋体"/>
                <w:bCs/>
                <w:color w:val="auto"/>
                <w:sz w:val="24"/>
                <w:szCs w:val="24"/>
                <w:lang w:val="en-US" w:eastAsia="zh-CN"/>
              </w:rPr>
              <w:t>283419230</w:t>
            </w:r>
            <w:r>
              <w:rPr>
                <w:rFonts w:hint="eastAsia" w:ascii="宋体" w:hAnsi="宋体" w:cs="宋体"/>
                <w:bCs/>
                <w:color w:val="auto"/>
                <w:sz w:val="24"/>
                <w:szCs w:val="24"/>
              </w:rPr>
              <w:t>）进</w:t>
            </w:r>
            <w:r>
              <w:rPr>
                <w:rFonts w:hint="eastAsia" w:ascii="宋体" w:hAnsi="宋体" w:cs="宋体"/>
                <w:bCs/>
                <w:color w:val="auto"/>
                <w:sz w:val="24"/>
                <w:szCs w:val="24"/>
                <w:lang w:eastAsia="zh-CN"/>
              </w:rPr>
              <w:t>入会议</w:t>
            </w:r>
            <w:r>
              <w:rPr>
                <w:rFonts w:hint="eastAsia" w:ascii="宋体" w:hAnsi="宋体" w:cs="宋体"/>
                <w:bCs/>
                <w:color w:val="auto"/>
                <w:sz w:val="24"/>
                <w:szCs w:val="24"/>
              </w:rPr>
              <w:t>后修改我的群昵称格式为“单位名称简称”；</w:t>
            </w:r>
          </w:p>
          <w:p w14:paraId="6B575A52">
            <w:pPr>
              <w:pStyle w:val="14"/>
              <w:rPr>
                <w:rFonts w:ascii="宋体" w:hAnsi="宋体" w:cs="宋体" w:eastAsiaTheme="minorEastAsia"/>
                <w:bCs/>
                <w:color w:val="auto"/>
                <w:sz w:val="24"/>
                <w:szCs w:val="24"/>
              </w:rPr>
            </w:pPr>
            <w:r>
              <w:rPr>
                <w:rFonts w:ascii="宋体" w:hAnsi="宋体" w:cs="宋体" w:eastAsiaTheme="minorEastAsia"/>
                <w:bCs/>
                <w:color w:val="auto"/>
                <w:sz w:val="24"/>
                <w:szCs w:val="24"/>
              </w:rPr>
              <w:t>2</w:t>
            </w:r>
            <w:r>
              <w:rPr>
                <w:rFonts w:hint="eastAsia" w:ascii="宋体" w:hAnsi="宋体" w:cs="宋体" w:eastAsiaTheme="minorEastAsia"/>
                <w:bCs/>
                <w:color w:val="auto"/>
                <w:sz w:val="24"/>
                <w:szCs w:val="24"/>
              </w:rPr>
              <w:t>、介绍与会人员、通知解密；</w:t>
            </w:r>
          </w:p>
          <w:p w14:paraId="620CC8D7">
            <w:pPr>
              <w:pStyle w:val="15"/>
              <w:rPr>
                <w:rFonts w:ascii="宋体" w:hAnsi="宋体" w:cs="宋体"/>
                <w:bCs/>
                <w:color w:val="auto"/>
                <w:sz w:val="24"/>
                <w:szCs w:val="24"/>
              </w:rPr>
            </w:pPr>
            <w:r>
              <w:rPr>
                <w:rFonts w:hint="eastAsia" w:ascii="宋体" w:hAnsi="宋体" w:cs="宋体"/>
                <w:bCs/>
                <w:color w:val="auto"/>
                <w:sz w:val="24"/>
                <w:szCs w:val="24"/>
              </w:rPr>
              <w:t>3、磋商会议环节中供应商如有异议，当场以文字形式提出，按法律程序依法依规进行处理。供应商未及时响应的视同默认磋商会议的全部内容及结果。</w:t>
            </w:r>
          </w:p>
          <w:p w14:paraId="54F84763">
            <w:pPr>
              <w:rPr>
                <w:rFonts w:hint="eastAsia"/>
                <w:color w:val="auto"/>
                <w:sz w:val="24"/>
                <w:szCs w:val="24"/>
              </w:rPr>
            </w:pPr>
            <w:r>
              <w:rPr>
                <w:rFonts w:hint="eastAsia"/>
                <w:color w:val="auto"/>
                <w:sz w:val="24"/>
                <w:szCs w:val="24"/>
              </w:rPr>
              <w:t>注：全流程电子招标项目交易平台系统支持响应文件远程解密；解密方式:响应文件递交截止时间后30分钟内完成解密工作，供应商磋商时，需携带制作响应文件时用来加密的有效数字证书登录“政采云”平台电子开标大厅按规定时间对加密的响应文件进行解密。因供应商自身原因未能按时完成解密的，视为逾期未提交响应文件，其投标无效。如无故离开远程磋商会议室，后果自负。供应商在收到采购代理机构或平台推送的通知后才可以在“政采云”平台进行二次报价。</w:t>
            </w:r>
          </w:p>
        </w:tc>
      </w:tr>
      <w:tr w14:paraId="1FE0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116" w:type="dxa"/>
            <w:noWrap/>
            <w:vAlign w:val="center"/>
          </w:tcPr>
          <w:p w14:paraId="234AC38E">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34</w:t>
            </w:r>
          </w:p>
        </w:tc>
        <w:tc>
          <w:tcPr>
            <w:tcW w:w="2560" w:type="dxa"/>
            <w:noWrap/>
            <w:vAlign w:val="center"/>
          </w:tcPr>
          <w:p w14:paraId="3F0D05CA">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磋商小组的组建</w:t>
            </w:r>
          </w:p>
        </w:tc>
        <w:tc>
          <w:tcPr>
            <w:tcW w:w="6009" w:type="dxa"/>
            <w:noWrap/>
            <w:vAlign w:val="center"/>
          </w:tcPr>
          <w:p w14:paraId="5E6FD571">
            <w:pPr>
              <w:autoSpaceDE w:val="0"/>
              <w:autoSpaceDN w:val="0"/>
              <w:adjustRightInd w:val="0"/>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磋商小组构成</w:t>
            </w:r>
            <w:r>
              <w:rPr>
                <w:rFonts w:ascii="宋体" w:hAnsi="宋体" w:eastAsia="宋体" w:cs="宋体"/>
                <w:bCs/>
                <w:color w:val="auto"/>
                <w:sz w:val="24"/>
                <w:szCs w:val="24"/>
                <w:lang w:val="zh-CN"/>
              </w:rPr>
              <w:t>：</w:t>
            </w:r>
            <w:r>
              <w:rPr>
                <w:rFonts w:hint="eastAsia" w:ascii="宋体" w:hAnsi="宋体" w:eastAsia="宋体" w:cs="宋体"/>
                <w:bCs/>
                <w:color w:val="auto"/>
                <w:sz w:val="24"/>
                <w:szCs w:val="24"/>
                <w:lang w:val="zh-CN"/>
              </w:rPr>
              <w:t>经济、技术方面</w:t>
            </w:r>
            <w:r>
              <w:rPr>
                <w:rFonts w:hint="eastAsia" w:ascii="宋体" w:hAnsi="宋体" w:eastAsia="宋体" w:cs="宋体"/>
                <w:bCs/>
                <w:color w:val="auto"/>
                <w:sz w:val="24"/>
                <w:szCs w:val="24"/>
                <w:u w:val="single"/>
                <w:lang w:val="zh-CN"/>
              </w:rPr>
              <w:t>3</w:t>
            </w:r>
            <w:r>
              <w:rPr>
                <w:rFonts w:hint="eastAsia" w:ascii="宋体" w:hAnsi="宋体" w:eastAsia="宋体" w:cs="宋体"/>
                <w:bCs/>
                <w:color w:val="auto"/>
                <w:sz w:val="24"/>
                <w:szCs w:val="24"/>
                <w:lang w:val="zh-CN"/>
              </w:rPr>
              <w:t>人；</w:t>
            </w:r>
          </w:p>
          <w:p w14:paraId="40D69C18">
            <w:pPr>
              <w:spacing w:line="400" w:lineRule="exact"/>
              <w:rPr>
                <w:rFonts w:ascii="宋体" w:hAnsi="宋体" w:eastAsia="宋体" w:cs="Times New Roman"/>
                <w:bCs/>
                <w:color w:val="auto"/>
                <w:sz w:val="24"/>
                <w:szCs w:val="24"/>
                <w:lang w:val="zh-CN"/>
              </w:rPr>
            </w:pPr>
            <w:r>
              <w:rPr>
                <w:rFonts w:hint="eastAsia" w:ascii="宋体" w:hAnsi="宋体" w:eastAsia="宋体" w:cs="宋体"/>
                <w:bCs/>
                <w:color w:val="auto"/>
                <w:sz w:val="24"/>
                <w:szCs w:val="24"/>
                <w:lang w:val="zh-CN"/>
              </w:rPr>
              <w:t>评审专家确定方式</w:t>
            </w:r>
            <w:r>
              <w:rPr>
                <w:rFonts w:ascii="宋体" w:hAnsi="宋体" w:eastAsia="宋体" w:cs="宋体"/>
                <w:bCs/>
                <w:color w:val="auto"/>
                <w:sz w:val="24"/>
                <w:szCs w:val="24"/>
                <w:lang w:val="zh-CN"/>
              </w:rPr>
              <w:t>：</w:t>
            </w:r>
            <w:r>
              <w:rPr>
                <w:rFonts w:hint="eastAsia" w:ascii="宋体" w:hAnsi="宋体" w:eastAsia="宋体"/>
                <w:bCs/>
                <w:color w:val="auto"/>
                <w:sz w:val="24"/>
                <w:szCs w:val="24"/>
              </w:rPr>
              <w:t>从依法建立的专家库中随机抽取。</w:t>
            </w:r>
          </w:p>
        </w:tc>
      </w:tr>
      <w:tr w14:paraId="606D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noWrap/>
            <w:vAlign w:val="center"/>
          </w:tcPr>
          <w:p w14:paraId="0F3CC5D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35</w:t>
            </w:r>
          </w:p>
        </w:tc>
        <w:tc>
          <w:tcPr>
            <w:tcW w:w="2560" w:type="dxa"/>
            <w:noWrap/>
            <w:vAlign w:val="center"/>
          </w:tcPr>
          <w:p w14:paraId="658D7835">
            <w:pPr>
              <w:autoSpaceDE w:val="0"/>
              <w:autoSpaceDN w:val="0"/>
              <w:adjustRightInd w:val="0"/>
              <w:spacing w:line="400" w:lineRule="exact"/>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是否授权磋商小组确定成交供应商</w:t>
            </w:r>
          </w:p>
        </w:tc>
        <w:tc>
          <w:tcPr>
            <w:tcW w:w="6009" w:type="dxa"/>
            <w:noWrap/>
            <w:vAlign w:val="center"/>
          </w:tcPr>
          <w:p w14:paraId="64FEE52D">
            <w:pPr>
              <w:spacing w:line="400" w:lineRule="exact"/>
              <w:rPr>
                <w:rFonts w:ascii="宋体" w:hAnsi="宋体" w:eastAsia="宋体" w:cs="宋体"/>
                <w:bCs/>
                <w:color w:val="auto"/>
                <w:sz w:val="24"/>
                <w:szCs w:val="24"/>
                <w:lang w:val="zh-CN"/>
              </w:rPr>
            </w:pPr>
            <w:r>
              <w:rPr>
                <w:rFonts w:hint="eastAsia" w:ascii="宋体" w:hAnsi="宋体" w:eastAsia="宋体"/>
                <w:bCs/>
                <w:color w:val="auto"/>
                <w:sz w:val="24"/>
                <w:szCs w:val="24"/>
              </w:rPr>
              <w:t>否，推荐的成交候选人人数：3名。</w:t>
            </w:r>
          </w:p>
        </w:tc>
      </w:tr>
      <w:tr w14:paraId="7534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16" w:type="dxa"/>
            <w:noWrap/>
            <w:vAlign w:val="center"/>
          </w:tcPr>
          <w:p w14:paraId="57BEB31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p>
        </w:tc>
        <w:tc>
          <w:tcPr>
            <w:tcW w:w="8569" w:type="dxa"/>
            <w:gridSpan w:val="2"/>
            <w:noWrap/>
            <w:vAlign w:val="center"/>
          </w:tcPr>
          <w:p w14:paraId="3CCDEE9C">
            <w:pPr>
              <w:spacing w:line="400" w:lineRule="exact"/>
              <w:jc w:val="center"/>
              <w:rPr>
                <w:rFonts w:ascii="宋体" w:hAnsi="宋体" w:eastAsia="宋体"/>
                <w:bCs/>
                <w:color w:val="auto"/>
                <w:sz w:val="24"/>
                <w:szCs w:val="24"/>
              </w:rPr>
            </w:pPr>
            <w:r>
              <w:rPr>
                <w:rFonts w:hint="eastAsia" w:ascii="宋体" w:hAnsi="宋体" w:eastAsia="宋体" w:cs="宋体"/>
                <w:bCs/>
                <w:color w:val="auto"/>
                <w:sz w:val="24"/>
                <w:szCs w:val="24"/>
                <w:lang w:val="zh-CN"/>
              </w:rPr>
              <w:t>需要补充的其他内容</w:t>
            </w:r>
          </w:p>
        </w:tc>
      </w:tr>
      <w:tr w14:paraId="4958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6" w:type="dxa"/>
            <w:noWrap/>
            <w:vAlign w:val="center"/>
          </w:tcPr>
          <w:p w14:paraId="6AFF6482">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r>
              <w:rPr>
                <w:rFonts w:hint="eastAsia" w:ascii="宋体" w:hAnsi="宋体" w:eastAsia="宋体" w:cs="宋体"/>
                <w:bCs/>
                <w:color w:val="auto"/>
                <w:sz w:val="24"/>
                <w:szCs w:val="24"/>
              </w:rPr>
              <w:t>.1</w:t>
            </w:r>
          </w:p>
        </w:tc>
        <w:tc>
          <w:tcPr>
            <w:tcW w:w="2560" w:type="dxa"/>
            <w:noWrap/>
            <w:vAlign w:val="center"/>
          </w:tcPr>
          <w:p w14:paraId="14753AA1">
            <w:pPr>
              <w:spacing w:line="400" w:lineRule="exact"/>
              <w:jc w:val="center"/>
              <w:rPr>
                <w:rFonts w:ascii="宋体" w:hAnsi="宋体" w:eastAsia="宋体" w:cs="宋体"/>
                <w:bCs/>
                <w:color w:val="auto"/>
                <w:sz w:val="24"/>
                <w:szCs w:val="24"/>
              </w:rPr>
            </w:pPr>
            <w:r>
              <w:rPr>
                <w:rFonts w:hint="eastAsia" w:ascii="宋体" w:hAnsi="宋体" w:eastAsia="宋体" w:cs="宋体"/>
                <w:bCs/>
                <w:color w:val="auto"/>
                <w:sz w:val="24"/>
                <w:szCs w:val="24"/>
              </w:rPr>
              <w:t>磋商报价</w:t>
            </w:r>
          </w:p>
        </w:tc>
        <w:tc>
          <w:tcPr>
            <w:tcW w:w="6009" w:type="dxa"/>
            <w:noWrap/>
            <w:vAlign w:val="center"/>
          </w:tcPr>
          <w:p w14:paraId="6BB22F50">
            <w:pPr>
              <w:spacing w:line="400" w:lineRule="exact"/>
              <w:rPr>
                <w:rFonts w:ascii="宋体" w:hAnsi="宋体" w:eastAsia="宋体"/>
                <w:color w:val="auto"/>
                <w:sz w:val="24"/>
                <w:szCs w:val="24"/>
              </w:rPr>
            </w:pPr>
            <w:r>
              <w:rPr>
                <w:rFonts w:hint="eastAsia" w:ascii="宋体" w:hAnsi="宋体" w:eastAsia="宋体" w:cs="宋体"/>
                <w:bCs/>
                <w:color w:val="auto"/>
                <w:sz w:val="24"/>
                <w:szCs w:val="24"/>
              </w:rPr>
              <w:t>不得超过最高限价</w:t>
            </w:r>
          </w:p>
        </w:tc>
      </w:tr>
      <w:tr w14:paraId="01B9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noWrap/>
            <w:vAlign w:val="center"/>
          </w:tcPr>
          <w:p w14:paraId="117584B0">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r>
              <w:rPr>
                <w:rFonts w:hint="eastAsia" w:ascii="宋体" w:hAnsi="宋体" w:eastAsia="宋体" w:cs="宋体"/>
                <w:bCs/>
                <w:color w:val="auto"/>
                <w:sz w:val="24"/>
                <w:szCs w:val="24"/>
              </w:rPr>
              <w:t>.2</w:t>
            </w:r>
          </w:p>
        </w:tc>
        <w:tc>
          <w:tcPr>
            <w:tcW w:w="2560" w:type="dxa"/>
            <w:noWrap/>
            <w:vAlign w:val="center"/>
          </w:tcPr>
          <w:p w14:paraId="33F1E556">
            <w:pPr>
              <w:spacing w:line="400" w:lineRule="exact"/>
              <w:jc w:val="center"/>
              <w:rPr>
                <w:rFonts w:ascii="宋体" w:hAnsi="宋体" w:eastAsia="宋体"/>
                <w:bCs/>
                <w:color w:val="auto"/>
                <w:kern w:val="15"/>
                <w:sz w:val="24"/>
                <w:szCs w:val="24"/>
              </w:rPr>
            </w:pPr>
            <w:r>
              <w:rPr>
                <w:rFonts w:hint="eastAsia" w:ascii="宋体" w:hAnsi="宋体" w:eastAsia="宋体"/>
                <w:bCs/>
                <w:color w:val="auto"/>
                <w:kern w:val="15"/>
                <w:sz w:val="24"/>
                <w:szCs w:val="24"/>
              </w:rPr>
              <w:t>评审办法</w:t>
            </w:r>
          </w:p>
        </w:tc>
        <w:tc>
          <w:tcPr>
            <w:tcW w:w="6009" w:type="dxa"/>
            <w:noWrap/>
            <w:vAlign w:val="center"/>
          </w:tcPr>
          <w:p w14:paraId="00DCD10A">
            <w:pPr>
              <w:spacing w:line="400" w:lineRule="exact"/>
              <w:rPr>
                <w:rFonts w:ascii="宋体" w:hAnsi="宋体" w:eastAsia="宋体"/>
                <w:bCs/>
                <w:color w:val="auto"/>
                <w:sz w:val="24"/>
                <w:szCs w:val="24"/>
              </w:rPr>
            </w:pPr>
            <w:r>
              <w:rPr>
                <w:rFonts w:hint="eastAsia" w:ascii="宋体" w:hAnsi="宋体" w:eastAsia="宋体"/>
                <w:bCs/>
                <w:color w:val="auto"/>
                <w:sz w:val="24"/>
                <w:szCs w:val="24"/>
              </w:rPr>
              <w:t>综合评分法</w:t>
            </w:r>
          </w:p>
        </w:tc>
      </w:tr>
      <w:tr w14:paraId="1B3E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16" w:type="dxa"/>
            <w:noWrap/>
            <w:vAlign w:val="center"/>
          </w:tcPr>
          <w:p w14:paraId="320D6E08">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r>
              <w:rPr>
                <w:rFonts w:hint="eastAsia" w:ascii="宋体" w:hAnsi="宋体" w:eastAsia="宋体" w:cs="宋体"/>
                <w:bCs/>
                <w:color w:val="auto"/>
                <w:sz w:val="24"/>
                <w:szCs w:val="24"/>
              </w:rPr>
              <w:t>.3</w:t>
            </w:r>
          </w:p>
        </w:tc>
        <w:tc>
          <w:tcPr>
            <w:tcW w:w="2560" w:type="dxa"/>
            <w:noWrap/>
            <w:vAlign w:val="center"/>
          </w:tcPr>
          <w:p w14:paraId="37469B09">
            <w:pPr>
              <w:spacing w:line="400" w:lineRule="exact"/>
              <w:jc w:val="center"/>
              <w:rPr>
                <w:rFonts w:ascii="宋体" w:hAnsi="宋体" w:eastAsia="宋体"/>
                <w:bCs/>
                <w:color w:val="auto"/>
                <w:kern w:val="15"/>
                <w:sz w:val="24"/>
                <w:szCs w:val="24"/>
              </w:rPr>
            </w:pPr>
            <w:r>
              <w:rPr>
                <w:rFonts w:hint="eastAsia" w:ascii="宋体" w:hAnsi="宋体" w:eastAsia="宋体"/>
                <w:bCs/>
                <w:color w:val="auto"/>
                <w:kern w:val="15"/>
                <w:sz w:val="24"/>
                <w:szCs w:val="24"/>
              </w:rPr>
              <w:t>中标服务费</w:t>
            </w:r>
          </w:p>
        </w:tc>
        <w:tc>
          <w:tcPr>
            <w:tcW w:w="6009" w:type="dxa"/>
            <w:noWrap/>
            <w:vAlign w:val="center"/>
          </w:tcPr>
          <w:p w14:paraId="23C215CC">
            <w:pPr>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执行发改价格〔2015〕299号文件，</w:t>
            </w:r>
            <w:r>
              <w:rPr>
                <w:rFonts w:hint="eastAsia" w:ascii="宋体" w:hAnsi="宋体" w:eastAsia="宋体"/>
                <w:bCs/>
                <w:color w:val="auto"/>
                <w:kern w:val="15"/>
                <w:sz w:val="24"/>
                <w:szCs w:val="24"/>
              </w:rPr>
              <w:t>向成交供应商收取</w:t>
            </w:r>
            <w:r>
              <w:rPr>
                <w:rFonts w:hint="eastAsia" w:ascii="宋体" w:hAnsi="宋体" w:eastAsia="宋体" w:cs="宋体"/>
                <w:bCs/>
                <w:color w:val="auto"/>
                <w:sz w:val="24"/>
                <w:szCs w:val="24"/>
                <w:lang w:val="zh-CN"/>
              </w:rPr>
              <w:t>。</w:t>
            </w:r>
          </w:p>
        </w:tc>
      </w:tr>
      <w:tr w14:paraId="5FBF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16" w:type="dxa"/>
            <w:noWrap/>
            <w:vAlign w:val="center"/>
          </w:tcPr>
          <w:p w14:paraId="298FD0A1">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r>
              <w:rPr>
                <w:rFonts w:hint="eastAsia" w:ascii="宋体" w:hAnsi="宋体" w:eastAsia="宋体" w:cs="宋体"/>
                <w:bCs/>
                <w:color w:val="auto"/>
                <w:sz w:val="24"/>
                <w:szCs w:val="24"/>
              </w:rPr>
              <w:t>.4</w:t>
            </w:r>
          </w:p>
        </w:tc>
        <w:tc>
          <w:tcPr>
            <w:tcW w:w="2560" w:type="dxa"/>
            <w:noWrap/>
            <w:vAlign w:val="center"/>
          </w:tcPr>
          <w:p w14:paraId="7481951B">
            <w:pPr>
              <w:spacing w:line="400" w:lineRule="exact"/>
              <w:jc w:val="center"/>
              <w:rPr>
                <w:rFonts w:ascii="宋体" w:hAnsi="宋体" w:eastAsia="宋体"/>
                <w:bCs/>
                <w:color w:val="auto"/>
                <w:kern w:val="15"/>
                <w:sz w:val="24"/>
                <w:szCs w:val="24"/>
              </w:rPr>
            </w:pPr>
            <w:r>
              <w:rPr>
                <w:rFonts w:hint="eastAsia" w:ascii="宋体" w:hAnsi="宋体" w:eastAsia="宋体"/>
                <w:bCs/>
                <w:color w:val="auto"/>
                <w:kern w:val="15"/>
                <w:sz w:val="24"/>
                <w:szCs w:val="24"/>
              </w:rPr>
              <w:t>履约保证金</w:t>
            </w:r>
          </w:p>
        </w:tc>
        <w:tc>
          <w:tcPr>
            <w:tcW w:w="6009" w:type="dxa"/>
            <w:noWrap/>
            <w:vAlign w:val="center"/>
          </w:tcPr>
          <w:p w14:paraId="440DE295">
            <w:pPr>
              <w:tabs>
                <w:tab w:val="left" w:pos="372"/>
              </w:tabs>
              <w:spacing w:line="400" w:lineRule="exac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签订合同时约定</w:t>
            </w:r>
          </w:p>
        </w:tc>
      </w:tr>
      <w:tr w14:paraId="7F6B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16" w:type="dxa"/>
            <w:noWrap/>
            <w:vAlign w:val="center"/>
          </w:tcPr>
          <w:p w14:paraId="34DFC259">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3</w:t>
            </w:r>
            <w:r>
              <w:rPr>
                <w:rFonts w:ascii="宋体" w:hAnsi="宋体" w:eastAsia="宋体" w:cs="宋体"/>
                <w:bCs/>
                <w:color w:val="auto"/>
                <w:sz w:val="24"/>
                <w:szCs w:val="24"/>
              </w:rPr>
              <w:t>6</w:t>
            </w:r>
            <w:r>
              <w:rPr>
                <w:rFonts w:hint="eastAsia" w:ascii="宋体" w:hAnsi="宋体" w:eastAsia="宋体" w:cs="宋体"/>
                <w:bCs/>
                <w:color w:val="auto"/>
                <w:sz w:val="24"/>
                <w:szCs w:val="24"/>
              </w:rPr>
              <w:t>.5</w:t>
            </w:r>
          </w:p>
        </w:tc>
        <w:tc>
          <w:tcPr>
            <w:tcW w:w="2560" w:type="dxa"/>
            <w:noWrap/>
            <w:vAlign w:val="center"/>
          </w:tcPr>
          <w:p w14:paraId="412B77DF">
            <w:pPr>
              <w:spacing w:line="400" w:lineRule="exact"/>
              <w:jc w:val="center"/>
              <w:rPr>
                <w:rFonts w:ascii="宋体" w:hAnsi="宋体" w:eastAsia="宋体"/>
                <w:bCs/>
                <w:color w:val="auto"/>
                <w:kern w:val="15"/>
                <w:sz w:val="24"/>
                <w:szCs w:val="24"/>
              </w:rPr>
            </w:pPr>
            <w:r>
              <w:rPr>
                <w:rFonts w:hint="eastAsia" w:ascii="宋体" w:hAnsi="宋体" w:eastAsia="宋体"/>
                <w:bCs/>
                <w:color w:val="auto"/>
                <w:kern w:val="15"/>
                <w:sz w:val="24"/>
                <w:szCs w:val="24"/>
              </w:rPr>
              <w:t>所属行业</w:t>
            </w:r>
          </w:p>
        </w:tc>
        <w:tc>
          <w:tcPr>
            <w:tcW w:w="6009" w:type="dxa"/>
            <w:noWrap/>
            <w:vAlign w:val="center"/>
          </w:tcPr>
          <w:p w14:paraId="5AC2C739">
            <w:pPr>
              <w:spacing w:line="40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本项目采购标的对应的中小企业划分标准所属行业为工业。</w:t>
            </w:r>
          </w:p>
        </w:tc>
      </w:tr>
      <w:tr w14:paraId="4980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16" w:type="dxa"/>
            <w:noWrap/>
            <w:vAlign w:val="center"/>
          </w:tcPr>
          <w:p w14:paraId="2829BDEC">
            <w:pPr>
              <w:autoSpaceDE w:val="0"/>
              <w:autoSpaceDN w:val="0"/>
              <w:adjustRightInd w:val="0"/>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36.6</w:t>
            </w:r>
          </w:p>
        </w:tc>
        <w:tc>
          <w:tcPr>
            <w:tcW w:w="2560" w:type="dxa"/>
            <w:noWrap/>
            <w:vAlign w:val="center"/>
          </w:tcPr>
          <w:p w14:paraId="4A272675">
            <w:pPr>
              <w:spacing w:line="400" w:lineRule="exact"/>
              <w:jc w:val="center"/>
              <w:rPr>
                <w:rFonts w:hint="eastAsia" w:ascii="宋体" w:hAnsi="宋体" w:eastAsia="宋体"/>
                <w:bCs/>
                <w:color w:val="auto"/>
                <w:kern w:val="15"/>
                <w:sz w:val="24"/>
                <w:szCs w:val="24"/>
              </w:rPr>
            </w:pPr>
            <w:r>
              <w:rPr>
                <w:rFonts w:hint="eastAsia" w:ascii="宋体" w:hAnsi="宋体" w:eastAsia="宋体"/>
                <w:bCs/>
                <w:color w:val="auto"/>
                <w:kern w:val="15"/>
                <w:sz w:val="24"/>
                <w:szCs w:val="24"/>
              </w:rPr>
              <w:t>恶意低价不正当竞争预防措施</w:t>
            </w:r>
          </w:p>
        </w:tc>
        <w:tc>
          <w:tcPr>
            <w:tcW w:w="6009" w:type="dxa"/>
            <w:noWrap/>
            <w:vAlign w:val="center"/>
          </w:tcPr>
          <w:p w14:paraId="2122F8E8">
            <w:pPr>
              <w:spacing w:line="400" w:lineRule="exac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在评审过程中，供应商的投标报价明显低于其他通过符合性审查供应商的报价，有可能影响产品质量或者不能诚信履约的，竞争性谈判小组应当要求其在1个小时内提供书面说明及相应证明材料，内容包括但不限于生产价格（如原材价格、设备损耗价格等），管理费用（人员工资、福利、社保等），交通费用（汽油、过路费等）、质保费用、税费等，并列明计算过程。供应商不能在规定时间内证明其报价合理性的，拒绝或者变相拒绝提供或内容不全面无法支持报价构成的，由磋商小组认定该供应商是否以恶意低价竞标。如认定该供应商以恶意低价竞标的，磋商小组应当将其作为无效处理。超过采购预算的投标报价将否决其投标。计算结果保留小数点后两位，第三位四舍五入。</w:t>
            </w:r>
          </w:p>
          <w:p w14:paraId="0C504A14">
            <w:pPr>
              <w:spacing w:line="400" w:lineRule="exac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供应商上述书面说明及相应证明材料应当签字确认或者加盖供应商公章，否则无效。书面说明及相应证明材料的签字确认，由法定代表人或授权代表完成，书面说明及相应证明材料须在规定时间内现场递交，否则无效。</w:t>
            </w:r>
          </w:p>
          <w:p w14:paraId="239968E4">
            <w:pPr>
              <w:spacing w:line="400" w:lineRule="exac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供应商提供书面说明及相应证明材料后，磋商小组应当结合采购项目需求、专业实际情况、供应商财务状况报告、同类项目成交业绩合同价款、与其他供应商比较等情况就供应商书面说明及相应证明材料进行审查评价。</w:t>
            </w:r>
          </w:p>
        </w:tc>
      </w:tr>
      <w:tr w14:paraId="4185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9685" w:type="dxa"/>
            <w:gridSpan w:val="3"/>
            <w:noWrap/>
            <w:vAlign w:val="center"/>
          </w:tcPr>
          <w:p w14:paraId="618296BC">
            <w:pPr>
              <w:spacing w:line="400" w:lineRule="exact"/>
              <w:jc w:val="center"/>
              <w:rPr>
                <w:rFonts w:ascii="宋体" w:hAnsi="宋体" w:eastAsia="宋体" w:cs="宋体"/>
                <w:bCs/>
                <w:color w:val="auto"/>
                <w:sz w:val="24"/>
                <w:szCs w:val="24"/>
              </w:rPr>
            </w:pPr>
            <w:r>
              <w:rPr>
                <w:rFonts w:hint="eastAsia" w:ascii="宋体" w:hAnsi="宋体" w:eastAsia="宋体" w:cs="宋体"/>
                <w:bCs/>
                <w:color w:val="auto"/>
                <w:sz w:val="24"/>
                <w:szCs w:val="24"/>
              </w:rPr>
              <w:t>磋商公告与磋商文件有不一致之处以磋商文件为准。</w:t>
            </w:r>
          </w:p>
        </w:tc>
      </w:tr>
    </w:tbl>
    <w:p w14:paraId="4CAAF859">
      <w:pPr>
        <w:autoSpaceDE w:val="0"/>
        <w:autoSpaceDN w:val="0"/>
        <w:adjustRightInd w:val="0"/>
        <w:snapToGrid w:val="0"/>
        <w:spacing w:line="360" w:lineRule="auto"/>
        <w:ind w:firstLine="482"/>
        <w:rPr>
          <w:rFonts w:ascii="宋体" w:hAnsi="宋体" w:eastAsia="宋体" w:cs="宋体"/>
          <w:b/>
          <w:bCs/>
          <w:color w:val="auto"/>
          <w:sz w:val="24"/>
          <w:szCs w:val="24"/>
          <w:lang w:val="zh-CN"/>
        </w:rPr>
        <w:sectPr>
          <w:pgSz w:w="11906" w:h="16838"/>
          <w:pgMar w:top="1440" w:right="1080" w:bottom="1440" w:left="1080" w:header="851" w:footer="992" w:gutter="0"/>
          <w:cols w:space="425" w:num="1"/>
          <w:docGrid w:type="lines" w:linePitch="312" w:charSpace="0"/>
        </w:sectPr>
      </w:pPr>
    </w:p>
    <w:p w14:paraId="29B37C0F">
      <w:pPr>
        <w:autoSpaceDE w:val="0"/>
        <w:autoSpaceDN w:val="0"/>
        <w:adjustRightInd w:val="0"/>
        <w:snapToGrid w:val="0"/>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供应商须知</w:t>
      </w:r>
    </w:p>
    <w:p w14:paraId="62320A3F">
      <w:pPr>
        <w:autoSpaceDE w:val="0"/>
        <w:autoSpaceDN w:val="0"/>
        <w:adjustRightInd w:val="0"/>
        <w:snapToGrid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总则</w:t>
      </w:r>
    </w:p>
    <w:p w14:paraId="2C8672E4">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1．适用法律：</w:t>
      </w:r>
      <w:r>
        <w:rPr>
          <w:rFonts w:hint="eastAsia" w:ascii="宋体" w:hAnsi="宋体" w:eastAsia="宋体" w:cs="宋体"/>
          <w:color w:val="auto"/>
          <w:sz w:val="24"/>
          <w:szCs w:val="24"/>
          <w:lang w:val="zh-CN"/>
        </w:rPr>
        <w:t>本次磋商适用法律法规为《中华人民共和国政府采购法》《中华人民共和国政府采购法实施条例》《政府采购竞争性磋商采购方式管理暂行办法》及政府采购其它相关法规。</w:t>
      </w:r>
    </w:p>
    <w:p w14:paraId="20660357">
      <w:pPr>
        <w:autoSpaceDE w:val="0"/>
        <w:autoSpaceDN w:val="0"/>
        <w:adjustRightInd w:val="0"/>
        <w:snapToGrid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2．定义：</w:t>
      </w:r>
    </w:p>
    <w:p w14:paraId="69B9E5EC">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采购人</w:t>
      </w:r>
      <w:r>
        <w:rPr>
          <w:rFonts w:hint="eastAsia" w:ascii="宋体" w:hAnsi="宋体" w:eastAsia="宋体" w:cs="宋体"/>
          <w:b/>
          <w:color w:val="auto"/>
          <w:sz w:val="24"/>
          <w:szCs w:val="24"/>
        </w:rPr>
        <w:t>”</w:t>
      </w:r>
      <w:r>
        <w:rPr>
          <w:rFonts w:hint="eastAsia" w:ascii="宋体" w:hAnsi="宋体" w:eastAsia="宋体" w:cs="宋体"/>
          <w:color w:val="auto"/>
          <w:sz w:val="24"/>
          <w:szCs w:val="24"/>
          <w:lang w:val="zh-CN"/>
        </w:rPr>
        <w:t>指</w:t>
      </w:r>
      <w:r>
        <w:rPr>
          <w:rFonts w:hint="eastAsia" w:ascii="宋体" w:hAnsi="宋体" w:eastAsia="宋体" w:cs="宋体"/>
          <w:color w:val="auto"/>
          <w:sz w:val="24"/>
          <w:szCs w:val="24"/>
          <w:u w:val="single"/>
          <w:lang w:eastAsia="zh-CN"/>
        </w:rPr>
        <w:t>长春市综合实验中学</w:t>
      </w:r>
      <w:r>
        <w:rPr>
          <w:rFonts w:hint="eastAsia" w:ascii="宋体" w:hAnsi="宋体" w:eastAsia="宋体" w:cs="宋体"/>
          <w:color w:val="auto"/>
          <w:sz w:val="24"/>
          <w:szCs w:val="24"/>
          <w:lang w:val="zh-CN"/>
        </w:rPr>
        <w:t>，负责采购项目的整体规划、采购需求设计和可行性论证，作为合同的需方，承担质疑答复，合同履行、验收、评价等义务。</w:t>
      </w:r>
    </w:p>
    <w:p w14:paraId="2ED7D951">
      <w:pPr>
        <w:tabs>
          <w:tab w:val="left" w:pos="709"/>
        </w:tabs>
        <w:autoSpaceDE w:val="0"/>
        <w:autoSpaceDN w:val="0"/>
        <w:adjustRightInd w:val="0"/>
        <w:snapToGrid w:val="0"/>
        <w:spacing w:line="360" w:lineRule="auto"/>
        <w:ind w:firstLine="470"/>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2.</w:t>
      </w:r>
      <w:r>
        <w:rPr>
          <w:rFonts w:hint="eastAsia" w:ascii="宋体" w:hAnsi="宋体" w:eastAsia="宋体" w:cs="宋体"/>
          <w:b/>
          <w:color w:val="auto"/>
          <w:kern w:val="0"/>
          <w:sz w:val="24"/>
          <w:szCs w:val="24"/>
        </w:rPr>
        <w:t>2“</w:t>
      </w:r>
      <w:r>
        <w:rPr>
          <w:rFonts w:hint="eastAsia" w:ascii="宋体" w:hAnsi="宋体" w:eastAsia="宋体" w:cs="宋体"/>
          <w:b/>
          <w:color w:val="auto"/>
          <w:kern w:val="0"/>
          <w:sz w:val="24"/>
          <w:szCs w:val="24"/>
          <w:lang w:val="zh-CN"/>
        </w:rPr>
        <w:t>磋商内容</w:t>
      </w:r>
      <w:r>
        <w:rPr>
          <w:rFonts w:hint="eastAsia" w:ascii="宋体" w:hAnsi="宋体" w:eastAsia="宋体" w:cs="宋体"/>
          <w:b/>
          <w:color w:val="auto"/>
          <w:kern w:val="0"/>
          <w:sz w:val="24"/>
          <w:szCs w:val="24"/>
        </w:rPr>
        <w:t>”</w:t>
      </w:r>
      <w:r>
        <w:rPr>
          <w:rFonts w:hint="eastAsia" w:ascii="宋体" w:hAnsi="宋体" w:eastAsia="宋体" w:cs="宋体"/>
          <w:color w:val="auto"/>
          <w:kern w:val="0"/>
          <w:sz w:val="24"/>
          <w:szCs w:val="24"/>
          <w:lang w:val="zh-CN"/>
        </w:rPr>
        <w:t xml:space="preserve">详见磋商文件（需求部分）第五章 </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需求。</w:t>
      </w:r>
    </w:p>
    <w:p w14:paraId="5EEB7D64">
      <w:pPr>
        <w:tabs>
          <w:tab w:val="left" w:pos="709"/>
        </w:tabs>
        <w:autoSpaceDE w:val="0"/>
        <w:autoSpaceDN w:val="0"/>
        <w:adjustRightInd w:val="0"/>
        <w:snapToGrid w:val="0"/>
        <w:spacing w:line="360" w:lineRule="auto"/>
        <w:ind w:firstLine="470"/>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2.</w:t>
      </w:r>
      <w:r>
        <w:rPr>
          <w:rFonts w:hint="eastAsia" w:ascii="宋体" w:hAnsi="宋体" w:eastAsia="宋体" w:cs="宋体"/>
          <w:b/>
          <w:color w:val="auto"/>
          <w:kern w:val="0"/>
          <w:sz w:val="24"/>
          <w:szCs w:val="24"/>
        </w:rPr>
        <w:t>3“</w:t>
      </w:r>
      <w:r>
        <w:rPr>
          <w:rFonts w:hint="eastAsia" w:ascii="宋体" w:hAnsi="宋体" w:eastAsia="宋体" w:cs="宋体"/>
          <w:b/>
          <w:color w:val="auto"/>
          <w:kern w:val="0"/>
          <w:sz w:val="24"/>
          <w:szCs w:val="24"/>
          <w:lang w:val="zh-CN"/>
        </w:rPr>
        <w:t>潜在供应商</w:t>
      </w:r>
      <w:r>
        <w:rPr>
          <w:rFonts w:hint="eastAsia" w:ascii="宋体" w:hAnsi="宋体" w:eastAsia="宋体" w:cs="宋体"/>
          <w:b/>
          <w:color w:val="auto"/>
          <w:kern w:val="0"/>
          <w:sz w:val="24"/>
          <w:szCs w:val="24"/>
        </w:rPr>
        <w:t>”</w:t>
      </w:r>
      <w:r>
        <w:rPr>
          <w:rFonts w:hint="eastAsia" w:ascii="宋体" w:hAnsi="宋体" w:eastAsia="宋体" w:cs="宋体"/>
          <w:color w:val="auto"/>
          <w:kern w:val="0"/>
          <w:sz w:val="24"/>
          <w:szCs w:val="24"/>
          <w:lang w:val="zh-CN"/>
        </w:rPr>
        <w:t>指下载磋商文件的供应商。</w:t>
      </w:r>
    </w:p>
    <w:p w14:paraId="24DEC631">
      <w:pPr>
        <w:tabs>
          <w:tab w:val="left" w:pos="709"/>
        </w:tabs>
        <w:autoSpaceDE w:val="0"/>
        <w:autoSpaceDN w:val="0"/>
        <w:adjustRightInd w:val="0"/>
        <w:snapToGrid w:val="0"/>
        <w:spacing w:line="360" w:lineRule="auto"/>
        <w:ind w:firstLine="470"/>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2.</w:t>
      </w:r>
      <w:r>
        <w:rPr>
          <w:rFonts w:hint="eastAsia" w:ascii="宋体" w:hAnsi="宋体" w:eastAsia="宋体" w:cs="宋体"/>
          <w:b/>
          <w:color w:val="auto"/>
          <w:kern w:val="0"/>
          <w:sz w:val="24"/>
          <w:szCs w:val="24"/>
        </w:rPr>
        <w:t>4“供应商”</w:t>
      </w:r>
      <w:r>
        <w:rPr>
          <w:rFonts w:hint="eastAsia" w:ascii="宋体" w:hAnsi="宋体" w:eastAsia="宋体" w:cs="宋体"/>
          <w:color w:val="auto"/>
          <w:kern w:val="0"/>
          <w:sz w:val="24"/>
          <w:szCs w:val="24"/>
          <w:lang w:val="zh-CN"/>
        </w:rPr>
        <w:t>指响应本磋商文件参加报价的供应商。</w:t>
      </w:r>
    </w:p>
    <w:p w14:paraId="425763E7">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3．报价费用：</w:t>
      </w:r>
      <w:r>
        <w:rPr>
          <w:rFonts w:hint="eastAsia" w:ascii="宋体" w:hAnsi="宋体" w:eastAsia="宋体" w:cs="宋体"/>
          <w:color w:val="auto"/>
          <w:kern w:val="0"/>
          <w:sz w:val="24"/>
          <w:szCs w:val="24"/>
          <w:lang w:val="zh-CN"/>
        </w:rPr>
        <w:t>供应商</w:t>
      </w:r>
      <w:r>
        <w:rPr>
          <w:rFonts w:hint="eastAsia" w:ascii="宋体" w:hAnsi="宋体" w:eastAsia="宋体" w:cs="宋体"/>
          <w:color w:val="auto"/>
          <w:sz w:val="24"/>
          <w:szCs w:val="24"/>
          <w:lang w:val="zh-CN"/>
        </w:rPr>
        <w:t>应自行承担所有与编写和提交响应文件有关的费用，无论磋商的结果如何，采购人在任何情况下均无义务和责任承担这些费用。</w:t>
      </w:r>
    </w:p>
    <w:p w14:paraId="367DEAEC">
      <w:pPr>
        <w:autoSpaceDE w:val="0"/>
        <w:autoSpaceDN w:val="0"/>
        <w:adjustRightInd w:val="0"/>
        <w:snapToGrid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4. 磋商文件：</w:t>
      </w:r>
    </w:p>
    <w:p w14:paraId="5AD5713E">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4.1 磋商文件的构成：</w:t>
      </w:r>
    </w:p>
    <w:p w14:paraId="706A970D">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第一章 竞争性磋商公告</w:t>
      </w:r>
    </w:p>
    <w:p w14:paraId="5E6F6F27">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第二章 供应商须知</w:t>
      </w:r>
    </w:p>
    <w:p w14:paraId="6C408476">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第三章 评标标准和方法（综合评分法）</w:t>
      </w:r>
    </w:p>
    <w:p w14:paraId="05CDF987">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第四章 合同条款（参考格式）</w:t>
      </w:r>
    </w:p>
    <w:p w14:paraId="317E8731">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第五章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需求</w:t>
      </w:r>
    </w:p>
    <w:p w14:paraId="34896482">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第六章 响应文件格式</w:t>
      </w:r>
    </w:p>
    <w:p w14:paraId="43D94CA7">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第七章 附  件</w:t>
      </w:r>
    </w:p>
    <w:p w14:paraId="5313FE9E">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 xml:space="preserve">4.2 </w:t>
      </w:r>
      <w:r>
        <w:rPr>
          <w:rFonts w:hint="eastAsia" w:ascii="宋体" w:hAnsi="宋体" w:eastAsia="宋体" w:cs="宋体"/>
          <w:color w:val="auto"/>
          <w:kern w:val="0"/>
          <w:sz w:val="24"/>
          <w:szCs w:val="24"/>
          <w:lang w:val="zh-CN"/>
        </w:rPr>
        <w:t>供应商</w:t>
      </w:r>
      <w:r>
        <w:rPr>
          <w:rFonts w:hint="eastAsia" w:ascii="宋体" w:hAnsi="宋体" w:eastAsia="宋体" w:cs="宋体"/>
          <w:color w:val="auto"/>
          <w:sz w:val="24"/>
          <w:szCs w:val="24"/>
          <w:lang w:val="zh-CN"/>
        </w:rPr>
        <w:t>应认真阅读磋商文件中所有事项、格式、条款和规范等要求。如果</w:t>
      </w:r>
      <w:r>
        <w:rPr>
          <w:rFonts w:hint="eastAsia" w:ascii="宋体" w:hAnsi="宋体" w:eastAsia="宋体" w:cs="宋体"/>
          <w:color w:val="auto"/>
          <w:kern w:val="0"/>
          <w:sz w:val="24"/>
          <w:szCs w:val="24"/>
          <w:lang w:val="zh-CN"/>
        </w:rPr>
        <w:t>供应商</w:t>
      </w:r>
      <w:r>
        <w:rPr>
          <w:rFonts w:hint="eastAsia" w:ascii="宋体" w:hAnsi="宋体" w:eastAsia="宋体" w:cs="宋体"/>
          <w:color w:val="auto"/>
          <w:sz w:val="24"/>
          <w:szCs w:val="24"/>
          <w:lang w:val="zh-CN"/>
        </w:rPr>
        <w:t>没有按照磋商文件要求提交全部文件资料或响应文件没有对磋商文件在各方面都做出实质性响应，是供应商的风险。</w:t>
      </w:r>
    </w:p>
    <w:p w14:paraId="60215F38">
      <w:pPr>
        <w:autoSpaceDE w:val="0"/>
        <w:autoSpaceDN w:val="0"/>
        <w:adjustRightInd w:val="0"/>
        <w:snapToGrid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5. 磋商文件的澄清和修改</w:t>
      </w:r>
    </w:p>
    <w:p w14:paraId="7B79AEDA">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5.1 采购人可在首次提交响应文件截止之日</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日前对磋商文件进行修改、补充。不足上述时间的，且修改补充内容可能影响响应文件制作的，应当顺延提交响应文件的截止时间。</w:t>
      </w:r>
    </w:p>
    <w:p w14:paraId="3CE46CF7">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5.2 磋商文件的澄清、修改、补充文件均构成磋商文件的组成部分，对所有供应商具有约束力，而无论其是否已经实际收到该澄清、修改、补充文件（包括答疑会纪要）。</w:t>
      </w:r>
    </w:p>
    <w:p w14:paraId="1ED824DD">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5.3 为使供应商有充分的时间对磋商文件的澄清、修改、补充部分进行研究，采购人可在响应截止时间</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日前自行决定酌情延长响应截止时间，延长响应截止时间的公告将在发布磋商公告的媒体上发告。在这种情况下，采购人和供应商受响应截止时间制约的所有权利和义务均相应延长至新的响应截止时间。</w:t>
      </w:r>
    </w:p>
    <w:p w14:paraId="5315CBC3">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6. 磋商文件构成：</w:t>
      </w:r>
    </w:p>
    <w:p w14:paraId="24611ACD">
      <w:pPr>
        <w:tabs>
          <w:tab w:val="left" w:pos="709"/>
        </w:tabs>
        <w:autoSpaceDE w:val="0"/>
        <w:autoSpaceDN w:val="0"/>
        <w:adjustRightInd w:val="0"/>
        <w:snapToGrid w:val="0"/>
        <w:spacing w:line="360" w:lineRule="auto"/>
        <w:ind w:firstLine="480"/>
        <w:rPr>
          <w:rFonts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6.1磋商文件分为商务部分和技术部分。商务部分是供应商提交的证明其具有合格的响应资格和成交后有能力履行合同的文件。技术部分是能够证明供应商所提供货物和服务的合格性和符合磋商文件规定的文件。</w:t>
      </w:r>
    </w:p>
    <w:p w14:paraId="5F9DB2B0">
      <w:pPr>
        <w:tabs>
          <w:tab w:val="left" w:pos="709"/>
        </w:tabs>
        <w:autoSpaceDE w:val="0"/>
        <w:autoSpaceDN w:val="0"/>
        <w:adjustRightInd w:val="0"/>
        <w:snapToGrid w:val="0"/>
        <w:spacing w:line="360" w:lineRule="auto"/>
        <w:ind w:firstLine="480"/>
        <w:rPr>
          <w:rFonts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6.2 供应商应提交磋商文件要求的全部商务文件和技术文件，若有缺失、无效或者不符合磋商文件要求，导致其响应文件被拒绝，是供应商的风险。</w:t>
      </w:r>
    </w:p>
    <w:p w14:paraId="4B19CF59">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7. 响应文件的编制</w:t>
      </w:r>
    </w:p>
    <w:p w14:paraId="3C8629CC">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7.1 响应语言：响应文件以及供应商与采购人就有关报价的来往函电均使用中文。</w:t>
      </w:r>
    </w:p>
    <w:p w14:paraId="5AF69681">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7.2 计量单位：中华人民共和国法定计量单位。</w:t>
      </w:r>
    </w:p>
    <w:p w14:paraId="604F5F20">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7.3 响应文件纸质版规格须采用A4幅面，按照磋商文件规定的顺序，统一编目编码装订，响应文件要求胶订。</w:t>
      </w:r>
    </w:p>
    <w:p w14:paraId="69921FFD">
      <w:pPr>
        <w:tabs>
          <w:tab w:val="left" w:pos="709"/>
        </w:tabs>
        <w:autoSpaceDE w:val="0"/>
        <w:autoSpaceDN w:val="0"/>
        <w:adjustRightInd w:val="0"/>
        <w:snapToGrid w:val="0"/>
        <w:spacing w:line="360" w:lineRule="auto"/>
        <w:ind w:firstLine="480"/>
        <w:rPr>
          <w:rFonts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7.4 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02242DEF">
      <w:pPr>
        <w:tabs>
          <w:tab w:val="left" w:pos="709"/>
        </w:tabs>
        <w:autoSpaceDE w:val="0"/>
        <w:autoSpaceDN w:val="0"/>
        <w:adjustRightInd w:val="0"/>
        <w:snapToGrid w:val="0"/>
        <w:spacing w:line="360" w:lineRule="auto"/>
        <w:ind w:firstLine="48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7.5 采购人不接受采用传真方式提交的响应文件。</w:t>
      </w:r>
    </w:p>
    <w:p w14:paraId="1EFCB173">
      <w:pPr>
        <w:autoSpaceDE w:val="0"/>
        <w:autoSpaceDN w:val="0"/>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b/>
          <w:color w:val="auto"/>
          <w:sz w:val="24"/>
          <w:szCs w:val="24"/>
          <w:lang w:val="zh-CN"/>
        </w:rPr>
        <w:t>8. 响应报价：</w:t>
      </w:r>
      <w:r>
        <w:rPr>
          <w:rFonts w:hint="eastAsia" w:ascii="宋体" w:hAnsi="宋体" w:eastAsia="宋体" w:cs="宋体"/>
          <w:bCs/>
          <w:color w:val="auto"/>
          <w:sz w:val="24"/>
          <w:szCs w:val="24"/>
          <w:lang w:val="zh-CN"/>
        </w:rPr>
        <w:t>不得超过最高限价</w:t>
      </w:r>
    </w:p>
    <w:p w14:paraId="0702F068">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9. 磋商保证金（本项目不适用）</w:t>
      </w:r>
    </w:p>
    <w:p w14:paraId="0545FA91">
      <w:pPr>
        <w:adjustRightInd w:val="0"/>
        <w:snapToGrid w:val="0"/>
        <w:spacing w:line="360" w:lineRule="auto"/>
        <w:ind w:firstLine="602"/>
        <w:rPr>
          <w:rFonts w:ascii="宋体" w:hAnsi="宋体" w:eastAsia="宋体" w:cs="宋体"/>
          <w:color w:val="auto"/>
          <w:sz w:val="24"/>
          <w:szCs w:val="24"/>
          <w:lang w:val="zh-CN"/>
        </w:rPr>
      </w:pPr>
      <w:r>
        <w:rPr>
          <w:rFonts w:hint="eastAsia" w:ascii="宋体" w:hAnsi="宋体" w:eastAsia="宋体" w:cs="宋体"/>
          <w:color w:val="auto"/>
          <w:sz w:val="24"/>
          <w:szCs w:val="24"/>
          <w:lang w:val="zh-CN"/>
        </w:rPr>
        <w:t>9.1 磋商保证金的形式：银行出具的现金支票、保兑支票、银行汇票、银行或专业担保公司出具的保函、转账、电汇等形式提交；以现金或支票形式提交的磋商保证金须从供应商的基本账户转出。</w:t>
      </w:r>
    </w:p>
    <w:p w14:paraId="51AFA695">
      <w:pPr>
        <w:adjustRightInd w:val="0"/>
        <w:snapToGrid w:val="0"/>
        <w:spacing w:line="360" w:lineRule="auto"/>
        <w:ind w:firstLine="602"/>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磋商保证金缴纳时间：磋商保证金须在递交响应文件截止时间前完成缴纳。</w:t>
      </w:r>
    </w:p>
    <w:p w14:paraId="57FEDE47">
      <w:pPr>
        <w:adjustRightInd w:val="0"/>
        <w:snapToGrid w:val="0"/>
        <w:spacing w:line="360" w:lineRule="auto"/>
        <w:ind w:firstLine="602"/>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注：1.供应商应在汇款时认真核对收款单位、开户行名称、账号准确无误，确保保证金按时到账，否则后果自负。2.供应商应在银行进账单或电汇凭证上附加信息及用途，否则后果自负。</w:t>
      </w:r>
    </w:p>
    <w:p w14:paraId="3D6FD017">
      <w:pPr>
        <w:adjustRightInd w:val="0"/>
        <w:snapToGrid w:val="0"/>
        <w:spacing w:line="360" w:lineRule="auto"/>
        <w:ind w:firstLine="602"/>
        <w:rPr>
          <w:rFonts w:ascii="宋体" w:hAnsi="宋体" w:eastAsia="宋体" w:cs="宋体"/>
          <w:color w:val="auto"/>
          <w:sz w:val="24"/>
          <w:szCs w:val="24"/>
          <w:lang w:val="zh-CN"/>
        </w:rPr>
      </w:pPr>
      <w:r>
        <w:rPr>
          <w:rFonts w:hint="eastAsia" w:ascii="宋体" w:hAnsi="宋体" w:eastAsia="宋体" w:cs="宋体"/>
          <w:color w:val="auto"/>
          <w:sz w:val="24"/>
          <w:szCs w:val="24"/>
          <w:lang w:val="zh-CN"/>
        </w:rPr>
        <w:t>9.2 联合体响应的，可以由联合体中的一方或共同提交磋商保证金，以一方名义提交磋商保证金的，对联合体各方均具有约束力。</w:t>
      </w:r>
    </w:p>
    <w:p w14:paraId="12012A09">
      <w:pPr>
        <w:adjustRightInd w:val="0"/>
        <w:snapToGrid w:val="0"/>
        <w:spacing w:line="360" w:lineRule="auto"/>
        <w:ind w:firstLine="48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9.3 磋商保证金是响应文件的一个组成部分。在开启时，凡没有按规定提交磋商保证金的响应，将被视为非响应予以拒绝。</w:t>
      </w:r>
    </w:p>
    <w:p w14:paraId="077DB836">
      <w:pPr>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9.4 落标人的磋商保证金将在成交通知书发出后5个工作日内退还。</w:t>
      </w:r>
    </w:p>
    <w:p w14:paraId="195CFF57">
      <w:pPr>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9.5 成交供应商的磋商保证金，在成交供应商按规定签署合同，并交纳履约保证金后5个工作日内退还。</w:t>
      </w:r>
    </w:p>
    <w:p w14:paraId="09F5C7CE">
      <w:pPr>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9.6 磋商保证金将一律由项目负责人退还。</w:t>
      </w:r>
    </w:p>
    <w:p w14:paraId="3CF4C312">
      <w:pPr>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9.7 下列情况之一发生时，磋商保证金将不予退还：</w:t>
      </w:r>
    </w:p>
    <w:p w14:paraId="5EEB7D47">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（1）响应人代表和递交响应文件人不是同一人的；</w:t>
      </w:r>
    </w:p>
    <w:p w14:paraId="0BF0DB4F">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（2）供应商在磋商文件规定的报价有效期内撤回其响应文件的；</w:t>
      </w:r>
    </w:p>
    <w:p w14:paraId="6C849BB6">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（3）成交供应商未按规定提交履约保证金的；</w:t>
      </w:r>
    </w:p>
    <w:p w14:paraId="14D79257">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（4）成交供应商未按规定时间、地点与采购人签订合同的；</w:t>
      </w:r>
    </w:p>
    <w:p w14:paraId="1DCA3446">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（5）在磋商过程中，严重扰乱磋商程序的；</w:t>
      </w:r>
    </w:p>
    <w:p w14:paraId="725DFB65">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（6）除因不可抗力或磋商文件认可的情形以外，成交供应商不与采购人签订合同的；</w:t>
      </w:r>
    </w:p>
    <w:p w14:paraId="3E242E27">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（7) 供应商在响应文件中提供虚假材料的； </w:t>
      </w:r>
    </w:p>
    <w:p w14:paraId="425BF2C4">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（8）供应商与采购人、其他供应商或者采购代理机构恶意串通的；</w:t>
      </w:r>
    </w:p>
    <w:p w14:paraId="6BAB38AC">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（9）磋商文件规定不予退还磋商保证金的其他情形。</w:t>
      </w:r>
    </w:p>
    <w:p w14:paraId="08C4393F">
      <w:pPr>
        <w:autoSpaceDE w:val="0"/>
        <w:autoSpaceDN w:val="0"/>
        <w:adjustRightInd w:val="0"/>
        <w:snapToGrid w:val="0"/>
        <w:spacing w:line="360" w:lineRule="auto"/>
        <w:ind w:firstLine="482"/>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10. 响应文件有效期：</w:t>
      </w:r>
    </w:p>
    <w:p w14:paraId="3EFAAD75">
      <w:pPr>
        <w:autoSpaceDE w:val="0"/>
        <w:autoSpaceDN w:val="0"/>
        <w:adjustRightInd w:val="0"/>
        <w:snapToGrid w:val="0"/>
        <w:spacing w:line="360" w:lineRule="auto"/>
        <w:ind w:firstLine="48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响应文件有效期为自开启之时起90天。响应文件在这个规定期限内应保持有效。</w:t>
      </w:r>
    </w:p>
    <w:p w14:paraId="63E9FFB3">
      <w:pPr>
        <w:autoSpaceDE w:val="0"/>
        <w:autoSpaceDN w:val="0"/>
        <w:adjustRightInd w:val="0"/>
        <w:snapToGrid w:val="0"/>
        <w:spacing w:line="360" w:lineRule="auto"/>
        <w:ind w:firstLine="48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10.2 在特殊情况下，采购人可与供应商协商延长响应有效期。这种要求和答复都应以书面形式进行。供应商可以拒绝接受延期要求而不会被没收磋商保证金。同意延长响应有效期的供应商除按照采购人要求修改响应文件的有效期外，不能修改响应文件的其他内容。</w:t>
      </w:r>
    </w:p>
    <w:p w14:paraId="1E3FD22F">
      <w:pPr>
        <w:autoSpaceDE w:val="0"/>
        <w:autoSpaceDN w:val="0"/>
        <w:adjustRightInd w:val="0"/>
        <w:snapToGrid w:val="0"/>
        <w:spacing w:line="360" w:lineRule="auto"/>
        <w:ind w:firstLine="480"/>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11. 响应</w:t>
      </w:r>
      <w:r>
        <w:rPr>
          <w:rFonts w:hint="eastAsia" w:ascii="宋体" w:hAnsi="宋体" w:eastAsia="宋体" w:cs="宋体"/>
          <w:b/>
          <w:color w:val="auto"/>
          <w:sz w:val="24"/>
          <w:szCs w:val="24"/>
        </w:rPr>
        <w:t>文件</w:t>
      </w:r>
      <w:r>
        <w:rPr>
          <w:rFonts w:hint="eastAsia" w:ascii="宋体" w:hAnsi="宋体" w:eastAsia="宋体" w:cs="宋体"/>
          <w:b/>
          <w:color w:val="auto"/>
          <w:sz w:val="24"/>
          <w:szCs w:val="24"/>
          <w:lang w:val="zh-CN"/>
        </w:rPr>
        <w:t>的式样和签署</w:t>
      </w:r>
    </w:p>
    <w:p w14:paraId="0693E690">
      <w:pPr>
        <w:autoSpaceDE w:val="0"/>
        <w:autoSpaceDN w:val="0"/>
        <w:adjustRightInd w:val="0"/>
        <w:snapToGrid w:val="0"/>
        <w:spacing w:line="360" w:lineRule="auto"/>
        <w:ind w:firstLine="480"/>
        <w:jc w:val="left"/>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11.1 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val="zh-CN"/>
        </w:rPr>
        <w:t>须按照磋商文件要求编制并签署。磋商文件</w:t>
      </w:r>
      <w:r>
        <w:rPr>
          <w:rFonts w:hint="eastAsia" w:ascii="宋体" w:hAnsi="宋体" w:eastAsia="宋体" w:cs="宋体"/>
          <w:bCs/>
          <w:color w:val="auto"/>
          <w:sz w:val="24"/>
          <w:szCs w:val="24"/>
          <w:lang w:val="zh-CN"/>
        </w:rPr>
        <w:t>中凡要求签署和/或加盖公章的，均须由供应商的法定代表人或其授权代理人</w:t>
      </w:r>
      <w:r>
        <w:rPr>
          <w:rFonts w:hint="eastAsia" w:ascii="宋体" w:hAnsi="宋体" w:eastAsia="宋体" w:cs="宋体"/>
          <w:bCs/>
          <w:color w:val="auto"/>
          <w:sz w:val="24"/>
          <w:szCs w:val="24"/>
        </w:rPr>
        <w:t>签署</w:t>
      </w:r>
      <w:r>
        <w:rPr>
          <w:rFonts w:hint="eastAsia" w:ascii="宋体" w:hAnsi="宋体" w:eastAsia="宋体" w:cs="宋体"/>
          <w:bCs/>
          <w:color w:val="auto"/>
          <w:sz w:val="24"/>
          <w:szCs w:val="24"/>
          <w:lang w:val="zh-CN"/>
        </w:rPr>
        <w:t>和/或加盖供应商公章。响应由法定代表人签署的，须与其企业法人营业执照相符；由授权代理人签署的，须提交以书面形式出具的《法定代表人授权</w:t>
      </w:r>
      <w:r>
        <w:rPr>
          <w:rFonts w:hint="eastAsia" w:ascii="宋体" w:hAnsi="宋体" w:eastAsia="宋体" w:cs="宋体"/>
          <w:bCs/>
          <w:color w:val="auto"/>
          <w:sz w:val="24"/>
          <w:szCs w:val="24"/>
        </w:rPr>
        <w:t>委托</w:t>
      </w:r>
      <w:r>
        <w:rPr>
          <w:rFonts w:hint="eastAsia" w:ascii="宋体" w:hAnsi="宋体" w:eastAsia="宋体" w:cs="宋体"/>
          <w:bCs/>
          <w:color w:val="auto"/>
          <w:sz w:val="24"/>
          <w:szCs w:val="24"/>
          <w:lang w:val="zh-CN"/>
        </w:rPr>
        <w:t>书》（按规定的格式提交）。</w:t>
      </w:r>
    </w:p>
    <w:p w14:paraId="5EB5D4E6">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12. 响应</w:t>
      </w:r>
      <w:r>
        <w:rPr>
          <w:rFonts w:hint="eastAsia" w:ascii="宋体" w:hAnsi="宋体" w:eastAsia="宋体" w:cs="宋体"/>
          <w:b/>
          <w:color w:val="auto"/>
          <w:sz w:val="24"/>
          <w:szCs w:val="24"/>
        </w:rPr>
        <w:t>文件</w:t>
      </w:r>
      <w:r>
        <w:rPr>
          <w:rFonts w:hint="eastAsia" w:ascii="宋体" w:hAnsi="宋体" w:eastAsia="宋体" w:cs="宋体"/>
          <w:b/>
          <w:color w:val="auto"/>
          <w:sz w:val="24"/>
          <w:szCs w:val="24"/>
          <w:lang w:val="zh-CN"/>
        </w:rPr>
        <w:t>的修改和撤回</w:t>
      </w:r>
    </w:p>
    <w:p w14:paraId="498DB726">
      <w:pPr>
        <w:autoSpaceDE w:val="0"/>
        <w:autoSpaceDN w:val="0"/>
        <w:adjustRightInd w:val="0"/>
        <w:snapToGrid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12.1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584E935C">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12.2 供应商的修改或撤回通知书应按对响应文件的规定一样进行编制、上传和递交。</w:t>
      </w:r>
    </w:p>
    <w:p w14:paraId="65CE2DC8">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13. 响应</w:t>
      </w:r>
    </w:p>
    <w:p w14:paraId="03F2E5AC">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13.1 供应商应按磋商文件规定的格式和顺序编制响应文件、在磋商文件规定的响应地点和响应截止时间前上传至政府采购云平台。</w:t>
      </w:r>
    </w:p>
    <w:p w14:paraId="64F15EEB">
      <w:pPr>
        <w:autoSpaceDE w:val="0"/>
        <w:autoSpaceDN w:val="0"/>
        <w:adjustRightInd w:val="0"/>
        <w:snapToGrid w:val="0"/>
        <w:spacing w:line="360" w:lineRule="auto"/>
        <w:ind w:firstLine="480"/>
        <w:rPr>
          <w:rFonts w:ascii="宋体" w:hAnsi="宋体" w:eastAsia="宋体" w:cs="宋体"/>
          <w:color w:val="auto"/>
          <w:sz w:val="24"/>
          <w:szCs w:val="24"/>
          <w:u w:val="single"/>
          <w:lang w:val="zh-CN"/>
        </w:rPr>
      </w:pPr>
      <w:r>
        <w:rPr>
          <w:rFonts w:hint="eastAsia" w:ascii="宋体" w:hAnsi="宋体" w:eastAsia="宋体" w:cs="宋体"/>
          <w:color w:val="auto"/>
          <w:sz w:val="24"/>
          <w:szCs w:val="24"/>
          <w:lang w:val="zh-CN"/>
        </w:rPr>
        <w:t>13.2 响应文件纸质版应标明“正本”、“副本”字样，副本可以为正本的复印件。</w:t>
      </w:r>
    </w:p>
    <w:p w14:paraId="14415B2D">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13.3 采购人</w:t>
      </w:r>
      <w:r>
        <w:rPr>
          <w:rFonts w:hint="eastAsia" w:ascii="宋体" w:hAnsi="宋体" w:eastAsia="宋体" w:cs="宋体"/>
          <w:color w:val="auto"/>
          <w:sz w:val="24"/>
          <w:szCs w:val="24"/>
          <w:lang w:val="zh-CN"/>
        </w:rPr>
        <w:t>将拒绝接受并原封退回在规定的响应截止时间以后递交的响应文件。</w:t>
      </w:r>
    </w:p>
    <w:p w14:paraId="6EA6FE58">
      <w:pPr>
        <w:autoSpaceDE w:val="0"/>
        <w:autoSpaceDN w:val="0"/>
        <w:adjustRightInd w:val="0"/>
        <w:snapToGrid w:val="0"/>
        <w:spacing w:line="360" w:lineRule="auto"/>
        <w:ind w:firstLine="482"/>
        <w:rPr>
          <w:rFonts w:ascii="宋体" w:hAnsi="宋体" w:eastAsia="宋体" w:cs="宋体"/>
          <w:bCs/>
          <w:color w:val="auto"/>
          <w:sz w:val="24"/>
          <w:szCs w:val="24"/>
        </w:rPr>
      </w:pPr>
      <w:r>
        <w:rPr>
          <w:rFonts w:hint="eastAsia" w:ascii="宋体" w:hAnsi="宋体" w:eastAsia="宋体" w:cs="宋体"/>
          <w:bCs/>
          <w:color w:val="auto"/>
          <w:sz w:val="24"/>
          <w:szCs w:val="24"/>
        </w:rPr>
        <w:t>13.4 供应商应提交响应文件份数详见投标须知前附表，当正本与副本内容不一致时，以正本为准。</w:t>
      </w:r>
    </w:p>
    <w:p w14:paraId="19D694BF">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14. 磋商预备会</w:t>
      </w:r>
    </w:p>
    <w:p w14:paraId="1D3E8059">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14.1 采购人将在磋商文件规定的时间和地点公开开启。</w:t>
      </w:r>
      <w:r>
        <w:rPr>
          <w:rFonts w:hint="eastAsia" w:ascii="宋体" w:hAnsi="宋体" w:eastAsia="宋体" w:cs="宋体"/>
          <w:bCs/>
          <w:color w:val="auto"/>
          <w:sz w:val="24"/>
          <w:szCs w:val="24"/>
          <w:lang w:val="zh-CN"/>
        </w:rPr>
        <w:t>供应商法定代表人或其授权代理人应参加并签名报到以证明其出席，并携带有效身份证件以备审查。</w:t>
      </w:r>
    </w:p>
    <w:p w14:paraId="2FAC6A3E">
      <w:pPr>
        <w:autoSpaceDE w:val="0"/>
        <w:autoSpaceDN w:val="0"/>
        <w:adjustRightInd w:val="0"/>
        <w:snapToGrid w:val="0"/>
        <w:spacing w:line="360" w:lineRule="auto"/>
        <w:ind w:firstLine="480"/>
        <w:rPr>
          <w:rFonts w:ascii="宋体" w:hAnsi="宋体" w:eastAsia="宋体" w:cs="宋体"/>
          <w:color w:val="auto"/>
          <w:kern w:val="0"/>
          <w:sz w:val="24"/>
          <w:szCs w:val="24"/>
          <w:lang w:val="zh-CN"/>
        </w:rPr>
      </w:pPr>
      <w:r>
        <w:rPr>
          <w:rFonts w:hint="eastAsia" w:ascii="宋体" w:hAnsi="宋体" w:eastAsia="宋体" w:cs="宋体"/>
          <w:color w:val="auto"/>
          <w:sz w:val="24"/>
          <w:szCs w:val="24"/>
          <w:lang w:val="zh-CN"/>
        </w:rPr>
        <w:t>14.2 开标会由采购代理机构组织并主持。</w:t>
      </w:r>
    </w:p>
    <w:p w14:paraId="36F094DA">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14.3 按照供应商须知第12条的规定，提交了可接受的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撤回</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通知的响应将不予开封。撤回的响应文件将原封退回供应商。政府采购云平台系统关于撤回响应文件规定以系统操作为准。</w:t>
      </w:r>
    </w:p>
    <w:p w14:paraId="0F47E2A9">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14.4</w:t>
      </w:r>
      <w:r>
        <w:rPr>
          <w:rFonts w:hint="eastAsia" w:ascii="宋体" w:hAnsi="宋体" w:eastAsia="宋体" w:cs="宋体"/>
          <w:bCs/>
          <w:color w:val="auto"/>
          <w:sz w:val="24"/>
          <w:szCs w:val="24"/>
          <w:lang w:val="zh-CN"/>
        </w:rPr>
        <w:t>开启时有下列情形之一的为无效报价：</w:t>
      </w:r>
    </w:p>
    <w:p w14:paraId="579F4AC0">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（1）响应文件在规定的响应截止时间以后递交的；</w:t>
      </w:r>
    </w:p>
    <w:p w14:paraId="2D9E6766">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（2）未按磋商文件规定提交磋商保证金的；</w:t>
      </w:r>
    </w:p>
    <w:p w14:paraId="7B759397">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bCs/>
          <w:color w:val="auto"/>
          <w:sz w:val="24"/>
          <w:szCs w:val="24"/>
          <w:lang w:val="zh-CN"/>
        </w:rPr>
        <w:t>供应商名称与确认参加响应的供应商名称不符的；</w:t>
      </w:r>
    </w:p>
    <w:p w14:paraId="2E032C6B">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）磋商文件规定开启时属于无效响应的其他情形。</w:t>
      </w:r>
    </w:p>
    <w:p w14:paraId="75453095">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
          <w:color w:val="auto"/>
          <w:sz w:val="24"/>
          <w:szCs w:val="24"/>
          <w:lang w:val="zh-CN"/>
        </w:rPr>
        <w:t>15. 评审过程的保密性</w:t>
      </w:r>
      <w:r>
        <w:rPr>
          <w:rFonts w:hint="eastAsia" w:ascii="宋体" w:hAnsi="宋体" w:eastAsia="宋体" w:cs="宋体"/>
          <w:bCs/>
          <w:color w:val="auto"/>
          <w:sz w:val="24"/>
          <w:szCs w:val="24"/>
          <w:lang w:val="zh-CN"/>
        </w:rPr>
        <w:t>：</w:t>
      </w:r>
      <w:r>
        <w:rPr>
          <w:rFonts w:hint="eastAsia" w:ascii="宋体" w:hAnsi="宋体" w:eastAsia="宋体" w:cs="宋体"/>
          <w:color w:val="auto"/>
          <w:sz w:val="24"/>
          <w:szCs w:val="24"/>
          <w:lang w:val="zh-CN"/>
        </w:rPr>
        <w:t>开启后，直至向成交的供应商授予合同时止，除按磋商文件规定予以公开的评审结果外，凡与审查、澄清、评价和比较响应有关的资料等，均不得向供应商及与评审无关的其他人透露。</w:t>
      </w:r>
    </w:p>
    <w:p w14:paraId="76E6B986">
      <w:pPr>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16. 竞争性磋商</w:t>
      </w:r>
    </w:p>
    <w:p w14:paraId="388DE751">
      <w:pPr>
        <w:autoSpaceDE w:val="0"/>
        <w:autoSpaceDN w:val="0"/>
        <w:adjustRightInd w:val="0"/>
        <w:snapToGrid w:val="0"/>
        <w:spacing w:line="360" w:lineRule="auto"/>
        <w:ind w:firstLine="480" w:firstLineChars="200"/>
        <w:jc w:val="left"/>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16.1 磋商工作由</w:t>
      </w:r>
      <w:r>
        <w:rPr>
          <w:rFonts w:hint="eastAsia" w:ascii="宋体" w:hAnsi="宋体" w:eastAsia="宋体" w:cs="宋体"/>
          <w:color w:val="auto"/>
          <w:sz w:val="24"/>
          <w:szCs w:val="24"/>
          <w:lang w:val="zh-CN"/>
        </w:rPr>
        <w:t>采购人</w:t>
      </w:r>
      <w:r>
        <w:rPr>
          <w:rFonts w:hint="eastAsia" w:ascii="宋体" w:hAnsi="宋体" w:eastAsia="宋体" w:cs="宋体"/>
          <w:bCs/>
          <w:color w:val="auto"/>
          <w:sz w:val="24"/>
          <w:szCs w:val="24"/>
          <w:lang w:val="zh-CN"/>
        </w:rPr>
        <w:t>负责组织，具体磋商工作由</w:t>
      </w:r>
      <w:r>
        <w:rPr>
          <w:rFonts w:hint="eastAsia" w:ascii="宋体" w:hAnsi="宋体" w:eastAsia="宋体" w:cs="宋体"/>
          <w:color w:val="auto"/>
          <w:sz w:val="24"/>
          <w:szCs w:val="24"/>
          <w:lang w:val="zh-CN"/>
        </w:rPr>
        <w:t>采购人</w:t>
      </w:r>
      <w:r>
        <w:rPr>
          <w:rFonts w:hint="eastAsia" w:ascii="宋体" w:hAnsi="宋体" w:eastAsia="宋体" w:cs="宋体"/>
          <w:bCs/>
          <w:color w:val="auto"/>
          <w:sz w:val="24"/>
          <w:szCs w:val="24"/>
          <w:lang w:val="zh-CN"/>
        </w:rPr>
        <w:t>依法组建的磋商小组负责。</w:t>
      </w:r>
      <w:r>
        <w:rPr>
          <w:rFonts w:hint="eastAsia" w:ascii="宋体" w:hAnsi="宋体" w:eastAsia="宋体" w:cs="宋体"/>
          <w:color w:val="auto"/>
          <w:sz w:val="24"/>
          <w:szCs w:val="24"/>
          <w:lang w:val="zh-CN"/>
        </w:rPr>
        <w:t>磋商小组由</w:t>
      </w:r>
      <w:r>
        <w:rPr>
          <w:rFonts w:hint="eastAsia" w:ascii="宋体" w:hAnsi="宋体" w:eastAsia="宋体" w:cs="宋体"/>
          <w:color w:val="auto"/>
          <w:kern w:val="0"/>
          <w:sz w:val="24"/>
          <w:szCs w:val="24"/>
        </w:rPr>
        <w:t>评审专家</w:t>
      </w:r>
      <w:r>
        <w:rPr>
          <w:rFonts w:hint="eastAsia" w:ascii="宋体" w:hAnsi="宋体" w:eastAsia="宋体" w:cs="宋体"/>
          <w:color w:val="auto"/>
          <w:sz w:val="24"/>
          <w:szCs w:val="24"/>
          <w:lang w:val="zh-CN"/>
        </w:rPr>
        <w:t>3人以上单数组成。磋商小组的专家成员从专家库中随机抽取产生。需要设立磋商小组主任的，磋商小组主任由专家担任，由磋商小组成员选举产生，负责主持具体磋商工作。磋商小组根据有关法律法规和磋商文件规定的方法和标准独立评审，负责完成磋商的全过程直至评定成交供应商并对成交候选供应商进行排序。</w:t>
      </w:r>
    </w:p>
    <w:p w14:paraId="5D20CFD5">
      <w:pPr>
        <w:autoSpaceDE w:val="0"/>
        <w:autoSpaceDN w:val="0"/>
        <w:adjustRightInd w:val="0"/>
        <w:snapToGri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lang w:val="zh-CN"/>
        </w:rPr>
        <w:t>采购人</w:t>
      </w:r>
      <w:r>
        <w:rPr>
          <w:rFonts w:hint="eastAsia" w:ascii="宋体" w:hAnsi="宋体" w:eastAsia="宋体" w:cs="宋体"/>
          <w:color w:val="auto"/>
          <w:kern w:val="0"/>
          <w:sz w:val="24"/>
          <w:szCs w:val="24"/>
        </w:rPr>
        <w:t>应当组织评审专家认真核对磋商、响应文件及相关资信证明材料，切实履行职责。如发现评审过程中评审专家对有关政策、法律、制度规定等方面出现的误解，应当并进行正确的阐述和纠偏。</w:t>
      </w:r>
    </w:p>
    <w:p w14:paraId="6B149851">
      <w:pPr>
        <w:autoSpaceDE w:val="0"/>
        <w:autoSpaceDN w:val="0"/>
        <w:adjustRightInd w:val="0"/>
        <w:snapToGrid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磋商小组成员如发现磋商文件内容违反国家有关强制性规定的，应当停止评审并向采购人或者采购采购代理机构说明情况并提出修改意见，采购人应当按照评审专家给出的意见修改磋商文件。</w:t>
      </w:r>
    </w:p>
    <w:p w14:paraId="105B5D54">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16.2</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审查供应商是否存在串通响应行为：</w:t>
      </w:r>
      <w:r>
        <w:rPr>
          <w:rFonts w:hint="eastAsia" w:ascii="宋体" w:hAnsi="宋体" w:eastAsia="宋体" w:cs="宋体"/>
          <w:color w:val="auto"/>
          <w:sz w:val="24"/>
          <w:szCs w:val="24"/>
          <w:lang w:val="zh-CN"/>
        </w:rPr>
        <w:t>磋商小组发现供应商有下列情形之一的，将认定属于串通响应行为，相关供应商的响应应作</w:t>
      </w:r>
      <w:r>
        <w:rPr>
          <w:rFonts w:hint="eastAsia" w:ascii="宋体" w:hAnsi="宋体" w:eastAsia="宋体" w:cs="宋体"/>
          <w:color w:val="auto"/>
          <w:sz w:val="24"/>
          <w:szCs w:val="24"/>
        </w:rPr>
        <w:t>废标</w:t>
      </w:r>
      <w:r>
        <w:rPr>
          <w:rFonts w:hint="eastAsia" w:ascii="宋体" w:hAnsi="宋体" w:eastAsia="宋体" w:cs="宋体"/>
          <w:color w:val="auto"/>
          <w:sz w:val="24"/>
          <w:szCs w:val="24"/>
          <w:lang w:val="zh-CN"/>
        </w:rPr>
        <w:t>处理：</w:t>
      </w:r>
    </w:p>
    <w:p w14:paraId="79EBF3CF">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不同供应商的响应文件异常一致或者响应报价呈规律性差异</w:t>
      </w:r>
      <w:r>
        <w:rPr>
          <w:rFonts w:hint="eastAsia" w:ascii="宋体" w:hAnsi="宋体" w:eastAsia="宋体" w:cs="宋体"/>
          <w:color w:val="auto"/>
          <w:sz w:val="24"/>
          <w:szCs w:val="24"/>
          <w:lang w:val="zh-CN"/>
        </w:rPr>
        <w:t>；</w:t>
      </w:r>
    </w:p>
    <w:p w14:paraId="6F9488DE">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（2）不同供应商的</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文件相互混装的，或者相互加盖了对方公章的，或者相互出现了对方法定代表人或者授权代理人签名的，或者相互书写了对方名称的；</w:t>
      </w:r>
    </w:p>
    <w:p w14:paraId="12E1A9A7">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（3）一家供应商的</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文件中加盖了另一家供应商公章的；</w:t>
      </w:r>
    </w:p>
    <w:p w14:paraId="3B5E18FE">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不同供应商的响应文件载明的项目管理成员或者联系人员为同一人</w:t>
      </w:r>
      <w:r>
        <w:rPr>
          <w:rFonts w:hint="eastAsia" w:ascii="宋体" w:hAnsi="宋体" w:eastAsia="宋体" w:cs="宋体"/>
          <w:color w:val="auto"/>
          <w:sz w:val="24"/>
          <w:szCs w:val="24"/>
          <w:lang w:val="zh-CN"/>
        </w:rPr>
        <w:t>；</w:t>
      </w:r>
    </w:p>
    <w:p w14:paraId="15E3C8B7">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（5）不同供应商的</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文件中相关内容的段落、字句、售后服务电话、联系人姓名等非正常一致的；</w:t>
      </w:r>
    </w:p>
    <w:p w14:paraId="7067C1A7">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（6）一家供应商的</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文件中装订了标有另一家供应商名称的文件材料，或者出现了另一家法定代表人或者授予代理人签名的，其响应作废止处理；</w:t>
      </w:r>
    </w:p>
    <w:p w14:paraId="7DADF7BB">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（7）不同供应商的</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文件由同一供应商或者同一个人编制的；</w:t>
      </w:r>
    </w:p>
    <w:p w14:paraId="1DB2A4B5">
      <w:pPr>
        <w:adjustRightInd w:val="0"/>
        <w:snapToGrid w:val="0"/>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（8）不同供应商委托同一单位或者个人办理响应事宜；</w:t>
      </w:r>
    </w:p>
    <w:p w14:paraId="1D097892">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rPr>
        <w:t>（9）不同供应商的磋商保证金从同一单位或者个人的账户转出；</w:t>
      </w:r>
    </w:p>
    <w:p w14:paraId="0A546036">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（10）《关于禁止串通招标投标行为的暂行规定》（国家工商行政管理局令第82号）第三条规定的串通投标行为；</w:t>
      </w:r>
    </w:p>
    <w:p w14:paraId="3F47773A">
      <w:pPr>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（11）供应商串通响应的其他情形。</w:t>
      </w:r>
    </w:p>
    <w:p w14:paraId="6A68591E">
      <w:pPr>
        <w:autoSpaceDE w:val="0"/>
        <w:autoSpaceDN w:val="0"/>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16.3 对响应文件商务部分（供应商资格）进行审查：</w:t>
      </w:r>
      <w:r>
        <w:rPr>
          <w:rFonts w:hint="eastAsia" w:ascii="宋体" w:hAnsi="宋体" w:eastAsia="宋体" w:cs="宋体"/>
          <w:color w:val="auto"/>
          <w:sz w:val="24"/>
          <w:szCs w:val="24"/>
          <w:lang w:val="zh-CN"/>
        </w:rPr>
        <w:t>磋商小组将审查每个供应商提交的商务文件是否齐全完整，是否合法有效，是否有重大偏离和保留，是否符合磋商文件要求。</w:t>
      </w:r>
      <w:r>
        <w:rPr>
          <w:rFonts w:hint="eastAsia" w:ascii="宋体" w:hAnsi="宋体" w:eastAsia="宋体" w:cs="宋体"/>
          <w:bCs/>
          <w:color w:val="auto"/>
          <w:sz w:val="24"/>
          <w:szCs w:val="24"/>
          <w:lang w:val="zh-CN"/>
        </w:rPr>
        <w:t>商务（供应商资格）审查不符合磋商文件要求的响应文件将被拒绝。</w:t>
      </w:r>
    </w:p>
    <w:p w14:paraId="310015FE">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16.3.1 澄清：</w:t>
      </w:r>
      <w:r>
        <w:rPr>
          <w:rFonts w:hint="eastAsia" w:ascii="宋体" w:hAnsi="宋体" w:eastAsia="宋体" w:cs="宋体"/>
          <w:color w:val="auto"/>
          <w:sz w:val="24"/>
          <w:szCs w:val="24"/>
          <w:lang w:val="zh-CN"/>
        </w:rPr>
        <w:t>磋商小组对于响应文件实质性响应了磋商文件要求，但在个别地方提供了不完整的技术信息和数据，以及同类问题表述不一致或者有明显文字和计算错误等细微偏离问题，将要求供应商在规定的时限内（在评审结束前）作出必要的澄清、说明或者补正。供应商的澄清、说明或者补正应当采用书面形式，</w:t>
      </w:r>
      <w:r>
        <w:rPr>
          <w:rFonts w:hint="eastAsia" w:ascii="宋体" w:hAnsi="宋体" w:eastAsia="宋体" w:cs="宋体"/>
          <w:bCs/>
          <w:color w:val="auto"/>
          <w:sz w:val="24"/>
          <w:szCs w:val="24"/>
          <w:lang w:val="zh-CN"/>
        </w:rPr>
        <w:t>由供应商法定代表人或其授权代理人签字（须提交签字人身份证件并与响应文件签字人一致），</w:t>
      </w:r>
      <w:r>
        <w:rPr>
          <w:rFonts w:hint="eastAsia" w:ascii="宋体" w:hAnsi="宋体" w:eastAsia="宋体" w:cs="宋体"/>
          <w:color w:val="auto"/>
          <w:sz w:val="24"/>
          <w:szCs w:val="24"/>
          <w:lang w:val="zh-CN"/>
        </w:rPr>
        <w:t>并不得超出响应文件的范围或者改变响应文件的实质性内容。供应商拒不进行澄清、说明、补正的，或者不能在规定时间内作出书面澄清、说明、补正的，磋商小组将拒绝其响应。</w:t>
      </w:r>
    </w:p>
    <w:p w14:paraId="6020E9C2">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16.4 与供应商分别进行竞争性磋商：</w:t>
      </w:r>
    </w:p>
    <w:p w14:paraId="3FA16616">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 xml:space="preserve">16.4.1 </w:t>
      </w:r>
      <w:r>
        <w:rPr>
          <w:rFonts w:hint="eastAsia" w:ascii="宋体" w:hAnsi="宋体" w:eastAsia="宋体" w:cs="宋体"/>
          <w:color w:val="auto"/>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646A5CA5">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对磋商文件作出的实质性变动是磋商文件的有效组成部分，磋商小组应当及时以书面形式同时通知所有参加磋商的供应商。</w:t>
      </w:r>
    </w:p>
    <w:p w14:paraId="719F4262">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26EE9F7B">
      <w:pPr>
        <w:autoSpaceDE w:val="0"/>
        <w:autoSpaceDN w:val="0"/>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16.4.2 </w:t>
      </w:r>
      <w:r>
        <w:rPr>
          <w:rFonts w:hint="eastAsia" w:ascii="宋体" w:hAnsi="宋体" w:eastAsia="宋体" w:cs="宋体"/>
          <w:color w:val="auto"/>
          <w:sz w:val="24"/>
          <w:szCs w:val="24"/>
          <w:lang w:val="zh-CN"/>
        </w:rPr>
        <w:t>磋商文件能够详细列明采购标的的技术、服务要求的，磋商结束后，磋商小组应当要求所有实质上响应的供应商在规定时间内提交最后报价</w:t>
      </w:r>
      <w:r>
        <w:rPr>
          <w:rFonts w:hint="eastAsia" w:ascii="宋体" w:hAnsi="宋体" w:eastAsia="宋体" w:cs="宋体"/>
          <w:bCs/>
          <w:color w:val="auto"/>
          <w:sz w:val="24"/>
          <w:szCs w:val="24"/>
          <w:lang w:val="zh-CN"/>
        </w:rPr>
        <w:t>。</w:t>
      </w:r>
    </w:p>
    <w:p w14:paraId="37493C12">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107FC0A1">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16.5 重大偏离和保留是指实质上影响合同的供货范围、质量和性能，或者实质上限制了合同中采购人的权利或供应商的义务。响应文件有下列情形之一的属于重大偏离和保留，将作废止处理：</w:t>
      </w:r>
    </w:p>
    <w:p w14:paraId="1978EAE3">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（1）响应文件不完整、无效或不符合磋商文件的规定；</w:t>
      </w:r>
    </w:p>
    <w:p w14:paraId="16673396">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（2）响应文件未按磋商文件的规定</w:t>
      </w:r>
      <w:r>
        <w:rPr>
          <w:rFonts w:hint="eastAsia" w:ascii="宋体" w:hAnsi="宋体" w:eastAsia="宋体" w:cs="宋体"/>
          <w:bCs/>
          <w:color w:val="auto"/>
          <w:sz w:val="24"/>
          <w:szCs w:val="24"/>
          <w:lang w:val="zh-CN"/>
        </w:rPr>
        <w:t>有效签署和/或加盖公章</w:t>
      </w:r>
      <w:r>
        <w:rPr>
          <w:rFonts w:hint="eastAsia" w:ascii="宋体" w:hAnsi="宋体" w:eastAsia="宋体" w:cs="宋体"/>
          <w:color w:val="auto"/>
          <w:sz w:val="24"/>
          <w:szCs w:val="24"/>
          <w:lang w:val="zh-CN"/>
        </w:rPr>
        <w:t>；</w:t>
      </w:r>
    </w:p>
    <w:p w14:paraId="18DD119E">
      <w:pPr>
        <w:tabs>
          <w:tab w:val="left" w:pos="1920"/>
        </w:tabs>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（3）响应文件载明的项目完成期限超过磋商文件规定的期限；</w:t>
      </w:r>
    </w:p>
    <w:p w14:paraId="6E10A962">
      <w:pPr>
        <w:tabs>
          <w:tab w:val="left" w:pos="1920"/>
        </w:tabs>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（4）响应文件明显不符合磋商文件规定的实质性技术要求、技术标准要求；</w:t>
      </w:r>
    </w:p>
    <w:p w14:paraId="123349EE">
      <w:pPr>
        <w:tabs>
          <w:tab w:val="left" w:pos="1920"/>
        </w:tabs>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（5）响应文件载明的货物包装方式、检验方法和标准等不符合磋商文件实质性要求；</w:t>
      </w:r>
    </w:p>
    <w:p w14:paraId="4E4BA0B0">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（6）响应文件附件有采购人不能接受的条件； </w:t>
      </w:r>
    </w:p>
    <w:p w14:paraId="14232134">
      <w:pPr>
        <w:tabs>
          <w:tab w:val="left" w:pos="1920"/>
        </w:tabs>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）响应文件未按磋商文件规定格式和顺序编制或装订的；</w:t>
      </w:r>
    </w:p>
    <w:p w14:paraId="0A591C71">
      <w:pPr>
        <w:tabs>
          <w:tab w:val="left" w:pos="1920"/>
        </w:tabs>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）不符合磋商文件规定的其他实质性要求。</w:t>
      </w:r>
    </w:p>
    <w:p w14:paraId="3A7A542B">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color w:val="auto"/>
          <w:sz w:val="24"/>
          <w:szCs w:val="24"/>
          <w:lang w:val="zh-CN"/>
        </w:rPr>
        <w:t>16.6 磋商小组将允许修正响应文件中不构成重大偏离的细微偏离，但这些修正应不会对实质上响应磋商文件要求的供应商的竞争地位（相互排序）产生不公正的影响。</w:t>
      </w:r>
    </w:p>
    <w:p w14:paraId="3EDE8901">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16.7 磋商小组对响应文件的判定，只依据响应文件内容本身，不依据任何外来证明。</w:t>
      </w:r>
    </w:p>
    <w:p w14:paraId="0E11C50E">
      <w:pPr>
        <w:autoSpaceDE w:val="0"/>
        <w:autoSpaceDN w:val="0"/>
        <w:adjustRightInd w:val="0"/>
        <w:snapToGrid w:val="0"/>
        <w:spacing w:line="360" w:lineRule="auto"/>
        <w:ind w:firstLine="482"/>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16.8 已提交响应文件的供应商，在提交最后报价之前，可以根据磋商情况退出磋商</w:t>
      </w:r>
      <w:r>
        <w:rPr>
          <w:rFonts w:hint="eastAsia" w:ascii="宋体" w:hAnsi="宋体" w:eastAsia="宋体" w:cs="宋体"/>
          <w:color w:val="auto"/>
          <w:sz w:val="24"/>
          <w:szCs w:val="24"/>
          <w:lang w:val="zh-CN"/>
        </w:rPr>
        <w:t>。采购人、采购代理机构应当退还退出磋商的供应商的磋商保证金。</w:t>
      </w:r>
    </w:p>
    <w:p w14:paraId="1DC03A5F">
      <w:pPr>
        <w:autoSpaceDE w:val="0"/>
        <w:autoSpaceDN w:val="0"/>
        <w:adjustRightInd w:val="0"/>
        <w:snapToGrid w:val="0"/>
        <w:spacing w:line="360" w:lineRule="auto"/>
        <w:ind w:firstLine="482"/>
        <w:rPr>
          <w:rFonts w:ascii="宋体" w:hAnsi="宋体" w:eastAsia="宋体" w:cs="宋体"/>
          <w:color w:val="auto"/>
          <w:sz w:val="24"/>
          <w:szCs w:val="24"/>
        </w:rPr>
      </w:pPr>
      <w:r>
        <w:rPr>
          <w:rFonts w:hint="eastAsia" w:ascii="宋体" w:hAnsi="宋体" w:eastAsia="宋体" w:cs="宋体"/>
          <w:bCs/>
          <w:color w:val="auto"/>
          <w:sz w:val="24"/>
          <w:szCs w:val="24"/>
          <w:lang w:val="zh-CN"/>
        </w:rPr>
        <w:t>16.9</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经磋商确定最终采购需求和提交最后报价的供应商后，由磋商小组采用综合评分法对提交最后报价的供应商的响应文件和最后报价进行综合评分。</w:t>
      </w:r>
    </w:p>
    <w:p w14:paraId="02FF9150">
      <w:pPr>
        <w:autoSpaceDE w:val="0"/>
        <w:autoSpaceDN w:val="0"/>
        <w:adjustRightInd w:val="0"/>
        <w:snapToGrid w:val="0"/>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16.10 响应人不足3家的处理方式</w:t>
      </w:r>
    </w:p>
    <w:p w14:paraId="33ED94CD">
      <w:pPr>
        <w:tabs>
          <w:tab w:val="left" w:pos="3675"/>
        </w:tabs>
        <w:autoSpaceDE w:val="0"/>
        <w:autoSpaceDN w:val="0"/>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color w:val="auto"/>
          <w:kern w:val="0"/>
          <w:sz w:val="24"/>
          <w:szCs w:val="24"/>
        </w:rPr>
        <w:t>16.10.1 响应截止时间后参加响应的供应商不足3家的，应当重新组织磋商。</w:t>
      </w:r>
    </w:p>
    <w:p w14:paraId="7768E658">
      <w:pPr>
        <w:tabs>
          <w:tab w:val="left" w:pos="3675"/>
        </w:tabs>
        <w:autoSpaceDE w:val="0"/>
        <w:autoSpaceDN w:val="0"/>
        <w:adjustRightInd w:val="0"/>
        <w:snapToGrid w:val="0"/>
        <w:spacing w:line="360" w:lineRule="auto"/>
        <w:ind w:firstLine="482"/>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17. 政府采购进口产品的规定</w:t>
      </w:r>
    </w:p>
    <w:p w14:paraId="0EAFE2C9">
      <w:pPr>
        <w:autoSpaceDE w:val="0"/>
        <w:autoSpaceDN w:val="0"/>
        <w:adjustRightInd w:val="0"/>
        <w:snapToGrid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磋商文件中凡未明确标明采购进口产品的，均为采购本国产品，供应商必须响应本国产品，响应进口产品的为无效响应。</w:t>
      </w:r>
    </w:p>
    <w:p w14:paraId="50B26662">
      <w:pPr>
        <w:tabs>
          <w:tab w:val="left" w:pos="3120"/>
        </w:tabs>
        <w:autoSpaceDE w:val="0"/>
        <w:autoSpaceDN w:val="0"/>
        <w:adjustRightInd w:val="0"/>
        <w:snapToGrid w:val="0"/>
        <w:spacing w:line="360" w:lineRule="auto"/>
        <w:ind w:firstLine="482"/>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在中国境内生产或组装的外国品牌产品须标明该产品在中国国内制造厂商名称。否则，按进口产品对待。</w:t>
      </w:r>
    </w:p>
    <w:p w14:paraId="10D68EC3">
      <w:pPr>
        <w:adjustRightInd w:val="0"/>
        <w:snapToGrid w:val="0"/>
        <w:spacing w:line="360" w:lineRule="auto"/>
        <w:ind w:firstLine="482"/>
        <w:rPr>
          <w:rFonts w:ascii="宋体" w:hAnsi="宋体" w:eastAsia="宋体" w:cs="宋体"/>
          <w:b/>
          <w:color w:val="auto"/>
          <w:sz w:val="24"/>
          <w:szCs w:val="24"/>
        </w:rPr>
      </w:pPr>
      <w:r>
        <w:rPr>
          <w:rFonts w:hint="eastAsia" w:ascii="宋体" w:hAnsi="宋体" w:eastAsia="宋体" w:cs="宋体"/>
          <w:b/>
          <w:color w:val="auto"/>
          <w:sz w:val="24"/>
          <w:szCs w:val="24"/>
          <w:lang w:val="zh-CN"/>
        </w:rPr>
        <w:t>18.政府采购强制采购节能产品的规定</w:t>
      </w:r>
    </w:p>
    <w:p w14:paraId="5D063A16">
      <w:pPr>
        <w:adjustRightInd w:val="0"/>
        <w:snapToGrid w:val="0"/>
        <w:spacing w:line="360" w:lineRule="auto"/>
        <w:ind w:firstLine="482"/>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18.1 按照财政部、发展改革委联合最新发布执行的《节能产品政府采购品目清单》的规定，凡包含强制采购节能产品的，响应人必须提供列入《节能产品政府采购品目清单》的产品，否则响应无效</w:t>
      </w:r>
      <w:r>
        <w:rPr>
          <w:rFonts w:hint="eastAsia" w:ascii="宋体" w:hAnsi="宋体" w:eastAsia="宋体" w:cs="宋体"/>
          <w:color w:val="auto"/>
          <w:sz w:val="24"/>
          <w:szCs w:val="24"/>
          <w:lang w:val="en-US" w:eastAsia="zh-CN"/>
        </w:rPr>
        <w:t>。</w:t>
      </w:r>
    </w:p>
    <w:p w14:paraId="1C3EF9C5">
      <w:pPr>
        <w:adjustRightInd w:val="0"/>
        <w:snapToGrid w:val="0"/>
        <w:spacing w:line="360" w:lineRule="auto"/>
        <w:ind w:firstLine="480" w:firstLineChars="200"/>
        <w:rPr>
          <w:rFonts w:ascii="宋体" w:hAnsi="宋体"/>
          <w:color w:val="auto"/>
          <w:kern w:val="0"/>
          <w:sz w:val="24"/>
          <w:szCs w:val="22"/>
        </w:rPr>
      </w:pPr>
      <w:r>
        <w:rPr>
          <w:rFonts w:hint="eastAsia" w:ascii="宋体" w:hAnsi="宋体" w:eastAsia="宋体" w:cs="宋体"/>
          <w:color w:val="auto"/>
          <w:sz w:val="24"/>
          <w:szCs w:val="24"/>
          <w:lang w:val="en-US" w:eastAsia="zh-CN"/>
        </w:rPr>
        <w:t>18.2 本次采购</w:t>
      </w:r>
      <w:r>
        <w:rPr>
          <w:rFonts w:hint="eastAsia" w:ascii="宋体" w:hAnsi="宋体"/>
          <w:color w:val="auto"/>
          <w:kern w:val="0"/>
          <w:sz w:val="24"/>
          <w:szCs w:val="22"/>
        </w:rPr>
        <w:t>需要提供节能产品、环境标志产品</w:t>
      </w:r>
      <w:r>
        <w:rPr>
          <w:rFonts w:hint="eastAsia" w:ascii="宋体" w:hAnsi="宋体"/>
          <w:color w:val="auto"/>
          <w:sz w:val="24"/>
          <w:szCs w:val="22"/>
          <w:lang w:val="zh-CN"/>
        </w:rPr>
        <w:t>政府强制采购</w:t>
      </w:r>
      <w:r>
        <w:rPr>
          <w:rFonts w:hint="eastAsia" w:ascii="宋体" w:hAnsi="宋体"/>
          <w:color w:val="auto"/>
          <w:kern w:val="0"/>
          <w:sz w:val="24"/>
          <w:szCs w:val="22"/>
        </w:rPr>
        <w:t>认证证书的产品：</w:t>
      </w:r>
      <w:r>
        <w:rPr>
          <w:rFonts w:hint="eastAsia" w:ascii="宋体" w:hAnsi="宋体"/>
          <w:color w:val="auto"/>
          <w:sz w:val="24"/>
          <w:szCs w:val="22"/>
        </w:rPr>
        <w:t>无。</w:t>
      </w:r>
    </w:p>
    <w:p w14:paraId="43352276">
      <w:pPr>
        <w:adjustRightInd w:val="0"/>
        <w:snapToGrid w:val="0"/>
        <w:spacing w:line="360" w:lineRule="auto"/>
        <w:ind w:firstLine="48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19.信用记录查询</w:t>
      </w:r>
    </w:p>
    <w:p w14:paraId="565C80A5">
      <w:pPr>
        <w:autoSpaceDE w:val="0"/>
        <w:autoSpaceDN w:val="0"/>
        <w:adjustRightInd w:val="0"/>
        <w:snapToGrid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①拒绝列入政府取消投标资格记录期间的企业或个人投标；②对在“信用中国”网站列入失信被执行人、重大税收违法失信主体、政府采购严重违法失信行为记录名单及“中国政府采购网”列入政府采购严重违法失信行为记录名单中被财政部门禁止参加政府采购活动的供应商（在处罚决定规定的时间和地域范围内）及其他不符合《中华人民共和国政府采购法》第二十二条规定、《中华人民共和国政府采购法》第十二条规定及《中华人民共和国政府采购法实施条例》第十八条规定条件的供应商，不得参与政府采购活动。</w:t>
      </w:r>
    </w:p>
    <w:p w14:paraId="0E27D6DF">
      <w:pPr>
        <w:autoSpaceDE w:val="0"/>
        <w:autoSpaceDN w:val="0"/>
        <w:adjustRightInd w:val="0"/>
        <w:snapToGrid w:val="0"/>
        <w:spacing w:line="360" w:lineRule="auto"/>
        <w:ind w:firstLine="48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20. 签订合同及合同公示</w:t>
      </w:r>
    </w:p>
    <w:p w14:paraId="0C21F536">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20.1 采购人将向成交供应商发出《成交通知书》。成交通知书是合同的组成部分，对采购人和成交供应商均具有法律约束力。</w:t>
      </w:r>
    </w:p>
    <w:p w14:paraId="529E2C94">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20.2 成交通知书发出后，采购人改变成交结果的，或者成交供应商放弃成交项目的，应当依法承担法律责任。</w:t>
      </w:r>
    </w:p>
    <w:p w14:paraId="0BCFC46C">
      <w:pPr>
        <w:autoSpaceDE w:val="0"/>
        <w:autoSpaceDN w:val="0"/>
        <w:adjustRightInd w:val="0"/>
        <w:snapToGrid w:val="0"/>
        <w:spacing w:line="360" w:lineRule="auto"/>
        <w:ind w:firstLine="48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20.3 成交供应商应自中标通知书发出之日起30日内与采购人签订合同。</w:t>
      </w:r>
      <w:r>
        <w:rPr>
          <w:rFonts w:hint="eastAsia" w:ascii="宋体" w:hAnsi="宋体" w:eastAsia="宋体" w:cs="宋体"/>
          <w:bCs/>
          <w:color w:val="auto"/>
          <w:sz w:val="24"/>
          <w:szCs w:val="24"/>
          <w:lang w:val="zh-CN"/>
        </w:rPr>
        <w:t>如果</w:t>
      </w:r>
      <w:r>
        <w:rPr>
          <w:rFonts w:hint="eastAsia" w:ascii="宋体" w:hAnsi="宋体" w:eastAsia="宋体" w:cs="宋体"/>
          <w:color w:val="auto"/>
          <w:sz w:val="24"/>
          <w:szCs w:val="24"/>
          <w:lang w:val="zh-CN"/>
        </w:rPr>
        <w:t>成交供应商</w:t>
      </w:r>
      <w:r>
        <w:rPr>
          <w:rFonts w:hint="eastAsia" w:ascii="宋体" w:hAnsi="宋体" w:eastAsia="宋体" w:cs="宋体"/>
          <w:bCs/>
          <w:color w:val="auto"/>
          <w:sz w:val="24"/>
          <w:szCs w:val="24"/>
          <w:lang w:val="zh-CN"/>
        </w:rPr>
        <w:t>未在规定的时间内签署合同，视为自动放弃</w:t>
      </w:r>
      <w:r>
        <w:rPr>
          <w:rFonts w:hint="eastAsia" w:ascii="宋体" w:hAnsi="宋体" w:eastAsia="宋体" w:cs="宋体"/>
          <w:color w:val="auto"/>
          <w:sz w:val="24"/>
          <w:szCs w:val="24"/>
          <w:lang w:val="zh-CN"/>
        </w:rPr>
        <w:t>成交</w:t>
      </w:r>
      <w:r>
        <w:rPr>
          <w:rFonts w:hint="eastAsia" w:ascii="宋体" w:hAnsi="宋体" w:eastAsia="宋体" w:cs="宋体"/>
          <w:bCs/>
          <w:color w:val="auto"/>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eastAsia="宋体" w:cs="宋体"/>
          <w:color w:val="auto"/>
          <w:sz w:val="24"/>
          <w:szCs w:val="24"/>
          <w:lang w:val="zh-CN"/>
        </w:rPr>
        <w:t>成交供应商</w:t>
      </w:r>
      <w:r>
        <w:rPr>
          <w:rFonts w:hint="eastAsia" w:ascii="宋体" w:hAnsi="宋体" w:eastAsia="宋体" w:cs="宋体"/>
          <w:bCs/>
          <w:color w:val="auto"/>
          <w:sz w:val="24"/>
          <w:szCs w:val="24"/>
          <w:lang w:val="zh-CN"/>
        </w:rPr>
        <w:t>之后、</w:t>
      </w:r>
      <w:r>
        <w:rPr>
          <w:rFonts w:hint="eastAsia" w:ascii="宋体" w:hAnsi="宋体" w:eastAsia="宋体" w:cs="宋体"/>
          <w:color w:val="auto"/>
          <w:sz w:val="24"/>
          <w:szCs w:val="24"/>
          <w:lang w:val="zh-CN"/>
        </w:rPr>
        <w:t>成交</w:t>
      </w:r>
      <w:r>
        <w:rPr>
          <w:rFonts w:hint="eastAsia" w:ascii="宋体" w:hAnsi="宋体" w:eastAsia="宋体" w:cs="宋体"/>
          <w:bCs/>
          <w:color w:val="auto"/>
          <w:sz w:val="24"/>
          <w:szCs w:val="24"/>
          <w:lang w:val="zh-CN"/>
        </w:rPr>
        <w:t>通知书发出之前放弃成交资格的，按本条规定处理。</w:t>
      </w:r>
    </w:p>
    <w:p w14:paraId="31A11B23">
      <w:pPr>
        <w:autoSpaceDE w:val="0"/>
        <w:autoSpaceDN w:val="0"/>
        <w:adjustRightInd w:val="0"/>
        <w:snapToGrid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20.4 成交结果将在发布磋商公告的媒体上公告。</w:t>
      </w:r>
    </w:p>
    <w:p w14:paraId="0D350BF1">
      <w:pPr>
        <w:tabs>
          <w:tab w:val="left" w:pos="709"/>
          <w:tab w:val="left" w:pos="927"/>
        </w:tabs>
        <w:autoSpaceDE w:val="0"/>
        <w:autoSpaceDN w:val="0"/>
        <w:adjustRightInd w:val="0"/>
        <w:snapToGrid w:val="0"/>
        <w:spacing w:line="360" w:lineRule="auto"/>
        <w:ind w:firstLine="472"/>
        <w:rPr>
          <w:rFonts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21.保密和披露</w:t>
      </w:r>
    </w:p>
    <w:p w14:paraId="3699AC8B">
      <w:pPr>
        <w:tabs>
          <w:tab w:val="left" w:pos="709"/>
        </w:tabs>
        <w:autoSpaceDE w:val="0"/>
        <w:autoSpaceDN w:val="0"/>
        <w:adjustRightInd w:val="0"/>
        <w:snapToGrid w:val="0"/>
        <w:spacing w:line="360" w:lineRule="auto"/>
        <w:ind w:firstLine="482"/>
        <w:rPr>
          <w:rFonts w:ascii="宋体" w:hAnsi="宋体" w:eastAsia="宋体" w:cs="宋体"/>
          <w:color w:val="auto"/>
          <w:kern w:val="0"/>
          <w:sz w:val="24"/>
          <w:szCs w:val="24"/>
          <w:lang w:val="zh-CN"/>
        </w:rPr>
      </w:pPr>
      <w:r>
        <w:rPr>
          <w:rFonts w:hint="eastAsia" w:ascii="宋体" w:hAnsi="宋体" w:eastAsia="宋体" w:cs="宋体"/>
          <w:bCs/>
          <w:color w:val="auto"/>
          <w:kern w:val="0"/>
          <w:sz w:val="24"/>
          <w:szCs w:val="24"/>
          <w:lang w:val="zh-CN"/>
        </w:rPr>
        <w:t>21.1 供应商自下载磋商文件之日起，</w:t>
      </w:r>
      <w:r>
        <w:rPr>
          <w:rFonts w:hint="eastAsia" w:ascii="宋体" w:hAnsi="宋体" w:eastAsia="宋体" w:cs="宋体"/>
          <w:color w:val="auto"/>
          <w:kern w:val="0"/>
          <w:sz w:val="24"/>
          <w:szCs w:val="24"/>
          <w:lang w:val="zh-CN"/>
        </w:rPr>
        <w:t>须承担本磋商项目下的保密义务，不得将因本次磋商获得的信息向第三人外传。</w:t>
      </w:r>
    </w:p>
    <w:p w14:paraId="44D3973E">
      <w:pPr>
        <w:autoSpaceDE w:val="0"/>
        <w:autoSpaceDN w:val="0"/>
        <w:adjustRightInd w:val="0"/>
        <w:snapToGrid w:val="0"/>
        <w:spacing w:line="360" w:lineRule="auto"/>
        <w:ind w:firstLine="478"/>
        <w:rPr>
          <w:rFonts w:ascii="宋体" w:hAnsi="宋体" w:eastAsia="宋体" w:cs="宋体"/>
          <w:color w:val="auto"/>
          <w:sz w:val="24"/>
          <w:szCs w:val="24"/>
          <w:lang w:val="zh-CN"/>
        </w:rPr>
      </w:pPr>
      <w:r>
        <w:rPr>
          <w:rFonts w:hint="eastAsia" w:ascii="宋体" w:hAnsi="宋体" w:eastAsia="宋体" w:cs="宋体"/>
          <w:color w:val="auto"/>
          <w:sz w:val="24"/>
          <w:szCs w:val="24"/>
          <w:lang w:val="zh-CN"/>
        </w:rPr>
        <w:t>21.2 采购人有权将供应商提供的所有资料向其他政府部门或有关的非政府机构负责评审标书的人员或与评审有关的人员披露。</w:t>
      </w:r>
    </w:p>
    <w:p w14:paraId="6E9D819C">
      <w:pPr>
        <w:autoSpaceDE w:val="0"/>
        <w:autoSpaceDN w:val="0"/>
        <w:adjustRightInd w:val="0"/>
        <w:snapToGrid w:val="0"/>
        <w:spacing w:line="360" w:lineRule="auto"/>
        <w:ind w:firstLine="480"/>
        <w:rPr>
          <w:rFonts w:ascii="宋体" w:hAnsi="宋体" w:eastAsia="宋体"/>
          <w:color w:val="auto"/>
          <w:sz w:val="24"/>
          <w:szCs w:val="24"/>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color w:val="auto"/>
          <w:sz w:val="24"/>
          <w:szCs w:val="24"/>
          <w:lang w:val="zh-CN"/>
        </w:rPr>
        <w:t>21.3 在下列情形下：当发布成交公告和其它公告时，当国家机关调查、审查、审计时，以及在其他符合法律规定的情形下，采购人无须事先征求供应商/成交供应商同意而可以披露关于采购过程、响应文件、合同文本、合同签署情况的资料、供应商/成交供应商的名称及地址、采购内容的有关信息以及补充条款等，并且对任何已经公布过的内容或与之内容相同的资料无须再承担保密责任。</w:t>
      </w:r>
    </w:p>
    <w:p w14:paraId="750FBBD5">
      <w:pPr>
        <w:pStyle w:val="2"/>
        <w:rPr>
          <w:rFonts w:ascii="宋体" w:hAnsi="宋体"/>
          <w:color w:val="auto"/>
        </w:rPr>
      </w:pPr>
      <w:bookmarkStart w:id="59" w:name="_Toc2045"/>
      <w:bookmarkStart w:id="60" w:name="_Toc21482"/>
      <w:bookmarkStart w:id="61" w:name="_Toc20053"/>
      <w:bookmarkStart w:id="62" w:name="_Toc5454"/>
      <w:bookmarkStart w:id="63" w:name="_Toc29797"/>
      <w:bookmarkStart w:id="64" w:name="_Toc1498"/>
      <w:r>
        <w:rPr>
          <w:rFonts w:hint="eastAsia" w:ascii="宋体" w:hAnsi="宋体"/>
          <w:color w:val="auto"/>
        </w:rPr>
        <w:t>第三章</w:t>
      </w:r>
      <w:r>
        <w:rPr>
          <w:rFonts w:hint="eastAsia" w:ascii="宋体" w:hAnsi="宋体"/>
          <w:color w:val="auto"/>
          <w:lang w:val="en-US" w:eastAsia="zh-CN"/>
        </w:rPr>
        <w:t xml:space="preserve"> </w:t>
      </w:r>
      <w:r>
        <w:rPr>
          <w:rFonts w:hint="eastAsia" w:ascii="宋体" w:hAnsi="宋体"/>
          <w:color w:val="auto"/>
        </w:rPr>
        <w:t>评标标准和方法（综合评分法）</w:t>
      </w:r>
      <w:bookmarkEnd w:id="59"/>
      <w:bookmarkEnd w:id="60"/>
      <w:bookmarkEnd w:id="61"/>
      <w:bookmarkEnd w:id="62"/>
      <w:bookmarkEnd w:id="63"/>
      <w:bookmarkEnd w:id="64"/>
    </w:p>
    <w:p w14:paraId="35336DAF">
      <w:pPr>
        <w:pStyle w:val="72"/>
        <w:shd w:val="clear" w:color="auto" w:fill="FFFFFF"/>
        <w:spacing w:before="0" w:beforeAutospacing="0" w:after="0" w:afterAutospacing="0" w:line="360" w:lineRule="auto"/>
        <w:ind w:firstLine="482" w:firstLineChars="200"/>
        <w:jc w:val="both"/>
        <w:rPr>
          <w:rStyle w:val="37"/>
          <w:rFonts w:hint="eastAsia"/>
          <w:color w:val="auto"/>
        </w:rPr>
      </w:pPr>
      <w:bookmarkStart w:id="65" w:name="_Toc256587290"/>
      <w:bookmarkStart w:id="66" w:name="_Toc256587203"/>
      <w:bookmarkStart w:id="67" w:name="_Toc444630828"/>
      <w:bookmarkStart w:id="68" w:name="_Toc3147"/>
      <w:bookmarkStart w:id="69" w:name="_Toc17247"/>
      <w:bookmarkStart w:id="70" w:name="_Toc13494"/>
      <w:r>
        <w:rPr>
          <w:rStyle w:val="37"/>
          <w:rFonts w:hint="eastAsia"/>
          <w:color w:val="auto"/>
        </w:rPr>
        <w:t>本项目采用综合评分法评审。</w:t>
      </w:r>
    </w:p>
    <w:p w14:paraId="3D67CD36">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综合评分法，是指响应文件满足磋商文件全部实质性要求且按评审因素的量化指标评审得分最高的供应商为成交候选供应商的评审方法。</w:t>
      </w:r>
    </w:p>
    <w:p w14:paraId="543EE5F5">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评标应当遵循下列工作程序：</w:t>
      </w:r>
    </w:p>
    <w:p w14:paraId="41D8E689">
      <w:pPr>
        <w:pStyle w:val="72"/>
        <w:shd w:val="clear" w:color="auto" w:fill="FFFFFF"/>
        <w:spacing w:before="0" w:beforeAutospacing="0" w:after="0" w:afterAutospacing="0" w:line="360" w:lineRule="auto"/>
        <w:ind w:firstLine="482" w:firstLineChars="200"/>
        <w:jc w:val="both"/>
        <w:rPr>
          <w:rStyle w:val="37"/>
          <w:rFonts w:hint="eastAsia"/>
          <w:color w:val="auto"/>
        </w:rPr>
      </w:pPr>
      <w:r>
        <w:rPr>
          <w:rStyle w:val="37"/>
          <w:rFonts w:hint="eastAsia"/>
          <w:color w:val="auto"/>
          <w:lang w:eastAsia="zh-CN"/>
        </w:rPr>
        <w:t>（</w:t>
      </w:r>
      <w:r>
        <w:rPr>
          <w:rStyle w:val="37"/>
          <w:rFonts w:hint="eastAsia"/>
          <w:color w:val="auto"/>
          <w:lang w:val="en-US" w:eastAsia="zh-CN"/>
        </w:rPr>
        <w:t>一）</w:t>
      </w:r>
      <w:r>
        <w:rPr>
          <w:rStyle w:val="37"/>
          <w:rFonts w:hint="eastAsia"/>
          <w:color w:val="auto"/>
        </w:rPr>
        <w:t>磋商响应文件初审：分为资格性检查和符合性检查。</w:t>
      </w:r>
    </w:p>
    <w:p w14:paraId="121B4F31">
      <w:pPr>
        <w:pStyle w:val="72"/>
        <w:shd w:val="clear" w:color="auto" w:fill="FFFFFF"/>
        <w:spacing w:before="0" w:beforeAutospacing="0" w:after="0" w:afterAutospacing="0" w:line="360" w:lineRule="auto"/>
        <w:ind w:firstLine="480" w:firstLineChars="200"/>
        <w:jc w:val="center"/>
        <w:rPr>
          <w:rFonts w:hint="eastAsia" w:ascii="黑体" w:hAnsi="黑体" w:eastAsia="黑体" w:cs="黑体"/>
          <w:color w:val="auto"/>
          <w:sz w:val="30"/>
          <w:szCs w:val="30"/>
        </w:rPr>
      </w:pPr>
      <w:r>
        <w:rPr>
          <w:rStyle w:val="37"/>
          <w:rFonts w:hint="eastAsia"/>
          <w:b w:val="0"/>
          <w:color w:val="auto"/>
        </w:rPr>
        <w:t>资格性审查表</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
        <w:gridCol w:w="985"/>
        <w:gridCol w:w="7968"/>
      </w:tblGrid>
      <w:tr w14:paraId="50AE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8" w:type="pct"/>
            <w:noWrap/>
            <w:vAlign w:val="center"/>
          </w:tcPr>
          <w:p w14:paraId="4C125C64">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760" w:type="pct"/>
            <w:noWrap/>
            <w:vAlign w:val="center"/>
          </w:tcPr>
          <w:p w14:paraId="440324AD">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项目内容</w:t>
            </w:r>
          </w:p>
        </w:tc>
        <w:tc>
          <w:tcPr>
            <w:tcW w:w="2900" w:type="pct"/>
            <w:noWrap/>
            <w:vAlign w:val="center"/>
          </w:tcPr>
          <w:p w14:paraId="1757757A">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合格条件</w:t>
            </w:r>
          </w:p>
        </w:tc>
      </w:tr>
      <w:tr w14:paraId="099F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ign w:val="center"/>
          </w:tcPr>
          <w:p w14:paraId="690DDEBE">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760" w:type="pct"/>
            <w:noWrap/>
            <w:vAlign w:val="center"/>
          </w:tcPr>
          <w:p w14:paraId="7C1F2006">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具有独立承担民事责任的能力</w:t>
            </w:r>
          </w:p>
        </w:tc>
        <w:tc>
          <w:tcPr>
            <w:tcW w:w="2900" w:type="pct"/>
            <w:noWrap/>
            <w:vAlign w:val="center"/>
          </w:tcPr>
          <w:p w14:paraId="2C7770CE">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具备有效的营业执照，响应文件内附营业执照副本复印件加盖供应商公章。</w:t>
            </w:r>
          </w:p>
        </w:tc>
      </w:tr>
      <w:tr w14:paraId="4F1C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338" w:type="pct"/>
            <w:noWrap/>
            <w:vAlign w:val="center"/>
          </w:tcPr>
          <w:p w14:paraId="4E3D8715">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760" w:type="pct"/>
            <w:noWrap/>
            <w:vAlign w:val="center"/>
          </w:tcPr>
          <w:p w14:paraId="01743F68">
            <w:pPr>
              <w:pStyle w:val="72"/>
              <w:shd w:val="clear" w:color="auto" w:fill="FFFFFF"/>
              <w:spacing w:before="0" w:beforeAutospacing="0" w:after="0" w:afterAutospacing="0" w:line="360" w:lineRule="auto"/>
              <w:jc w:val="center"/>
              <w:rPr>
                <w:color w:val="auto"/>
                <w:sz w:val="24"/>
                <w:szCs w:val="24"/>
              </w:rPr>
            </w:pPr>
            <w:r>
              <w:rPr>
                <w:rFonts w:hint="eastAsia"/>
                <w:color w:val="auto"/>
                <w:kern w:val="2"/>
                <w:sz w:val="24"/>
                <w:szCs w:val="24"/>
              </w:rPr>
              <w:t>资格条件承诺函</w:t>
            </w:r>
          </w:p>
        </w:tc>
        <w:tc>
          <w:tcPr>
            <w:tcW w:w="2900" w:type="pct"/>
            <w:noWrap/>
            <w:vAlign w:val="center"/>
          </w:tcPr>
          <w:p w14:paraId="1488EEA5">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根据《长财采购[2022]2066号文件关于加强政府采购信用体系建设简化供应商资格条件有关事项的通知提供资格条件承诺函，格式见第六章响应文件格式--资格条件承诺函。</w:t>
            </w:r>
          </w:p>
        </w:tc>
      </w:tr>
      <w:tr w14:paraId="3CCB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ign w:val="center"/>
          </w:tcPr>
          <w:p w14:paraId="1603EE39">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760" w:type="pct"/>
            <w:noWrap/>
            <w:vAlign w:val="center"/>
          </w:tcPr>
          <w:p w14:paraId="0AFAED35">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eastAsia="宋体" w:cs="宋体"/>
                <w:bCs/>
                <w:color w:val="auto"/>
                <w:sz w:val="24"/>
                <w:szCs w:val="24"/>
                <w:lang w:val="zh-CN"/>
              </w:rPr>
              <w:t>信誉要求</w:t>
            </w:r>
          </w:p>
        </w:tc>
        <w:tc>
          <w:tcPr>
            <w:tcW w:w="2900" w:type="pct"/>
            <w:noWrap/>
            <w:vAlign w:val="center"/>
          </w:tcPr>
          <w:p w14:paraId="09EFFCCE">
            <w:pPr>
              <w:pStyle w:val="30"/>
              <w:adjustRightInd w:val="0"/>
              <w:snapToGrid w:val="0"/>
              <w:spacing w:beforeAutospacing="0" w:afterAutospacing="0" w:line="360" w:lineRule="auto"/>
              <w:rPr>
                <w:rFonts w:hint="default" w:eastAsia="宋体" w:cs="宋体"/>
                <w:color w:val="auto"/>
                <w:kern w:val="2"/>
                <w:sz w:val="24"/>
                <w:szCs w:val="24"/>
                <w:lang w:val="zh-CN"/>
              </w:rPr>
            </w:pPr>
            <w:r>
              <w:rPr>
                <w:rFonts w:hint="default" w:eastAsia="宋体" w:cs="宋体"/>
                <w:color w:val="auto"/>
                <w:kern w:val="2"/>
                <w:sz w:val="24"/>
                <w:szCs w:val="24"/>
                <w:lang w:val="zh-CN"/>
              </w:rPr>
              <w:t>1、拒绝列入政府取消投标资格记录期间的企业或个人投标；（提供承诺书，</w:t>
            </w:r>
            <w:r>
              <w:rPr>
                <w:rFonts w:hint="eastAsia" w:eastAsia="宋体" w:cs="宋体"/>
                <w:color w:val="auto"/>
                <w:kern w:val="2"/>
                <w:sz w:val="24"/>
                <w:szCs w:val="24"/>
                <w:lang w:val="en-US" w:eastAsia="zh-CN"/>
              </w:rPr>
              <w:t>承诺书格式自拟</w:t>
            </w:r>
            <w:r>
              <w:rPr>
                <w:rFonts w:hint="default" w:eastAsia="宋体" w:cs="宋体"/>
                <w:color w:val="auto"/>
                <w:kern w:val="2"/>
                <w:sz w:val="24"/>
                <w:szCs w:val="24"/>
                <w:lang w:val="zh-CN"/>
              </w:rPr>
              <w:t>并加盖供应商公章）</w:t>
            </w:r>
          </w:p>
          <w:p w14:paraId="43D30C98">
            <w:pPr>
              <w:pStyle w:val="30"/>
              <w:adjustRightInd w:val="0"/>
              <w:snapToGrid w:val="0"/>
              <w:spacing w:beforeAutospacing="0" w:afterAutospacing="0" w:line="360" w:lineRule="auto"/>
              <w:rPr>
                <w:rFonts w:ascii="宋体" w:hAnsi="宋体" w:cs="宋体"/>
                <w:color w:val="auto"/>
                <w:sz w:val="24"/>
                <w:szCs w:val="24"/>
              </w:rPr>
            </w:pPr>
            <w:r>
              <w:rPr>
                <w:rFonts w:hint="default" w:eastAsia="宋体" w:cs="宋体"/>
                <w:color w:val="auto"/>
                <w:kern w:val="2"/>
                <w:sz w:val="24"/>
                <w:szCs w:val="24"/>
                <w:lang w:val="zh-CN"/>
              </w:rPr>
              <w:t>2、对在“信用中国”网站列入失信被执行人、重大税收违法失信主体、政府采购严重违法失信行为记录名单及“中国政府采购网”列入政府采购严重违法失信行为记录名单中被财政部门禁止参加政府采购活动的供应商（在处罚决定规定的时间和地域范围内）</w:t>
            </w:r>
            <w:r>
              <w:rPr>
                <w:rFonts w:hint="default" w:eastAsia="宋体" w:cs="宋体"/>
                <w:b/>
                <w:bCs/>
                <w:color w:val="auto"/>
                <w:kern w:val="2"/>
                <w:sz w:val="24"/>
                <w:szCs w:val="24"/>
                <w:lang w:val="zh-CN"/>
              </w:rPr>
              <w:t>（提供信用中国、中国政府采购网相关证明截图并加盖供应商公章）</w:t>
            </w:r>
          </w:p>
        </w:tc>
      </w:tr>
    </w:tbl>
    <w:p w14:paraId="0EDDA4DB">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注：资格性审查结论不合格的不进入符合性审查阶段。</w:t>
      </w:r>
    </w:p>
    <w:p w14:paraId="5FE3A024">
      <w:pPr>
        <w:pStyle w:val="72"/>
        <w:shd w:val="clear" w:color="auto" w:fill="FFFFFF"/>
        <w:spacing w:before="0" w:beforeAutospacing="0" w:after="0" w:afterAutospacing="0" w:line="360" w:lineRule="auto"/>
        <w:ind w:firstLine="480" w:firstLineChars="200"/>
        <w:jc w:val="center"/>
        <w:rPr>
          <w:rStyle w:val="37"/>
          <w:rFonts w:hint="eastAsia"/>
          <w:b w:val="0"/>
          <w:color w:val="auto"/>
        </w:rPr>
      </w:pPr>
      <w:r>
        <w:rPr>
          <w:rStyle w:val="37"/>
          <w:rFonts w:hint="eastAsia"/>
          <w:b w:val="0"/>
          <w:color w:val="auto"/>
        </w:rPr>
        <w:t>符合性审查表</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202"/>
        <w:gridCol w:w="7458"/>
      </w:tblGrid>
      <w:tr w14:paraId="3E2B0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72BCC1BE">
            <w:pPr>
              <w:autoSpaceDE w:val="0"/>
              <w:autoSpaceDN w:val="0"/>
              <w:adjustRightInd w:val="0"/>
              <w:jc w:val="center"/>
              <w:rPr>
                <w:rStyle w:val="37"/>
                <w:rFonts w:hint="eastAsia" w:ascii="宋体" w:hAnsi="宋体" w:cs="宋体"/>
                <w:b w:val="0"/>
                <w:color w:val="auto"/>
                <w:kern w:val="0"/>
                <w:sz w:val="24"/>
                <w:szCs w:val="24"/>
              </w:rPr>
            </w:pPr>
            <w:r>
              <w:rPr>
                <w:rStyle w:val="37"/>
                <w:rFonts w:hint="eastAsia" w:ascii="宋体" w:hAnsi="宋体" w:cs="宋体"/>
                <w:b w:val="0"/>
                <w:color w:val="auto"/>
                <w:kern w:val="0"/>
                <w:sz w:val="24"/>
                <w:szCs w:val="24"/>
              </w:rPr>
              <w:t>序号</w:t>
            </w:r>
          </w:p>
        </w:tc>
        <w:tc>
          <w:tcPr>
            <w:tcW w:w="647" w:type="pct"/>
            <w:noWrap w:val="0"/>
            <w:vAlign w:val="center"/>
          </w:tcPr>
          <w:p w14:paraId="2D511D66">
            <w:pPr>
              <w:autoSpaceDE w:val="0"/>
              <w:autoSpaceDN w:val="0"/>
              <w:adjustRightInd w:val="0"/>
              <w:jc w:val="center"/>
              <w:rPr>
                <w:rStyle w:val="37"/>
                <w:rFonts w:hint="eastAsia" w:ascii="宋体" w:hAnsi="宋体" w:cs="宋体"/>
                <w:b w:val="0"/>
                <w:color w:val="auto"/>
                <w:kern w:val="0"/>
                <w:sz w:val="24"/>
                <w:szCs w:val="24"/>
              </w:rPr>
            </w:pPr>
            <w:r>
              <w:rPr>
                <w:rStyle w:val="37"/>
                <w:rFonts w:hint="eastAsia" w:ascii="宋体" w:hAnsi="宋体" w:cs="宋体"/>
                <w:b w:val="0"/>
                <w:color w:val="auto"/>
                <w:kern w:val="0"/>
                <w:sz w:val="24"/>
                <w:szCs w:val="24"/>
              </w:rPr>
              <w:t>评审项目</w:t>
            </w:r>
          </w:p>
        </w:tc>
        <w:tc>
          <w:tcPr>
            <w:tcW w:w="4014" w:type="pct"/>
            <w:noWrap w:val="0"/>
            <w:vAlign w:val="center"/>
          </w:tcPr>
          <w:p w14:paraId="77F2DA87">
            <w:pPr>
              <w:autoSpaceDE w:val="0"/>
              <w:autoSpaceDN w:val="0"/>
              <w:adjustRightInd w:val="0"/>
              <w:jc w:val="center"/>
              <w:rPr>
                <w:rStyle w:val="37"/>
                <w:rFonts w:hint="eastAsia" w:ascii="宋体" w:hAnsi="宋体" w:cs="宋体"/>
                <w:b w:val="0"/>
                <w:color w:val="auto"/>
                <w:kern w:val="0"/>
                <w:sz w:val="24"/>
                <w:szCs w:val="24"/>
              </w:rPr>
            </w:pPr>
            <w:r>
              <w:rPr>
                <w:rStyle w:val="37"/>
                <w:rFonts w:hint="eastAsia" w:ascii="宋体" w:hAnsi="宋体" w:cs="宋体"/>
                <w:b w:val="0"/>
                <w:color w:val="auto"/>
                <w:kern w:val="0"/>
                <w:sz w:val="24"/>
                <w:szCs w:val="24"/>
              </w:rPr>
              <w:t>符合性审查合格情形</w:t>
            </w:r>
          </w:p>
        </w:tc>
      </w:tr>
      <w:tr w14:paraId="0C906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6A9C423A">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1</w:t>
            </w:r>
          </w:p>
        </w:tc>
        <w:tc>
          <w:tcPr>
            <w:tcW w:w="647" w:type="pct"/>
            <w:vMerge w:val="restart"/>
            <w:noWrap w:val="0"/>
            <w:vAlign w:val="center"/>
          </w:tcPr>
          <w:p w14:paraId="1A99DB59">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有效性审查</w:t>
            </w:r>
          </w:p>
        </w:tc>
        <w:tc>
          <w:tcPr>
            <w:tcW w:w="4014" w:type="pct"/>
            <w:noWrap w:val="0"/>
            <w:vAlign w:val="center"/>
          </w:tcPr>
          <w:p w14:paraId="481FF782">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响应文件按竞争性磋商文件要求签字盖章的。</w:t>
            </w:r>
          </w:p>
        </w:tc>
      </w:tr>
      <w:tr w14:paraId="4DDA9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4FE25890">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2</w:t>
            </w:r>
          </w:p>
        </w:tc>
        <w:tc>
          <w:tcPr>
            <w:tcW w:w="647" w:type="pct"/>
            <w:vMerge w:val="continue"/>
            <w:noWrap w:val="0"/>
            <w:vAlign w:val="center"/>
          </w:tcPr>
          <w:p w14:paraId="362AF18F">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78EB4066">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报价</w:t>
            </w:r>
            <w:r>
              <w:rPr>
                <w:rStyle w:val="37"/>
                <w:rFonts w:hint="eastAsia"/>
                <w:b w:val="0"/>
                <w:color w:val="auto"/>
                <w:kern w:val="0"/>
                <w:sz w:val="24"/>
                <w:szCs w:val="24"/>
                <w:lang w:val="en-US" w:eastAsia="zh-CN"/>
              </w:rPr>
              <w:t>未</w:t>
            </w:r>
            <w:r>
              <w:rPr>
                <w:rStyle w:val="37"/>
                <w:rFonts w:hint="eastAsia"/>
                <w:b w:val="0"/>
                <w:color w:val="auto"/>
                <w:kern w:val="0"/>
                <w:sz w:val="24"/>
                <w:szCs w:val="24"/>
              </w:rPr>
              <w:t>超过竞争性磋商文件中规定的预算金额或者最高限价的。</w:t>
            </w:r>
          </w:p>
        </w:tc>
      </w:tr>
      <w:tr w14:paraId="60480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722A899D">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3</w:t>
            </w:r>
          </w:p>
        </w:tc>
        <w:tc>
          <w:tcPr>
            <w:tcW w:w="647" w:type="pct"/>
            <w:vMerge w:val="continue"/>
            <w:noWrap w:val="0"/>
            <w:vAlign w:val="center"/>
          </w:tcPr>
          <w:p w14:paraId="6695728D">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3FBA1D99">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lang w:val="en-US" w:eastAsia="zh-CN"/>
              </w:rPr>
              <w:t>未</w:t>
            </w:r>
            <w:r>
              <w:rPr>
                <w:rStyle w:val="37"/>
                <w:rFonts w:hint="eastAsia"/>
                <w:b w:val="0"/>
                <w:color w:val="auto"/>
                <w:kern w:val="0"/>
                <w:sz w:val="24"/>
                <w:szCs w:val="24"/>
              </w:rPr>
              <w:t>提报两个或两个以上报价方案的（竞争性磋商文件中要求提供备选方案的除外）。</w:t>
            </w:r>
          </w:p>
        </w:tc>
      </w:tr>
      <w:tr w14:paraId="6E9F4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3747680F">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4</w:t>
            </w:r>
          </w:p>
        </w:tc>
        <w:tc>
          <w:tcPr>
            <w:tcW w:w="647" w:type="pct"/>
            <w:noWrap w:val="0"/>
            <w:vAlign w:val="center"/>
          </w:tcPr>
          <w:p w14:paraId="2675BA46">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完整性审查</w:t>
            </w:r>
          </w:p>
        </w:tc>
        <w:tc>
          <w:tcPr>
            <w:tcW w:w="4014" w:type="pct"/>
            <w:noWrap w:val="0"/>
            <w:vAlign w:val="center"/>
          </w:tcPr>
          <w:p w14:paraId="33E2D086">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按竞争性磋商文件要求提供</w:t>
            </w:r>
            <w:r>
              <w:rPr>
                <w:rStyle w:val="37"/>
                <w:rFonts w:hint="eastAsia"/>
                <w:b w:val="0"/>
                <w:color w:val="auto"/>
                <w:kern w:val="0"/>
                <w:sz w:val="24"/>
                <w:szCs w:val="24"/>
              </w:rPr>
              <w:t>《</w:t>
            </w:r>
            <w:r>
              <w:rPr>
                <w:rStyle w:val="37"/>
                <w:rFonts w:hint="eastAsia"/>
                <w:b w:val="0"/>
                <w:color w:val="auto"/>
                <w:kern w:val="0"/>
                <w:sz w:val="24"/>
                <w:szCs w:val="24"/>
                <w:lang w:val="en-US" w:eastAsia="zh-CN"/>
              </w:rPr>
              <w:t>开标一览表</w:t>
            </w:r>
            <w:r>
              <w:rPr>
                <w:rStyle w:val="37"/>
                <w:rFonts w:hint="eastAsia"/>
                <w:b w:val="0"/>
                <w:color w:val="auto"/>
                <w:kern w:val="0"/>
                <w:sz w:val="24"/>
                <w:szCs w:val="24"/>
              </w:rPr>
              <w:t>》</w:t>
            </w:r>
            <w:r>
              <w:rPr>
                <w:rStyle w:val="37"/>
                <w:rFonts w:hint="eastAsia"/>
                <w:b w:val="0"/>
                <w:color w:val="auto"/>
                <w:kern w:val="0"/>
                <w:sz w:val="24"/>
                <w:szCs w:val="24"/>
              </w:rPr>
              <w:t>、《商务条款偏离表》、《技术条款偏离表》</w:t>
            </w:r>
            <w:r>
              <w:rPr>
                <w:rStyle w:val="37"/>
                <w:rFonts w:hint="eastAsia"/>
                <w:b w:val="0"/>
                <w:color w:val="auto"/>
                <w:kern w:val="0"/>
                <w:sz w:val="24"/>
                <w:szCs w:val="24"/>
                <w:lang w:val="en-US" w:eastAsia="zh-CN"/>
              </w:rPr>
              <w:t>等磋商文件要求必须</w:t>
            </w:r>
            <w:r>
              <w:rPr>
                <w:rStyle w:val="37"/>
                <w:rFonts w:hint="eastAsia"/>
                <w:b w:val="0"/>
                <w:color w:val="auto"/>
                <w:kern w:val="0"/>
                <w:sz w:val="24"/>
                <w:szCs w:val="24"/>
              </w:rPr>
              <w:t>提供的</w:t>
            </w:r>
            <w:r>
              <w:rPr>
                <w:rStyle w:val="37"/>
                <w:rFonts w:hint="eastAsia"/>
                <w:b w:val="0"/>
                <w:color w:val="auto"/>
                <w:kern w:val="0"/>
                <w:sz w:val="24"/>
                <w:szCs w:val="24"/>
                <w:lang w:val="en-US" w:eastAsia="zh-CN"/>
              </w:rPr>
              <w:t>相关</w:t>
            </w:r>
            <w:r>
              <w:rPr>
                <w:rStyle w:val="37"/>
                <w:rFonts w:hint="eastAsia"/>
                <w:b w:val="0"/>
                <w:color w:val="auto"/>
                <w:kern w:val="0"/>
                <w:sz w:val="24"/>
                <w:szCs w:val="24"/>
              </w:rPr>
              <w:t>材料</w:t>
            </w:r>
          </w:p>
        </w:tc>
      </w:tr>
      <w:tr w14:paraId="37F3C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0EF2DE9B">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5</w:t>
            </w:r>
          </w:p>
        </w:tc>
        <w:tc>
          <w:tcPr>
            <w:tcW w:w="647" w:type="pct"/>
            <w:vMerge w:val="restart"/>
            <w:noWrap w:val="0"/>
            <w:vAlign w:val="center"/>
          </w:tcPr>
          <w:p w14:paraId="0268F569">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响应程度</w:t>
            </w:r>
          </w:p>
        </w:tc>
        <w:tc>
          <w:tcPr>
            <w:tcW w:w="4014" w:type="pct"/>
            <w:noWrap w:val="0"/>
            <w:vAlign w:val="center"/>
          </w:tcPr>
          <w:p w14:paraId="20124AC1">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满足竞争性磋商文件第</w:t>
            </w:r>
            <w:r>
              <w:rPr>
                <w:rStyle w:val="37"/>
                <w:rFonts w:hint="eastAsia"/>
                <w:b w:val="0"/>
                <w:color w:val="auto"/>
                <w:kern w:val="0"/>
                <w:sz w:val="24"/>
                <w:szCs w:val="24"/>
                <w:lang w:val="en-US" w:eastAsia="zh-CN"/>
              </w:rPr>
              <w:t>五</w:t>
            </w:r>
            <w:r>
              <w:rPr>
                <w:rStyle w:val="37"/>
                <w:rFonts w:hint="eastAsia"/>
                <w:b w:val="0"/>
                <w:color w:val="auto"/>
                <w:kern w:val="0"/>
                <w:sz w:val="24"/>
                <w:szCs w:val="24"/>
              </w:rPr>
              <w:t>章《采购需求》技术要求实质性条款要求的。</w:t>
            </w:r>
          </w:p>
        </w:tc>
      </w:tr>
      <w:tr w14:paraId="282DB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1579AC3A">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6</w:t>
            </w:r>
          </w:p>
        </w:tc>
        <w:tc>
          <w:tcPr>
            <w:tcW w:w="647" w:type="pct"/>
            <w:vMerge w:val="continue"/>
            <w:noWrap w:val="0"/>
            <w:vAlign w:val="center"/>
          </w:tcPr>
          <w:p w14:paraId="62CA132F">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31F3C163">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满足竞争性磋商文件第</w:t>
            </w:r>
            <w:r>
              <w:rPr>
                <w:rStyle w:val="37"/>
                <w:rFonts w:hint="eastAsia"/>
                <w:b w:val="0"/>
                <w:color w:val="auto"/>
                <w:kern w:val="0"/>
                <w:sz w:val="24"/>
                <w:szCs w:val="24"/>
                <w:lang w:val="en-US" w:eastAsia="zh-CN"/>
              </w:rPr>
              <w:t>五</w:t>
            </w:r>
            <w:r>
              <w:rPr>
                <w:rStyle w:val="37"/>
                <w:rFonts w:hint="eastAsia"/>
                <w:b w:val="0"/>
                <w:color w:val="auto"/>
                <w:kern w:val="0"/>
                <w:sz w:val="24"/>
                <w:szCs w:val="24"/>
              </w:rPr>
              <w:t>章《采购需求》商务要求实质性条款要求的。</w:t>
            </w:r>
          </w:p>
        </w:tc>
      </w:tr>
      <w:tr w14:paraId="465B8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3F2303D1">
            <w:pPr>
              <w:autoSpaceDE w:val="0"/>
              <w:autoSpaceDN w:val="0"/>
              <w:adjustRightInd w:val="0"/>
              <w:jc w:val="center"/>
              <w:rPr>
                <w:rStyle w:val="37"/>
                <w:rFonts w:hint="eastAsia"/>
                <w:b w:val="0"/>
                <w:color w:val="auto"/>
                <w:kern w:val="0"/>
                <w:sz w:val="24"/>
                <w:szCs w:val="24"/>
              </w:rPr>
            </w:pPr>
            <w:r>
              <w:rPr>
                <w:rStyle w:val="37"/>
                <w:rFonts w:hint="eastAsia"/>
                <w:b w:val="0"/>
                <w:color w:val="auto"/>
                <w:kern w:val="0"/>
                <w:sz w:val="24"/>
                <w:szCs w:val="24"/>
              </w:rPr>
              <w:t>7</w:t>
            </w:r>
          </w:p>
        </w:tc>
        <w:tc>
          <w:tcPr>
            <w:tcW w:w="647" w:type="pct"/>
            <w:vMerge w:val="continue"/>
            <w:noWrap w:val="0"/>
            <w:vAlign w:val="center"/>
          </w:tcPr>
          <w:p w14:paraId="59679EFB">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3479142B">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所投报货物</w:t>
            </w:r>
            <w:r>
              <w:rPr>
                <w:rStyle w:val="37"/>
                <w:rFonts w:hint="eastAsia"/>
                <w:b w:val="0"/>
                <w:color w:val="auto"/>
                <w:kern w:val="0"/>
                <w:sz w:val="24"/>
                <w:szCs w:val="24"/>
                <w:lang w:val="en-US" w:eastAsia="zh-CN"/>
              </w:rPr>
              <w:t>不</w:t>
            </w:r>
            <w:r>
              <w:rPr>
                <w:rStyle w:val="37"/>
                <w:rFonts w:hint="eastAsia"/>
                <w:b w:val="0"/>
                <w:color w:val="auto"/>
                <w:kern w:val="0"/>
                <w:sz w:val="24"/>
                <w:szCs w:val="24"/>
              </w:rPr>
              <w:t>是通过中国海关报关验放进入中国境内且产自关境外的（竞争性磋商文件中标明允许采购进口产品的除外）。</w:t>
            </w:r>
          </w:p>
        </w:tc>
      </w:tr>
      <w:tr w14:paraId="1222B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3EAB6F4C">
            <w:pPr>
              <w:autoSpaceDE w:val="0"/>
              <w:autoSpaceDN w:val="0"/>
              <w:adjustRightInd w:val="0"/>
              <w:jc w:val="center"/>
              <w:rPr>
                <w:rStyle w:val="37"/>
                <w:b w:val="0"/>
                <w:color w:val="auto"/>
                <w:kern w:val="0"/>
                <w:sz w:val="24"/>
                <w:szCs w:val="24"/>
              </w:rPr>
            </w:pPr>
            <w:r>
              <w:rPr>
                <w:rStyle w:val="37"/>
                <w:rFonts w:hint="eastAsia"/>
                <w:b w:val="0"/>
                <w:color w:val="auto"/>
                <w:kern w:val="0"/>
                <w:sz w:val="24"/>
                <w:szCs w:val="24"/>
              </w:rPr>
              <w:t>8</w:t>
            </w:r>
          </w:p>
        </w:tc>
        <w:tc>
          <w:tcPr>
            <w:tcW w:w="647" w:type="pct"/>
            <w:vMerge w:val="continue"/>
            <w:noWrap w:val="0"/>
            <w:vAlign w:val="center"/>
          </w:tcPr>
          <w:p w14:paraId="6126FECF">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44EA7907">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响应文件</w:t>
            </w:r>
            <w:r>
              <w:rPr>
                <w:rStyle w:val="37"/>
                <w:rFonts w:hint="eastAsia"/>
                <w:b w:val="0"/>
                <w:color w:val="auto"/>
                <w:kern w:val="0"/>
                <w:sz w:val="24"/>
                <w:szCs w:val="24"/>
                <w:lang w:val="en-US" w:eastAsia="zh-CN"/>
              </w:rPr>
              <w:t>不</w:t>
            </w:r>
            <w:r>
              <w:rPr>
                <w:rStyle w:val="37"/>
                <w:rFonts w:hint="eastAsia"/>
                <w:b w:val="0"/>
                <w:color w:val="auto"/>
                <w:kern w:val="0"/>
                <w:sz w:val="24"/>
                <w:szCs w:val="24"/>
              </w:rPr>
              <w:t>含有采购人不能接受的附加条件的。</w:t>
            </w:r>
          </w:p>
        </w:tc>
      </w:tr>
      <w:tr w14:paraId="7C7BB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5D228F61">
            <w:pPr>
              <w:autoSpaceDE w:val="0"/>
              <w:autoSpaceDN w:val="0"/>
              <w:adjustRightInd w:val="0"/>
              <w:jc w:val="center"/>
              <w:rPr>
                <w:rStyle w:val="37"/>
                <w:b w:val="0"/>
                <w:color w:val="auto"/>
                <w:kern w:val="0"/>
                <w:sz w:val="24"/>
                <w:szCs w:val="24"/>
              </w:rPr>
            </w:pPr>
            <w:r>
              <w:rPr>
                <w:rStyle w:val="37"/>
                <w:rFonts w:hint="eastAsia"/>
                <w:b w:val="0"/>
                <w:color w:val="auto"/>
                <w:kern w:val="0"/>
                <w:sz w:val="24"/>
                <w:szCs w:val="24"/>
              </w:rPr>
              <w:t>9</w:t>
            </w:r>
          </w:p>
        </w:tc>
        <w:tc>
          <w:tcPr>
            <w:tcW w:w="647" w:type="pct"/>
            <w:vMerge w:val="continue"/>
            <w:noWrap w:val="0"/>
            <w:vAlign w:val="center"/>
          </w:tcPr>
          <w:p w14:paraId="252BAD01">
            <w:pPr>
              <w:autoSpaceDE w:val="0"/>
              <w:autoSpaceDN w:val="0"/>
              <w:adjustRightInd w:val="0"/>
              <w:jc w:val="center"/>
              <w:rPr>
                <w:rStyle w:val="37"/>
                <w:rFonts w:hint="eastAsia"/>
                <w:b w:val="0"/>
                <w:color w:val="auto"/>
                <w:kern w:val="0"/>
                <w:sz w:val="24"/>
                <w:szCs w:val="24"/>
              </w:rPr>
            </w:pPr>
          </w:p>
        </w:tc>
        <w:tc>
          <w:tcPr>
            <w:tcW w:w="4014" w:type="pct"/>
            <w:noWrap w:val="0"/>
            <w:vAlign w:val="center"/>
          </w:tcPr>
          <w:p w14:paraId="73A814CE">
            <w:pPr>
              <w:autoSpaceDE w:val="0"/>
              <w:autoSpaceDN w:val="0"/>
              <w:adjustRightInd w:val="0"/>
              <w:rPr>
                <w:rStyle w:val="37"/>
                <w:rFonts w:hint="eastAsia"/>
                <w:b w:val="0"/>
                <w:color w:val="auto"/>
                <w:kern w:val="0"/>
                <w:sz w:val="24"/>
                <w:szCs w:val="24"/>
              </w:rPr>
            </w:pPr>
            <w:r>
              <w:rPr>
                <w:rStyle w:val="37"/>
                <w:rFonts w:hint="eastAsia"/>
                <w:b w:val="0"/>
                <w:color w:val="auto"/>
                <w:kern w:val="0"/>
                <w:sz w:val="24"/>
                <w:szCs w:val="24"/>
              </w:rPr>
              <w:t>报价有效期</w:t>
            </w:r>
            <w:r>
              <w:rPr>
                <w:rStyle w:val="37"/>
                <w:rFonts w:hint="eastAsia"/>
                <w:b w:val="0"/>
                <w:color w:val="auto"/>
                <w:kern w:val="0"/>
                <w:sz w:val="24"/>
                <w:szCs w:val="24"/>
                <w:lang w:val="en-US" w:eastAsia="zh-CN"/>
              </w:rPr>
              <w:t>不</w:t>
            </w:r>
            <w:r>
              <w:rPr>
                <w:rStyle w:val="37"/>
                <w:rFonts w:hint="eastAsia"/>
                <w:b w:val="0"/>
                <w:color w:val="auto"/>
                <w:kern w:val="0"/>
                <w:sz w:val="24"/>
                <w:szCs w:val="24"/>
              </w:rPr>
              <w:t>少于竞争性磋商文件中载明的报价有效期的。</w:t>
            </w:r>
          </w:p>
        </w:tc>
      </w:tr>
      <w:tr w14:paraId="15AA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noWrap w:val="0"/>
            <w:vAlign w:val="center"/>
          </w:tcPr>
          <w:p w14:paraId="0CDB8463">
            <w:pPr>
              <w:autoSpaceDE w:val="0"/>
              <w:autoSpaceDN w:val="0"/>
              <w:adjustRightInd w:val="0"/>
              <w:jc w:val="center"/>
              <w:rPr>
                <w:rStyle w:val="37"/>
                <w:b w:val="0"/>
                <w:color w:val="auto"/>
                <w:kern w:val="0"/>
                <w:sz w:val="24"/>
                <w:szCs w:val="24"/>
              </w:rPr>
            </w:pPr>
            <w:r>
              <w:rPr>
                <w:rStyle w:val="37"/>
                <w:rFonts w:hint="eastAsia"/>
                <w:b w:val="0"/>
                <w:color w:val="auto"/>
                <w:kern w:val="0"/>
                <w:sz w:val="24"/>
                <w:szCs w:val="24"/>
              </w:rPr>
              <w:t>10</w:t>
            </w:r>
          </w:p>
        </w:tc>
        <w:tc>
          <w:tcPr>
            <w:tcW w:w="647" w:type="pct"/>
            <w:vMerge w:val="continue"/>
            <w:noWrap w:val="0"/>
            <w:vAlign w:val="center"/>
          </w:tcPr>
          <w:p w14:paraId="0991A064">
            <w:pPr>
              <w:autoSpaceDE w:val="0"/>
              <w:autoSpaceDN w:val="0"/>
              <w:adjustRightInd w:val="0"/>
              <w:jc w:val="center"/>
              <w:rPr>
                <w:rStyle w:val="37"/>
                <w:rFonts w:hint="eastAsia" w:ascii="宋体" w:hAnsi="宋体" w:cs="宋体"/>
                <w:b w:val="0"/>
                <w:color w:val="auto"/>
                <w:kern w:val="0"/>
                <w:sz w:val="24"/>
                <w:szCs w:val="24"/>
              </w:rPr>
            </w:pPr>
          </w:p>
        </w:tc>
        <w:tc>
          <w:tcPr>
            <w:tcW w:w="4014" w:type="pct"/>
            <w:noWrap w:val="0"/>
            <w:vAlign w:val="center"/>
          </w:tcPr>
          <w:p w14:paraId="70FF8B3A">
            <w:pPr>
              <w:autoSpaceDE w:val="0"/>
              <w:autoSpaceDN w:val="0"/>
              <w:adjustRightInd w:val="0"/>
              <w:rPr>
                <w:rStyle w:val="37"/>
                <w:rFonts w:hint="eastAsia" w:ascii="宋体" w:hAnsi="宋体" w:cs="宋体"/>
                <w:b w:val="0"/>
                <w:color w:val="auto"/>
                <w:kern w:val="0"/>
                <w:sz w:val="24"/>
                <w:szCs w:val="24"/>
              </w:rPr>
            </w:pPr>
            <w:r>
              <w:rPr>
                <w:rStyle w:val="37"/>
                <w:rFonts w:hint="eastAsia" w:ascii="宋体" w:hAnsi="宋体" w:cs="宋体"/>
                <w:b w:val="0"/>
                <w:color w:val="auto"/>
                <w:kern w:val="0"/>
                <w:sz w:val="24"/>
                <w:szCs w:val="24"/>
                <w:lang w:val="en-US" w:eastAsia="zh-CN"/>
              </w:rPr>
              <w:t>不存在</w:t>
            </w:r>
            <w:r>
              <w:rPr>
                <w:rStyle w:val="37"/>
                <w:rFonts w:ascii="宋体" w:hAnsi="宋体" w:cs="宋体"/>
                <w:b w:val="0"/>
                <w:color w:val="auto"/>
                <w:kern w:val="0"/>
                <w:sz w:val="24"/>
                <w:szCs w:val="24"/>
              </w:rPr>
              <w:t>法律、法规和竞争性</w:t>
            </w:r>
            <w:r>
              <w:rPr>
                <w:rStyle w:val="37"/>
                <w:rFonts w:hint="eastAsia" w:ascii="宋体" w:hAnsi="宋体" w:cs="宋体"/>
                <w:b w:val="0"/>
                <w:color w:val="auto"/>
                <w:kern w:val="0"/>
                <w:sz w:val="24"/>
                <w:szCs w:val="24"/>
              </w:rPr>
              <w:t>磋商</w:t>
            </w:r>
            <w:r>
              <w:rPr>
                <w:rStyle w:val="37"/>
                <w:rFonts w:ascii="宋体" w:hAnsi="宋体" w:cs="宋体"/>
                <w:b w:val="0"/>
                <w:color w:val="auto"/>
                <w:kern w:val="0"/>
                <w:sz w:val="24"/>
                <w:szCs w:val="24"/>
              </w:rPr>
              <w:t>文件规定的其他无效情形。</w:t>
            </w:r>
          </w:p>
        </w:tc>
      </w:tr>
    </w:tbl>
    <w:p w14:paraId="3231C1E6">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注：符合性审查结论不合格的不进入综合评审阶段。</w:t>
      </w:r>
    </w:p>
    <w:p w14:paraId="5A02587E">
      <w:pPr>
        <w:pStyle w:val="72"/>
        <w:shd w:val="clear" w:color="auto" w:fill="FFFFFF"/>
        <w:spacing w:before="0" w:beforeAutospacing="0" w:after="0" w:afterAutospacing="0" w:line="360" w:lineRule="auto"/>
        <w:ind w:firstLine="482" w:firstLineChars="200"/>
        <w:jc w:val="both"/>
        <w:rPr>
          <w:rStyle w:val="37"/>
          <w:rFonts w:hint="eastAsia"/>
          <w:color w:val="auto"/>
        </w:rPr>
      </w:pPr>
      <w:r>
        <w:rPr>
          <w:rStyle w:val="37"/>
          <w:rFonts w:hint="eastAsia"/>
          <w:color w:val="auto"/>
        </w:rPr>
        <w:t>（</w:t>
      </w:r>
      <w:r>
        <w:rPr>
          <w:rStyle w:val="37"/>
          <w:rFonts w:hint="eastAsia"/>
          <w:color w:val="auto"/>
          <w:lang w:val="en-US" w:eastAsia="zh-CN"/>
        </w:rPr>
        <w:t>二</w:t>
      </w:r>
      <w:r>
        <w:rPr>
          <w:rStyle w:val="37"/>
          <w:rFonts w:hint="eastAsia"/>
          <w:color w:val="auto"/>
        </w:rPr>
        <w:t>）同一品牌产品的审查</w:t>
      </w:r>
    </w:p>
    <w:p w14:paraId="5BAFB4A2">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1．单一产品采购项目。如果有多家供应商投报同一品牌产品的，应当作为一个供应商计算，当供应商不足三家的，应当终止采购活动。</w:t>
      </w:r>
    </w:p>
    <w:p w14:paraId="14F4A3B1">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2．非单一产品采购项目。以核心产品为标准计算同一品牌供应商家数，即核心产品报价同一品牌产品，多家供应商应当作为一个供应商计算。</w:t>
      </w:r>
    </w:p>
    <w:p w14:paraId="7A00538B">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3．提供相同品牌产品且通过资格审查、符合性审查的不同供应商参加同一合同项下采购活动的，按一家供应商计算，评审后得分最高的同品牌供应商获得成交人推荐资格，其他同品牌供应商不作为成交候选人。评审后得分</w:t>
      </w:r>
      <w:r>
        <w:rPr>
          <w:rStyle w:val="37"/>
          <w:b w:val="0"/>
          <w:color w:val="auto"/>
        </w:rPr>
        <w:t>相同的，</w:t>
      </w:r>
      <w:r>
        <w:rPr>
          <w:rStyle w:val="37"/>
          <w:rFonts w:hint="eastAsia"/>
          <w:b w:val="0"/>
          <w:color w:val="auto"/>
        </w:rPr>
        <w:t>依次按照投报产品的技术指标优劣、服务承诺优劣确定</w:t>
      </w:r>
      <w:r>
        <w:rPr>
          <w:rStyle w:val="37"/>
          <w:b w:val="0"/>
          <w:color w:val="auto"/>
        </w:rPr>
        <w:t>一个</w:t>
      </w:r>
      <w:r>
        <w:rPr>
          <w:rStyle w:val="37"/>
          <w:rFonts w:hint="eastAsia"/>
          <w:b w:val="0"/>
          <w:color w:val="auto"/>
        </w:rPr>
        <w:t>作为成交候选人。</w:t>
      </w:r>
    </w:p>
    <w:p w14:paraId="27B8D387">
      <w:pPr>
        <w:pStyle w:val="72"/>
        <w:shd w:val="clear" w:color="auto" w:fill="FFFFFF"/>
        <w:spacing w:before="0" w:beforeAutospacing="0" w:after="0" w:afterAutospacing="0" w:line="360" w:lineRule="auto"/>
        <w:ind w:firstLine="482" w:firstLineChars="200"/>
        <w:jc w:val="both"/>
        <w:rPr>
          <w:rStyle w:val="37"/>
          <w:rFonts w:hint="eastAsia"/>
          <w:color w:val="auto"/>
        </w:rPr>
      </w:pPr>
      <w:r>
        <w:rPr>
          <w:rStyle w:val="37"/>
          <w:rFonts w:hint="eastAsia"/>
          <w:color w:val="auto"/>
        </w:rPr>
        <w:t>（</w:t>
      </w:r>
      <w:r>
        <w:rPr>
          <w:rStyle w:val="37"/>
          <w:rFonts w:hint="eastAsia"/>
          <w:color w:val="auto"/>
          <w:lang w:val="en-US" w:eastAsia="zh-CN"/>
        </w:rPr>
        <w:t>三</w:t>
      </w:r>
      <w:r>
        <w:rPr>
          <w:rStyle w:val="37"/>
          <w:rFonts w:hint="eastAsia"/>
          <w:color w:val="auto"/>
        </w:rPr>
        <w:t>）澄清有关问题</w:t>
      </w:r>
    </w:p>
    <w:p w14:paraId="7AD00189">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对磋商响应文件中含义不明确、同类问题表述不一致或者有明显文字和计算错误的内容，</w:t>
      </w:r>
      <w:r>
        <w:rPr>
          <w:rStyle w:val="37"/>
          <w:rFonts w:hint="eastAsia"/>
          <w:b w:val="0"/>
          <w:color w:val="auto"/>
          <w:lang w:eastAsia="zh-CN"/>
        </w:rPr>
        <w:t>磋商小组</w:t>
      </w:r>
      <w:r>
        <w:rPr>
          <w:rStyle w:val="37"/>
          <w:rFonts w:hint="eastAsia"/>
          <w:b w:val="0"/>
          <w:color w:val="auto"/>
        </w:rPr>
        <w:t>可以书面形式要求供应商做出必要的澄清、说明或者纠正。供应商的澄清、说明或者补正不得超出磋商响应文件的范围或者改变磋商响应文件的实质性内容。</w:t>
      </w:r>
    </w:p>
    <w:p w14:paraId="3365666B">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1 .磋商小组将允许修正磋商响应文件中不构成重大偏离的细微偏离，但这些修正应不会对实质上响应竞争性磋商文件要求的供应商的竞争地位（相互排序）产生不公正的影响。</w:t>
      </w:r>
    </w:p>
    <w:p w14:paraId="2082BC49">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 磋商响应文件报价出现前后不一致的，除竞争性磋商文件另有规定外，按照下列规定修正：</w:t>
      </w:r>
    </w:p>
    <w:p w14:paraId="3AAF79C7">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（1）磋商响应文件中磋商（报价表）内容与磋商响应文件中相应内容不一致的，以报价一览表（报价表）为准；</w:t>
      </w:r>
    </w:p>
    <w:p w14:paraId="0615827E">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（2）大写金额和小写金额不一致的，以大写金额为准；</w:t>
      </w:r>
    </w:p>
    <w:p w14:paraId="601F1DA7">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（3）单价金额小数点或者百分比有明显错位的，以报价一览表的总价为准，并修改单价；</w:t>
      </w:r>
    </w:p>
    <w:p w14:paraId="7F388525">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w:t>
      </w:r>
      <w:r>
        <w:rPr>
          <w:rStyle w:val="37"/>
          <w:rFonts w:hint="eastAsia"/>
          <w:b w:val="0"/>
          <w:color w:val="auto"/>
          <w:lang w:val="en-US" w:eastAsia="zh-CN"/>
        </w:rPr>
        <w:t>4</w:t>
      </w:r>
      <w:r>
        <w:rPr>
          <w:rStyle w:val="37"/>
          <w:rFonts w:hint="eastAsia"/>
          <w:b w:val="0"/>
          <w:color w:val="auto"/>
        </w:rPr>
        <w:t>）总价金额与按单价汇总金额不一致的，以单价金额计算结果为准。</w:t>
      </w:r>
    </w:p>
    <w:p w14:paraId="62778D01">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同时出现两种以上不一致的，按照规定的顺序修正。修正后的报价经供应商确认后产生约束力，供应商不确认的，其投标无效。</w:t>
      </w:r>
    </w:p>
    <w:p w14:paraId="45808B6A">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3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具体证明材料详见</w:t>
      </w:r>
      <w:r>
        <w:rPr>
          <w:rStyle w:val="37"/>
          <w:rFonts w:hint="eastAsia"/>
          <w:b w:val="0"/>
          <w:color w:val="auto"/>
          <w:lang w:eastAsia="zh-CN"/>
        </w:rPr>
        <w:t>投标</w:t>
      </w:r>
      <w:r>
        <w:rPr>
          <w:rStyle w:val="37"/>
          <w:rFonts w:hint="eastAsia"/>
          <w:b w:val="0"/>
          <w:color w:val="auto"/>
        </w:rPr>
        <w:t>须知前附表规定内容）</w:t>
      </w:r>
    </w:p>
    <w:p w14:paraId="3CC5C405">
      <w:pPr>
        <w:pStyle w:val="72"/>
        <w:shd w:val="clear" w:color="auto" w:fill="FFFFFF"/>
        <w:spacing w:before="0" w:beforeAutospacing="0" w:after="0" w:afterAutospacing="0" w:line="360" w:lineRule="auto"/>
        <w:ind w:firstLine="482" w:firstLineChars="200"/>
        <w:jc w:val="both"/>
        <w:rPr>
          <w:rStyle w:val="37"/>
          <w:rFonts w:hint="default" w:eastAsia="宋体"/>
          <w:color w:val="auto"/>
          <w:lang w:val="en-US" w:eastAsia="zh-CN"/>
        </w:rPr>
      </w:pPr>
      <w:r>
        <w:rPr>
          <w:rStyle w:val="37"/>
          <w:rFonts w:hint="eastAsia"/>
          <w:color w:val="auto"/>
        </w:rPr>
        <w:t>（</w:t>
      </w:r>
      <w:r>
        <w:rPr>
          <w:rStyle w:val="37"/>
          <w:rFonts w:hint="eastAsia"/>
          <w:color w:val="auto"/>
          <w:lang w:val="en-US" w:eastAsia="zh-CN"/>
        </w:rPr>
        <w:t>四</w:t>
      </w:r>
      <w:r>
        <w:rPr>
          <w:rStyle w:val="37"/>
          <w:rFonts w:hint="eastAsia"/>
          <w:color w:val="auto"/>
        </w:rPr>
        <w:t>）</w:t>
      </w:r>
      <w:r>
        <w:rPr>
          <w:rStyle w:val="37"/>
          <w:rFonts w:hint="eastAsia"/>
          <w:color w:val="auto"/>
          <w:lang w:val="en-US" w:eastAsia="zh-CN"/>
        </w:rPr>
        <w:t>合格供应商在规定的时间内通过政采云系统线上提交最后报价</w:t>
      </w:r>
    </w:p>
    <w:p w14:paraId="236AF4C8">
      <w:pPr>
        <w:pStyle w:val="72"/>
        <w:shd w:val="clear" w:color="auto" w:fill="FFFFFF"/>
        <w:spacing w:before="0" w:beforeAutospacing="0" w:after="0" w:afterAutospacing="0" w:line="360" w:lineRule="auto"/>
        <w:ind w:firstLine="482" w:firstLineChars="200"/>
        <w:jc w:val="both"/>
        <w:rPr>
          <w:rStyle w:val="37"/>
          <w:rFonts w:hint="eastAsia"/>
          <w:b/>
          <w:bCs w:val="0"/>
          <w:color w:val="auto"/>
        </w:rPr>
      </w:pPr>
      <w:r>
        <w:rPr>
          <w:rStyle w:val="37"/>
          <w:rFonts w:hint="eastAsia"/>
          <w:b/>
          <w:bCs w:val="0"/>
          <w:color w:val="auto"/>
        </w:rPr>
        <w:t>（</w:t>
      </w:r>
      <w:r>
        <w:rPr>
          <w:rStyle w:val="37"/>
          <w:rFonts w:hint="eastAsia"/>
          <w:b/>
          <w:bCs w:val="0"/>
          <w:color w:val="auto"/>
          <w:lang w:val="en-US" w:eastAsia="zh-CN"/>
        </w:rPr>
        <w:t>五</w:t>
      </w:r>
      <w:r>
        <w:rPr>
          <w:rStyle w:val="37"/>
          <w:rFonts w:hint="eastAsia"/>
          <w:b/>
          <w:bCs w:val="0"/>
          <w:color w:val="auto"/>
        </w:rPr>
        <w:t>）综合评分</w:t>
      </w:r>
    </w:p>
    <w:p w14:paraId="7053E092">
      <w:pPr>
        <w:pStyle w:val="72"/>
        <w:shd w:val="clear" w:color="auto" w:fill="FFFFFF"/>
        <w:spacing w:before="0" w:beforeAutospacing="0" w:after="0" w:afterAutospacing="0" w:line="360" w:lineRule="auto"/>
        <w:ind w:firstLine="480" w:firstLineChars="200"/>
        <w:jc w:val="both"/>
        <w:rPr>
          <w:rStyle w:val="37"/>
          <w:rFonts w:hint="default" w:eastAsia="宋体"/>
          <w:b w:val="0"/>
          <w:color w:val="auto"/>
          <w:lang w:val="en-US" w:eastAsia="zh-CN"/>
        </w:rPr>
      </w:pPr>
      <w:r>
        <w:rPr>
          <w:rStyle w:val="37"/>
          <w:rFonts w:hint="eastAsia"/>
          <w:b w:val="0"/>
          <w:color w:val="auto"/>
        </w:rPr>
        <w:t>经磋商确定最终采购需求和提交最后报价的供应商后，由竞争性磋商小组采用综合评分法对提交最后报价的供应商的响应文件和最后报价进行综合评分。</w:t>
      </w:r>
      <w:r>
        <w:rPr>
          <w:rStyle w:val="37"/>
          <w:rFonts w:hint="eastAsia"/>
          <w:b w:val="0"/>
          <w:color w:val="auto"/>
          <w:lang w:val="en-US" w:eastAsia="zh-CN"/>
        </w:rPr>
        <w:t>综合评分评审标准及评分细则附后。</w:t>
      </w:r>
    </w:p>
    <w:p w14:paraId="2F221B01">
      <w:pPr>
        <w:pStyle w:val="72"/>
        <w:shd w:val="clear" w:color="auto" w:fill="FFFFFF"/>
        <w:spacing w:before="0" w:beforeAutospacing="0" w:after="0" w:afterAutospacing="0" w:line="360" w:lineRule="auto"/>
        <w:ind w:firstLine="482" w:firstLineChars="200"/>
        <w:jc w:val="both"/>
        <w:rPr>
          <w:rStyle w:val="37"/>
          <w:rFonts w:hint="eastAsia"/>
          <w:b/>
          <w:bCs w:val="0"/>
          <w:color w:val="auto"/>
        </w:rPr>
      </w:pPr>
      <w:r>
        <w:rPr>
          <w:rStyle w:val="37"/>
          <w:rFonts w:hint="eastAsia"/>
          <w:b/>
          <w:bCs w:val="0"/>
          <w:color w:val="auto"/>
        </w:rPr>
        <w:t>（</w:t>
      </w:r>
      <w:r>
        <w:rPr>
          <w:rStyle w:val="37"/>
          <w:rFonts w:hint="eastAsia"/>
          <w:b/>
          <w:bCs w:val="0"/>
          <w:color w:val="auto"/>
          <w:lang w:val="en-US" w:eastAsia="zh-CN"/>
        </w:rPr>
        <w:t>六</w:t>
      </w:r>
      <w:r>
        <w:rPr>
          <w:rStyle w:val="37"/>
          <w:rFonts w:hint="eastAsia"/>
          <w:b/>
          <w:bCs w:val="0"/>
          <w:color w:val="auto"/>
        </w:rPr>
        <w:t>）复核评审结果</w:t>
      </w:r>
    </w:p>
    <w:p w14:paraId="399905FD">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评审结果汇总完成后，除下列情形外，任何人不得修改评标结果：</w:t>
      </w:r>
    </w:p>
    <w:p w14:paraId="1D0749C6">
      <w:pPr>
        <w:pStyle w:val="72"/>
        <w:shd w:val="clear" w:color="auto" w:fill="FFFFFF"/>
        <w:spacing w:before="0" w:beforeAutospacing="0" w:after="0" w:afterAutospacing="0" w:line="360" w:lineRule="auto"/>
        <w:ind w:firstLine="480" w:firstLineChars="200"/>
        <w:jc w:val="both"/>
        <w:rPr>
          <w:rStyle w:val="37"/>
          <w:b w:val="0"/>
          <w:color w:val="auto"/>
        </w:rPr>
      </w:pPr>
      <w:r>
        <w:rPr>
          <w:rStyle w:val="37"/>
          <w:rFonts w:hint="eastAsia"/>
          <w:b w:val="0"/>
          <w:color w:val="auto"/>
        </w:rPr>
        <w:t>（1）资格性检查认定错误的；</w:t>
      </w:r>
    </w:p>
    <w:p w14:paraId="3ED722B1">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（2）分值汇总计算错误的；</w:t>
      </w:r>
    </w:p>
    <w:p w14:paraId="36825612">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（3）分项评分超出评分标准范围的；</w:t>
      </w:r>
    </w:p>
    <w:p w14:paraId="37C29401">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（4）竞争性磋商小组成员对客观评审因素评分不一致的；</w:t>
      </w:r>
    </w:p>
    <w:p w14:paraId="536C75B9">
      <w:pPr>
        <w:pStyle w:val="72"/>
        <w:shd w:val="clear" w:color="auto" w:fill="FFFFFF"/>
        <w:spacing w:before="0" w:beforeAutospacing="0" w:after="0" w:afterAutospacing="0" w:line="360" w:lineRule="auto"/>
        <w:ind w:firstLine="480" w:firstLineChars="200"/>
        <w:jc w:val="both"/>
        <w:rPr>
          <w:rStyle w:val="37"/>
          <w:b w:val="0"/>
          <w:color w:val="auto"/>
        </w:rPr>
      </w:pPr>
      <w:r>
        <w:rPr>
          <w:rStyle w:val="37"/>
          <w:rFonts w:hint="eastAsia"/>
          <w:b w:val="0"/>
          <w:color w:val="auto"/>
        </w:rPr>
        <w:t>（5）经竞争性磋商小组认定评分畸高、畸低的。</w:t>
      </w:r>
    </w:p>
    <w:p w14:paraId="50F45BDE">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评审报告签署前，经复核发现存在以上情形之一的，竞争性磋商小组应当当场修改评标结果，并在评审报告中记载。评审报告签署后，采购人或者采购代理机构发现存在以上情形之一的，应当组织原竞争性磋商小组进行重新评审，重新评审改变评审结果的，书面报告本级财政部门。</w:t>
      </w:r>
    </w:p>
    <w:p w14:paraId="34E300BB">
      <w:pPr>
        <w:pStyle w:val="72"/>
        <w:shd w:val="clear" w:color="auto" w:fill="FFFFFF"/>
        <w:spacing w:before="0" w:beforeAutospacing="0" w:after="0" w:afterAutospacing="0" w:line="360" w:lineRule="auto"/>
        <w:ind w:firstLine="482" w:firstLineChars="200"/>
        <w:jc w:val="both"/>
        <w:rPr>
          <w:rStyle w:val="37"/>
          <w:rFonts w:hint="eastAsia"/>
          <w:b/>
          <w:bCs w:val="0"/>
          <w:color w:val="auto"/>
        </w:rPr>
      </w:pPr>
      <w:r>
        <w:rPr>
          <w:rStyle w:val="37"/>
          <w:rFonts w:hint="eastAsia"/>
          <w:b/>
          <w:bCs w:val="0"/>
          <w:color w:val="auto"/>
        </w:rPr>
        <w:t>（</w:t>
      </w:r>
      <w:r>
        <w:rPr>
          <w:rStyle w:val="37"/>
          <w:rFonts w:hint="eastAsia"/>
          <w:b/>
          <w:bCs w:val="0"/>
          <w:color w:val="auto"/>
          <w:lang w:val="en-US" w:eastAsia="zh-CN"/>
        </w:rPr>
        <w:t>七</w:t>
      </w:r>
      <w:r>
        <w:rPr>
          <w:rStyle w:val="37"/>
          <w:rFonts w:hint="eastAsia"/>
          <w:b/>
          <w:bCs w:val="0"/>
          <w:color w:val="auto"/>
        </w:rPr>
        <w:t>）推荐成交候选人名单</w:t>
      </w:r>
    </w:p>
    <w:p w14:paraId="23BC8333">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1.评审结果按评审后得分由高到低顺序排列；得分相同的，按报价（经算数修正和落实政府采购政策需进行的价格扣除后的价格）由低到高顺序排列；得分且报价（经算数修正和落实政府采购政策需进行的价格扣除后的价格）相同的，按技术评分由高到低顺序排列；得分、报价（经算数修正和落实政府采购政策需进行的价格扣除后的价格）且技术评分相同的，按所投报产品列入政府优先采购产品类别认证证书多少顺序排列；以上均相同的，按递交响应文件时间先后顺序排列。分包采购的，每包评审结果按上述规则排列。</w:t>
      </w:r>
    </w:p>
    <w:p w14:paraId="387B346F">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2.竞争性磋商小组按照评审结果排列顺序确定成交候选人排名。</w:t>
      </w:r>
    </w:p>
    <w:p w14:paraId="12053CC1">
      <w:pPr>
        <w:pStyle w:val="72"/>
        <w:shd w:val="clear" w:color="auto" w:fill="FFFFFF"/>
        <w:spacing w:before="0" w:beforeAutospacing="0" w:after="0" w:afterAutospacing="0" w:line="360" w:lineRule="auto"/>
        <w:ind w:firstLine="482" w:firstLineChars="200"/>
        <w:jc w:val="both"/>
        <w:rPr>
          <w:rStyle w:val="37"/>
          <w:rFonts w:hint="eastAsia"/>
          <w:b/>
          <w:bCs w:val="0"/>
          <w:color w:val="auto"/>
        </w:rPr>
      </w:pPr>
      <w:r>
        <w:rPr>
          <w:rStyle w:val="37"/>
          <w:rFonts w:hint="eastAsia"/>
          <w:b/>
          <w:bCs w:val="0"/>
          <w:color w:val="auto"/>
        </w:rPr>
        <w:t>（</w:t>
      </w:r>
      <w:r>
        <w:rPr>
          <w:rStyle w:val="37"/>
          <w:rFonts w:hint="eastAsia"/>
          <w:b/>
          <w:bCs w:val="0"/>
          <w:color w:val="auto"/>
          <w:lang w:val="en-US" w:eastAsia="zh-CN"/>
        </w:rPr>
        <w:t>八</w:t>
      </w:r>
      <w:r>
        <w:rPr>
          <w:rStyle w:val="37"/>
          <w:rFonts w:hint="eastAsia"/>
          <w:b/>
          <w:bCs w:val="0"/>
          <w:color w:val="auto"/>
        </w:rPr>
        <w:t>）确定成交供应商</w:t>
      </w:r>
    </w:p>
    <w:p w14:paraId="22481F7A">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根据竞争性磋商文件规定，竞争性磋商小组按照评审结果排列顺序确定成交候选人排名</w:t>
      </w:r>
      <w:r>
        <w:rPr>
          <w:rStyle w:val="37"/>
          <w:b w:val="0"/>
          <w:color w:val="auto"/>
        </w:rPr>
        <w:t>。</w:t>
      </w:r>
    </w:p>
    <w:p w14:paraId="1052357F">
      <w:pPr>
        <w:pStyle w:val="72"/>
        <w:shd w:val="clear" w:color="auto" w:fill="FFFFFF"/>
        <w:spacing w:before="0" w:beforeAutospacing="0" w:after="0" w:afterAutospacing="0" w:line="360" w:lineRule="auto"/>
        <w:ind w:firstLine="482" w:firstLineChars="200"/>
        <w:jc w:val="both"/>
        <w:rPr>
          <w:rStyle w:val="37"/>
          <w:b/>
          <w:bCs w:val="0"/>
          <w:color w:val="auto"/>
        </w:rPr>
      </w:pPr>
      <w:r>
        <w:rPr>
          <w:rStyle w:val="37"/>
          <w:rFonts w:hint="eastAsia"/>
          <w:b/>
          <w:bCs w:val="0"/>
          <w:color w:val="auto"/>
        </w:rPr>
        <w:t>（</w:t>
      </w:r>
      <w:r>
        <w:rPr>
          <w:rStyle w:val="37"/>
          <w:rFonts w:hint="eastAsia"/>
          <w:b/>
          <w:bCs w:val="0"/>
          <w:color w:val="auto"/>
          <w:lang w:val="en-US" w:eastAsia="zh-CN"/>
        </w:rPr>
        <w:t>九</w:t>
      </w:r>
      <w:r>
        <w:rPr>
          <w:rStyle w:val="37"/>
          <w:rFonts w:hint="eastAsia"/>
          <w:b/>
          <w:bCs w:val="0"/>
          <w:color w:val="auto"/>
        </w:rPr>
        <w:t>）编写评审报告</w:t>
      </w:r>
    </w:p>
    <w:p w14:paraId="02BE51D3">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b w:val="0"/>
          <w:color w:val="auto"/>
        </w:rPr>
        <w:t>竞争性</w:t>
      </w:r>
      <w:r>
        <w:rPr>
          <w:rStyle w:val="37"/>
          <w:rFonts w:hint="eastAsia"/>
          <w:b w:val="0"/>
          <w:color w:val="auto"/>
        </w:rPr>
        <w:t>磋商</w:t>
      </w:r>
      <w:r>
        <w:rPr>
          <w:rStyle w:val="37"/>
          <w:b w:val="0"/>
          <w:color w:val="auto"/>
        </w:rPr>
        <w:t>小组根据全体评审成员</w:t>
      </w:r>
      <w:r>
        <w:rPr>
          <w:rStyle w:val="37"/>
          <w:rFonts w:hint="eastAsia"/>
          <w:b w:val="0"/>
          <w:color w:val="auto"/>
        </w:rPr>
        <w:t>签字</w:t>
      </w:r>
      <w:r>
        <w:rPr>
          <w:rStyle w:val="37"/>
          <w:b w:val="0"/>
          <w:color w:val="auto"/>
        </w:rPr>
        <w:t>的原始评审记</w:t>
      </w:r>
      <w:r>
        <w:rPr>
          <w:rStyle w:val="37"/>
          <w:rFonts w:hint="eastAsia"/>
          <w:b w:val="0"/>
          <w:color w:val="auto"/>
        </w:rPr>
        <w:t>录和评审结果编写评审报告。竞争性磋商小组应当在评审报告上签字，对自己的评审意见承担法律责任。对评审报告有异议的，应当在评审报告上签署不同意见，并说明理由，否则视为同意评审报告。竞争性磋商小组成员拒绝在报告上签字又不书面说明其不同意见和理由的，视为同意评审报告。</w:t>
      </w:r>
    </w:p>
    <w:p w14:paraId="44F2DF3D">
      <w:pPr>
        <w:autoSpaceDE w:val="0"/>
        <w:autoSpaceDN w:val="0"/>
        <w:adjustRightInd w:val="0"/>
        <w:rPr>
          <w:rFonts w:hint="eastAsia" w:ascii="宋体" w:hAnsi="宋体" w:cs="宋体"/>
          <w:color w:val="auto"/>
          <w:sz w:val="24"/>
          <w:lang w:val="zh-CN"/>
        </w:rPr>
      </w:pPr>
    </w:p>
    <w:p w14:paraId="5608B3EE">
      <w:pPr>
        <w:rPr>
          <w:rStyle w:val="37"/>
          <w:rFonts w:hint="eastAsia"/>
          <w:color w:val="auto"/>
        </w:rPr>
      </w:pPr>
      <w:r>
        <w:rPr>
          <w:rStyle w:val="37"/>
          <w:rFonts w:hint="eastAsia"/>
          <w:color w:val="auto"/>
        </w:rPr>
        <w:br w:type="page"/>
      </w:r>
    </w:p>
    <w:p w14:paraId="53D3ED70">
      <w:pPr>
        <w:pStyle w:val="72"/>
        <w:shd w:val="clear" w:color="auto" w:fill="FFFFFF"/>
        <w:spacing w:before="0" w:beforeAutospacing="0" w:after="0" w:afterAutospacing="0" w:line="360" w:lineRule="auto"/>
        <w:ind w:firstLine="482" w:firstLineChars="200"/>
        <w:jc w:val="both"/>
        <w:rPr>
          <w:rStyle w:val="37"/>
          <w:rFonts w:hint="eastAsia"/>
          <w:color w:val="auto"/>
        </w:rPr>
      </w:pPr>
      <w:r>
        <w:rPr>
          <w:rStyle w:val="37"/>
          <w:rFonts w:hint="eastAsia"/>
          <w:color w:val="auto"/>
          <w:lang w:val="en-US" w:eastAsia="zh-CN"/>
        </w:rPr>
        <w:t>附：（一）</w:t>
      </w:r>
      <w:r>
        <w:rPr>
          <w:rStyle w:val="37"/>
          <w:rFonts w:hint="eastAsia"/>
          <w:color w:val="auto"/>
        </w:rPr>
        <w:t>评审标准</w:t>
      </w:r>
    </w:p>
    <w:p w14:paraId="77D5C3FB">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1.本项目评分满分100分，由</w:t>
      </w:r>
      <w:r>
        <w:rPr>
          <w:rStyle w:val="37"/>
          <w:rFonts w:hint="eastAsia"/>
          <w:b w:val="0"/>
          <w:color w:val="auto"/>
          <w:lang w:val="en-US" w:eastAsia="zh-CN"/>
        </w:rPr>
        <w:t>报价部分、商务部分</w:t>
      </w:r>
      <w:r>
        <w:rPr>
          <w:rStyle w:val="37"/>
          <w:rFonts w:hint="eastAsia"/>
          <w:b w:val="0"/>
          <w:color w:val="auto"/>
        </w:rPr>
        <w:t>和</w:t>
      </w:r>
      <w:r>
        <w:rPr>
          <w:rStyle w:val="37"/>
          <w:rFonts w:hint="eastAsia"/>
          <w:b w:val="0"/>
          <w:color w:val="auto"/>
          <w:lang w:val="en-US" w:eastAsia="zh-CN"/>
        </w:rPr>
        <w:t>技术部分三</w:t>
      </w:r>
      <w:r>
        <w:rPr>
          <w:rStyle w:val="37"/>
          <w:rFonts w:hint="eastAsia"/>
          <w:b w:val="0"/>
          <w:color w:val="auto"/>
        </w:rPr>
        <w:t>部分构成，具体评分细则附后。</w:t>
      </w:r>
    </w:p>
    <w:p w14:paraId="5FE6A6C0">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2.价格评分按以下两个步骤进行：</w:t>
      </w:r>
    </w:p>
    <w:p w14:paraId="10B354BF">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2.1 落实政府采购政策需进行的价格扣除</w:t>
      </w:r>
    </w:p>
    <w:p w14:paraId="5B0B2B9D">
      <w:pPr>
        <w:pStyle w:val="14"/>
        <w:spacing w:before="139" w:line="364" w:lineRule="auto"/>
        <w:ind w:left="119" w:right="310"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依照财政部、工业和信息化部印发的《政府采购促进中小企业发展管理办法》（财库[2020]46 号）的规定，凡符合要求的有效投标人，按照以下比例给予相应的价格扣除：</w:t>
      </w:r>
    </w:p>
    <w:tbl>
      <w:tblPr>
        <w:tblStyle w:val="70"/>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8"/>
        <w:gridCol w:w="2624"/>
        <w:gridCol w:w="3066"/>
        <w:gridCol w:w="2600"/>
      </w:tblGrid>
      <w:tr w14:paraId="6D8B6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39" w:type="pct"/>
            <w:tcBorders>
              <w:bottom w:val="single" w:color="000000" w:sz="4" w:space="0"/>
              <w:right w:val="single" w:color="000000" w:sz="4" w:space="0"/>
            </w:tcBorders>
          </w:tcPr>
          <w:p w14:paraId="5260E4DC">
            <w:pPr>
              <w:pStyle w:val="69"/>
              <w:spacing w:before="173"/>
              <w:ind w:left="177" w:right="16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443" w:type="pct"/>
            <w:tcBorders>
              <w:left w:val="single" w:color="000000" w:sz="4" w:space="0"/>
              <w:bottom w:val="single" w:color="000000" w:sz="4" w:space="0"/>
              <w:right w:val="single" w:color="000000" w:sz="4" w:space="0"/>
            </w:tcBorders>
          </w:tcPr>
          <w:p w14:paraId="2CAA66D4">
            <w:pPr>
              <w:pStyle w:val="69"/>
              <w:spacing w:before="173"/>
              <w:ind w:left="64" w:right="4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情形</w:t>
            </w:r>
          </w:p>
        </w:tc>
        <w:tc>
          <w:tcPr>
            <w:tcW w:w="1686" w:type="pct"/>
            <w:tcBorders>
              <w:left w:val="single" w:color="000000" w:sz="4" w:space="0"/>
              <w:bottom w:val="single" w:color="000000" w:sz="4" w:space="0"/>
              <w:right w:val="single" w:color="000000" w:sz="4" w:space="0"/>
            </w:tcBorders>
          </w:tcPr>
          <w:p w14:paraId="6702332D">
            <w:pPr>
              <w:pStyle w:val="69"/>
              <w:spacing w:before="173"/>
              <w:ind w:left="940"/>
              <w:rPr>
                <w:rFonts w:ascii="宋体" w:hAnsi="宋体" w:eastAsia="宋体" w:cs="宋体"/>
                <w:color w:val="auto"/>
                <w:sz w:val="24"/>
                <w:szCs w:val="24"/>
                <w:lang w:val="zh-CN"/>
              </w:rPr>
            </w:pPr>
            <w:r>
              <w:rPr>
                <w:rFonts w:hint="eastAsia" w:ascii="宋体" w:hAnsi="宋体" w:eastAsia="宋体" w:cs="宋体"/>
                <w:color w:val="auto"/>
                <w:sz w:val="24"/>
                <w:szCs w:val="24"/>
                <w:lang w:val="zh-CN"/>
              </w:rPr>
              <w:t>价格扣除比例</w:t>
            </w:r>
          </w:p>
        </w:tc>
        <w:tc>
          <w:tcPr>
            <w:tcW w:w="1430" w:type="pct"/>
            <w:tcBorders>
              <w:left w:val="single" w:color="000000" w:sz="4" w:space="0"/>
              <w:bottom w:val="single" w:color="000000" w:sz="4" w:space="0"/>
            </w:tcBorders>
          </w:tcPr>
          <w:p w14:paraId="1847DA09">
            <w:pPr>
              <w:pStyle w:val="69"/>
              <w:spacing w:before="173"/>
              <w:ind w:left="894" w:right="867"/>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计算公式</w:t>
            </w:r>
          </w:p>
        </w:tc>
      </w:tr>
      <w:tr w14:paraId="2E864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439" w:type="pct"/>
            <w:tcBorders>
              <w:top w:val="single" w:color="000000" w:sz="4" w:space="0"/>
              <w:bottom w:val="single" w:color="000000" w:sz="4" w:space="0"/>
              <w:right w:val="single" w:color="000000" w:sz="4" w:space="0"/>
            </w:tcBorders>
          </w:tcPr>
          <w:p w14:paraId="2934400A">
            <w:pPr>
              <w:pStyle w:val="69"/>
              <w:rPr>
                <w:rFonts w:ascii="宋体" w:hAnsi="宋体" w:eastAsia="宋体" w:cs="宋体"/>
                <w:color w:val="auto"/>
                <w:sz w:val="24"/>
                <w:szCs w:val="24"/>
                <w:lang w:val="zh-CN"/>
              </w:rPr>
            </w:pPr>
          </w:p>
          <w:p w14:paraId="5D03EE3D">
            <w:pPr>
              <w:pStyle w:val="69"/>
              <w:ind w:left="1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443" w:type="pct"/>
            <w:tcBorders>
              <w:top w:val="single" w:color="000000" w:sz="4" w:space="0"/>
              <w:left w:val="single" w:color="000000" w:sz="4" w:space="0"/>
              <w:bottom w:val="single" w:color="000000" w:sz="4" w:space="0"/>
              <w:right w:val="single" w:color="000000" w:sz="4" w:space="0"/>
            </w:tcBorders>
          </w:tcPr>
          <w:p w14:paraId="7E918FF8">
            <w:pPr>
              <w:pStyle w:val="69"/>
              <w:spacing w:line="267" w:lineRule="exact"/>
              <w:ind w:left="64" w:right="43"/>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非联合体投标人</w:t>
            </w:r>
          </w:p>
          <w:p w14:paraId="4517050E">
            <w:pPr>
              <w:pStyle w:val="69"/>
              <w:spacing w:before="2"/>
              <w:ind w:left="64" w:right="47"/>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（投标人须为小型、微型企业）</w:t>
            </w:r>
          </w:p>
        </w:tc>
        <w:tc>
          <w:tcPr>
            <w:tcW w:w="1686" w:type="pct"/>
            <w:tcBorders>
              <w:top w:val="single" w:color="000000" w:sz="4" w:space="0"/>
              <w:left w:val="single" w:color="000000" w:sz="4" w:space="0"/>
              <w:bottom w:val="single" w:color="000000" w:sz="4" w:space="0"/>
              <w:right w:val="single" w:color="000000" w:sz="4" w:space="0"/>
            </w:tcBorders>
          </w:tcPr>
          <w:p w14:paraId="67008E65">
            <w:pPr>
              <w:pStyle w:val="69"/>
              <w:spacing w:before="134" w:line="242" w:lineRule="auto"/>
              <w:ind w:left="335" w:right="182" w:hanging="132"/>
              <w:rPr>
                <w:rFonts w:ascii="宋体" w:hAnsi="宋体" w:eastAsia="宋体" w:cs="宋体"/>
                <w:color w:val="auto"/>
                <w:sz w:val="24"/>
                <w:szCs w:val="24"/>
                <w:lang w:val="zh-CN"/>
              </w:rPr>
            </w:pPr>
            <w:r>
              <w:rPr>
                <w:rFonts w:hint="eastAsia" w:ascii="宋体" w:hAnsi="宋体" w:eastAsia="宋体" w:cs="宋体"/>
                <w:color w:val="auto"/>
                <w:sz w:val="24"/>
                <w:szCs w:val="24"/>
                <w:lang w:val="zh-CN"/>
              </w:rPr>
              <w:t>对小型和微型企业产品的价格扣除 10%（工程项目为 3%）</w:t>
            </w:r>
          </w:p>
        </w:tc>
        <w:tc>
          <w:tcPr>
            <w:tcW w:w="1430" w:type="pct"/>
            <w:vMerge w:val="restart"/>
            <w:tcBorders>
              <w:top w:val="single" w:color="000000" w:sz="4" w:space="0"/>
              <w:left w:val="single" w:color="000000" w:sz="4" w:space="0"/>
              <w:bottom w:val="single" w:color="000000" w:sz="4" w:space="0"/>
            </w:tcBorders>
          </w:tcPr>
          <w:p w14:paraId="6F99829E">
            <w:pPr>
              <w:pStyle w:val="69"/>
              <w:rPr>
                <w:rFonts w:ascii="宋体" w:hAnsi="宋体" w:eastAsia="宋体" w:cs="宋体"/>
                <w:color w:val="auto"/>
                <w:sz w:val="24"/>
                <w:szCs w:val="24"/>
                <w:lang w:val="zh-CN"/>
              </w:rPr>
            </w:pPr>
          </w:p>
          <w:p w14:paraId="29908803">
            <w:pPr>
              <w:pStyle w:val="69"/>
              <w:spacing w:before="154" w:line="244" w:lineRule="auto"/>
              <w:ind w:left="177" w:right="149"/>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评标价＝总投标报价—小型和微型企业产品的价格</w:t>
            </w:r>
          </w:p>
          <w:p w14:paraId="6E0441CC">
            <w:pPr>
              <w:pStyle w:val="69"/>
              <w:spacing w:line="265" w:lineRule="exact"/>
              <w:ind w:left="230"/>
              <w:rPr>
                <w:rFonts w:ascii="宋体" w:hAnsi="宋体" w:eastAsia="宋体" w:cs="宋体"/>
                <w:color w:val="auto"/>
                <w:sz w:val="24"/>
                <w:szCs w:val="24"/>
                <w:lang w:val="zh-CN"/>
              </w:rPr>
            </w:pPr>
            <w:r>
              <w:rPr>
                <w:rFonts w:hint="eastAsia" w:ascii="宋体" w:hAnsi="宋体" w:eastAsia="宋体" w:cs="宋体"/>
                <w:color w:val="auto"/>
                <w:sz w:val="24"/>
                <w:szCs w:val="24"/>
                <w:lang w:val="zh-CN"/>
              </w:rPr>
              <w:t>×10%（工程项目为 3%）</w:t>
            </w:r>
          </w:p>
        </w:tc>
      </w:tr>
      <w:tr w14:paraId="1C4D2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439" w:type="pct"/>
            <w:tcBorders>
              <w:top w:val="single" w:color="000000" w:sz="4" w:space="0"/>
              <w:bottom w:val="single" w:color="000000" w:sz="4" w:space="0"/>
              <w:right w:val="single" w:color="000000" w:sz="4" w:space="0"/>
            </w:tcBorders>
          </w:tcPr>
          <w:p w14:paraId="31B97AAE">
            <w:pPr>
              <w:pStyle w:val="69"/>
              <w:spacing w:before="2"/>
              <w:rPr>
                <w:rFonts w:ascii="宋体" w:hAnsi="宋体" w:eastAsia="宋体" w:cs="宋体"/>
                <w:color w:val="auto"/>
                <w:sz w:val="24"/>
                <w:szCs w:val="24"/>
                <w:lang w:val="zh-CN"/>
              </w:rPr>
            </w:pPr>
          </w:p>
          <w:p w14:paraId="678EE27E">
            <w:pPr>
              <w:pStyle w:val="69"/>
              <w:ind w:left="1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443" w:type="pct"/>
            <w:tcBorders>
              <w:top w:val="single" w:color="000000" w:sz="4" w:space="0"/>
              <w:left w:val="single" w:color="000000" w:sz="4" w:space="0"/>
              <w:bottom w:val="single" w:color="000000" w:sz="4" w:space="0"/>
              <w:right w:val="single" w:color="000000" w:sz="4" w:space="0"/>
            </w:tcBorders>
          </w:tcPr>
          <w:p w14:paraId="343DFF85">
            <w:pPr>
              <w:pStyle w:val="69"/>
              <w:spacing w:before="134" w:line="244" w:lineRule="auto"/>
              <w:ind w:left="715" w:right="165" w:hanging="526"/>
              <w:rPr>
                <w:rFonts w:ascii="宋体" w:hAnsi="宋体" w:eastAsia="宋体" w:cs="宋体"/>
                <w:color w:val="auto"/>
                <w:sz w:val="24"/>
                <w:szCs w:val="24"/>
                <w:lang w:val="zh-CN"/>
              </w:rPr>
            </w:pPr>
            <w:r>
              <w:rPr>
                <w:rFonts w:hint="eastAsia" w:ascii="宋体" w:hAnsi="宋体" w:eastAsia="宋体" w:cs="宋体"/>
                <w:color w:val="auto"/>
                <w:sz w:val="24"/>
                <w:szCs w:val="24"/>
                <w:lang w:val="zh-CN"/>
              </w:rPr>
              <w:t>联合体投标人各方均</w:t>
            </w:r>
          </w:p>
          <w:p w14:paraId="3534EAFC">
            <w:pPr>
              <w:pStyle w:val="69"/>
              <w:spacing w:before="134" w:line="244" w:lineRule="auto"/>
              <w:ind w:right="165" w:firstLine="240" w:firstLineChars="100"/>
              <w:rPr>
                <w:rFonts w:ascii="宋体" w:hAnsi="宋体" w:eastAsia="宋体" w:cs="宋体"/>
                <w:color w:val="auto"/>
                <w:sz w:val="24"/>
                <w:szCs w:val="24"/>
                <w:lang w:val="zh-CN"/>
              </w:rPr>
            </w:pPr>
            <w:r>
              <w:rPr>
                <w:rFonts w:hint="eastAsia" w:ascii="宋体" w:hAnsi="宋体" w:eastAsia="宋体" w:cs="宋体"/>
                <w:color w:val="auto"/>
                <w:sz w:val="24"/>
                <w:szCs w:val="24"/>
                <w:lang w:val="zh-CN"/>
              </w:rPr>
              <w:t>为小型、微型企业</w:t>
            </w:r>
          </w:p>
        </w:tc>
        <w:tc>
          <w:tcPr>
            <w:tcW w:w="1686" w:type="pct"/>
            <w:tcBorders>
              <w:top w:val="single" w:color="000000" w:sz="4" w:space="0"/>
              <w:left w:val="single" w:color="000000" w:sz="4" w:space="0"/>
              <w:bottom w:val="single" w:color="000000" w:sz="4" w:space="0"/>
              <w:right w:val="single" w:color="000000" w:sz="4" w:space="0"/>
            </w:tcBorders>
          </w:tcPr>
          <w:p w14:paraId="4E00B7F2">
            <w:pPr>
              <w:pStyle w:val="69"/>
              <w:spacing w:line="242" w:lineRule="auto"/>
              <w:ind w:left="335" w:right="182" w:hanging="132"/>
              <w:rPr>
                <w:rFonts w:ascii="宋体" w:hAnsi="宋体" w:eastAsia="宋体" w:cs="宋体"/>
                <w:color w:val="auto"/>
                <w:sz w:val="24"/>
                <w:szCs w:val="24"/>
                <w:lang w:val="zh-CN"/>
              </w:rPr>
            </w:pPr>
            <w:r>
              <w:rPr>
                <w:rFonts w:hint="eastAsia" w:ascii="宋体" w:hAnsi="宋体" w:eastAsia="宋体" w:cs="宋体"/>
                <w:color w:val="auto"/>
                <w:sz w:val="24"/>
                <w:szCs w:val="24"/>
                <w:lang w:val="zh-CN"/>
              </w:rPr>
              <w:t>对小型和微型企业产品的价格扣除 10%（工程项目为 3%）</w:t>
            </w:r>
          </w:p>
          <w:p w14:paraId="739DC394">
            <w:pPr>
              <w:pStyle w:val="69"/>
              <w:spacing w:before="1" w:line="253" w:lineRule="exact"/>
              <w:ind w:left="112"/>
              <w:rPr>
                <w:rFonts w:ascii="宋体" w:hAnsi="宋体" w:eastAsia="宋体" w:cs="宋体"/>
                <w:color w:val="auto"/>
                <w:sz w:val="24"/>
                <w:szCs w:val="24"/>
                <w:lang w:val="zh-CN"/>
              </w:rPr>
            </w:pPr>
            <w:r>
              <w:rPr>
                <w:rFonts w:hint="eastAsia" w:ascii="宋体" w:hAnsi="宋体" w:eastAsia="宋体" w:cs="宋体"/>
                <w:color w:val="auto"/>
                <w:sz w:val="24"/>
                <w:szCs w:val="24"/>
                <w:lang w:val="zh-CN"/>
              </w:rPr>
              <w:t>（不再享受序号 3 的价格折扣）</w:t>
            </w:r>
          </w:p>
        </w:tc>
        <w:tc>
          <w:tcPr>
            <w:tcW w:w="1430" w:type="pct"/>
            <w:vMerge w:val="continue"/>
            <w:tcBorders>
              <w:top w:val="nil"/>
              <w:left w:val="single" w:color="000000" w:sz="4" w:space="0"/>
              <w:bottom w:val="single" w:color="000000" w:sz="4" w:space="0"/>
            </w:tcBorders>
          </w:tcPr>
          <w:p w14:paraId="754F8C44">
            <w:pPr>
              <w:rPr>
                <w:rFonts w:ascii="宋体" w:hAnsi="宋体" w:eastAsia="宋体" w:cs="宋体"/>
                <w:color w:val="auto"/>
                <w:sz w:val="24"/>
                <w:szCs w:val="24"/>
                <w:lang w:val="zh-CN"/>
              </w:rPr>
            </w:pPr>
          </w:p>
        </w:tc>
      </w:tr>
      <w:tr w14:paraId="42F9A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8" w:hRule="atLeast"/>
        </w:trPr>
        <w:tc>
          <w:tcPr>
            <w:tcW w:w="439" w:type="pct"/>
            <w:tcBorders>
              <w:top w:val="single" w:color="000000" w:sz="4" w:space="0"/>
              <w:right w:val="single" w:color="000000" w:sz="4" w:space="0"/>
            </w:tcBorders>
          </w:tcPr>
          <w:p w14:paraId="7EFA7984">
            <w:pPr>
              <w:pStyle w:val="69"/>
              <w:rPr>
                <w:rFonts w:ascii="宋体" w:hAnsi="宋体" w:eastAsia="宋体" w:cs="宋体"/>
                <w:color w:val="auto"/>
                <w:sz w:val="24"/>
                <w:szCs w:val="24"/>
                <w:lang w:val="zh-CN"/>
              </w:rPr>
            </w:pPr>
          </w:p>
          <w:p w14:paraId="7569F978">
            <w:pPr>
              <w:pStyle w:val="69"/>
              <w:rPr>
                <w:rFonts w:ascii="宋体" w:hAnsi="宋体" w:eastAsia="宋体" w:cs="宋体"/>
                <w:color w:val="auto"/>
                <w:sz w:val="24"/>
                <w:szCs w:val="24"/>
                <w:lang w:val="zh-CN"/>
              </w:rPr>
            </w:pPr>
          </w:p>
          <w:p w14:paraId="00FAE324">
            <w:pPr>
              <w:pStyle w:val="69"/>
              <w:rPr>
                <w:rFonts w:ascii="宋体" w:hAnsi="宋体" w:eastAsia="宋体" w:cs="宋体"/>
                <w:color w:val="auto"/>
                <w:sz w:val="24"/>
                <w:szCs w:val="24"/>
                <w:lang w:val="zh-CN"/>
              </w:rPr>
            </w:pPr>
          </w:p>
          <w:p w14:paraId="3680A21C">
            <w:pPr>
              <w:pStyle w:val="69"/>
              <w:spacing w:before="2"/>
              <w:rPr>
                <w:rFonts w:ascii="宋体" w:hAnsi="宋体" w:eastAsia="宋体" w:cs="宋体"/>
                <w:color w:val="auto"/>
                <w:sz w:val="24"/>
                <w:szCs w:val="24"/>
                <w:lang w:val="zh-CN"/>
              </w:rPr>
            </w:pPr>
          </w:p>
          <w:p w14:paraId="7DBA2E4A">
            <w:pPr>
              <w:pStyle w:val="69"/>
              <w:ind w:left="1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443" w:type="pct"/>
            <w:tcBorders>
              <w:top w:val="single" w:color="000000" w:sz="4" w:space="0"/>
              <w:left w:val="single" w:color="000000" w:sz="4" w:space="0"/>
              <w:right w:val="single" w:color="000000" w:sz="4" w:space="0"/>
            </w:tcBorders>
          </w:tcPr>
          <w:p w14:paraId="00D76B35">
            <w:pPr>
              <w:pStyle w:val="69"/>
              <w:spacing w:line="242" w:lineRule="auto"/>
              <w:ind w:left="112" w:right="36" w:hanging="54"/>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接受大中型企业与小微企业组成联合体或者允许大中型企业向一家或者多家小微企业分包的采购项目， 对于联合协议或者分包意向协议约定小微企业的合同份额</w:t>
            </w:r>
          </w:p>
          <w:p w14:paraId="615ADE42">
            <w:pPr>
              <w:pStyle w:val="69"/>
              <w:spacing w:line="242" w:lineRule="auto"/>
              <w:ind w:right="36" w:firstLine="240" w:firstLineChars="100"/>
              <w:rPr>
                <w:rFonts w:ascii="宋体" w:hAnsi="宋体" w:eastAsia="宋体" w:cs="宋体"/>
                <w:color w:val="auto"/>
                <w:sz w:val="24"/>
                <w:szCs w:val="24"/>
                <w:lang w:val="zh-CN"/>
              </w:rPr>
            </w:pPr>
            <w:r>
              <w:rPr>
                <w:rFonts w:hint="eastAsia" w:ascii="宋体" w:hAnsi="宋体" w:eastAsia="宋体" w:cs="宋体"/>
                <w:color w:val="auto"/>
                <w:sz w:val="24"/>
                <w:szCs w:val="24"/>
                <w:lang w:val="zh-CN"/>
              </w:rPr>
              <w:t>占到合同总金额30%以上的。</w:t>
            </w:r>
          </w:p>
        </w:tc>
        <w:tc>
          <w:tcPr>
            <w:tcW w:w="1686" w:type="pct"/>
            <w:tcBorders>
              <w:top w:val="single" w:color="000000" w:sz="4" w:space="0"/>
              <w:left w:val="single" w:color="000000" w:sz="4" w:space="0"/>
              <w:right w:val="single" w:color="000000" w:sz="4" w:space="0"/>
            </w:tcBorders>
          </w:tcPr>
          <w:p w14:paraId="17FE57FB">
            <w:pPr>
              <w:pStyle w:val="69"/>
              <w:rPr>
                <w:rFonts w:ascii="宋体" w:hAnsi="宋体" w:eastAsia="宋体" w:cs="宋体"/>
                <w:color w:val="auto"/>
                <w:sz w:val="24"/>
                <w:szCs w:val="24"/>
                <w:lang w:val="zh-CN"/>
              </w:rPr>
            </w:pPr>
          </w:p>
          <w:p w14:paraId="59ABA44A">
            <w:pPr>
              <w:pStyle w:val="69"/>
              <w:spacing w:before="11"/>
              <w:rPr>
                <w:rFonts w:ascii="宋体" w:hAnsi="宋体" w:eastAsia="宋体" w:cs="宋体"/>
                <w:color w:val="auto"/>
                <w:sz w:val="24"/>
                <w:szCs w:val="24"/>
                <w:lang w:val="zh-CN"/>
              </w:rPr>
            </w:pPr>
          </w:p>
          <w:p w14:paraId="1085D32A">
            <w:pPr>
              <w:pStyle w:val="69"/>
              <w:spacing w:before="1" w:line="290" w:lineRule="auto"/>
              <w:ind w:left="112" w:right="44"/>
              <w:rPr>
                <w:rFonts w:ascii="宋体" w:hAnsi="宋体" w:eastAsia="宋体" w:cs="宋体"/>
                <w:color w:val="auto"/>
                <w:sz w:val="24"/>
                <w:szCs w:val="24"/>
                <w:lang w:val="zh-CN"/>
              </w:rPr>
            </w:pPr>
            <w:r>
              <w:rPr>
                <w:rFonts w:hint="eastAsia" w:ascii="宋体" w:hAnsi="宋体" w:eastAsia="宋体" w:cs="宋体"/>
                <w:color w:val="auto"/>
                <w:sz w:val="24"/>
                <w:szCs w:val="24"/>
                <w:lang w:val="zh-CN"/>
              </w:rPr>
              <w:t>对联合体或者大中型企业的报价给予 4%（工程项目为 2%）的扣除。</w:t>
            </w:r>
          </w:p>
        </w:tc>
        <w:tc>
          <w:tcPr>
            <w:tcW w:w="1430" w:type="pct"/>
            <w:tcBorders>
              <w:top w:val="single" w:color="000000" w:sz="4" w:space="0"/>
              <w:left w:val="single" w:color="000000" w:sz="4" w:space="0"/>
            </w:tcBorders>
          </w:tcPr>
          <w:p w14:paraId="1123C18E">
            <w:pPr>
              <w:pStyle w:val="69"/>
              <w:rPr>
                <w:rFonts w:ascii="宋体" w:hAnsi="宋体" w:eastAsia="宋体" w:cs="宋体"/>
                <w:color w:val="auto"/>
                <w:sz w:val="24"/>
                <w:szCs w:val="24"/>
                <w:lang w:val="zh-CN"/>
              </w:rPr>
            </w:pPr>
          </w:p>
          <w:p w14:paraId="78E1F509">
            <w:pPr>
              <w:pStyle w:val="69"/>
              <w:rPr>
                <w:rFonts w:ascii="宋体" w:hAnsi="宋体" w:eastAsia="宋体" w:cs="宋体"/>
                <w:color w:val="auto"/>
                <w:sz w:val="24"/>
                <w:szCs w:val="24"/>
                <w:lang w:val="zh-CN"/>
              </w:rPr>
            </w:pPr>
          </w:p>
          <w:p w14:paraId="314EC0E0">
            <w:pPr>
              <w:pStyle w:val="69"/>
              <w:spacing w:before="9"/>
              <w:rPr>
                <w:rFonts w:ascii="宋体" w:hAnsi="宋体" w:eastAsia="宋体" w:cs="宋体"/>
                <w:color w:val="auto"/>
                <w:sz w:val="24"/>
                <w:szCs w:val="24"/>
                <w:lang w:val="zh-CN"/>
              </w:rPr>
            </w:pPr>
          </w:p>
          <w:p w14:paraId="6CC113BC">
            <w:pPr>
              <w:pStyle w:val="69"/>
              <w:spacing w:line="242" w:lineRule="auto"/>
              <w:ind w:left="1122" w:right="81" w:hanging="996"/>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评标价＝总投标报价×(1- 4 %)</w:t>
            </w:r>
          </w:p>
        </w:tc>
      </w:tr>
    </w:tbl>
    <w:p w14:paraId="7027C523">
      <w:pPr>
        <w:pStyle w:val="14"/>
        <w:ind w:left="120"/>
        <w:rPr>
          <w:rFonts w:ascii="宋体" w:hAnsi="宋体" w:eastAsia="宋体" w:cs="宋体"/>
          <w:color w:val="auto"/>
          <w:sz w:val="24"/>
          <w:szCs w:val="24"/>
          <w:lang w:val="zh-CN"/>
        </w:rPr>
      </w:pPr>
      <w:r>
        <w:rPr>
          <w:rFonts w:hint="eastAsia" w:ascii="宋体" w:hAnsi="宋体" w:eastAsia="宋体" w:cs="宋体"/>
          <w:color w:val="auto"/>
          <w:sz w:val="24"/>
          <w:szCs w:val="24"/>
          <w:lang w:val="zh-CN"/>
        </w:rPr>
        <w:t>注：</w:t>
      </w:r>
    </w:p>
    <w:p w14:paraId="0DB094AB">
      <w:pPr>
        <w:pStyle w:val="14"/>
        <w:spacing w:before="141"/>
        <w:ind w:left="120"/>
        <w:rPr>
          <w:rStyle w:val="37"/>
          <w:rFonts w:hint="eastAsia" w:ascii="Times New Roman" w:hAnsi="Times New Roman" w:eastAsia="宋体" w:cs="Times New Roman"/>
          <w:b w:val="0"/>
          <w:color w:val="auto"/>
          <w:kern w:val="0"/>
          <w:sz w:val="24"/>
          <w:szCs w:val="24"/>
          <w:lang w:val="zh-CN" w:eastAsia="zh-CN" w:bidi="ar-SA"/>
        </w:rPr>
      </w:pPr>
      <w:r>
        <w:rPr>
          <w:rStyle w:val="37"/>
          <w:rFonts w:hint="eastAsia" w:ascii="Times New Roman" w:hAnsi="Times New Roman" w:eastAsia="宋体" w:cs="Times New Roman"/>
          <w:b w:val="0"/>
          <w:color w:val="auto"/>
          <w:kern w:val="0"/>
          <w:sz w:val="24"/>
          <w:szCs w:val="24"/>
          <w:lang w:val="zh-CN" w:eastAsia="zh-CN" w:bidi="ar-SA"/>
        </w:rPr>
        <w:t>（1）中型企业不享受以上优惠；</w:t>
      </w:r>
    </w:p>
    <w:p w14:paraId="75535406">
      <w:pPr>
        <w:pStyle w:val="14"/>
        <w:spacing w:before="139"/>
        <w:ind w:left="119"/>
        <w:rPr>
          <w:rStyle w:val="37"/>
          <w:rFonts w:hint="eastAsia" w:ascii="Times New Roman" w:hAnsi="Times New Roman" w:eastAsia="宋体" w:cs="Times New Roman"/>
          <w:b w:val="0"/>
          <w:color w:val="auto"/>
          <w:kern w:val="0"/>
          <w:sz w:val="24"/>
          <w:szCs w:val="24"/>
          <w:lang w:val="zh-CN" w:eastAsia="zh-CN" w:bidi="ar-SA"/>
        </w:rPr>
      </w:pPr>
      <w:r>
        <w:rPr>
          <w:rStyle w:val="37"/>
          <w:rFonts w:hint="eastAsia" w:ascii="Times New Roman" w:hAnsi="Times New Roman" w:eastAsia="宋体" w:cs="Times New Roman"/>
          <w:b w:val="0"/>
          <w:color w:val="auto"/>
          <w:kern w:val="0"/>
          <w:sz w:val="24"/>
          <w:szCs w:val="24"/>
          <w:lang w:val="zh-CN" w:eastAsia="zh-CN" w:bidi="ar-SA"/>
        </w:rPr>
        <w:t>（2）小型、微型企业提供中型企业制造的货物的，视同为中型企业；</w:t>
      </w:r>
    </w:p>
    <w:p w14:paraId="549DAF34">
      <w:pPr>
        <w:pStyle w:val="14"/>
        <w:keepNext w:val="0"/>
        <w:keepLines w:val="0"/>
        <w:pageBreakBefore w:val="0"/>
        <w:widowControl w:val="0"/>
        <w:kinsoku/>
        <w:wordWrap/>
        <w:overflowPunct/>
        <w:topLinePunct w:val="0"/>
        <w:autoSpaceDE/>
        <w:autoSpaceDN/>
        <w:bidi w:val="0"/>
        <w:adjustRightInd/>
        <w:snapToGrid/>
        <w:spacing w:before="139" w:line="365" w:lineRule="auto"/>
        <w:ind w:left="119"/>
        <w:textAlignment w:val="auto"/>
        <w:rPr>
          <w:rStyle w:val="37"/>
          <w:rFonts w:hint="eastAsia" w:ascii="Times New Roman" w:hAnsi="Times New Roman" w:eastAsia="宋体" w:cs="Times New Roman"/>
          <w:b w:val="0"/>
          <w:color w:val="auto"/>
          <w:kern w:val="0"/>
          <w:sz w:val="24"/>
          <w:szCs w:val="24"/>
          <w:lang w:val="zh-CN" w:eastAsia="zh-CN" w:bidi="ar-SA"/>
        </w:rPr>
      </w:pPr>
      <w:r>
        <w:rPr>
          <w:rStyle w:val="37"/>
          <w:rFonts w:hint="eastAsia" w:ascii="Times New Roman" w:hAnsi="Times New Roman" w:eastAsia="宋体" w:cs="Times New Roman"/>
          <w:b w:val="0"/>
          <w:color w:val="auto"/>
          <w:kern w:val="0"/>
          <w:sz w:val="24"/>
          <w:szCs w:val="24"/>
          <w:lang w:val="zh-CN" w:eastAsia="zh-CN" w:bidi="ar-SA"/>
        </w:rPr>
        <w:t>（3）小型和微型企业产品包括货物及其提供的服务与工程，无法认定小型和微型企业的，不享受价格扣除；</w:t>
      </w:r>
    </w:p>
    <w:p w14:paraId="339BE5D1">
      <w:pPr>
        <w:pStyle w:val="14"/>
        <w:spacing w:before="139" w:line="364" w:lineRule="auto"/>
        <w:ind w:left="119" w:right="214"/>
        <w:rPr>
          <w:rStyle w:val="37"/>
          <w:rFonts w:hint="eastAsia" w:ascii="Times New Roman" w:hAnsi="Times New Roman" w:eastAsia="宋体" w:cs="Times New Roman"/>
          <w:b w:val="0"/>
          <w:color w:val="auto"/>
          <w:kern w:val="0"/>
          <w:sz w:val="24"/>
          <w:szCs w:val="24"/>
          <w:lang w:val="zh-CN" w:eastAsia="zh-CN" w:bidi="ar-SA"/>
        </w:rPr>
      </w:pPr>
      <w:r>
        <w:rPr>
          <w:rStyle w:val="37"/>
          <w:rFonts w:hint="eastAsia" w:ascii="Times New Roman" w:hAnsi="Times New Roman" w:eastAsia="宋体" w:cs="Times New Roman"/>
          <w:b w:val="0"/>
          <w:color w:val="auto"/>
          <w:kern w:val="0"/>
          <w:sz w:val="24"/>
          <w:szCs w:val="24"/>
          <w:lang w:val="zh-CN" w:eastAsia="zh-CN" w:bidi="ar-SA"/>
        </w:rPr>
        <w:t>（4）监狱企业视同小微企业，监狱企业投标的提供由省级以上监狱管理局、戒毒管理局(含新疆生产建设兵团)出具的属于监狱企业的证明文件，</w:t>
      </w:r>
      <w:r>
        <w:rPr>
          <w:rStyle w:val="37"/>
          <w:rFonts w:hint="eastAsia" w:ascii="Times New Roman" w:hAnsi="Times New Roman" w:eastAsia="宋体" w:cs="Times New Roman"/>
          <w:b w:val="0"/>
          <w:color w:val="auto"/>
          <w:kern w:val="0"/>
          <w:sz w:val="24"/>
          <w:szCs w:val="24"/>
          <w:lang w:val="en-US" w:eastAsia="zh-CN" w:bidi="ar-SA"/>
        </w:rPr>
        <w:t>可</w:t>
      </w:r>
      <w:r>
        <w:rPr>
          <w:rStyle w:val="37"/>
          <w:rFonts w:hint="eastAsia" w:ascii="Times New Roman" w:hAnsi="Times New Roman" w:eastAsia="宋体" w:cs="Times New Roman"/>
          <w:b w:val="0"/>
          <w:color w:val="auto"/>
          <w:kern w:val="0"/>
          <w:sz w:val="24"/>
          <w:szCs w:val="24"/>
          <w:lang w:val="zh-CN" w:eastAsia="zh-CN" w:bidi="ar-SA"/>
        </w:rPr>
        <w:t>不再提供《中小企业声明函》；</w:t>
      </w:r>
    </w:p>
    <w:p w14:paraId="5C1CF37B">
      <w:pPr>
        <w:pStyle w:val="14"/>
        <w:spacing w:line="364" w:lineRule="auto"/>
        <w:ind w:left="120" w:right="218" w:hanging="1"/>
        <w:rPr>
          <w:rFonts w:ascii="宋体" w:hAnsi="宋体" w:eastAsia="宋体" w:cs="宋体"/>
          <w:color w:val="auto"/>
          <w:sz w:val="24"/>
          <w:szCs w:val="24"/>
          <w:lang w:val="zh-CN"/>
        </w:rPr>
      </w:pPr>
      <w:r>
        <w:rPr>
          <w:rFonts w:hint="eastAsia" w:ascii="宋体" w:hAnsi="宋体" w:eastAsia="宋体" w:cs="宋体"/>
          <w:color w:val="auto"/>
          <w:sz w:val="24"/>
          <w:szCs w:val="24"/>
          <w:lang w:val="zh-CN"/>
        </w:rPr>
        <w:t>（5）残疾人福利性单位视同小型、微型企业，残疾人福利性单位属于小型、微型企业的，不重复享受政策。符合条件的残疾人福利性单位在参加政府采购活动时，应当提供相关证明文件。</w:t>
      </w:r>
    </w:p>
    <w:p w14:paraId="040DEF18">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2.2 价格评分的计算</w:t>
      </w:r>
    </w:p>
    <w:p w14:paraId="4D41CA3D">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14:paraId="7C6E9409">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价格评分=（磋商基准价/磋商报价）×价格评分分值</w:t>
      </w:r>
    </w:p>
    <w:p w14:paraId="744295DE">
      <w:pPr>
        <w:pStyle w:val="72"/>
        <w:shd w:val="clear" w:color="auto" w:fill="FFFFFF"/>
        <w:spacing w:before="0" w:beforeAutospacing="0" w:after="0" w:afterAutospacing="0" w:line="360" w:lineRule="auto"/>
        <w:ind w:firstLine="480" w:firstLineChars="200"/>
        <w:jc w:val="both"/>
        <w:rPr>
          <w:rStyle w:val="37"/>
          <w:rFonts w:hint="eastAsia"/>
          <w:b w:val="0"/>
          <w:color w:val="auto"/>
        </w:rPr>
      </w:pPr>
      <w:r>
        <w:rPr>
          <w:rStyle w:val="37"/>
          <w:rFonts w:hint="eastAsia"/>
          <w:b w:val="0"/>
          <w:color w:val="auto"/>
        </w:rPr>
        <w:t>评审价仅用于计算价格评分，成交金额以实际报价为准。</w:t>
      </w:r>
    </w:p>
    <w:bookmarkEnd w:id="65"/>
    <w:bookmarkEnd w:id="66"/>
    <w:bookmarkEnd w:id="67"/>
    <w:bookmarkEnd w:id="68"/>
    <w:bookmarkEnd w:id="69"/>
    <w:bookmarkEnd w:id="70"/>
    <w:p w14:paraId="2A4AE21B">
      <w:pPr>
        <w:pStyle w:val="72"/>
        <w:shd w:val="clear" w:color="auto" w:fill="FFFFFF"/>
        <w:spacing w:before="0" w:beforeAutospacing="0" w:after="0" w:afterAutospacing="0" w:line="360" w:lineRule="auto"/>
        <w:ind w:firstLine="482" w:firstLineChars="200"/>
        <w:jc w:val="both"/>
        <w:rPr>
          <w:rStyle w:val="37"/>
          <w:rFonts w:hint="eastAsia" w:ascii="Times New Roman" w:hAnsi="Times New Roman" w:cs="Times New Roman"/>
          <w:color w:val="auto"/>
          <w:lang w:val="en-US" w:eastAsia="zh-CN"/>
        </w:rPr>
      </w:pPr>
      <w:r>
        <w:rPr>
          <w:rStyle w:val="37"/>
          <w:rFonts w:hint="eastAsia" w:ascii="Times New Roman" w:hAnsi="Times New Roman" w:cs="Times New Roman"/>
          <w:color w:val="auto"/>
          <w:lang w:val="en-US" w:eastAsia="zh-CN"/>
        </w:rPr>
        <w:t>（二）评分细则</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
        <w:gridCol w:w="750"/>
        <w:gridCol w:w="7397"/>
        <w:gridCol w:w="326"/>
        <w:gridCol w:w="490"/>
      </w:tblGrid>
      <w:tr w14:paraId="4B53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 w:type="pct"/>
            <w:tcBorders>
              <w:top w:val="single" w:color="auto" w:sz="4" w:space="0"/>
              <w:left w:val="single" w:color="auto" w:sz="4" w:space="0"/>
              <w:bottom w:val="single" w:color="auto" w:sz="4" w:space="0"/>
              <w:right w:val="single" w:color="auto" w:sz="4" w:space="0"/>
            </w:tcBorders>
            <w:noWrap/>
            <w:vAlign w:val="center"/>
          </w:tcPr>
          <w:p w14:paraId="7C94DB0D">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350" w:type="pct"/>
            <w:tcBorders>
              <w:top w:val="single" w:color="auto" w:sz="4" w:space="0"/>
              <w:left w:val="single" w:color="auto" w:sz="4" w:space="0"/>
              <w:bottom w:val="single" w:color="auto" w:sz="4" w:space="0"/>
              <w:right w:val="single" w:color="auto" w:sz="4" w:space="0"/>
            </w:tcBorders>
            <w:noWrap/>
            <w:vAlign w:val="center"/>
          </w:tcPr>
          <w:p w14:paraId="289BB1DE">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4032" w:type="pct"/>
            <w:tcBorders>
              <w:top w:val="single" w:color="auto" w:sz="4" w:space="0"/>
              <w:left w:val="single" w:color="auto" w:sz="4" w:space="0"/>
              <w:bottom w:val="single" w:color="auto" w:sz="4" w:space="0"/>
              <w:right w:val="single" w:color="auto" w:sz="4" w:space="0"/>
            </w:tcBorders>
            <w:noWrap/>
            <w:vAlign w:val="center"/>
          </w:tcPr>
          <w:p w14:paraId="466AC3B8">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c>
          <w:tcPr>
            <w:tcW w:w="176" w:type="pct"/>
            <w:tcBorders>
              <w:top w:val="single" w:color="auto" w:sz="4" w:space="0"/>
              <w:left w:val="single" w:color="auto" w:sz="4" w:space="0"/>
              <w:bottom w:val="single" w:color="auto" w:sz="4" w:space="0"/>
              <w:right w:val="single" w:color="auto" w:sz="4" w:space="0"/>
            </w:tcBorders>
            <w:noWrap/>
            <w:vAlign w:val="center"/>
          </w:tcPr>
          <w:p w14:paraId="10AEB2BF">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得分</w:t>
            </w:r>
          </w:p>
        </w:tc>
        <w:tc>
          <w:tcPr>
            <w:tcW w:w="265" w:type="pct"/>
            <w:tcBorders>
              <w:top w:val="single" w:color="auto" w:sz="4" w:space="0"/>
              <w:left w:val="single" w:color="auto" w:sz="4" w:space="0"/>
              <w:bottom w:val="single" w:color="auto" w:sz="4" w:space="0"/>
              <w:right w:val="single" w:color="auto" w:sz="4" w:space="0"/>
            </w:tcBorders>
            <w:noWrap/>
            <w:vAlign w:val="center"/>
          </w:tcPr>
          <w:p w14:paraId="3D4070F2">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主、客观项</w:t>
            </w:r>
          </w:p>
        </w:tc>
      </w:tr>
      <w:tr w14:paraId="5D3C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34" w:type="pct"/>
            <w:gridSpan w:val="4"/>
            <w:tcBorders>
              <w:top w:val="single" w:color="auto" w:sz="4" w:space="0"/>
              <w:left w:val="single" w:color="auto" w:sz="4" w:space="0"/>
              <w:bottom w:val="single" w:color="auto" w:sz="4" w:space="0"/>
              <w:right w:val="single" w:color="auto" w:sz="4" w:space="0"/>
            </w:tcBorders>
            <w:noWrap/>
            <w:vAlign w:val="center"/>
          </w:tcPr>
          <w:p w14:paraId="5CC6AAEF">
            <w:pPr>
              <w:adjustRightInd w:val="0"/>
              <w:snapToGrid w:val="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（一）报价部分（30分）</w:t>
            </w:r>
          </w:p>
        </w:tc>
        <w:tc>
          <w:tcPr>
            <w:tcW w:w="265" w:type="pct"/>
            <w:tcBorders>
              <w:top w:val="single" w:color="auto" w:sz="4" w:space="0"/>
              <w:left w:val="single" w:color="auto" w:sz="4" w:space="0"/>
              <w:bottom w:val="single" w:color="auto" w:sz="4" w:space="0"/>
              <w:right w:val="single" w:color="auto" w:sz="4" w:space="0"/>
            </w:tcBorders>
            <w:noWrap/>
            <w:vAlign w:val="center"/>
          </w:tcPr>
          <w:p w14:paraId="64F2C3D4">
            <w:pPr>
              <w:adjustRightInd w:val="0"/>
              <w:snapToGrid w:val="0"/>
              <w:jc w:val="left"/>
              <w:rPr>
                <w:rFonts w:hint="eastAsia" w:ascii="宋体" w:hAnsi="宋体" w:eastAsia="宋体" w:cs="宋体"/>
                <w:color w:val="auto"/>
                <w:sz w:val="24"/>
                <w:szCs w:val="24"/>
                <w:lang w:val="en-US" w:eastAsia="zh-CN"/>
              </w:rPr>
            </w:pPr>
          </w:p>
        </w:tc>
      </w:tr>
      <w:tr w14:paraId="26C1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76" w:type="pct"/>
            <w:tcBorders>
              <w:left w:val="single" w:color="auto" w:sz="4" w:space="0"/>
              <w:right w:val="single" w:color="auto" w:sz="4" w:space="0"/>
            </w:tcBorders>
            <w:noWrap/>
            <w:vAlign w:val="center"/>
          </w:tcPr>
          <w:p w14:paraId="1B11732F">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50" w:type="pct"/>
            <w:tcBorders>
              <w:top w:val="single" w:color="auto" w:sz="4" w:space="0"/>
              <w:left w:val="single" w:color="auto" w:sz="4" w:space="0"/>
              <w:right w:val="single" w:color="auto" w:sz="4" w:space="0"/>
            </w:tcBorders>
            <w:noWrap/>
            <w:vAlign w:val="center"/>
          </w:tcPr>
          <w:p w14:paraId="7A2025AB">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4032" w:type="pct"/>
            <w:tcBorders>
              <w:top w:val="single" w:color="auto" w:sz="4" w:space="0"/>
              <w:left w:val="single" w:color="auto" w:sz="4" w:space="0"/>
              <w:right w:val="single" w:color="auto" w:sz="4" w:space="0"/>
            </w:tcBorders>
            <w:noWrap/>
            <w:vAlign w:val="center"/>
          </w:tcPr>
          <w:p w14:paraId="6AB07C98">
            <w:pPr>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rPr>
              <w:t>磋商基准价为所有通过初步评审合格的供应商有效最终磋商报价（二次报价）中的最低报价，得满分</w:t>
            </w:r>
            <w:r>
              <w:rPr>
                <w:rFonts w:ascii="宋体" w:hAnsi="宋体" w:eastAsia="宋体" w:cs="宋体"/>
                <w:color w:val="auto"/>
                <w:sz w:val="24"/>
                <w:szCs w:val="24"/>
              </w:rPr>
              <w:t>3</w:t>
            </w:r>
            <w:r>
              <w:rPr>
                <w:rFonts w:hint="eastAsia" w:ascii="宋体" w:hAnsi="宋体" w:eastAsia="宋体" w:cs="宋体"/>
                <w:color w:val="auto"/>
                <w:sz w:val="24"/>
                <w:szCs w:val="24"/>
              </w:rPr>
              <w:t>0分。</w:t>
            </w:r>
          </w:p>
          <w:p w14:paraId="366A36B0">
            <w:pPr>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rPr>
              <w:t>投标报价得分=（磋商基准价/最终磋商报价）×价格权值（10%）×100</w:t>
            </w:r>
          </w:p>
          <w:p w14:paraId="3C986A5C">
            <w:pPr>
              <w:adjustRightInd w:val="0"/>
              <w:snapToGrid w:val="0"/>
              <w:jc w:val="left"/>
              <w:rPr>
                <w:rFonts w:ascii="宋体" w:hAnsi="宋体" w:eastAsia="宋体" w:cs="宋体"/>
                <w:b/>
                <w:color w:val="auto"/>
                <w:sz w:val="24"/>
                <w:szCs w:val="24"/>
              </w:rPr>
            </w:pPr>
            <w:r>
              <w:rPr>
                <w:rFonts w:hint="eastAsia" w:ascii="宋体" w:hAnsi="宋体" w:eastAsia="宋体" w:cs="宋体"/>
                <w:color w:val="auto"/>
                <w:sz w:val="24"/>
                <w:szCs w:val="24"/>
              </w:rPr>
              <w:t>报价得分精确到小数点后二位；</w:t>
            </w:r>
          </w:p>
        </w:tc>
        <w:tc>
          <w:tcPr>
            <w:tcW w:w="176" w:type="pct"/>
            <w:tcBorders>
              <w:top w:val="single" w:color="auto" w:sz="4" w:space="0"/>
              <w:left w:val="single" w:color="auto" w:sz="4" w:space="0"/>
              <w:right w:val="single" w:color="auto" w:sz="4" w:space="0"/>
            </w:tcBorders>
            <w:noWrap/>
            <w:vAlign w:val="center"/>
          </w:tcPr>
          <w:p w14:paraId="0BE54DF2">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0-</w:t>
            </w:r>
            <w:r>
              <w:rPr>
                <w:rFonts w:ascii="宋体" w:hAnsi="宋体" w:eastAsia="宋体" w:cs="宋体"/>
                <w:color w:val="auto"/>
                <w:sz w:val="24"/>
                <w:szCs w:val="24"/>
              </w:rPr>
              <w:t>30</w:t>
            </w:r>
          </w:p>
        </w:tc>
        <w:tc>
          <w:tcPr>
            <w:tcW w:w="265" w:type="pct"/>
            <w:tcBorders>
              <w:top w:val="single" w:color="auto" w:sz="4" w:space="0"/>
              <w:left w:val="single" w:color="auto" w:sz="4" w:space="0"/>
              <w:right w:val="single" w:color="auto" w:sz="4" w:space="0"/>
            </w:tcBorders>
            <w:noWrap/>
            <w:vAlign w:val="center"/>
          </w:tcPr>
          <w:p w14:paraId="37FC4CCA">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客观项</w:t>
            </w:r>
          </w:p>
        </w:tc>
      </w:tr>
      <w:tr w14:paraId="266E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000" w:type="pct"/>
            <w:gridSpan w:val="5"/>
            <w:tcBorders>
              <w:left w:val="single" w:color="auto" w:sz="4" w:space="0"/>
              <w:right w:val="single" w:color="auto" w:sz="4" w:space="0"/>
            </w:tcBorders>
            <w:noWrap/>
            <w:vAlign w:val="center"/>
          </w:tcPr>
          <w:p w14:paraId="64077A71">
            <w:pPr>
              <w:adjustRightInd w:val="0"/>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二）商务部分（5分）</w:t>
            </w:r>
          </w:p>
        </w:tc>
      </w:tr>
      <w:tr w14:paraId="2E7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6" w:type="pct"/>
            <w:vMerge w:val="restart"/>
            <w:tcBorders>
              <w:left w:val="single" w:color="auto" w:sz="4" w:space="0"/>
              <w:right w:val="single" w:color="auto" w:sz="4" w:space="0"/>
            </w:tcBorders>
            <w:noWrap/>
            <w:vAlign w:val="center"/>
          </w:tcPr>
          <w:p w14:paraId="08CB2A8C">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50" w:type="pct"/>
            <w:vMerge w:val="restart"/>
            <w:tcBorders>
              <w:top w:val="single" w:color="auto" w:sz="4" w:space="0"/>
              <w:left w:val="single" w:color="auto" w:sz="4" w:space="0"/>
              <w:right w:val="single" w:color="auto" w:sz="4" w:space="0"/>
            </w:tcBorders>
            <w:noWrap/>
            <w:vAlign w:val="center"/>
          </w:tcPr>
          <w:p w14:paraId="17C6BFCC">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企业实力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4分）</w:t>
            </w:r>
          </w:p>
        </w:tc>
        <w:tc>
          <w:tcPr>
            <w:tcW w:w="4032" w:type="pct"/>
            <w:tcBorders>
              <w:top w:val="single" w:color="auto" w:sz="4" w:space="0"/>
              <w:left w:val="single" w:color="auto" w:sz="4" w:space="0"/>
              <w:right w:val="single" w:color="auto" w:sz="4" w:space="0"/>
            </w:tcBorders>
            <w:noWrap/>
            <w:vAlign w:val="center"/>
          </w:tcPr>
          <w:p w14:paraId="15F36EE5">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1.全彩拼接模组的制造商制造标准符合GB/T39116-2020智能制造能力标准的要求，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文件中提供第三方认证机构颁发的在有效期内的证书复印件并加盖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公章，</w:t>
            </w:r>
            <w:r>
              <w:rPr>
                <w:rFonts w:hint="eastAsia" w:ascii="宋体" w:hAnsi="宋体" w:eastAsia="宋体" w:cs="宋体"/>
                <w:b/>
                <w:bCs/>
                <w:color w:val="auto"/>
                <w:sz w:val="24"/>
                <w:szCs w:val="24"/>
              </w:rPr>
              <w:t>提供得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分,不提供不得分。</w:t>
            </w:r>
          </w:p>
        </w:tc>
        <w:tc>
          <w:tcPr>
            <w:tcW w:w="176" w:type="pct"/>
            <w:tcBorders>
              <w:top w:val="single" w:color="auto" w:sz="4" w:space="0"/>
              <w:left w:val="single" w:color="auto" w:sz="4" w:space="0"/>
              <w:right w:val="single" w:color="auto" w:sz="4" w:space="0"/>
            </w:tcBorders>
            <w:noWrap/>
            <w:vAlign w:val="center"/>
          </w:tcPr>
          <w:p w14:paraId="6C48001E">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p>
        </w:tc>
        <w:tc>
          <w:tcPr>
            <w:tcW w:w="265" w:type="pct"/>
            <w:tcBorders>
              <w:top w:val="single" w:color="auto" w:sz="4" w:space="0"/>
              <w:left w:val="single" w:color="auto" w:sz="4" w:space="0"/>
              <w:right w:val="single" w:color="auto" w:sz="4" w:space="0"/>
            </w:tcBorders>
            <w:noWrap/>
            <w:vAlign w:val="center"/>
          </w:tcPr>
          <w:p w14:paraId="0C39C6C9">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客观项</w:t>
            </w:r>
          </w:p>
        </w:tc>
      </w:tr>
      <w:tr w14:paraId="16C0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76" w:type="pct"/>
            <w:vMerge w:val="continue"/>
            <w:tcBorders>
              <w:left w:val="single" w:color="auto" w:sz="4" w:space="0"/>
              <w:right w:val="single" w:color="auto" w:sz="4" w:space="0"/>
            </w:tcBorders>
            <w:noWrap/>
            <w:vAlign w:val="center"/>
          </w:tcPr>
          <w:p w14:paraId="0433702D">
            <w:pPr>
              <w:adjustRightInd w:val="0"/>
              <w:snapToGrid w:val="0"/>
              <w:jc w:val="center"/>
              <w:rPr>
                <w:rFonts w:ascii="宋体" w:hAnsi="宋体" w:eastAsia="宋体" w:cs="宋体"/>
                <w:color w:val="auto"/>
                <w:sz w:val="24"/>
                <w:szCs w:val="24"/>
              </w:rPr>
            </w:pPr>
          </w:p>
        </w:tc>
        <w:tc>
          <w:tcPr>
            <w:tcW w:w="350" w:type="pct"/>
            <w:vMerge w:val="continue"/>
            <w:tcBorders>
              <w:left w:val="single" w:color="auto" w:sz="4" w:space="0"/>
              <w:right w:val="single" w:color="auto" w:sz="4" w:space="0"/>
            </w:tcBorders>
            <w:noWrap/>
            <w:vAlign w:val="center"/>
          </w:tcPr>
          <w:p w14:paraId="55153833">
            <w:pPr>
              <w:adjustRightInd w:val="0"/>
              <w:snapToGrid w:val="0"/>
              <w:jc w:val="center"/>
              <w:rPr>
                <w:rFonts w:hint="eastAsia" w:ascii="宋体" w:hAnsi="宋体" w:eastAsia="宋体" w:cs="宋体"/>
                <w:color w:val="auto"/>
                <w:sz w:val="24"/>
                <w:szCs w:val="24"/>
              </w:rPr>
            </w:pPr>
          </w:p>
        </w:tc>
        <w:tc>
          <w:tcPr>
            <w:tcW w:w="4032" w:type="pct"/>
            <w:tcBorders>
              <w:top w:val="single" w:color="auto" w:sz="4" w:space="0"/>
              <w:left w:val="single" w:color="auto" w:sz="4" w:space="0"/>
              <w:right w:val="single" w:color="auto" w:sz="4" w:space="0"/>
            </w:tcBorders>
            <w:noWrap/>
            <w:vAlign w:val="center"/>
          </w:tcPr>
          <w:p w14:paraId="471F1FCB">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2.全彩拼接模组的制造商制造标准符合GB/T22080或ISO/IEC27001的信息安全标准的要求，响应文件中提供第三方认证机构颁发的在有效期内的证书复印件并加盖供应商公章，</w:t>
            </w:r>
            <w:r>
              <w:rPr>
                <w:rFonts w:hint="eastAsia" w:ascii="宋体" w:hAnsi="宋体" w:eastAsia="宋体" w:cs="宋体"/>
                <w:b/>
                <w:bCs/>
                <w:color w:val="auto"/>
                <w:sz w:val="24"/>
                <w:szCs w:val="24"/>
              </w:rPr>
              <w:t>提供得2分,不提供不得分。</w:t>
            </w:r>
          </w:p>
        </w:tc>
        <w:tc>
          <w:tcPr>
            <w:tcW w:w="176" w:type="pct"/>
            <w:tcBorders>
              <w:left w:val="single" w:color="auto" w:sz="4" w:space="0"/>
              <w:right w:val="single" w:color="auto" w:sz="4" w:space="0"/>
            </w:tcBorders>
            <w:noWrap/>
            <w:vAlign w:val="center"/>
          </w:tcPr>
          <w:p w14:paraId="3706A979">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65" w:type="pct"/>
            <w:tcBorders>
              <w:left w:val="single" w:color="auto" w:sz="4" w:space="0"/>
              <w:right w:val="single" w:color="auto" w:sz="4" w:space="0"/>
            </w:tcBorders>
            <w:noWrap/>
            <w:vAlign w:val="center"/>
          </w:tcPr>
          <w:p w14:paraId="5E8CA51D">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客观项</w:t>
            </w:r>
          </w:p>
        </w:tc>
      </w:tr>
      <w:tr w14:paraId="21A7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76" w:type="pct"/>
            <w:tcBorders>
              <w:left w:val="single" w:color="auto" w:sz="4" w:space="0"/>
              <w:right w:val="single" w:color="auto" w:sz="4" w:space="0"/>
            </w:tcBorders>
            <w:noWrap/>
            <w:vAlign w:val="center"/>
          </w:tcPr>
          <w:p w14:paraId="04042A89">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50" w:type="pct"/>
            <w:tcBorders>
              <w:left w:val="single" w:color="auto" w:sz="4" w:space="0"/>
              <w:right w:val="single" w:color="auto" w:sz="4" w:space="0"/>
            </w:tcBorders>
            <w:noWrap/>
            <w:vAlign w:val="center"/>
          </w:tcPr>
          <w:p w14:paraId="1E32D760">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类似业绩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lang w:eastAsia="zh-CN"/>
              </w:rPr>
              <w:t>）</w:t>
            </w:r>
          </w:p>
        </w:tc>
        <w:tc>
          <w:tcPr>
            <w:tcW w:w="4032" w:type="pct"/>
            <w:tcBorders>
              <w:top w:val="single" w:color="auto" w:sz="4" w:space="0"/>
              <w:left w:val="single" w:color="auto" w:sz="4" w:space="0"/>
              <w:right w:val="single" w:color="auto" w:sz="4" w:space="0"/>
            </w:tcBorders>
            <w:noWrap/>
            <w:vAlign w:val="center"/>
          </w:tcPr>
          <w:p w14:paraId="6141761C">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2021年至今（以合同签订日期为准）供应商销售类似业绩的销售合同证明。</w:t>
            </w:r>
          </w:p>
          <w:p w14:paraId="5BE571A2">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需提供满足要求的合同复印件并加盖供应商公章，</w:t>
            </w:r>
            <w:r>
              <w:rPr>
                <w:rFonts w:hint="eastAsia" w:ascii="宋体" w:hAnsi="宋体" w:eastAsia="宋体" w:cs="宋体"/>
                <w:b/>
                <w:bCs/>
                <w:color w:val="auto"/>
                <w:sz w:val="24"/>
                <w:szCs w:val="24"/>
              </w:rPr>
              <w:t>每提供1个，得</w:t>
            </w:r>
            <w:r>
              <w:rPr>
                <w:rFonts w:hint="eastAsia" w:ascii="宋体" w:hAnsi="宋体" w:eastAsia="宋体" w:cs="宋体"/>
                <w:b/>
                <w:bCs/>
                <w:color w:val="auto"/>
                <w:sz w:val="24"/>
                <w:szCs w:val="24"/>
                <w:lang w:val="en-US" w:eastAsia="zh-CN"/>
              </w:rPr>
              <w:t>0.5</w:t>
            </w:r>
            <w:r>
              <w:rPr>
                <w:rFonts w:hint="eastAsia" w:ascii="宋体" w:hAnsi="宋体" w:eastAsia="宋体" w:cs="宋体"/>
                <w:b/>
                <w:bCs/>
                <w:color w:val="auto"/>
                <w:sz w:val="24"/>
                <w:szCs w:val="24"/>
              </w:rPr>
              <w:t>分，最高得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分，不提供不得分。</w:t>
            </w:r>
          </w:p>
        </w:tc>
        <w:tc>
          <w:tcPr>
            <w:tcW w:w="176" w:type="pct"/>
            <w:tcBorders>
              <w:left w:val="single" w:color="auto" w:sz="4" w:space="0"/>
              <w:right w:val="single" w:color="auto" w:sz="4" w:space="0"/>
            </w:tcBorders>
            <w:noWrap/>
            <w:vAlign w:val="center"/>
          </w:tcPr>
          <w:p w14:paraId="36AD4847">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65" w:type="pct"/>
            <w:tcBorders>
              <w:left w:val="single" w:color="auto" w:sz="4" w:space="0"/>
              <w:right w:val="single" w:color="auto" w:sz="4" w:space="0"/>
            </w:tcBorders>
            <w:noWrap/>
            <w:vAlign w:val="center"/>
          </w:tcPr>
          <w:p w14:paraId="1A8E4019">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客观项</w:t>
            </w:r>
          </w:p>
        </w:tc>
      </w:tr>
      <w:tr w14:paraId="339D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0" w:type="pct"/>
            <w:gridSpan w:val="5"/>
            <w:tcBorders>
              <w:left w:val="single" w:color="auto" w:sz="4" w:space="0"/>
              <w:bottom w:val="single" w:color="auto" w:sz="4" w:space="0"/>
              <w:right w:val="single" w:color="auto" w:sz="4" w:space="0"/>
            </w:tcBorders>
            <w:noWrap/>
            <w:vAlign w:val="center"/>
          </w:tcPr>
          <w:p w14:paraId="2ADF5F15">
            <w:pPr>
              <w:adjustRightInd w:val="0"/>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（三）技术部分（65分）</w:t>
            </w:r>
          </w:p>
        </w:tc>
      </w:tr>
      <w:tr w14:paraId="12C7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76" w:type="pct"/>
            <w:tcBorders>
              <w:top w:val="single" w:color="auto" w:sz="4" w:space="0"/>
              <w:left w:val="single" w:color="auto" w:sz="4" w:space="0"/>
              <w:right w:val="single" w:color="auto" w:sz="4" w:space="0"/>
            </w:tcBorders>
            <w:noWrap/>
            <w:vAlign w:val="center"/>
          </w:tcPr>
          <w:p w14:paraId="643B6E84">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50" w:type="pct"/>
            <w:tcBorders>
              <w:top w:val="single" w:color="auto" w:sz="4" w:space="0"/>
              <w:left w:val="single" w:color="auto" w:sz="4" w:space="0"/>
              <w:right w:val="single" w:color="auto" w:sz="4" w:space="0"/>
            </w:tcBorders>
            <w:noWrap/>
            <w:vAlign w:val="center"/>
          </w:tcPr>
          <w:p w14:paraId="6C8B6000">
            <w:pPr>
              <w:adjustRightInd w:val="0"/>
              <w:snapToGrid w:val="0"/>
              <w:jc w:val="center"/>
              <w:textAlignment w:val="baseline"/>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rPr>
              <w:t>技术要求</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50分）</w:t>
            </w:r>
          </w:p>
        </w:tc>
        <w:tc>
          <w:tcPr>
            <w:tcW w:w="4032" w:type="pct"/>
            <w:tcBorders>
              <w:top w:val="single" w:color="auto" w:sz="4" w:space="0"/>
              <w:left w:val="single" w:color="auto" w:sz="4" w:space="0"/>
              <w:bottom w:val="single" w:color="auto" w:sz="4" w:space="0"/>
              <w:right w:val="single" w:color="auto" w:sz="4" w:space="0"/>
            </w:tcBorders>
            <w:noWrap/>
            <w:vAlign w:val="center"/>
          </w:tcPr>
          <w:p w14:paraId="708A18E0">
            <w:pPr>
              <w:pStyle w:val="74"/>
              <w:spacing w:line="276"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1、针对响应文件《技术条款偏离表》及相关证明材料内容进行打分，对一般技术参数条款响应情况进行评审：优于或完全满足项目</w:t>
            </w:r>
            <w:r>
              <w:rPr>
                <w:rFonts w:hint="eastAsia" w:ascii="宋体" w:hAnsi="宋体" w:cs="宋体"/>
                <w:color w:val="auto"/>
                <w:kern w:val="2"/>
                <w:sz w:val="24"/>
                <w:szCs w:val="24"/>
                <w:lang w:val="en-US" w:eastAsia="zh-CN" w:bidi="ar-SA"/>
              </w:rPr>
              <w:t>采购</w:t>
            </w:r>
            <w:r>
              <w:rPr>
                <w:rFonts w:hint="eastAsia" w:ascii="宋体" w:hAnsi="宋体" w:eastAsia="宋体" w:cs="宋体"/>
                <w:color w:val="auto"/>
                <w:kern w:val="2"/>
                <w:sz w:val="24"/>
                <w:szCs w:val="24"/>
                <w:lang w:val="en-US" w:eastAsia="zh-CN" w:bidi="ar-SA"/>
              </w:rPr>
              <w:t>需求中技术要求内容的，得本项满分</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分；其他情况的，一般技术参数条款响应得分=(满足一般技术参数条款的数量÷一般技术参数条款的总数量）×本项满分（得分四舍五入保留两位小数）。参与本项评审的一般技术参数条款数量：</w:t>
            </w:r>
            <w:r>
              <w:rPr>
                <w:rFonts w:hint="eastAsia" w:ascii="宋体" w:hAnsi="宋体" w:eastAsia="宋体" w:cs="宋体"/>
                <w:b/>
                <w:bCs/>
                <w:color w:val="auto"/>
                <w:kern w:val="2"/>
                <w:sz w:val="24"/>
                <w:szCs w:val="24"/>
                <w:lang w:val="en-US" w:eastAsia="zh-CN" w:bidi="ar-SA"/>
              </w:rPr>
              <w:t>共</w:t>
            </w:r>
            <w:r>
              <w:rPr>
                <w:rFonts w:hint="eastAsia" w:ascii="宋体" w:hAnsi="宋体" w:cs="宋体"/>
                <w:b/>
                <w:bCs/>
                <w:color w:val="auto"/>
                <w:kern w:val="2"/>
                <w:sz w:val="24"/>
                <w:szCs w:val="24"/>
                <w:lang w:val="en-US" w:eastAsia="zh-CN" w:bidi="ar-SA"/>
              </w:rPr>
              <w:t>617</w:t>
            </w:r>
            <w:r>
              <w:rPr>
                <w:rFonts w:hint="eastAsia" w:ascii="宋体" w:hAnsi="宋体" w:eastAsia="宋体" w:cs="宋体"/>
                <w:b/>
                <w:bCs/>
                <w:color w:val="auto"/>
                <w:kern w:val="2"/>
                <w:sz w:val="24"/>
                <w:szCs w:val="24"/>
                <w:lang w:val="en-US" w:eastAsia="zh-CN" w:bidi="ar-SA"/>
              </w:rPr>
              <w:t>条</w:t>
            </w:r>
            <w:r>
              <w:rPr>
                <w:rFonts w:hint="eastAsia" w:ascii="宋体" w:hAnsi="宋体" w:eastAsia="宋体" w:cs="宋体"/>
                <w:color w:val="auto"/>
                <w:kern w:val="2"/>
                <w:sz w:val="24"/>
                <w:szCs w:val="24"/>
                <w:lang w:val="en-US" w:eastAsia="zh-CN" w:bidi="ar-SA"/>
              </w:rPr>
              <w:t>。</w:t>
            </w:r>
          </w:p>
          <w:p w14:paraId="72C9D663">
            <w:pPr>
              <w:pStyle w:val="74"/>
              <w:spacing w:line="276" w:lineRule="auto"/>
              <w:rPr>
                <w:color w:val="auto"/>
                <w:sz w:val="24"/>
                <w:szCs w:val="24"/>
              </w:rPr>
            </w:pPr>
            <w:r>
              <w:rPr>
                <w:rFonts w:hint="eastAsia" w:ascii="宋体" w:hAnsi="宋体" w:eastAsia="宋体" w:cs="宋体"/>
                <w:color w:val="auto"/>
                <w:kern w:val="2"/>
                <w:sz w:val="24"/>
                <w:szCs w:val="24"/>
                <w:lang w:val="en-US" w:eastAsia="zh-CN" w:bidi="ar-SA"/>
              </w:rPr>
              <w:t>2、针对响应文件《技术条款偏离表》内容进行打分，对星号条款响应情况进行评审：星号条款</w:t>
            </w:r>
            <w:r>
              <w:rPr>
                <w:rFonts w:hint="eastAsia" w:ascii="宋体" w:hAnsi="宋体" w:eastAsia="宋体" w:cs="宋体"/>
                <w:b/>
                <w:bCs/>
                <w:color w:val="auto"/>
                <w:kern w:val="2"/>
                <w:sz w:val="24"/>
                <w:szCs w:val="24"/>
                <w:lang w:val="en-US" w:eastAsia="zh-CN" w:bidi="ar-SA"/>
              </w:rPr>
              <w:t>共</w:t>
            </w:r>
            <w:r>
              <w:rPr>
                <w:rFonts w:hint="eastAsia" w:ascii="宋体" w:hAnsi="宋体" w:cs="宋体"/>
                <w:b/>
                <w:bCs/>
                <w:color w:val="auto"/>
                <w:kern w:val="2"/>
                <w:sz w:val="24"/>
                <w:szCs w:val="24"/>
                <w:lang w:val="en-US" w:eastAsia="zh-CN" w:bidi="ar-SA"/>
              </w:rPr>
              <w:t>26</w:t>
            </w:r>
            <w:r>
              <w:rPr>
                <w:rFonts w:hint="eastAsia" w:ascii="宋体" w:hAnsi="宋体" w:eastAsia="宋体" w:cs="宋体"/>
                <w:b/>
                <w:bCs/>
                <w:color w:val="auto"/>
                <w:kern w:val="2"/>
                <w:sz w:val="24"/>
                <w:szCs w:val="24"/>
                <w:lang w:val="en-US" w:eastAsia="zh-CN" w:bidi="ar-SA"/>
              </w:rPr>
              <w:t>条</w:t>
            </w:r>
            <w:r>
              <w:rPr>
                <w:rFonts w:hint="eastAsia" w:ascii="宋体" w:hAnsi="宋体" w:eastAsia="宋体" w:cs="宋体"/>
                <w:color w:val="auto"/>
                <w:kern w:val="2"/>
                <w:sz w:val="24"/>
                <w:szCs w:val="24"/>
                <w:lang w:val="en-US" w:eastAsia="zh-CN" w:bidi="ar-SA"/>
              </w:rPr>
              <w:t>，本项评审满分</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分，每负偏离一项扣</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w:t>
            </w:r>
          </w:p>
        </w:tc>
        <w:tc>
          <w:tcPr>
            <w:tcW w:w="176" w:type="pct"/>
            <w:tcBorders>
              <w:top w:val="single" w:color="auto" w:sz="4" w:space="0"/>
              <w:left w:val="single" w:color="auto" w:sz="4" w:space="0"/>
              <w:right w:val="single" w:color="auto" w:sz="4" w:space="0"/>
            </w:tcBorders>
            <w:noWrap/>
            <w:vAlign w:val="center"/>
          </w:tcPr>
          <w:p w14:paraId="695BAAC9">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0-50</w:t>
            </w:r>
          </w:p>
        </w:tc>
        <w:tc>
          <w:tcPr>
            <w:tcW w:w="265" w:type="pct"/>
            <w:tcBorders>
              <w:top w:val="single" w:color="auto" w:sz="4" w:space="0"/>
              <w:left w:val="single" w:color="auto" w:sz="4" w:space="0"/>
              <w:right w:val="single" w:color="auto" w:sz="4" w:space="0"/>
            </w:tcBorders>
            <w:noWrap/>
            <w:vAlign w:val="center"/>
          </w:tcPr>
          <w:p w14:paraId="3F31D5A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客观项</w:t>
            </w:r>
          </w:p>
        </w:tc>
      </w:tr>
      <w:tr w14:paraId="71CA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76" w:type="pct"/>
            <w:tcBorders>
              <w:left w:val="single" w:color="auto" w:sz="4" w:space="0"/>
              <w:right w:val="single" w:color="auto" w:sz="4" w:space="0"/>
            </w:tcBorders>
            <w:noWrap/>
            <w:vAlign w:val="center"/>
          </w:tcPr>
          <w:p w14:paraId="747754F8">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350" w:type="pct"/>
            <w:tcBorders>
              <w:top w:val="single" w:color="auto" w:sz="4" w:space="0"/>
              <w:left w:val="single" w:color="auto" w:sz="4" w:space="0"/>
              <w:bottom w:val="single" w:color="auto" w:sz="4" w:space="0"/>
              <w:right w:val="single" w:color="auto" w:sz="4" w:space="0"/>
            </w:tcBorders>
            <w:noWrap/>
            <w:vAlign w:val="center"/>
          </w:tcPr>
          <w:p w14:paraId="05E0C957">
            <w:pPr>
              <w:adjustRightInd w:val="0"/>
              <w:snapToGrid w:val="0"/>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实施方案（9分）</w:t>
            </w:r>
          </w:p>
        </w:tc>
        <w:tc>
          <w:tcPr>
            <w:tcW w:w="4032" w:type="pct"/>
            <w:tcBorders>
              <w:top w:val="single" w:color="auto" w:sz="4" w:space="0"/>
              <w:left w:val="single" w:color="auto" w:sz="4" w:space="0"/>
              <w:bottom w:val="single" w:color="auto" w:sz="4" w:space="0"/>
              <w:right w:val="single" w:color="auto" w:sz="4" w:space="0"/>
            </w:tcBorders>
            <w:noWrap/>
            <w:vAlign w:val="center"/>
          </w:tcPr>
          <w:p w14:paraId="2DBED86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供应商具有明确的实施方案，要求包含但不限于以下方面：</w:t>
            </w:r>
          </w:p>
          <w:p w14:paraId="0873DF3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1、产品采购、运输、安装安全保障体系措施方案；</w:t>
            </w:r>
          </w:p>
          <w:p w14:paraId="596E5FE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2、项目实施过程中安全保障制度；</w:t>
            </w:r>
          </w:p>
          <w:p w14:paraId="66D7B97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3、项目安全管理人员，工作现场安全环境布控等。</w:t>
            </w:r>
          </w:p>
          <w:p w14:paraId="27C1F709">
            <w:pPr>
              <w:pStyle w:val="69"/>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对以上3项方案进行阐述，每提供一项内容适用于项目且无缺失的得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bCs/>
                <w:color w:val="auto"/>
                <w:sz w:val="24"/>
                <w:szCs w:val="24"/>
              </w:rPr>
              <w:t>每项方案内容有缺失的得</w:t>
            </w:r>
            <w:r>
              <w:rPr>
                <w:rFonts w:hint="eastAsia" w:ascii="宋体" w:hAnsi="宋体" w:eastAsia="宋体" w:cs="宋体"/>
                <w:b/>
                <w:bCs/>
                <w:color w:val="auto"/>
                <w:sz w:val="24"/>
                <w:szCs w:val="24"/>
                <w:lang w:val="en-US" w:eastAsia="zh-CN"/>
              </w:rPr>
              <w:t>0.5</w:t>
            </w:r>
            <w:r>
              <w:rPr>
                <w:rFonts w:hint="eastAsia" w:ascii="宋体" w:hAnsi="宋体" w:eastAsia="宋体" w:cs="宋体"/>
                <w:b/>
                <w:bCs/>
                <w:color w:val="auto"/>
                <w:sz w:val="24"/>
                <w:szCs w:val="24"/>
              </w:rPr>
              <w:t>分，不提供不得分，满分</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（缺失是指：不符合实际，存在偏离内容、内容前后不一致、文不对题、前后逻辑错误、内容缺失有瑕疵、无具体流程细节描述之处）</w:t>
            </w:r>
          </w:p>
        </w:tc>
        <w:tc>
          <w:tcPr>
            <w:tcW w:w="176" w:type="pct"/>
            <w:tcBorders>
              <w:top w:val="single" w:color="auto" w:sz="4" w:space="0"/>
              <w:left w:val="single" w:color="auto" w:sz="4" w:space="0"/>
              <w:bottom w:val="single" w:color="auto" w:sz="4" w:space="0"/>
              <w:right w:val="single" w:color="auto" w:sz="4" w:space="0"/>
            </w:tcBorders>
            <w:noWrap/>
            <w:vAlign w:val="center"/>
          </w:tcPr>
          <w:p w14:paraId="6A9581BE">
            <w:pPr>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9</w:t>
            </w:r>
          </w:p>
        </w:tc>
        <w:tc>
          <w:tcPr>
            <w:tcW w:w="265" w:type="pct"/>
            <w:tcBorders>
              <w:top w:val="single" w:color="auto" w:sz="4" w:space="0"/>
              <w:left w:val="single" w:color="auto" w:sz="4" w:space="0"/>
              <w:bottom w:val="single" w:color="auto" w:sz="4" w:space="0"/>
              <w:right w:val="single" w:color="auto" w:sz="4" w:space="0"/>
            </w:tcBorders>
            <w:noWrap/>
            <w:vAlign w:val="center"/>
          </w:tcPr>
          <w:p w14:paraId="5206B168">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主观项</w:t>
            </w:r>
          </w:p>
        </w:tc>
      </w:tr>
      <w:tr w14:paraId="7FA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76" w:type="pct"/>
            <w:tcBorders>
              <w:left w:val="single" w:color="auto" w:sz="4" w:space="0"/>
              <w:right w:val="single" w:color="auto" w:sz="4" w:space="0"/>
            </w:tcBorders>
            <w:noWrap/>
            <w:vAlign w:val="center"/>
          </w:tcPr>
          <w:p w14:paraId="68A62783">
            <w:pPr>
              <w:adjustRightInd w:val="0"/>
              <w:snapToGrid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350" w:type="pct"/>
            <w:tcBorders>
              <w:top w:val="single" w:color="auto" w:sz="4" w:space="0"/>
              <w:left w:val="single" w:color="auto" w:sz="4" w:space="0"/>
              <w:bottom w:val="single" w:color="auto" w:sz="4" w:space="0"/>
              <w:right w:val="single" w:color="auto" w:sz="4" w:space="0"/>
            </w:tcBorders>
            <w:noWrap/>
            <w:vAlign w:val="center"/>
          </w:tcPr>
          <w:p w14:paraId="1D12D86A">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lang w:val="en-US" w:eastAsia="zh-CN"/>
              </w:rPr>
              <w:t>6分）</w:t>
            </w:r>
          </w:p>
        </w:tc>
        <w:tc>
          <w:tcPr>
            <w:tcW w:w="4032" w:type="pct"/>
            <w:tcBorders>
              <w:top w:val="single" w:color="auto" w:sz="4" w:space="0"/>
              <w:left w:val="single" w:color="auto" w:sz="4" w:space="0"/>
              <w:bottom w:val="single" w:color="auto" w:sz="4" w:space="0"/>
              <w:right w:val="single" w:color="auto" w:sz="4" w:space="0"/>
            </w:tcBorders>
            <w:noWrap/>
            <w:vAlign w:val="center"/>
          </w:tcPr>
          <w:p w14:paraId="741B3313">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具有明确的售后服务</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，要求包含但不限于以下方面：</w:t>
            </w:r>
          </w:p>
          <w:p w14:paraId="21260340">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1、产品保修计划清晰明确；</w:t>
            </w:r>
          </w:p>
          <w:p w14:paraId="230AE454">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2、售后服务计划完整；</w:t>
            </w:r>
          </w:p>
          <w:p w14:paraId="224A7A13">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3、技术支持响应速率快速。</w:t>
            </w:r>
          </w:p>
          <w:p w14:paraId="6FBA7F6A">
            <w:pPr>
              <w:adjustRightInd w:val="0"/>
              <w:snapToGrid w:val="0"/>
              <w:rPr>
                <w:rFonts w:hint="eastAsia" w:ascii="宋体" w:hAnsi="宋体" w:eastAsia="宋体" w:cs="宋体"/>
                <w:b/>
                <w:bCs/>
                <w:color w:val="auto"/>
                <w:sz w:val="24"/>
                <w:szCs w:val="24"/>
              </w:rPr>
            </w:pPr>
            <w:r>
              <w:rPr>
                <w:rFonts w:hint="eastAsia" w:ascii="宋体" w:hAnsi="宋体" w:eastAsia="宋体" w:cs="宋体"/>
                <w:color w:val="auto"/>
                <w:sz w:val="24"/>
                <w:szCs w:val="24"/>
              </w:rPr>
              <w:t>对以上3项方案进行阐述，</w:t>
            </w:r>
            <w:r>
              <w:rPr>
                <w:rFonts w:hint="eastAsia" w:ascii="宋体" w:hAnsi="宋体" w:eastAsia="宋体" w:cs="宋体"/>
                <w:b/>
                <w:bCs/>
                <w:color w:val="auto"/>
                <w:sz w:val="24"/>
                <w:szCs w:val="24"/>
              </w:rPr>
              <w:t>每提供一项内容适用于项目且无缺失的</w:t>
            </w:r>
            <w:r>
              <w:rPr>
                <w:rFonts w:hint="eastAsia" w:ascii="宋体" w:hAnsi="宋体" w:eastAsia="宋体" w:cs="宋体"/>
                <w:b/>
                <w:bCs/>
                <w:color w:val="auto"/>
                <w:sz w:val="24"/>
                <w:szCs w:val="24"/>
                <w:lang w:eastAsia="zh-CN"/>
              </w:rPr>
              <w:t>得</w:t>
            </w:r>
            <w:r>
              <w:rPr>
                <w:rFonts w:hint="eastAsia" w:ascii="宋体" w:hAnsi="宋体" w:eastAsia="宋体" w:cs="宋体"/>
                <w:b/>
                <w:bCs/>
                <w:color w:val="auto"/>
                <w:sz w:val="24"/>
                <w:szCs w:val="24"/>
              </w:rPr>
              <w:t>2分，</w:t>
            </w:r>
            <w:r>
              <w:rPr>
                <w:rFonts w:hint="eastAsia" w:ascii="宋体" w:hAnsi="宋体" w:eastAsia="宋体" w:cs="宋体"/>
                <w:b/>
                <w:bCs/>
                <w:color w:val="auto"/>
                <w:sz w:val="24"/>
                <w:szCs w:val="24"/>
                <w:lang w:eastAsia="zh-CN"/>
              </w:rPr>
              <w:t>每项</w:t>
            </w:r>
            <w:r>
              <w:rPr>
                <w:rFonts w:hint="eastAsia" w:ascii="宋体" w:hAnsi="宋体" w:eastAsia="宋体" w:cs="宋体"/>
                <w:b/>
                <w:bCs/>
                <w:color w:val="auto"/>
                <w:sz w:val="24"/>
                <w:szCs w:val="24"/>
              </w:rPr>
              <w:t>方案有缺失的得</w:t>
            </w:r>
            <w:r>
              <w:rPr>
                <w:rFonts w:hint="eastAsia" w:ascii="宋体" w:hAnsi="宋体" w:eastAsia="宋体" w:cs="宋体"/>
                <w:b/>
                <w:bCs/>
                <w:color w:val="auto"/>
                <w:sz w:val="24"/>
                <w:szCs w:val="24"/>
                <w:lang w:val="en-US" w:eastAsia="zh-CN"/>
              </w:rPr>
              <w:t>0.5</w:t>
            </w:r>
            <w:r>
              <w:rPr>
                <w:rFonts w:hint="eastAsia" w:ascii="宋体" w:hAnsi="宋体" w:eastAsia="宋体" w:cs="宋体"/>
                <w:b/>
                <w:bCs/>
                <w:color w:val="auto"/>
                <w:sz w:val="24"/>
                <w:szCs w:val="24"/>
              </w:rPr>
              <w:t>分，不提供不得分，满分6分。</w:t>
            </w:r>
          </w:p>
          <w:p w14:paraId="65F09B73">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（缺失是指：不符合实际，存在偏离内容、内容前后不一致、文不对题、前后逻辑错误、内容缺失有瑕疵、无具体流程细节描述之处）</w:t>
            </w:r>
          </w:p>
        </w:tc>
        <w:tc>
          <w:tcPr>
            <w:tcW w:w="176" w:type="pct"/>
            <w:tcBorders>
              <w:top w:val="single" w:color="auto" w:sz="4" w:space="0"/>
              <w:left w:val="single" w:color="auto" w:sz="4" w:space="0"/>
              <w:bottom w:val="single" w:color="auto" w:sz="4" w:space="0"/>
              <w:right w:val="single" w:color="auto" w:sz="4" w:space="0"/>
            </w:tcBorders>
            <w:noWrap/>
            <w:vAlign w:val="center"/>
          </w:tcPr>
          <w:p w14:paraId="65E28DCB">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w:t>
            </w:r>
          </w:p>
        </w:tc>
        <w:tc>
          <w:tcPr>
            <w:tcW w:w="265" w:type="pct"/>
            <w:tcBorders>
              <w:top w:val="single" w:color="auto" w:sz="4" w:space="0"/>
              <w:left w:val="single" w:color="auto" w:sz="4" w:space="0"/>
              <w:bottom w:val="single" w:color="auto" w:sz="4" w:space="0"/>
              <w:right w:val="single" w:color="auto" w:sz="4" w:space="0"/>
            </w:tcBorders>
            <w:noWrap/>
            <w:vAlign w:val="center"/>
          </w:tcPr>
          <w:p w14:paraId="67E6E95D">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主观项</w:t>
            </w:r>
          </w:p>
        </w:tc>
      </w:tr>
    </w:tbl>
    <w:p w14:paraId="4FC7E7F0">
      <w:pPr>
        <w:rPr>
          <w:rFonts w:ascii="宋体" w:hAnsi="宋体" w:eastAsia="宋体"/>
          <w:color w:val="auto"/>
        </w:rPr>
        <w:sectPr>
          <w:pgSz w:w="11906" w:h="16838"/>
          <w:pgMar w:top="1417" w:right="1417" w:bottom="1417" w:left="1417" w:header="851" w:footer="992" w:gutter="0"/>
          <w:cols w:space="0" w:num="1"/>
          <w:docGrid w:type="lines" w:linePitch="312" w:charSpace="0"/>
        </w:sectPr>
      </w:pPr>
    </w:p>
    <w:p w14:paraId="53337395">
      <w:pPr>
        <w:pStyle w:val="2"/>
        <w:spacing w:after="120" w:line="240" w:lineRule="auto"/>
        <w:rPr>
          <w:rFonts w:ascii="宋体" w:hAnsi="宋体" w:cs="宋体"/>
          <w:color w:val="auto"/>
        </w:rPr>
      </w:pPr>
      <w:bookmarkStart w:id="71" w:name="_Toc29383"/>
      <w:r>
        <w:rPr>
          <w:rFonts w:hint="eastAsia" w:ascii="宋体" w:hAnsi="宋体"/>
          <w:color w:val="auto"/>
          <w:lang w:val="zh-CN"/>
        </w:rPr>
        <w:t>第四章</w:t>
      </w:r>
      <w:r>
        <w:rPr>
          <w:rFonts w:hint="eastAsia" w:ascii="宋体" w:hAnsi="宋体" w:cs="宋体"/>
          <w:color w:val="auto"/>
        </w:rPr>
        <w:t xml:space="preserve"> 合同条款</w:t>
      </w:r>
      <w:bookmarkEnd w:id="71"/>
    </w:p>
    <w:p w14:paraId="27365288">
      <w:pPr>
        <w:bidi w:val="0"/>
        <w:jc w:val="center"/>
        <w:rPr>
          <w:lang w:val="zh-CN"/>
        </w:rPr>
      </w:pPr>
      <w:r>
        <w:rPr>
          <w:rFonts w:hint="eastAsia"/>
        </w:rPr>
        <w:t>（以双方最终签订为准）</w:t>
      </w:r>
    </w:p>
    <w:p w14:paraId="4F93B5B5">
      <w:pPr>
        <w:pStyle w:val="2"/>
        <w:jc w:val="both"/>
        <w:rPr>
          <w:rFonts w:hint="eastAsia" w:ascii="宋体" w:hAnsi="宋体"/>
          <w:color w:val="auto"/>
        </w:rPr>
        <w:sectPr>
          <w:footerReference r:id="rId10" w:type="default"/>
          <w:pgSz w:w="11906" w:h="16838"/>
          <w:pgMar w:top="1440" w:right="1080" w:bottom="1440" w:left="1080" w:header="851" w:footer="992" w:gutter="0"/>
          <w:cols w:space="425" w:num="1"/>
          <w:docGrid w:type="lines" w:linePitch="312" w:charSpace="0"/>
        </w:sectPr>
      </w:pPr>
    </w:p>
    <w:p w14:paraId="7AA1539E">
      <w:pPr>
        <w:pStyle w:val="2"/>
        <w:rPr>
          <w:rFonts w:ascii="宋体" w:hAnsi="宋体"/>
          <w:color w:val="auto"/>
        </w:rPr>
      </w:pPr>
      <w:bookmarkStart w:id="72" w:name="_Toc14562"/>
      <w:r>
        <w:rPr>
          <w:rFonts w:hint="eastAsia" w:ascii="宋体" w:hAnsi="宋体"/>
          <w:color w:val="auto"/>
        </w:rPr>
        <w:t>第五章 采购需求</w:t>
      </w:r>
      <w:bookmarkEnd w:id="72"/>
    </w:p>
    <w:p w14:paraId="4DCFB56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 w:val="24"/>
          <w:szCs w:val="20"/>
          <w:lang w:val="en-US" w:eastAsia="zh-CN" w:bidi="ar-SA"/>
        </w:rPr>
      </w:pPr>
      <w:r>
        <w:rPr>
          <w:rFonts w:hint="eastAsia" w:asciiTheme="minorHAnsi" w:hAnsiTheme="minorHAnsi" w:eastAsiaTheme="minorEastAsia" w:cstheme="minorBidi"/>
          <w:color w:val="auto"/>
          <w:kern w:val="2"/>
          <w:sz w:val="24"/>
          <w:szCs w:val="20"/>
          <w:lang w:val="en-US" w:eastAsia="zh-CN" w:bidi="ar-SA"/>
        </w:rPr>
        <w:t>核心产品：第1项：全彩拼接模组</w:t>
      </w:r>
    </w:p>
    <w:p w14:paraId="2C80E0BC">
      <w:pPr>
        <w:pStyle w:val="14"/>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bCs/>
          <w:color w:val="auto"/>
          <w:kern w:val="2"/>
          <w:sz w:val="24"/>
          <w:szCs w:val="20"/>
          <w:lang w:val="en-US" w:eastAsia="zh-CN" w:bidi="ar-SA"/>
        </w:rPr>
      </w:pPr>
      <w:r>
        <w:rPr>
          <w:rFonts w:hint="eastAsia" w:eastAsiaTheme="minorEastAsia" w:cstheme="minorBidi"/>
          <w:b/>
          <w:bCs/>
          <w:color w:val="auto"/>
          <w:kern w:val="2"/>
          <w:sz w:val="24"/>
          <w:szCs w:val="20"/>
          <w:lang w:val="en-US" w:eastAsia="zh-CN" w:bidi="ar-SA"/>
        </w:rPr>
        <w:t>技术要求：</w:t>
      </w:r>
    </w:p>
    <w:p w14:paraId="3370D135">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bCs/>
          <w:color w:val="auto"/>
          <w:kern w:val="2"/>
          <w:sz w:val="24"/>
          <w:szCs w:val="20"/>
          <w:lang w:val="en-US" w:eastAsia="zh-CN" w:bidi="ar-SA"/>
        </w:rPr>
      </w:pPr>
      <w:r>
        <w:rPr>
          <w:rFonts w:hint="eastAsia" w:cstheme="minorBidi"/>
          <w:b/>
          <w:bCs/>
          <w:color w:val="auto"/>
          <w:kern w:val="2"/>
          <w:sz w:val="24"/>
          <w:szCs w:val="20"/>
          <w:lang w:val="en-US" w:eastAsia="zh-CN" w:bidi="ar-SA"/>
        </w:rPr>
        <w:t>注：1、供应商</w:t>
      </w:r>
      <w:r>
        <w:rPr>
          <w:rFonts w:hint="default" w:asciiTheme="minorHAnsi" w:hAnsiTheme="minorHAnsi" w:eastAsiaTheme="minorEastAsia" w:cstheme="minorBidi"/>
          <w:b/>
          <w:bCs/>
          <w:color w:val="auto"/>
          <w:kern w:val="2"/>
          <w:sz w:val="24"/>
          <w:szCs w:val="20"/>
          <w:lang w:val="en-US" w:eastAsia="zh-CN" w:bidi="ar-SA"/>
        </w:rPr>
        <w:t>应在投标文件《</w:t>
      </w:r>
      <w:r>
        <w:rPr>
          <w:rFonts w:hint="eastAsia" w:asciiTheme="minorHAnsi" w:hAnsiTheme="minorHAnsi" w:eastAsiaTheme="minorEastAsia" w:cstheme="minorBidi"/>
          <w:b/>
          <w:bCs/>
          <w:color w:val="auto"/>
          <w:kern w:val="2"/>
          <w:sz w:val="24"/>
          <w:szCs w:val="20"/>
          <w:lang w:val="en-US" w:eastAsia="zh-CN" w:bidi="ar-SA"/>
        </w:rPr>
        <w:t>商务、</w:t>
      </w:r>
      <w:r>
        <w:rPr>
          <w:rFonts w:hint="default" w:asciiTheme="minorHAnsi" w:hAnsiTheme="minorHAnsi" w:eastAsiaTheme="minorEastAsia" w:cstheme="minorBidi"/>
          <w:b/>
          <w:bCs/>
          <w:color w:val="auto"/>
          <w:kern w:val="2"/>
          <w:sz w:val="24"/>
          <w:szCs w:val="20"/>
          <w:lang w:val="en-US" w:eastAsia="zh-CN" w:bidi="ar-SA"/>
        </w:rPr>
        <w:t>技术条款偏离表》中对</w:t>
      </w:r>
      <w:r>
        <w:rPr>
          <w:rFonts w:hint="eastAsia" w:asciiTheme="minorHAnsi" w:hAnsiTheme="minorHAnsi" w:eastAsiaTheme="minorEastAsia" w:cstheme="minorBidi"/>
          <w:b/>
          <w:bCs/>
          <w:color w:val="auto"/>
          <w:kern w:val="2"/>
          <w:sz w:val="24"/>
          <w:szCs w:val="20"/>
          <w:lang w:val="en-US" w:eastAsia="zh-CN" w:bidi="ar-SA"/>
        </w:rPr>
        <w:t>以下</w:t>
      </w:r>
      <w:r>
        <w:rPr>
          <w:rFonts w:hint="default" w:asciiTheme="minorHAnsi" w:hAnsiTheme="minorHAnsi" w:eastAsiaTheme="minorEastAsia" w:cstheme="minorBidi"/>
          <w:b/>
          <w:bCs/>
          <w:color w:val="auto"/>
          <w:kern w:val="2"/>
          <w:sz w:val="24"/>
          <w:szCs w:val="20"/>
          <w:lang w:val="en-US" w:eastAsia="zh-CN" w:bidi="ar-SA"/>
        </w:rPr>
        <w:t>技术条款逐条说明响应和偏离情况</w:t>
      </w:r>
      <w:r>
        <w:rPr>
          <w:rFonts w:hint="eastAsia" w:asciiTheme="minorHAnsi" w:hAnsiTheme="minorHAnsi" w:eastAsiaTheme="minorEastAsia" w:cstheme="minorBidi"/>
          <w:b/>
          <w:bCs/>
          <w:color w:val="auto"/>
          <w:kern w:val="2"/>
          <w:sz w:val="24"/>
          <w:szCs w:val="20"/>
          <w:lang w:val="en-US" w:eastAsia="zh-CN" w:bidi="ar-SA"/>
        </w:rPr>
        <w:t>；</w:t>
      </w:r>
    </w:p>
    <w:p w14:paraId="5CB221B4">
      <w:pPr>
        <w:rPr>
          <w:rFonts w:hint="default"/>
          <w:b/>
          <w:bCs/>
          <w:lang w:val="en-US" w:eastAsia="zh-CN"/>
        </w:rPr>
      </w:pPr>
      <w:r>
        <w:rPr>
          <w:rFonts w:hint="eastAsia" w:cstheme="minorBidi"/>
          <w:b/>
          <w:bCs/>
          <w:color w:val="auto"/>
          <w:kern w:val="2"/>
          <w:sz w:val="24"/>
          <w:szCs w:val="20"/>
          <w:lang w:val="en-US" w:eastAsia="zh-CN" w:bidi="ar-SA"/>
        </w:rPr>
        <w:t>2、标注星号重要技术参数条款均须提供满足技术参数的第三方权威检测机构出具的检测报告复印件并加盖供应商公章作为技术证明资料，否则不予计分。</w:t>
      </w:r>
    </w:p>
    <w:tbl>
      <w:tblPr>
        <w:tblStyle w:val="3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17"/>
        <w:gridCol w:w="2147"/>
        <w:gridCol w:w="8550"/>
        <w:gridCol w:w="1222"/>
        <w:gridCol w:w="1132"/>
      </w:tblGrid>
      <w:tr w14:paraId="54810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CEAF00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57" w:type="pct"/>
            <w:vAlign w:val="center"/>
          </w:tcPr>
          <w:p w14:paraId="19B24FB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设备名称</w:t>
            </w:r>
          </w:p>
        </w:tc>
        <w:tc>
          <w:tcPr>
            <w:tcW w:w="3015" w:type="pct"/>
            <w:vAlign w:val="center"/>
          </w:tcPr>
          <w:p w14:paraId="202DAD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w:t>
            </w:r>
          </w:p>
        </w:tc>
        <w:tc>
          <w:tcPr>
            <w:tcW w:w="431" w:type="pct"/>
            <w:vAlign w:val="center"/>
          </w:tcPr>
          <w:p w14:paraId="26B5643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399" w:type="pct"/>
            <w:vAlign w:val="center"/>
          </w:tcPr>
          <w:p w14:paraId="2882EA57">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单位</w:t>
            </w:r>
          </w:p>
        </w:tc>
      </w:tr>
      <w:tr w14:paraId="4413F3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58C04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7" w:type="pct"/>
            <w:vAlign w:val="center"/>
          </w:tcPr>
          <w:p w14:paraId="041259A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全彩拼接模组</w:t>
            </w:r>
          </w:p>
        </w:tc>
        <w:tc>
          <w:tcPr>
            <w:tcW w:w="3015" w:type="pct"/>
            <w:shd w:val="clear" w:color="auto" w:fill="auto"/>
            <w:vAlign w:val="center"/>
          </w:tcPr>
          <w:p w14:paraId="107A1D9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显示屏采用工程屏非渠道屏，屏幕净尺寸：长≥7.04m*宽≥4m</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采用表贴三合一铜线封装；LED封装形式：SMD1515黑灯</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2.LED显示屏采用≤1.86mm点间距</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3.LED显示屏模组尺寸320mm*160mm</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4.LED显示屏采用前/后维护方式，可正面拆卸模组、接收卡、电源等低压器件，具备热插拔能力</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.LED显示屏亮度可达到200-800CD/m²，可通过配套软件0-100%调节，设置亮度定时调节</w:t>
            </w:r>
            <w:r>
              <w:rPr>
                <w:rFonts w:hint="eastAsia" w:ascii="宋体" w:hAnsi="宋体" w:cs="宋体"/>
                <w:color w:val="auto"/>
                <w:kern w:val="2"/>
                <w:sz w:val="21"/>
                <w:szCs w:val="21"/>
                <w:lang w:val="en-US" w:eastAsia="zh-CN" w:bidi="ar-SA"/>
              </w:rPr>
              <w:t>。</w:t>
            </w:r>
          </w:p>
          <w:p w14:paraId="758E9395">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.LED显示屏对比度≥10000：1；LED显示屏杂点率≤1/100000且无连续失控点；LED显示屏亮度均匀性≥99%</w:t>
            </w:r>
            <w:r>
              <w:rPr>
                <w:rFonts w:hint="eastAsia" w:ascii="宋体" w:hAnsi="宋体" w:cs="宋体"/>
                <w:color w:val="auto"/>
                <w:kern w:val="2"/>
                <w:sz w:val="21"/>
                <w:szCs w:val="21"/>
                <w:lang w:val="en-US" w:eastAsia="zh-CN" w:bidi="ar-SA"/>
              </w:rPr>
              <w:t>。</w:t>
            </w:r>
          </w:p>
          <w:p w14:paraId="6EBD82F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LED显示色度均匀性±0.001Cx,Cy之内；LED显示屏像素中心距相对偏差≤1%；LED显示屏观看水平/垂直视角≥175°；LED显示屏平均故障恢复时间（MTTR）≤2分钟</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8.LED显示屏刷新频率≥4200Hz，可通过配套控制软件调节刷新率设置选项</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9.LED显示屏色温100K-20000K连续可调，可设冷色、暖色、标准等多档白场调节,色温为8500K时，100%、75%、50%、25%四档电平白场调节色温误差≤100K</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10.LED显示屏峰值功耗为≤500W/㎡；LED显示屏平均功耗为≤125W/㎡</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b w:val="0"/>
                <w:bCs w:val="0"/>
                <w:color w:val="FF0000"/>
                <w:kern w:val="2"/>
                <w:sz w:val="21"/>
                <w:szCs w:val="21"/>
                <w:lang w:val="en-US" w:eastAsia="zh-CN" w:bidi="ar-SA"/>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w:t>
            </w:r>
            <w:r>
              <w:rPr>
                <w:rFonts w:hint="eastAsia" w:ascii="宋体" w:hAnsi="宋体" w:cs="宋体"/>
                <w:b w:val="0"/>
                <w:bCs w:val="0"/>
                <w:color w:val="FF0000"/>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r>
              <w:rPr>
                <w:rFonts w:hint="eastAsia" w:ascii="宋体" w:hAnsi="宋体" w:cs="宋体"/>
                <w:color w:val="FF0000"/>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13.LED显示屏在温度25℃、湿度40%RH、大气压力100.2kpa条件工作状态下要求距离产品四周的1m处最大噪声声压</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2db</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14.LED显示屏符合EMCCLASSB抗干扰能力，要求运行稳定不受外界各射频电磁场的干扰</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FF0000"/>
                <w:kern w:val="2"/>
                <w:sz w:val="21"/>
                <w:szCs w:val="21"/>
                <w:lang w:val="en-US" w:eastAsia="zh-CN" w:bidi="ar-SA"/>
              </w:rPr>
              <w:t>※15.LED显示屏具备低蓝光模式，可在控制软件中选择30%、40%、70%三挡调节显示屏蓝光输出，有效减少蓝光辐射对眼睛的伤害</w:t>
            </w:r>
            <w:r>
              <w:rPr>
                <w:rFonts w:hint="eastAsia" w:ascii="宋体" w:hAnsi="宋体" w:cs="宋体"/>
                <w:color w:val="FF0000"/>
                <w:kern w:val="2"/>
                <w:sz w:val="21"/>
                <w:szCs w:val="21"/>
                <w:lang w:val="en-US" w:eastAsia="zh-CN" w:bidi="ar-SA"/>
              </w:rPr>
              <w:t>。</w:t>
            </w:r>
          </w:p>
          <w:p w14:paraId="1F9AFA2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专业主控：具备带载面积≥1048万像素，宽度≥16384点，高度≥8192点；具备输入分辨率≥4096×2160@60Hz，支持控制范围内自定义分辨率设置；具备对视频信号任意切换，裁剪，拼接，缩放；具备≥6画面显示，位置、大小可自由调节；具备独立音频输入和音频输出及HDMI和DP音频解析输出；具备亮度和色温调节；具备精确颜色管理，调整显示屏色域；具备视频同步锁相技术；具备≥1路HDMI 2.0输入接口，≥1路DP 1.2输入接口，≥2路HDMI 1.4输入接口，≥2路DVI输入接口，≥1路音频输入接口；具备≥16路网口输出接口，≥1路音频输出接口</w:t>
            </w:r>
            <w:r>
              <w:rPr>
                <w:rFonts w:hint="eastAsia" w:ascii="宋体" w:hAnsi="宋体" w:cs="宋体"/>
                <w:color w:val="auto"/>
                <w:kern w:val="2"/>
                <w:sz w:val="21"/>
                <w:szCs w:val="21"/>
                <w:lang w:val="en-US" w:eastAsia="zh-CN" w:bidi="ar-SA"/>
              </w:rPr>
              <w:t>。</w:t>
            </w:r>
          </w:p>
          <w:p w14:paraId="7E0C276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包含</w:t>
            </w:r>
            <w:r>
              <w:rPr>
                <w:rFonts w:hint="default" w:ascii="宋体" w:hAnsi="宋体" w:eastAsia="宋体" w:cs="宋体"/>
                <w:color w:val="auto"/>
                <w:kern w:val="2"/>
                <w:sz w:val="21"/>
                <w:szCs w:val="21"/>
                <w:lang w:val="en-US" w:eastAsia="zh-CN" w:bidi="ar-SA"/>
              </w:rPr>
              <w:t>用于安装支撑屏体的结构</w:t>
            </w:r>
            <w:r>
              <w:rPr>
                <w:rFonts w:hint="eastAsia" w:ascii="宋体" w:hAnsi="宋体" w:eastAsia="宋体" w:cs="宋体"/>
                <w:color w:val="auto"/>
                <w:kern w:val="2"/>
                <w:sz w:val="21"/>
                <w:szCs w:val="21"/>
                <w:lang w:val="en-US" w:eastAsia="zh-CN" w:bidi="ar-SA"/>
              </w:rPr>
              <w:t>及包边装饰</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包含≥</w:t>
            </w:r>
            <w:r>
              <w:rPr>
                <w:rFonts w:hint="default" w:ascii="宋体" w:hAnsi="宋体" w:eastAsia="宋体" w:cs="宋体"/>
                <w:color w:val="auto"/>
                <w:kern w:val="2"/>
                <w:sz w:val="21"/>
                <w:szCs w:val="21"/>
                <w:lang w:val="en-US" w:eastAsia="zh-CN" w:bidi="ar-SA"/>
              </w:rPr>
              <w:t>8mm胶合免熏蒸木箱</w:t>
            </w:r>
            <w:r>
              <w:rPr>
                <w:rFonts w:hint="eastAsia" w:ascii="宋体" w:hAnsi="宋体" w:eastAsia="宋体" w:cs="宋体"/>
                <w:color w:val="auto"/>
                <w:kern w:val="2"/>
                <w:sz w:val="21"/>
                <w:szCs w:val="21"/>
                <w:lang w:val="en-US" w:eastAsia="zh-CN" w:bidi="ar-SA"/>
              </w:rPr>
              <w:t>。</w:t>
            </w:r>
          </w:p>
        </w:tc>
        <w:tc>
          <w:tcPr>
            <w:tcW w:w="431" w:type="pct"/>
            <w:vAlign w:val="center"/>
          </w:tcPr>
          <w:p w14:paraId="785F396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28.16</w:t>
            </w:r>
          </w:p>
        </w:tc>
        <w:tc>
          <w:tcPr>
            <w:tcW w:w="399" w:type="pct"/>
            <w:vAlign w:val="center"/>
          </w:tcPr>
          <w:p w14:paraId="2983378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平方米</w:t>
            </w:r>
          </w:p>
        </w:tc>
      </w:tr>
      <w:tr w14:paraId="71D129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BFF17DA">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57" w:type="pct"/>
            <w:vAlign w:val="center"/>
          </w:tcPr>
          <w:p w14:paraId="6429E37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单色拼接模组</w:t>
            </w:r>
          </w:p>
        </w:tc>
        <w:tc>
          <w:tcPr>
            <w:tcW w:w="3015" w:type="pct"/>
            <w:shd w:val="clear" w:color="auto" w:fill="auto"/>
            <w:vAlign w:val="center"/>
          </w:tcPr>
          <w:p w14:paraId="26B299E3">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1.显示屏采用工程屏非渠道屏，显示屏净尺寸：长≥8.816m*宽≥0.456m；LED封装形式：SMD2121，发光点颜色组合：1R。</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2.物理点间距：≤4.75mm；分辨率：44321点/㎡。</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3.单元板分辨率：64*32，单元板尺寸（mm）：304*152，白平衡亮度：200CD/㎡。</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4.水平视角：≥120°；垂直视角：≥120°。</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5.杂点率：≤1/10000且无连续失控点。</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6.平均无故障时间：≥10000H。</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7.控制方式：异步控制；驱动器件：恒流；刷新频率：360Hz；换帧频率：≥60Hz；驱动方式：1/16扫描。</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8.环境温度：存储-35℃~+85℃，工作温度：－20℃~+50℃。</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9.亮度调节方式：软件0到16无级调节。</w:t>
            </w:r>
          </w:p>
          <w:p w14:paraId="6A572118">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控制卡：支持控制单色带载≥4800*512，向下兼容；双色带载≥4096*512，向下兼容；支持适配各种规格的单色/双基色LED显示屏；支持分组集群管理、多节目编辑、多区域显示、多种语言版本；支持≥256个节目，每个节目划分为≥32个区域；支持区域有天气区、图文区、字幕区、动画区、农历区、时间区、模拟表盘区、正负计时区、传感器区；支持时钟显示农历、模拟表盘、中英文时钟、正负计时 (均支持多组显示)；支持温度、温湿度、亮度传感器；扩展支持其它RS485接口传感器。支持16级亮度，支持分时调亮、软件调亮、遥控调亮；支持屏幕配置参数的保存与回读。</w:t>
            </w:r>
          </w:p>
          <w:p w14:paraId="53A33AAD">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11.转接板：配套转接板；50PIN背插连接，结构紧凑；</w:t>
            </w:r>
          </w:p>
          <w:p w14:paraId="087ED06C">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最大高度：≥128行（≥4组T8接口）。</w:t>
            </w:r>
          </w:p>
          <w:p w14:paraId="2D66B90A">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12.包含</w:t>
            </w:r>
            <w:r>
              <w:rPr>
                <w:rFonts w:hint="default" w:ascii="宋体" w:hAnsi="宋体" w:cs="宋体"/>
                <w:color w:val="auto"/>
                <w:kern w:val="2"/>
                <w:sz w:val="21"/>
                <w:szCs w:val="21"/>
                <w:lang w:val="en-US" w:eastAsia="zh-CN" w:bidi="ar-SA"/>
              </w:rPr>
              <w:t>用于安装支撑屏体的结构</w:t>
            </w:r>
            <w:r>
              <w:rPr>
                <w:rFonts w:hint="eastAsia" w:ascii="宋体" w:hAnsi="宋体" w:cs="宋体"/>
                <w:color w:val="auto"/>
                <w:kern w:val="2"/>
                <w:sz w:val="21"/>
                <w:szCs w:val="21"/>
                <w:lang w:val="en-US" w:eastAsia="zh-CN" w:bidi="ar-SA"/>
              </w:rPr>
              <w:t>及包边装饰</w:t>
            </w:r>
            <w:r>
              <w:rPr>
                <w:rFonts w:hint="default" w:ascii="宋体" w:hAnsi="宋体" w:cs="宋体"/>
                <w:color w:val="auto"/>
                <w:kern w:val="2"/>
                <w:sz w:val="21"/>
                <w:szCs w:val="21"/>
                <w:lang w:val="en-US" w:eastAsia="zh-CN" w:bidi="ar-SA"/>
              </w:rPr>
              <w:t>；采用45mm*90mm/35mm*90mm铝型材结构边框</w:t>
            </w:r>
            <w:r>
              <w:rPr>
                <w:rFonts w:hint="eastAsia" w:ascii="宋体" w:hAnsi="宋体" w:cs="宋体"/>
                <w:color w:val="auto"/>
                <w:kern w:val="2"/>
                <w:sz w:val="21"/>
                <w:szCs w:val="21"/>
                <w:lang w:val="en-US" w:eastAsia="zh-CN" w:bidi="ar-SA"/>
              </w:rPr>
              <w:t>，包含≥</w:t>
            </w:r>
            <w:r>
              <w:rPr>
                <w:rFonts w:hint="default" w:ascii="宋体" w:hAnsi="宋体" w:cs="宋体"/>
                <w:color w:val="auto"/>
                <w:kern w:val="2"/>
                <w:sz w:val="21"/>
                <w:szCs w:val="21"/>
                <w:lang w:val="en-US" w:eastAsia="zh-CN" w:bidi="ar-SA"/>
              </w:rPr>
              <w:t>8mm胶合免熏蒸木箱</w:t>
            </w:r>
            <w:r>
              <w:rPr>
                <w:rFonts w:hint="eastAsia" w:ascii="宋体" w:hAnsi="宋体" w:cs="宋体"/>
                <w:color w:val="auto"/>
                <w:kern w:val="2"/>
                <w:sz w:val="21"/>
                <w:szCs w:val="21"/>
                <w:lang w:val="en-US" w:eastAsia="zh-CN" w:bidi="ar-SA"/>
              </w:rPr>
              <w:t>。</w:t>
            </w:r>
          </w:p>
        </w:tc>
        <w:tc>
          <w:tcPr>
            <w:tcW w:w="431" w:type="pct"/>
            <w:vAlign w:val="center"/>
          </w:tcPr>
          <w:p w14:paraId="13031D6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99" w:type="pct"/>
            <w:vAlign w:val="center"/>
          </w:tcPr>
          <w:p w14:paraId="32151EC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平方米</w:t>
            </w:r>
          </w:p>
        </w:tc>
      </w:tr>
      <w:tr w14:paraId="16069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FEBD4B6">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57" w:type="pct"/>
            <w:vAlign w:val="center"/>
          </w:tcPr>
          <w:p w14:paraId="0E9FDEB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控制主机</w:t>
            </w:r>
          </w:p>
        </w:tc>
        <w:tc>
          <w:tcPr>
            <w:tcW w:w="3015" w:type="pct"/>
            <w:shd w:val="clear" w:color="auto" w:fill="auto"/>
            <w:vAlign w:val="center"/>
          </w:tcPr>
          <w:p w14:paraId="171889F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1.CPU：Intel Core i5第十代及以上；</w:t>
            </w:r>
          </w:p>
          <w:p w14:paraId="51E4EA8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2.内存：≥16G DDR4 内存；</w:t>
            </w:r>
          </w:p>
          <w:p w14:paraId="759C478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3.显卡：集成显卡；</w:t>
            </w:r>
          </w:p>
          <w:p w14:paraId="06C7CE1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4.声卡：集成声卡；</w:t>
            </w:r>
          </w:p>
          <w:p w14:paraId="0EBFB98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5.硬盘：≥512G 固态硬盘；</w:t>
            </w:r>
          </w:p>
          <w:p w14:paraId="2E525BD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6.网卡：集成10/100/1000M以太网卡；</w:t>
            </w:r>
          </w:p>
          <w:p w14:paraId="2472210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7.键盘、鼠标：原厂防水键盘、抗菌鼠标；</w:t>
            </w:r>
          </w:p>
          <w:p w14:paraId="0675353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8.电源：≥180W 电源；</w:t>
            </w:r>
          </w:p>
          <w:p w14:paraId="14A064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9.显示器：不低于23英寸显示器。</w:t>
            </w:r>
          </w:p>
        </w:tc>
        <w:tc>
          <w:tcPr>
            <w:tcW w:w="431" w:type="pct"/>
            <w:vAlign w:val="center"/>
          </w:tcPr>
          <w:p w14:paraId="7F21D9F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3EE4A6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6234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EFEF0A9">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757" w:type="pct"/>
            <w:vAlign w:val="center"/>
          </w:tcPr>
          <w:p w14:paraId="23EF3AA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配电箱</w:t>
            </w:r>
          </w:p>
        </w:tc>
        <w:tc>
          <w:tcPr>
            <w:tcW w:w="3015" w:type="pct"/>
            <w:shd w:val="clear" w:color="auto" w:fill="auto"/>
            <w:vAlign w:val="center"/>
          </w:tcPr>
          <w:p w14:paraId="541E180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1.额定功率：≥30kW，输出路数：≥9路</w:t>
            </w:r>
            <w:r>
              <w:rPr>
                <w:rFonts w:hint="eastAsia" w:ascii="宋体" w:hAnsi="宋体" w:cs="宋体"/>
                <w:color w:val="auto"/>
                <w:kern w:val="2"/>
                <w:sz w:val="21"/>
                <w:szCs w:val="21"/>
                <w:lang w:val="en-US" w:eastAsia="zh-CN" w:bidi="ar-SA"/>
              </w:rPr>
              <w:t>。</w:t>
            </w:r>
          </w:p>
          <w:p w14:paraId="24E90D0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2.输入电压：三相五线制AC380V±10%，频率50Hz±5%，具有高温断电、浪涌、短路、过流、过载保护功能</w:t>
            </w:r>
            <w:r>
              <w:rPr>
                <w:rFonts w:hint="eastAsia" w:ascii="宋体" w:hAnsi="宋体" w:cs="宋体"/>
                <w:color w:val="auto"/>
                <w:kern w:val="2"/>
                <w:sz w:val="21"/>
                <w:szCs w:val="21"/>
                <w:lang w:val="en-US" w:eastAsia="zh-CN" w:bidi="ar-SA"/>
              </w:rPr>
              <w:t>。</w:t>
            </w:r>
          </w:p>
          <w:p w14:paraId="784F640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3.输出电压：单相三线制AC220V±10%</w:t>
            </w:r>
            <w:r>
              <w:rPr>
                <w:rFonts w:hint="eastAsia" w:ascii="宋体" w:hAnsi="宋体" w:cs="宋体"/>
                <w:color w:val="auto"/>
                <w:kern w:val="2"/>
                <w:sz w:val="21"/>
                <w:szCs w:val="21"/>
                <w:lang w:val="en-US" w:eastAsia="zh-CN" w:bidi="ar-SA"/>
              </w:rPr>
              <w:t>。</w:t>
            </w:r>
          </w:p>
          <w:p w14:paraId="04C637E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4.内置避雷器，具有避雷防雷功能</w:t>
            </w:r>
            <w:r>
              <w:rPr>
                <w:rFonts w:hint="eastAsia" w:ascii="宋体" w:hAnsi="宋体" w:cs="宋体"/>
                <w:color w:val="auto"/>
                <w:kern w:val="2"/>
                <w:sz w:val="21"/>
                <w:szCs w:val="21"/>
                <w:lang w:val="en-US" w:eastAsia="zh-CN" w:bidi="ar-SA"/>
              </w:rPr>
              <w:t>。</w:t>
            </w:r>
          </w:p>
          <w:p w14:paraId="7DE7112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5.配电柜含多功能卡控制，具有远程控制功能、RS232串口或千兆网口通信</w:t>
            </w:r>
            <w:r>
              <w:rPr>
                <w:rFonts w:hint="eastAsia" w:ascii="宋体" w:hAnsi="宋体" w:cs="宋体"/>
                <w:color w:val="auto"/>
                <w:kern w:val="2"/>
                <w:sz w:val="21"/>
                <w:szCs w:val="21"/>
                <w:lang w:val="en-US" w:eastAsia="zh-CN" w:bidi="ar-SA"/>
              </w:rPr>
              <w:t>。</w:t>
            </w:r>
          </w:p>
          <w:p w14:paraId="4876054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6.通过LED显示屏智慧控制系统软件搭配多功能卡实现电源监视、温度监控操作</w:t>
            </w:r>
            <w:r>
              <w:rPr>
                <w:rFonts w:hint="eastAsia" w:ascii="宋体" w:hAnsi="宋体" w:cs="宋体"/>
                <w:color w:val="auto"/>
                <w:kern w:val="2"/>
                <w:sz w:val="21"/>
                <w:szCs w:val="21"/>
                <w:lang w:val="en-US" w:eastAsia="zh-CN" w:bidi="ar-SA"/>
              </w:rPr>
              <w:t>。</w:t>
            </w:r>
          </w:p>
        </w:tc>
        <w:tc>
          <w:tcPr>
            <w:tcW w:w="431" w:type="pct"/>
            <w:vAlign w:val="center"/>
          </w:tcPr>
          <w:p w14:paraId="52E15E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0ADEB4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46FE0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C788D0E">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57" w:type="pct"/>
            <w:vAlign w:val="center"/>
          </w:tcPr>
          <w:p w14:paraId="42A0DBB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无缝高清矩阵切换器</w:t>
            </w:r>
          </w:p>
        </w:tc>
        <w:tc>
          <w:tcPr>
            <w:tcW w:w="3015" w:type="pct"/>
            <w:shd w:val="clear" w:color="auto" w:fill="auto"/>
            <w:vAlign w:val="center"/>
          </w:tcPr>
          <w:p w14:paraId="1C371B9A">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1.矩阵采用纯硬件标准化机箱设计，支持配置≥16×16路信号切换，支持HDMI、DVI、VGA、SDI、HDBaseT、光纤的任意输入/输出信号卡，其其中DVI输入卡兼容CVBS，YUV,VGA信号，VGA输入/输出卡均兼容CVBS，YUV,VGA信号。</w:t>
            </w:r>
          </w:p>
          <w:p w14:paraId="3831B552">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2.采用板卡模块化设计，支持接入≥4块输入卡、≥4块输出卡、≥1块控制卡；通过定制配置各类相同或不同的输入输出卡可以组成单一接口类型或多接口类型的矩阵，如HDMI矩阵，DVI矩阵，VGA矩阵，YUV矩阵。</w:t>
            </w:r>
          </w:p>
          <w:p w14:paraId="149DAD6F">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3.支持无缝切换功能，切换过程无黑屏信号。</w:t>
            </w:r>
          </w:p>
          <w:p w14:paraId="631F7136">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4.分辨率支持≥4Kx2K。支持断电记忆功能。系统内可存储多组预切换指令，调用时可以一键切换。</w:t>
            </w:r>
          </w:p>
          <w:p w14:paraId="77018444">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5.支持模拟音频与HDMI内嵌音频选择输入、支持模拟音频与HDMI内嵌音频同时输出。</w:t>
            </w:r>
          </w:p>
          <w:p w14:paraId="46252B35">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6.支持接入≥1块控制板卡，具有≥1路RS-232,≥1路RS-485,≥1路TCP/IP端口（PC软件）</w:t>
            </w:r>
            <w:r>
              <w:rPr>
                <w:rFonts w:hint="eastAsia" w:ascii="宋体" w:hAnsi="宋体" w:cs="宋体"/>
                <w:color w:val="auto"/>
                <w:kern w:val="2"/>
                <w:sz w:val="21"/>
                <w:szCs w:val="21"/>
                <w:lang w:val="en-US" w:eastAsia="zh-CN" w:bidi="ar-SA"/>
              </w:rPr>
              <w:t>。</w:t>
            </w:r>
          </w:p>
          <w:p w14:paraId="3AEC9520">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7.HDBaseT输入输出信号支持双向 RS-232 和双向 IR 信号传输，可对RS-232和IR 信号选择随视频信号切换，或分离切换模式，支持扩展POC模块对外设供电。</w:t>
            </w:r>
          </w:p>
          <w:p w14:paraId="393D8619">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8.机箱前面板带有≥7英寸全彩触摸屏。</w:t>
            </w:r>
          </w:p>
          <w:p w14:paraId="0FCE776A">
            <w:pPr>
              <w:numPr>
                <w:ilvl w:val="0"/>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p w14:paraId="6B986BCA">
            <w:pPr>
              <w:numPr>
                <w:ilvl w:val="0"/>
                <w:numId w:val="0"/>
              </w:numPr>
              <w:spacing w:line="240" w:lineRule="auto"/>
              <w:ind w:left="0" w:leftChars="0" w:firstLine="0" w:firstLineChars="0"/>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10.本次实配HDMI无缝高清输入卡≥2块，HDMI无缝高清输出卡≥2块，SDI无缝高清输入卡≥1块。</w:t>
            </w:r>
          </w:p>
        </w:tc>
        <w:tc>
          <w:tcPr>
            <w:tcW w:w="431" w:type="pct"/>
            <w:vAlign w:val="center"/>
          </w:tcPr>
          <w:p w14:paraId="7C38562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CF4D4B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03B9B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69B635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757" w:type="pct"/>
            <w:vAlign w:val="center"/>
          </w:tcPr>
          <w:p w14:paraId="3CEBC85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无线话筒（1）</w:t>
            </w:r>
          </w:p>
        </w:tc>
        <w:tc>
          <w:tcPr>
            <w:tcW w:w="3015" w:type="pct"/>
            <w:shd w:val="clear" w:color="auto" w:fill="auto"/>
            <w:vAlign w:val="top"/>
          </w:tcPr>
          <w:p w14:paraId="7C650B27">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1.具有≥1台接收主机、≥2个手持发射机；频率范围等同或优于470-510MHz、540MHz-590MHz、640MHz-690MHz、807MHz-830MHz。</w:t>
            </w:r>
          </w:p>
          <w:p w14:paraId="6F45E2AB">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2.接收机具有≥2路平衡输出、≥1路非平衡混音输出。</w:t>
            </w:r>
          </w:p>
          <w:p w14:paraId="3DD2EDA2">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3.具有自动频率扫描功能，可快速地给麦克风找到清晰的频率。</w:t>
            </w:r>
          </w:p>
          <w:p w14:paraId="5CA5D3FD">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4.支持混响调节功能，比例调节、延时调节、电平调节≥25个档位。</w:t>
            </w:r>
          </w:p>
          <w:p w14:paraId="38367C09">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5.支持麦克风均衡器调节功能，≥高、中、低音三种调节档位。</w:t>
            </w:r>
          </w:p>
          <w:p w14:paraId="7503DD85">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6.接收机具有显示屏，用户可通过显示屏查看设备发射功率强度、音频加密状态、电池电量、频率数值、智能静音状态、静音标志。</w:t>
            </w:r>
          </w:p>
          <w:p w14:paraId="75DF12F3">
            <w:pPr>
              <w:keepNext w:val="0"/>
              <w:keepLines w:val="0"/>
              <w:widowControl/>
              <w:suppressLineNumbers w:val="0"/>
              <w:jc w:val="left"/>
              <w:textAlignment w:val="top"/>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7.具有自动静音功能，麦克风跌落、抛掷时，毫秒级响应自动静音，避免冲击声；产品静置5秒自动静音</w:t>
            </w:r>
            <w:r>
              <w:rPr>
                <w:rFonts w:hint="eastAsia" w:ascii="宋体" w:hAnsi="宋体" w:cs="宋体"/>
                <w:color w:val="FF0000"/>
                <w:kern w:val="2"/>
                <w:sz w:val="21"/>
                <w:szCs w:val="21"/>
                <w:lang w:val="en-US" w:eastAsia="zh-CN" w:bidi="ar-SA"/>
              </w:rPr>
              <w:t>。</w:t>
            </w:r>
          </w:p>
          <w:p w14:paraId="65CCBC3B">
            <w:pPr>
              <w:keepNext w:val="0"/>
              <w:keepLines w:val="0"/>
              <w:widowControl/>
              <w:suppressLineNumbers w:val="0"/>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8.麦克风具有长时间静置自动关机功能，设备自动检测工作状态（使用状态、静置状态），静置时间≥8分钟后，设备自动关机。</w:t>
            </w:r>
          </w:p>
        </w:tc>
        <w:tc>
          <w:tcPr>
            <w:tcW w:w="431" w:type="pct"/>
            <w:vAlign w:val="center"/>
          </w:tcPr>
          <w:p w14:paraId="397A253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5104FB3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4388A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B77A5B0">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757" w:type="pct"/>
            <w:vAlign w:val="center"/>
          </w:tcPr>
          <w:p w14:paraId="09C9155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无线话筒（2）</w:t>
            </w:r>
          </w:p>
        </w:tc>
        <w:tc>
          <w:tcPr>
            <w:tcW w:w="3015" w:type="pct"/>
            <w:shd w:val="clear" w:color="auto" w:fill="auto"/>
            <w:vAlign w:val="center"/>
          </w:tcPr>
          <w:p w14:paraId="27536A9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1.频率范围等同或优于540MHz-590MHz、640MHz-690MHz。</w:t>
            </w:r>
          </w:p>
          <w:p w14:paraId="5E65D0C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2.配套有≥1台接收主机和≥2个无线头戴话筒。</w:t>
            </w:r>
          </w:p>
          <w:p w14:paraId="1B61DA6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3.采用独有数字U段传输技术，pi/4-DQPSK调制方式。</w:t>
            </w:r>
          </w:p>
          <w:p w14:paraId="650CCE8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4.采用独有的加密方式进行音频传输。</w:t>
            </w:r>
          </w:p>
          <w:p w14:paraId="6104E65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5.采用独有的ID码导频技术，可防止出现串频干扰。</w:t>
            </w:r>
          </w:p>
          <w:p w14:paraId="152800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6.具有混响、高中低音调节。</w:t>
            </w:r>
          </w:p>
          <w:p w14:paraId="0FCD16C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7.具有≥2路平衡输出、≥1路非平衡混音输出。</w:t>
            </w:r>
          </w:p>
          <w:p w14:paraId="42BBFE4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8.具有一键静音功能。</w:t>
            </w:r>
          </w:p>
        </w:tc>
        <w:tc>
          <w:tcPr>
            <w:tcW w:w="431" w:type="pct"/>
            <w:vAlign w:val="center"/>
          </w:tcPr>
          <w:p w14:paraId="211D9A2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2C1245C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65E22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218F41E">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757" w:type="pct"/>
            <w:vAlign w:val="center"/>
          </w:tcPr>
          <w:p w14:paraId="2FD21DC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天线分配器</w:t>
            </w:r>
          </w:p>
        </w:tc>
        <w:tc>
          <w:tcPr>
            <w:tcW w:w="3015" w:type="pct"/>
            <w:shd w:val="clear" w:color="auto" w:fill="auto"/>
            <w:vAlign w:val="center"/>
          </w:tcPr>
          <w:p w14:paraId="416D815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1.具有≥2个信号输入接口，支持接收天线信号，实现放大射频信号的效果。</w:t>
            </w:r>
          </w:p>
          <w:p w14:paraId="59702C1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2.具有≥8个天线信号输出接口，可将一对天线分频至4台（一拖二）接收机达到扩展无线话筒系统的目的。</w:t>
            </w:r>
          </w:p>
          <w:p w14:paraId="34AAE37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3.具有≥2个天线级联接口；支持级联分配器，可实现放大射频信号扩展无线话筒天线的目的。</w:t>
            </w:r>
          </w:p>
          <w:p w14:paraId="543BD22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4.具有≥4个直流电源接口，支持给4台接收机提供供电。</w:t>
            </w:r>
          </w:p>
        </w:tc>
        <w:tc>
          <w:tcPr>
            <w:tcW w:w="431" w:type="pct"/>
            <w:vAlign w:val="center"/>
          </w:tcPr>
          <w:p w14:paraId="53277B6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02C59DD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B40B2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CAEA2D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757" w:type="pct"/>
            <w:vAlign w:val="center"/>
          </w:tcPr>
          <w:p w14:paraId="6D8931F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壁挂天线</w:t>
            </w:r>
          </w:p>
        </w:tc>
        <w:tc>
          <w:tcPr>
            <w:tcW w:w="3015" w:type="pct"/>
            <w:shd w:val="clear" w:color="auto" w:fill="auto"/>
            <w:vAlign w:val="center"/>
          </w:tcPr>
          <w:p w14:paraId="1CBDF0F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1.射频频率范围等同或优于470～950MHz</w:t>
            </w:r>
            <w:r>
              <w:rPr>
                <w:rFonts w:hint="eastAsia" w:ascii="宋体" w:hAnsi="宋体" w:cs="宋体"/>
                <w:color w:val="auto"/>
                <w:kern w:val="2"/>
                <w:sz w:val="21"/>
                <w:szCs w:val="21"/>
                <w:lang w:val="en-US" w:eastAsia="zh-CN" w:bidi="ar-SA"/>
              </w:rPr>
              <w:t>。</w:t>
            </w:r>
          </w:p>
          <w:p w14:paraId="0890E1F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2.驻波比：≤2.0</w:t>
            </w:r>
            <w:r>
              <w:rPr>
                <w:rFonts w:hint="eastAsia" w:ascii="宋体" w:hAnsi="宋体" w:cs="宋体"/>
                <w:color w:val="auto"/>
                <w:kern w:val="2"/>
                <w:sz w:val="21"/>
                <w:szCs w:val="21"/>
                <w:lang w:val="en-US" w:eastAsia="zh-CN" w:bidi="ar-SA"/>
              </w:rPr>
              <w:t>。</w:t>
            </w:r>
          </w:p>
          <w:p w14:paraId="0ABB912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3.输入阻抗：≤50Ω</w:t>
            </w:r>
            <w:r>
              <w:rPr>
                <w:rFonts w:hint="eastAsia" w:ascii="宋体" w:hAnsi="宋体" w:cs="宋体"/>
                <w:color w:val="auto"/>
                <w:kern w:val="2"/>
                <w:sz w:val="21"/>
                <w:szCs w:val="21"/>
                <w:lang w:val="en-US" w:eastAsia="zh-CN" w:bidi="ar-SA"/>
              </w:rPr>
              <w:t>。</w:t>
            </w:r>
          </w:p>
          <w:p w14:paraId="3D0D594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4.指向性：≥180度指向</w:t>
            </w:r>
            <w:r>
              <w:rPr>
                <w:rFonts w:hint="eastAsia" w:ascii="宋体" w:hAnsi="宋体" w:cs="宋体"/>
                <w:color w:val="auto"/>
                <w:kern w:val="2"/>
                <w:sz w:val="21"/>
                <w:szCs w:val="21"/>
                <w:lang w:val="en-US" w:eastAsia="zh-CN" w:bidi="ar-SA"/>
              </w:rPr>
              <w:t>。</w:t>
            </w:r>
          </w:p>
        </w:tc>
        <w:tc>
          <w:tcPr>
            <w:tcW w:w="431" w:type="pct"/>
            <w:vAlign w:val="center"/>
          </w:tcPr>
          <w:p w14:paraId="1C498AD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2C44BDF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729935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2C2BFF4">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757" w:type="pct"/>
            <w:vAlign w:val="center"/>
          </w:tcPr>
          <w:p w14:paraId="795975F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合成麦克风升降器</w:t>
            </w:r>
          </w:p>
        </w:tc>
        <w:tc>
          <w:tcPr>
            <w:tcW w:w="3015" w:type="pct"/>
            <w:shd w:val="clear" w:color="auto" w:fill="auto"/>
            <w:vAlign w:val="center"/>
          </w:tcPr>
          <w:p w14:paraId="4C63CAD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1.控制模式：DMX-512。</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2.最大负载：2kg，运行速度：≥0.5米/秒。</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3.升降行程：≥4米。</w:t>
            </w:r>
          </w:p>
        </w:tc>
        <w:tc>
          <w:tcPr>
            <w:tcW w:w="431" w:type="pct"/>
            <w:vAlign w:val="center"/>
          </w:tcPr>
          <w:p w14:paraId="6A9180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99" w:type="pct"/>
            <w:vAlign w:val="center"/>
          </w:tcPr>
          <w:p w14:paraId="4DECA63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461BAA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ECBADE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11</w:t>
            </w:r>
          </w:p>
        </w:tc>
        <w:tc>
          <w:tcPr>
            <w:tcW w:w="757" w:type="pct"/>
            <w:vAlign w:val="center"/>
          </w:tcPr>
          <w:p w14:paraId="792DFB4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合唱麦克风</w:t>
            </w:r>
          </w:p>
        </w:tc>
        <w:tc>
          <w:tcPr>
            <w:tcW w:w="3015" w:type="pct"/>
            <w:shd w:val="clear" w:color="auto" w:fill="auto"/>
            <w:vAlign w:val="center"/>
          </w:tcPr>
          <w:p w14:paraId="7CA8882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1.传感器类型：电容。</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2.拾音模式：超心形，全向，心形。</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3.频率响应自：≥50HZ。</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4.频率响应至：17KHZ。</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5.等效自噪：心形：≥28.0 DB(A)，超心形：≥26.5 DB(A)，全指向性：≥20.5 DB(A)。</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6.声压：心形：≥124.2 DB，超心形：≥122.7 DB，全指向性：≥116.7 DB。</w:t>
            </w:r>
          </w:p>
        </w:tc>
        <w:tc>
          <w:tcPr>
            <w:tcW w:w="431" w:type="pct"/>
            <w:vAlign w:val="center"/>
          </w:tcPr>
          <w:p w14:paraId="1748722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99" w:type="pct"/>
            <w:vAlign w:val="center"/>
          </w:tcPr>
          <w:p w14:paraId="460B342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2814F2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D6AAAF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w:t>
            </w:r>
          </w:p>
        </w:tc>
        <w:tc>
          <w:tcPr>
            <w:tcW w:w="757" w:type="pct"/>
            <w:vAlign w:val="center"/>
          </w:tcPr>
          <w:p w14:paraId="223CDC4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数字调音台</w:t>
            </w:r>
          </w:p>
        </w:tc>
        <w:tc>
          <w:tcPr>
            <w:tcW w:w="3015" w:type="pct"/>
            <w:shd w:val="clear" w:color="auto" w:fill="auto"/>
            <w:vAlign w:val="center"/>
          </w:tcPr>
          <w:p w14:paraId="6994AB5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1.具有≥14路平衡XLR输入接口、≥16路TRS输入接口、≥2路OPTICAL接口、≥2路S/PDIF接口、≥2路USB2.0输入声卡。</w:t>
            </w:r>
          </w:p>
          <w:p w14:paraId="7C375AC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2.具有≥100组场景预设功能，可导出、导入USB存储器，便于数据备份；≥32个PEQ模式存储。</w:t>
            </w:r>
          </w:p>
          <w:p w14:paraId="50C37C2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3.具有≥8个推子编组、≥3个快速静音组按键。</w:t>
            </w:r>
          </w:p>
          <w:p w14:paraId="0884A76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4.具有≥2个内置效果器，设备自带有经典混响、大房间混响等效果模块。</w:t>
            </w:r>
          </w:p>
          <w:p w14:paraId="3EA6BE2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5.具有≥1个10.1英寸高清触摸屏，支持≥1280×800分辨率。</w:t>
            </w:r>
          </w:p>
          <w:p w14:paraId="0AB2777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6.具有≥13个100mm电动推子，电动推子可操控所有的通道和主输出:≥1个LR主声道推子、≥12个通道推子以及≥2个推子层</w:t>
            </w:r>
            <w:r>
              <w:rPr>
                <w:rFonts w:hint="eastAsia" w:ascii="宋体" w:hAnsi="宋体" w:cs="宋体"/>
                <w:color w:val="auto"/>
                <w:kern w:val="2"/>
                <w:sz w:val="21"/>
                <w:szCs w:val="21"/>
                <w:lang w:val="en-US" w:eastAsia="zh-CN" w:bidi="ar-SA"/>
              </w:rPr>
              <w:t>。</w:t>
            </w:r>
          </w:p>
          <w:p w14:paraId="55943FE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7.具有面板锁定按键，防止误操作。</w:t>
            </w:r>
          </w:p>
          <w:p w14:paraId="32F6DD8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8.支持中英文界面切换，且无需重启。</w:t>
            </w:r>
          </w:p>
          <w:p w14:paraId="5A188B1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9.每个输入通道具有≥4段参数均衡、噪声门、高低通、压缩、反相</w:t>
            </w:r>
            <w:r>
              <w:rPr>
                <w:rFonts w:hint="eastAsia" w:ascii="宋体" w:hAnsi="宋体" w:cs="宋体"/>
                <w:color w:val="auto"/>
                <w:kern w:val="2"/>
                <w:sz w:val="21"/>
                <w:szCs w:val="21"/>
                <w:lang w:val="en-US" w:eastAsia="zh-CN" w:bidi="ar-SA"/>
              </w:rPr>
              <w:t>。</w:t>
            </w:r>
          </w:p>
          <w:p w14:paraId="7C62EC5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10.每个输出通道具有≥8段参数均衡、高低通、压缩、反相、1800亳秒延时器</w:t>
            </w:r>
            <w:r>
              <w:rPr>
                <w:rFonts w:hint="eastAsia" w:ascii="宋体" w:hAnsi="宋体" w:cs="宋体"/>
                <w:color w:val="auto"/>
                <w:kern w:val="2"/>
                <w:sz w:val="21"/>
                <w:szCs w:val="21"/>
                <w:lang w:val="en-US" w:eastAsia="zh-CN" w:bidi="ar-SA"/>
              </w:rPr>
              <w:t>。</w:t>
            </w:r>
          </w:p>
          <w:p w14:paraId="32B97F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11.输入带有独立的反馈抑制器，支持增益共享型自动混音，带有≥2个DCA编组</w:t>
            </w:r>
            <w:r>
              <w:rPr>
                <w:rFonts w:hint="eastAsia" w:ascii="宋体" w:hAnsi="宋体" w:cs="宋体"/>
                <w:color w:val="auto"/>
                <w:kern w:val="2"/>
                <w:sz w:val="21"/>
                <w:szCs w:val="21"/>
                <w:lang w:val="en-US" w:eastAsia="zh-CN" w:bidi="ar-SA"/>
              </w:rPr>
              <w:t>。</w:t>
            </w:r>
          </w:p>
        </w:tc>
        <w:tc>
          <w:tcPr>
            <w:tcW w:w="431" w:type="pct"/>
            <w:vAlign w:val="center"/>
          </w:tcPr>
          <w:p w14:paraId="21C875A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899FD1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A16F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1D0CED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13</w:t>
            </w:r>
          </w:p>
        </w:tc>
        <w:tc>
          <w:tcPr>
            <w:tcW w:w="757" w:type="pct"/>
            <w:vAlign w:val="center"/>
          </w:tcPr>
          <w:p w14:paraId="6AA4D09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音频处理器</w:t>
            </w:r>
          </w:p>
        </w:tc>
        <w:tc>
          <w:tcPr>
            <w:tcW w:w="3015" w:type="pct"/>
            <w:shd w:val="clear" w:color="auto" w:fill="auto"/>
            <w:vAlign w:val="center"/>
          </w:tcPr>
          <w:p w14:paraId="4A7EE96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1.数字音频处理器支持≥12路平衡式话筒/线路输入通道，采用裸线接口端子，平衡接法；支持≥12路平衡式线路输出，采用裸线接口端子，平衡接法。</w:t>
            </w:r>
          </w:p>
          <w:p w14:paraId="0EF3373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auto"/>
                <w:kern w:val="2"/>
                <w:sz w:val="21"/>
                <w:szCs w:val="21"/>
                <w:lang w:val="en-US" w:eastAsia="zh-CN" w:bidi="ar-SA"/>
              </w:rPr>
              <w:t>。</w:t>
            </w:r>
          </w:p>
          <w:p w14:paraId="336EC05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3.输出通道支持≥12段参量均衡，≥31段图示均衡、延时器、分频器、高低通滤波器、限幅器</w:t>
            </w:r>
            <w:r>
              <w:rPr>
                <w:rFonts w:hint="eastAsia" w:ascii="宋体" w:hAnsi="宋体" w:cs="宋体"/>
                <w:color w:val="auto"/>
                <w:kern w:val="2"/>
                <w:sz w:val="21"/>
                <w:szCs w:val="21"/>
                <w:lang w:val="en-US" w:eastAsia="zh-CN" w:bidi="ar-SA"/>
              </w:rPr>
              <w:t>。</w:t>
            </w:r>
          </w:p>
          <w:p w14:paraId="75E519B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4.高性能专业DSP处理器，支持≥32bit/48kHz的声音，支持输入通道48V幻象供电。</w:t>
            </w:r>
          </w:p>
          <w:p w14:paraId="3AF2556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5.具有IPS真彩显示屏，支持显示设备网络信息、实时电平、通道静音状态</w:t>
            </w:r>
            <w:r>
              <w:rPr>
                <w:rFonts w:hint="eastAsia" w:ascii="宋体" w:hAnsi="宋体" w:cs="宋体"/>
                <w:color w:val="auto"/>
                <w:kern w:val="2"/>
                <w:sz w:val="21"/>
                <w:szCs w:val="21"/>
                <w:lang w:val="en-US" w:eastAsia="zh-CN" w:bidi="ar-SA"/>
              </w:rPr>
              <w:t>。</w:t>
            </w:r>
          </w:p>
          <w:p w14:paraId="26E851F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6.支持通过APP软件进行操作控制，面板具备USB接口，支持多媒体存储，可进行播放或存储录播</w:t>
            </w:r>
            <w:r>
              <w:rPr>
                <w:rFonts w:hint="eastAsia" w:ascii="宋体" w:hAnsi="宋体" w:cs="宋体"/>
                <w:color w:val="auto"/>
                <w:kern w:val="2"/>
                <w:sz w:val="21"/>
                <w:szCs w:val="21"/>
                <w:lang w:val="en-US" w:eastAsia="zh-CN" w:bidi="ar-SA"/>
              </w:rPr>
              <w:t>。</w:t>
            </w:r>
          </w:p>
          <w:p w14:paraId="71E1487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7.配置双向RS-232接口，可用于控制外部设备；配置RS-485接口，可实现自动摄像跟踪功能。配置≥8通道可编程GPIO控制接口（可自定义输入输出）</w:t>
            </w:r>
          </w:p>
          <w:p w14:paraId="71A7C9F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8.支持断电自动保护记忆功能。支持通道拷贝、粘贴、联控功能。管理控制软件可工作在Windows7、8、10等系统环境下。</w:t>
            </w:r>
          </w:p>
          <w:p w14:paraId="0ED772B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9.≥8个场景预设，支持场景信息导入、场景信息导出。</w:t>
            </w:r>
          </w:p>
        </w:tc>
        <w:tc>
          <w:tcPr>
            <w:tcW w:w="431" w:type="pct"/>
            <w:vAlign w:val="center"/>
          </w:tcPr>
          <w:p w14:paraId="265B64D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C5AB61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3B61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AB6FB9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14</w:t>
            </w:r>
          </w:p>
        </w:tc>
        <w:tc>
          <w:tcPr>
            <w:tcW w:w="757" w:type="pct"/>
            <w:vAlign w:val="center"/>
          </w:tcPr>
          <w:p w14:paraId="2305FD4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线阵音箱（1）</w:t>
            </w:r>
          </w:p>
        </w:tc>
        <w:tc>
          <w:tcPr>
            <w:tcW w:w="3015" w:type="pct"/>
            <w:shd w:val="clear" w:color="auto" w:fill="auto"/>
            <w:vAlign w:val="center"/>
          </w:tcPr>
          <w:p w14:paraId="52D78A0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1.音箱类型为二分频线性阵列全频音箱。</w:t>
            </w:r>
          </w:p>
          <w:p w14:paraId="0ABBDBD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2.功率≥500W，阻抗：≤8Ω，频率范围等同或优于70Hz-20kHz，最大声压级≥127dB。</w:t>
            </w:r>
          </w:p>
          <w:p w14:paraId="333F3D0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3.灵敏度SPL（1W/1M）≥100dB (1M/1W )，低频扬声器：≥8" x 2，高频扬声器：≥75mm（3"）压缩驱动器*1。</w:t>
            </w:r>
          </w:p>
          <w:p w14:paraId="781C33F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4.水平覆盖角(-6dB)≥90°，垂直覆盖角(-6dB)≥10°。</w:t>
            </w:r>
          </w:p>
        </w:tc>
        <w:tc>
          <w:tcPr>
            <w:tcW w:w="431" w:type="pct"/>
            <w:vAlign w:val="center"/>
          </w:tcPr>
          <w:p w14:paraId="0501C9D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99" w:type="pct"/>
            <w:vAlign w:val="center"/>
          </w:tcPr>
          <w:p w14:paraId="5284E7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05F14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B4BF503">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w:t>
            </w:r>
          </w:p>
        </w:tc>
        <w:tc>
          <w:tcPr>
            <w:tcW w:w="757" w:type="pct"/>
            <w:vAlign w:val="center"/>
          </w:tcPr>
          <w:p w14:paraId="35BAE2E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线阵音箱（2）</w:t>
            </w:r>
          </w:p>
        </w:tc>
        <w:tc>
          <w:tcPr>
            <w:tcW w:w="3015" w:type="pct"/>
            <w:shd w:val="clear" w:color="auto" w:fill="auto"/>
            <w:vAlign w:val="center"/>
          </w:tcPr>
          <w:p w14:paraId="24CCC17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1.音箱类型为低频音箱，低频扬声器单元18" x 1。</w:t>
            </w:r>
          </w:p>
          <w:p w14:paraId="559380B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2.功率≥600W，阻抗：≤8Ω。</w:t>
            </w:r>
          </w:p>
          <w:p w14:paraId="4A6A5A5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3.频率范围等同或优于40Hz-400Hz，灵敏度SPL（1W/1M）≥100dB (1M/1W)，最大声压级≥128dB。</w:t>
            </w:r>
          </w:p>
        </w:tc>
        <w:tc>
          <w:tcPr>
            <w:tcW w:w="431" w:type="pct"/>
            <w:vAlign w:val="center"/>
          </w:tcPr>
          <w:p w14:paraId="4BCFE11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736D19E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36551B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3DD531B">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16</w:t>
            </w:r>
          </w:p>
        </w:tc>
        <w:tc>
          <w:tcPr>
            <w:tcW w:w="757" w:type="pct"/>
            <w:vAlign w:val="center"/>
          </w:tcPr>
          <w:p w14:paraId="3D7015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专业功放（1）</w:t>
            </w:r>
          </w:p>
        </w:tc>
        <w:tc>
          <w:tcPr>
            <w:tcW w:w="3015" w:type="pct"/>
            <w:shd w:val="clear" w:color="auto" w:fill="auto"/>
            <w:vAlign w:val="center"/>
          </w:tcPr>
          <w:p w14:paraId="080D320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1.双通道大功率专业数字功放</w:t>
            </w:r>
            <w:r>
              <w:rPr>
                <w:rFonts w:hint="eastAsia" w:ascii="宋体" w:hAnsi="宋体" w:cs="宋体"/>
                <w:color w:val="auto"/>
                <w:kern w:val="2"/>
                <w:sz w:val="21"/>
                <w:szCs w:val="21"/>
                <w:lang w:val="en-US" w:eastAsia="zh-CN" w:bidi="ar-SA"/>
              </w:rPr>
              <w:t>。</w:t>
            </w:r>
          </w:p>
          <w:p w14:paraId="1D12CA6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2.功放有直流、短路、过载、过热保护</w:t>
            </w:r>
            <w:r>
              <w:rPr>
                <w:rFonts w:hint="eastAsia" w:ascii="宋体" w:hAnsi="宋体" w:cs="宋体"/>
                <w:color w:val="auto"/>
                <w:kern w:val="2"/>
                <w:sz w:val="21"/>
                <w:szCs w:val="21"/>
                <w:lang w:val="en-US" w:eastAsia="zh-CN" w:bidi="ar-SA"/>
              </w:rPr>
              <w:t>。</w:t>
            </w:r>
          </w:p>
          <w:p w14:paraId="643BECD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3.采用可变震荡调制技术、多重反馈调控技术以及输出功率控制技术</w:t>
            </w:r>
            <w:r>
              <w:rPr>
                <w:rFonts w:hint="eastAsia" w:ascii="宋体" w:hAnsi="宋体" w:cs="宋体"/>
                <w:color w:val="auto"/>
                <w:kern w:val="2"/>
                <w:sz w:val="21"/>
                <w:szCs w:val="21"/>
                <w:lang w:val="en-US" w:eastAsia="zh-CN" w:bidi="ar-SA"/>
              </w:rPr>
              <w:t>。</w:t>
            </w:r>
          </w:p>
          <w:p w14:paraId="2DBD887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4.支持灵敏度≥1V/2V可选择切换，XLR平衡式输入/XLR 平衡式LINK输出；SPEAKON音响插座输出</w:t>
            </w:r>
            <w:r>
              <w:rPr>
                <w:rFonts w:hint="eastAsia" w:ascii="宋体" w:hAnsi="宋体" w:cs="宋体"/>
                <w:color w:val="auto"/>
                <w:kern w:val="2"/>
                <w:sz w:val="21"/>
                <w:szCs w:val="21"/>
                <w:lang w:val="en-US" w:eastAsia="zh-CN" w:bidi="ar-SA"/>
              </w:rPr>
              <w:t>。</w:t>
            </w:r>
          </w:p>
          <w:p w14:paraId="46A809E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5.输出功率（1KHz/THD≤1％）：连续功率：立体声8Ω×2：≥2*1000W；立体声4Ω×2：≥2*1700W；立体声2Ω×2：≥2*2900W；桥接16Ω：≥2000W；桥接8Ω：≥3400W；桥接4Ω：≥5800W</w:t>
            </w:r>
            <w:r>
              <w:rPr>
                <w:rFonts w:hint="eastAsia" w:ascii="宋体" w:hAnsi="宋体" w:cs="宋体"/>
                <w:color w:val="auto"/>
                <w:kern w:val="2"/>
                <w:sz w:val="21"/>
                <w:szCs w:val="21"/>
                <w:lang w:val="en-US" w:eastAsia="zh-CN" w:bidi="ar-SA"/>
              </w:rPr>
              <w:t>。</w:t>
            </w:r>
          </w:p>
          <w:p w14:paraId="5F8E1D5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6.电压增益 (@1KHz)：≥39dB</w:t>
            </w:r>
            <w:r>
              <w:rPr>
                <w:rFonts w:hint="eastAsia" w:ascii="宋体" w:hAnsi="宋体" w:cs="宋体"/>
                <w:color w:val="auto"/>
                <w:kern w:val="2"/>
                <w:sz w:val="21"/>
                <w:szCs w:val="21"/>
                <w:lang w:val="en-US" w:eastAsia="zh-CN" w:bidi="ar-SA"/>
              </w:rPr>
              <w:t>。</w:t>
            </w:r>
          </w:p>
          <w:p w14:paraId="77ED7B4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7.频率响应(@1W功率下）等同或优于20Hz-20KHz/±1dB</w:t>
            </w:r>
            <w:r>
              <w:rPr>
                <w:rFonts w:hint="eastAsia" w:ascii="宋体" w:hAnsi="宋体" w:cs="宋体"/>
                <w:color w:val="auto"/>
                <w:kern w:val="2"/>
                <w:sz w:val="21"/>
                <w:szCs w:val="21"/>
                <w:lang w:val="en-US" w:eastAsia="zh-CN" w:bidi="ar-SA"/>
              </w:rPr>
              <w:t>。</w:t>
            </w:r>
          </w:p>
          <w:p w14:paraId="73FB690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8.THD+N(@1/8功率下）：≤0.01％</w:t>
            </w:r>
            <w:r>
              <w:rPr>
                <w:rFonts w:hint="eastAsia" w:ascii="宋体" w:hAnsi="宋体" w:cs="宋体"/>
                <w:color w:val="auto"/>
                <w:kern w:val="2"/>
                <w:sz w:val="21"/>
                <w:szCs w:val="21"/>
                <w:lang w:val="en-US" w:eastAsia="zh-CN" w:bidi="ar-SA"/>
              </w:rPr>
              <w:t>。</w:t>
            </w:r>
          </w:p>
          <w:p w14:paraId="4D2CA51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9.信噪比 (A计权)：≥105dB</w:t>
            </w:r>
            <w:r>
              <w:rPr>
                <w:rFonts w:hint="eastAsia" w:ascii="宋体" w:hAnsi="宋体" w:cs="宋体"/>
                <w:color w:val="auto"/>
                <w:kern w:val="2"/>
                <w:sz w:val="21"/>
                <w:szCs w:val="21"/>
                <w:lang w:val="en-US" w:eastAsia="zh-CN" w:bidi="ar-SA"/>
              </w:rPr>
              <w:t>。</w:t>
            </w:r>
          </w:p>
        </w:tc>
        <w:tc>
          <w:tcPr>
            <w:tcW w:w="431" w:type="pct"/>
            <w:vAlign w:val="center"/>
          </w:tcPr>
          <w:p w14:paraId="653D6BC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36E1262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2CDF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C2F9FF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17</w:t>
            </w:r>
          </w:p>
        </w:tc>
        <w:tc>
          <w:tcPr>
            <w:tcW w:w="757" w:type="pct"/>
            <w:vAlign w:val="center"/>
          </w:tcPr>
          <w:p w14:paraId="5ECF9F3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支架（1）</w:t>
            </w:r>
          </w:p>
        </w:tc>
        <w:tc>
          <w:tcPr>
            <w:tcW w:w="3015" w:type="pct"/>
            <w:shd w:val="clear" w:color="auto" w:fill="auto"/>
            <w:vAlign w:val="center"/>
          </w:tcPr>
          <w:p w14:paraId="02783EB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1.专用</w:t>
            </w:r>
            <w:r>
              <w:rPr>
                <w:rFonts w:hint="eastAsia" w:ascii="宋体" w:hAnsi="宋体" w:eastAsia="宋体" w:cs="宋体"/>
                <w:color w:val="auto"/>
                <w:kern w:val="2"/>
                <w:sz w:val="21"/>
                <w:szCs w:val="21"/>
                <w:lang w:val="en-US" w:eastAsia="zh-CN" w:bidi="ar-SA"/>
              </w:rPr>
              <w:t>音箱支架</w:t>
            </w:r>
            <w:r>
              <w:rPr>
                <w:rFonts w:hint="eastAsia" w:ascii="宋体" w:hAnsi="宋体" w:cs="宋体"/>
                <w:color w:val="auto"/>
                <w:kern w:val="2"/>
                <w:sz w:val="21"/>
                <w:szCs w:val="21"/>
                <w:lang w:val="en-US" w:eastAsia="zh-CN" w:bidi="ar-SA"/>
              </w:rPr>
              <w:t>。</w:t>
            </w:r>
          </w:p>
        </w:tc>
        <w:tc>
          <w:tcPr>
            <w:tcW w:w="431" w:type="pct"/>
            <w:vAlign w:val="center"/>
          </w:tcPr>
          <w:p w14:paraId="1A1DA95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6339395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4483D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ADCE78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18</w:t>
            </w:r>
          </w:p>
        </w:tc>
        <w:tc>
          <w:tcPr>
            <w:tcW w:w="757" w:type="pct"/>
            <w:vAlign w:val="center"/>
          </w:tcPr>
          <w:p w14:paraId="2FEEE33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支架（2）</w:t>
            </w:r>
          </w:p>
        </w:tc>
        <w:tc>
          <w:tcPr>
            <w:tcW w:w="3015" w:type="pct"/>
            <w:shd w:val="clear" w:color="auto" w:fill="auto"/>
            <w:vAlign w:val="center"/>
          </w:tcPr>
          <w:p w14:paraId="6BB4497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1.标配长度：≥6米；包含：葫芦架1套。承重：≥2t。</w:t>
            </w:r>
          </w:p>
          <w:p w14:paraId="5068BFA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2.材质：国标G80级锰钢；外壳：加厚合金钢。</w:t>
            </w:r>
          </w:p>
          <w:p w14:paraId="31DC753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3.表面处理：淬火工艺+镀锌；颜色：黄色+红色。</w:t>
            </w:r>
          </w:p>
          <w:p w14:paraId="228F4C2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4.链条破断应力：≥800Mpa。</w:t>
            </w:r>
          </w:p>
          <w:p w14:paraId="17D0731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5.刹车系统：双重干式；轴承：滚针轴承。</w:t>
            </w:r>
          </w:p>
        </w:tc>
        <w:tc>
          <w:tcPr>
            <w:tcW w:w="431" w:type="pct"/>
            <w:vAlign w:val="center"/>
          </w:tcPr>
          <w:p w14:paraId="5E8C3A0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475C488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2C179E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5CEF26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19</w:t>
            </w:r>
          </w:p>
        </w:tc>
        <w:tc>
          <w:tcPr>
            <w:tcW w:w="757" w:type="pct"/>
            <w:vAlign w:val="center"/>
          </w:tcPr>
          <w:p w14:paraId="70EB27A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专业音箱（1）</w:t>
            </w:r>
          </w:p>
        </w:tc>
        <w:tc>
          <w:tcPr>
            <w:tcW w:w="3015" w:type="pct"/>
            <w:shd w:val="clear" w:color="auto" w:fill="auto"/>
            <w:vAlign w:val="center"/>
          </w:tcPr>
          <w:p w14:paraId="2133864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1.阻抗≤8Ω</w:t>
            </w:r>
            <w:r>
              <w:rPr>
                <w:rFonts w:hint="eastAsia" w:ascii="宋体" w:hAnsi="宋体" w:cs="宋体"/>
                <w:color w:val="auto"/>
                <w:kern w:val="2"/>
                <w:sz w:val="21"/>
                <w:szCs w:val="21"/>
                <w:lang w:val="en-US" w:eastAsia="zh-CN" w:bidi="ar-SA"/>
              </w:rPr>
              <w:t>。</w:t>
            </w:r>
          </w:p>
          <w:p w14:paraId="7C95A1B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2.频响等同或优于55Hz~20KHz</w:t>
            </w:r>
            <w:r>
              <w:rPr>
                <w:rFonts w:hint="eastAsia" w:ascii="宋体" w:hAnsi="宋体" w:cs="宋体"/>
                <w:color w:val="auto"/>
                <w:kern w:val="2"/>
                <w:sz w:val="21"/>
                <w:szCs w:val="21"/>
                <w:lang w:val="en-US" w:eastAsia="zh-CN" w:bidi="ar-SA"/>
              </w:rPr>
              <w:t>。</w:t>
            </w:r>
          </w:p>
          <w:p w14:paraId="12C104D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3.额定功率≥300W</w:t>
            </w:r>
            <w:r>
              <w:rPr>
                <w:rFonts w:hint="eastAsia" w:ascii="宋体" w:hAnsi="宋体" w:cs="宋体"/>
                <w:color w:val="auto"/>
                <w:kern w:val="2"/>
                <w:sz w:val="21"/>
                <w:szCs w:val="21"/>
                <w:lang w:val="en-US" w:eastAsia="zh-CN" w:bidi="ar-SA"/>
              </w:rPr>
              <w:t>。</w:t>
            </w:r>
          </w:p>
          <w:p w14:paraId="5E05DD7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4.灵敏度≥98dB/W/M</w:t>
            </w:r>
            <w:r>
              <w:rPr>
                <w:rFonts w:hint="eastAsia" w:ascii="宋体" w:hAnsi="宋体" w:cs="宋体"/>
                <w:color w:val="auto"/>
                <w:kern w:val="2"/>
                <w:sz w:val="21"/>
                <w:szCs w:val="21"/>
                <w:lang w:val="en-US" w:eastAsia="zh-CN" w:bidi="ar-SA"/>
              </w:rPr>
              <w:t>。</w:t>
            </w:r>
          </w:p>
          <w:p w14:paraId="1ED2AEF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5.水平覆盖角≥80°，垂直覆盖角≥60°</w:t>
            </w:r>
            <w:r>
              <w:rPr>
                <w:rFonts w:hint="eastAsia" w:ascii="宋体" w:hAnsi="宋体" w:cs="宋体"/>
                <w:color w:val="auto"/>
                <w:kern w:val="2"/>
                <w:sz w:val="21"/>
                <w:szCs w:val="21"/>
                <w:lang w:val="en-US" w:eastAsia="zh-CN" w:bidi="ar-SA"/>
              </w:rPr>
              <w:t>。</w:t>
            </w:r>
          </w:p>
          <w:p w14:paraId="44F7F63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6.高音≥1.4"压缩高音单元×1</w:t>
            </w:r>
            <w:r>
              <w:rPr>
                <w:rFonts w:hint="eastAsia" w:ascii="宋体" w:hAnsi="宋体" w:cs="宋体"/>
                <w:color w:val="auto"/>
                <w:kern w:val="2"/>
                <w:sz w:val="21"/>
                <w:szCs w:val="21"/>
                <w:lang w:val="en-US" w:eastAsia="zh-CN" w:bidi="ar-SA"/>
              </w:rPr>
              <w:t>。</w:t>
            </w:r>
          </w:p>
          <w:p w14:paraId="3B6E521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7.低音≥10"低音×1</w:t>
            </w:r>
            <w:r>
              <w:rPr>
                <w:rFonts w:hint="eastAsia" w:ascii="宋体" w:hAnsi="宋体" w:cs="宋体"/>
                <w:color w:val="auto"/>
                <w:kern w:val="2"/>
                <w:sz w:val="21"/>
                <w:szCs w:val="21"/>
                <w:lang w:val="en-US" w:eastAsia="zh-CN" w:bidi="ar-SA"/>
              </w:rPr>
              <w:t>。</w:t>
            </w:r>
          </w:p>
        </w:tc>
        <w:tc>
          <w:tcPr>
            <w:tcW w:w="431" w:type="pct"/>
            <w:vAlign w:val="center"/>
          </w:tcPr>
          <w:p w14:paraId="2D1C9FC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9" w:type="pct"/>
            <w:vAlign w:val="center"/>
          </w:tcPr>
          <w:p w14:paraId="57E375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582ED6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53B646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757" w:type="pct"/>
            <w:vAlign w:val="center"/>
          </w:tcPr>
          <w:p w14:paraId="30FAC4A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支架（3）</w:t>
            </w:r>
          </w:p>
        </w:tc>
        <w:tc>
          <w:tcPr>
            <w:tcW w:w="3015" w:type="pct"/>
            <w:shd w:val="clear" w:color="auto" w:fill="auto"/>
            <w:vAlign w:val="center"/>
          </w:tcPr>
          <w:p w14:paraId="1548F07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1.专用</w:t>
            </w:r>
            <w:r>
              <w:rPr>
                <w:rFonts w:hint="eastAsia" w:ascii="宋体" w:hAnsi="宋体" w:eastAsia="宋体" w:cs="宋体"/>
                <w:color w:val="auto"/>
                <w:kern w:val="2"/>
                <w:sz w:val="21"/>
                <w:szCs w:val="21"/>
                <w:lang w:val="en-US" w:eastAsia="zh-CN" w:bidi="ar-SA"/>
              </w:rPr>
              <w:t>音箱支架</w:t>
            </w:r>
            <w:r>
              <w:rPr>
                <w:rFonts w:hint="eastAsia" w:ascii="宋体" w:hAnsi="宋体" w:cs="宋体"/>
                <w:color w:val="auto"/>
                <w:kern w:val="2"/>
                <w:sz w:val="21"/>
                <w:szCs w:val="21"/>
                <w:lang w:val="en-US" w:eastAsia="zh-CN" w:bidi="ar-SA"/>
              </w:rPr>
              <w:t>。</w:t>
            </w:r>
          </w:p>
        </w:tc>
        <w:tc>
          <w:tcPr>
            <w:tcW w:w="431" w:type="pct"/>
            <w:vAlign w:val="center"/>
          </w:tcPr>
          <w:p w14:paraId="3797860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9" w:type="pct"/>
            <w:vAlign w:val="center"/>
          </w:tcPr>
          <w:p w14:paraId="0B16480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0DE17F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FD41D7A">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757" w:type="pct"/>
            <w:vAlign w:val="center"/>
          </w:tcPr>
          <w:p w14:paraId="4D6699F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专业功放（2）</w:t>
            </w:r>
          </w:p>
        </w:tc>
        <w:tc>
          <w:tcPr>
            <w:tcW w:w="3015" w:type="pct"/>
            <w:shd w:val="clear" w:color="auto" w:fill="auto"/>
            <w:vAlign w:val="center"/>
          </w:tcPr>
          <w:p w14:paraId="61445AD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1.1U机箱设计，采用D类数字功放设计方案。</w:t>
            </w:r>
          </w:p>
          <w:p w14:paraId="57B307F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2.标准XLR输入接口，和LINK输出口。</w:t>
            </w:r>
          </w:p>
          <w:p w14:paraId="5686063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3.电源采用开关电源技术，效率高，有效的抑制电源谐波。</w:t>
            </w:r>
          </w:p>
          <w:p w14:paraId="738D81C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4.内置智能削峰限幅器，支持开机软启动，防止开机时向电网吸收大电流，干扰其它用电设备。 </w:t>
            </w:r>
          </w:p>
          <w:p w14:paraId="16BE71B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5.具有：过压保护，欠压保护，过流保护，直流保护，输出短路保护，温控风扇等功能。</w:t>
            </w:r>
          </w:p>
          <w:p w14:paraId="25BF0E1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6.输出功率：立体声@8Ω：≥500W×2；立体声@4Ω：≥850W×2；桥接@8Ω：≥1700W。</w:t>
            </w:r>
          </w:p>
        </w:tc>
        <w:tc>
          <w:tcPr>
            <w:tcW w:w="431" w:type="pct"/>
            <w:vAlign w:val="center"/>
          </w:tcPr>
          <w:p w14:paraId="579FA7A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41C6F75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6A77A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369540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22</w:t>
            </w:r>
          </w:p>
        </w:tc>
        <w:tc>
          <w:tcPr>
            <w:tcW w:w="757" w:type="pct"/>
            <w:vAlign w:val="center"/>
          </w:tcPr>
          <w:p w14:paraId="0FE87C9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专业音箱（2）</w:t>
            </w:r>
          </w:p>
        </w:tc>
        <w:tc>
          <w:tcPr>
            <w:tcW w:w="3015" w:type="pct"/>
            <w:shd w:val="clear" w:color="auto" w:fill="auto"/>
            <w:vAlign w:val="center"/>
          </w:tcPr>
          <w:p w14:paraId="33FF77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1.阻抗≤8Ω</w:t>
            </w:r>
            <w:r>
              <w:rPr>
                <w:rFonts w:hint="eastAsia" w:ascii="宋体" w:hAnsi="宋体" w:cs="宋体"/>
                <w:color w:val="auto"/>
                <w:kern w:val="2"/>
                <w:sz w:val="21"/>
                <w:szCs w:val="21"/>
                <w:lang w:val="en-US" w:eastAsia="zh-CN" w:bidi="ar-SA"/>
              </w:rPr>
              <w:t>。</w:t>
            </w:r>
          </w:p>
          <w:p w14:paraId="543389F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2.频响等同或优于60Hz-20KHz</w:t>
            </w:r>
            <w:r>
              <w:rPr>
                <w:rFonts w:hint="eastAsia" w:ascii="宋体" w:hAnsi="宋体" w:cs="宋体"/>
                <w:color w:val="auto"/>
                <w:kern w:val="2"/>
                <w:sz w:val="21"/>
                <w:szCs w:val="21"/>
                <w:lang w:val="en-US" w:eastAsia="zh-CN" w:bidi="ar-SA"/>
              </w:rPr>
              <w:t>。</w:t>
            </w:r>
          </w:p>
          <w:p w14:paraId="622AACE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3.额定功率≥300W</w:t>
            </w:r>
            <w:r>
              <w:rPr>
                <w:rFonts w:hint="eastAsia" w:ascii="宋体" w:hAnsi="宋体" w:cs="宋体"/>
                <w:color w:val="auto"/>
                <w:kern w:val="2"/>
                <w:sz w:val="21"/>
                <w:szCs w:val="21"/>
                <w:lang w:val="en-US" w:eastAsia="zh-CN" w:bidi="ar-SA"/>
              </w:rPr>
              <w:t>。</w:t>
            </w:r>
          </w:p>
          <w:p w14:paraId="25ACD1D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4.灵敏度≥98dB/W/M</w:t>
            </w:r>
            <w:r>
              <w:rPr>
                <w:rFonts w:hint="eastAsia" w:ascii="宋体" w:hAnsi="宋体" w:cs="宋体"/>
                <w:color w:val="auto"/>
                <w:kern w:val="2"/>
                <w:sz w:val="21"/>
                <w:szCs w:val="21"/>
                <w:lang w:val="en-US" w:eastAsia="zh-CN" w:bidi="ar-SA"/>
              </w:rPr>
              <w:t>。</w:t>
            </w:r>
          </w:p>
          <w:p w14:paraId="0C6A790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5.水平覆盖角≥80°，垂直覆盖角≥60°</w:t>
            </w:r>
            <w:r>
              <w:rPr>
                <w:rFonts w:hint="eastAsia" w:ascii="宋体" w:hAnsi="宋体" w:cs="宋体"/>
                <w:color w:val="auto"/>
                <w:kern w:val="2"/>
                <w:sz w:val="21"/>
                <w:szCs w:val="21"/>
                <w:lang w:val="en-US" w:eastAsia="zh-CN" w:bidi="ar-SA"/>
              </w:rPr>
              <w:t>。</w:t>
            </w:r>
          </w:p>
          <w:p w14:paraId="5C53D4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6.高音≤1.4"压缩高音单元×1；低音：10"低音×1</w:t>
            </w:r>
            <w:r>
              <w:rPr>
                <w:rFonts w:hint="eastAsia" w:ascii="宋体" w:hAnsi="宋体" w:cs="宋体"/>
                <w:color w:val="auto"/>
                <w:kern w:val="2"/>
                <w:sz w:val="21"/>
                <w:szCs w:val="21"/>
                <w:lang w:val="en-US" w:eastAsia="zh-CN" w:bidi="ar-SA"/>
              </w:rPr>
              <w:t>。</w:t>
            </w:r>
          </w:p>
        </w:tc>
        <w:tc>
          <w:tcPr>
            <w:tcW w:w="431" w:type="pct"/>
            <w:vAlign w:val="center"/>
          </w:tcPr>
          <w:p w14:paraId="6D6F9CB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1AC9D59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7C498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7C445FB">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23</w:t>
            </w:r>
          </w:p>
        </w:tc>
        <w:tc>
          <w:tcPr>
            <w:tcW w:w="757" w:type="pct"/>
            <w:vAlign w:val="center"/>
          </w:tcPr>
          <w:p w14:paraId="6D9C98C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专业功放（3）</w:t>
            </w:r>
          </w:p>
        </w:tc>
        <w:tc>
          <w:tcPr>
            <w:tcW w:w="3015" w:type="pct"/>
            <w:shd w:val="clear" w:color="auto" w:fill="auto"/>
            <w:vAlign w:val="center"/>
          </w:tcPr>
          <w:p w14:paraId="05AA8E7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1.1U机箱设计，采用D类数字功放设计方案。</w:t>
            </w:r>
          </w:p>
          <w:p w14:paraId="66AE549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2.标准XLR输入接口，和LINK输出口。</w:t>
            </w:r>
          </w:p>
          <w:p w14:paraId="151215D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3.电源采用开关电源技术，效率高，有效的抑制电源谐波。</w:t>
            </w:r>
          </w:p>
          <w:p w14:paraId="2DADF59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4.内置智能削峰限幅器，支持开机软启动，防止开机时向电网吸收大电流，干扰其它用电设备。 </w:t>
            </w:r>
          </w:p>
          <w:p w14:paraId="2BE169C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5.具有：过压保护，欠压保护，过流保护，直流保护，输出短路保护，温控风扇等功能。</w:t>
            </w:r>
          </w:p>
          <w:p w14:paraId="25F253E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6.输出功率：立体声@8Ω：≥500W×2；立体声@4Ω：≥850W×2；桥接@8Ω：≥1700W。</w:t>
            </w:r>
          </w:p>
        </w:tc>
        <w:tc>
          <w:tcPr>
            <w:tcW w:w="431" w:type="pct"/>
            <w:vAlign w:val="center"/>
          </w:tcPr>
          <w:p w14:paraId="24461BF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6FFE06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0E95AF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6D6E231">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24</w:t>
            </w:r>
          </w:p>
        </w:tc>
        <w:tc>
          <w:tcPr>
            <w:tcW w:w="757" w:type="pct"/>
            <w:vAlign w:val="center"/>
          </w:tcPr>
          <w:p w14:paraId="3D1ED15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专业音箱（3）</w:t>
            </w:r>
          </w:p>
        </w:tc>
        <w:tc>
          <w:tcPr>
            <w:tcW w:w="3015" w:type="pct"/>
            <w:shd w:val="clear" w:color="auto" w:fill="auto"/>
            <w:vAlign w:val="center"/>
          </w:tcPr>
          <w:p w14:paraId="12E9C93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1.阻抗：≤8Ω</w:t>
            </w:r>
            <w:r>
              <w:rPr>
                <w:rFonts w:hint="eastAsia" w:ascii="宋体" w:hAnsi="宋体" w:cs="宋体"/>
                <w:color w:val="auto"/>
                <w:kern w:val="2"/>
                <w:sz w:val="21"/>
                <w:szCs w:val="21"/>
                <w:lang w:val="en-US" w:eastAsia="zh-CN" w:bidi="ar-SA"/>
              </w:rPr>
              <w:t>。</w:t>
            </w:r>
          </w:p>
          <w:p w14:paraId="6BF927D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2.频响等同或优于40Hz~400Hz</w:t>
            </w:r>
            <w:r>
              <w:rPr>
                <w:rFonts w:hint="eastAsia" w:ascii="宋体" w:hAnsi="宋体" w:cs="宋体"/>
                <w:color w:val="auto"/>
                <w:kern w:val="2"/>
                <w:sz w:val="21"/>
                <w:szCs w:val="21"/>
                <w:lang w:val="en-US" w:eastAsia="zh-CN" w:bidi="ar-SA"/>
              </w:rPr>
              <w:t>。</w:t>
            </w:r>
          </w:p>
          <w:p w14:paraId="69CF25C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3.额定功率≥500W</w:t>
            </w:r>
            <w:r>
              <w:rPr>
                <w:rFonts w:hint="eastAsia" w:ascii="宋体" w:hAnsi="宋体" w:cs="宋体"/>
                <w:color w:val="auto"/>
                <w:kern w:val="2"/>
                <w:sz w:val="21"/>
                <w:szCs w:val="21"/>
                <w:lang w:val="en-US" w:eastAsia="zh-CN" w:bidi="ar-SA"/>
              </w:rPr>
              <w:t>。</w:t>
            </w:r>
          </w:p>
          <w:p w14:paraId="0CC86F6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4.灵敏度≥98dB/W/M</w:t>
            </w:r>
            <w:r>
              <w:rPr>
                <w:rFonts w:hint="eastAsia" w:ascii="宋体" w:hAnsi="宋体" w:cs="宋体"/>
                <w:color w:val="auto"/>
                <w:kern w:val="2"/>
                <w:sz w:val="21"/>
                <w:szCs w:val="21"/>
                <w:lang w:val="en-US" w:eastAsia="zh-CN" w:bidi="ar-SA"/>
              </w:rPr>
              <w:t>。</w:t>
            </w:r>
          </w:p>
          <w:p w14:paraId="516F10C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5.低音：≥15"低音×1</w:t>
            </w:r>
            <w:r>
              <w:rPr>
                <w:rFonts w:hint="eastAsia" w:ascii="宋体" w:hAnsi="宋体" w:cs="宋体"/>
                <w:color w:val="auto"/>
                <w:kern w:val="2"/>
                <w:sz w:val="21"/>
                <w:szCs w:val="21"/>
                <w:lang w:val="en-US" w:eastAsia="zh-CN" w:bidi="ar-SA"/>
              </w:rPr>
              <w:t>。</w:t>
            </w:r>
          </w:p>
        </w:tc>
        <w:tc>
          <w:tcPr>
            <w:tcW w:w="431" w:type="pct"/>
            <w:vAlign w:val="center"/>
          </w:tcPr>
          <w:p w14:paraId="7E5E20D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44545E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r>
      <w:tr w14:paraId="562A33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A0B6127">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25</w:t>
            </w:r>
          </w:p>
        </w:tc>
        <w:tc>
          <w:tcPr>
            <w:tcW w:w="757" w:type="pct"/>
            <w:vAlign w:val="center"/>
          </w:tcPr>
          <w:p w14:paraId="78D997F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专业功放（4）</w:t>
            </w:r>
          </w:p>
        </w:tc>
        <w:tc>
          <w:tcPr>
            <w:tcW w:w="3015" w:type="pct"/>
            <w:shd w:val="clear" w:color="auto" w:fill="auto"/>
            <w:vAlign w:val="center"/>
          </w:tcPr>
          <w:p w14:paraId="2902C54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1.1U机箱设计，采用D类数字功放设计方案。</w:t>
            </w:r>
          </w:p>
          <w:p w14:paraId="43D3D11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2.标准XLR输入接口，和LINK输出口。</w:t>
            </w:r>
          </w:p>
          <w:p w14:paraId="6E2558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3.电源采用开关电源技术，效率高，有效的抑制电源谐波。</w:t>
            </w:r>
          </w:p>
          <w:p w14:paraId="0C4389F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4.内置智能削峰限幅器，支持开机软启动，防止开机时向电网吸收大电流，干扰其它用电设备。 </w:t>
            </w:r>
          </w:p>
          <w:p w14:paraId="0502D8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5.具有：过压保护，欠压保护，过流保护，直流保护，输出短路保护，温控风扇等功能。</w:t>
            </w:r>
          </w:p>
          <w:p w14:paraId="1E740EB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6.输出功率：立体声@8Ω：≥700W×2；立体声@4Ω：≥1000W×2；桥接@16Ω：≥1400W；桥接@8Ω：≥2000W</w:t>
            </w:r>
            <w:r>
              <w:rPr>
                <w:rFonts w:hint="eastAsia" w:ascii="宋体" w:hAnsi="宋体" w:cs="宋体"/>
                <w:color w:val="auto"/>
                <w:kern w:val="2"/>
                <w:sz w:val="21"/>
                <w:szCs w:val="21"/>
                <w:lang w:val="en-US" w:eastAsia="zh-CN" w:bidi="ar-SA"/>
              </w:rPr>
              <w:t>。</w:t>
            </w:r>
          </w:p>
        </w:tc>
        <w:tc>
          <w:tcPr>
            <w:tcW w:w="431" w:type="pct"/>
            <w:vAlign w:val="center"/>
          </w:tcPr>
          <w:p w14:paraId="6C02461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402768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0CC00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D46E1D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26</w:t>
            </w:r>
          </w:p>
        </w:tc>
        <w:tc>
          <w:tcPr>
            <w:tcW w:w="757" w:type="pct"/>
            <w:vAlign w:val="center"/>
          </w:tcPr>
          <w:p w14:paraId="09CED6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有源音箱</w:t>
            </w:r>
          </w:p>
        </w:tc>
        <w:tc>
          <w:tcPr>
            <w:tcW w:w="3015" w:type="pct"/>
            <w:shd w:val="clear" w:color="auto" w:fill="auto"/>
            <w:vAlign w:val="center"/>
          </w:tcPr>
          <w:p w14:paraId="17981EA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1.全铝一体化壁挂式音柱设计。</w:t>
            </w:r>
          </w:p>
          <w:p w14:paraId="1C4C11E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2.内置≥1路网络硬件音频解码模块。</w:t>
            </w:r>
          </w:p>
          <w:p w14:paraId="59E2217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3.内置D类数字功放模块及≥4个3寸同轴全频喇叭单元，输出功率≥30W,支持数字均衡EQ调节。</w:t>
            </w:r>
          </w:p>
          <w:p w14:paraId="51CBCB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4.支持手机APP可实时推送文字广播信息，推送方式可设置为文字推送或声文同步推送，文字可自动语音合成，无需录制音频。</w:t>
            </w:r>
          </w:p>
          <w:p w14:paraId="3C7632E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5.自带LED点阵显示屏，可显示后台发送过来的信息；显示屏分辨率等同或优于16*192点(静态显示≥12个汉字)。</w:t>
            </w:r>
          </w:p>
          <w:p w14:paraId="5419353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6.支持离线打铃功能，内置≥8G存储，可导入上下课铃声任务，脱机时自动播放。</w:t>
            </w:r>
          </w:p>
          <w:p w14:paraId="2A8FF4E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7.具有自动校时功能，在线时自动与时钟服务器对时，实现教室内标准的网络时间显示功能，避免长时间离线造成离线打铃任务差异；内带时钟芯片，断网下可正常工作。</w:t>
            </w:r>
          </w:p>
          <w:p w14:paraId="486BE4E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8.支持声文信息发布功能，接收服务器或学校办公计算机发布的声音和文字信息的推送，文字可自动语音合成广播到教室，文字可设置左右方向移动显示、静态显示，显示时间长短，时间及文字显示等。</w:t>
            </w:r>
          </w:p>
        </w:tc>
        <w:tc>
          <w:tcPr>
            <w:tcW w:w="431" w:type="pct"/>
            <w:vAlign w:val="center"/>
          </w:tcPr>
          <w:p w14:paraId="67375DD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55F35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61A4A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055190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27</w:t>
            </w:r>
          </w:p>
        </w:tc>
        <w:tc>
          <w:tcPr>
            <w:tcW w:w="757" w:type="pct"/>
            <w:vAlign w:val="center"/>
          </w:tcPr>
          <w:p w14:paraId="648D253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电源管理器</w:t>
            </w:r>
          </w:p>
        </w:tc>
        <w:tc>
          <w:tcPr>
            <w:tcW w:w="3015" w:type="pct"/>
            <w:shd w:val="clear" w:color="auto" w:fill="auto"/>
            <w:vAlign w:val="center"/>
          </w:tcPr>
          <w:p w14:paraId="3336737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1.支持≥8通道电源时序打开/关闭，每路动作延时时间：≤1秒，支持远程控制（上电+24V直流信号）8通道电源时序打开/关闭—当电源开关处于off位置时有效。支持配置CH1和CH2通道为受控或不受控状态。</w:t>
            </w:r>
          </w:p>
          <w:p w14:paraId="7AE9182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2.当远程控制有效时同时控制后板ALARM（报警）端口导通以起到级联控制ALARM（报警）功能。</w:t>
            </w:r>
          </w:p>
          <w:p w14:paraId="641A040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3.单个通道最大负载功率≥2200W，所有通道负载总功率≥6000W。输出连接器：多用途电源插座。</w:t>
            </w:r>
          </w:p>
          <w:p w14:paraId="186A072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4.具有一路及以上USB输出接口。</w:t>
            </w:r>
          </w:p>
        </w:tc>
        <w:tc>
          <w:tcPr>
            <w:tcW w:w="431" w:type="pct"/>
            <w:vAlign w:val="center"/>
          </w:tcPr>
          <w:p w14:paraId="2BCB708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37A1CED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59B0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10033E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28</w:t>
            </w:r>
          </w:p>
        </w:tc>
        <w:tc>
          <w:tcPr>
            <w:tcW w:w="757" w:type="pct"/>
            <w:vAlign w:val="center"/>
          </w:tcPr>
          <w:p w14:paraId="58BAC68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会议系统主机</w:t>
            </w:r>
          </w:p>
        </w:tc>
        <w:tc>
          <w:tcPr>
            <w:tcW w:w="3015" w:type="pct"/>
            <w:shd w:val="clear" w:color="auto" w:fill="auto"/>
            <w:vAlign w:val="center"/>
          </w:tcPr>
          <w:p w14:paraId="2265868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1.设备具有音频时钟同步传输技术，端到端音频传输＜5ms。</w:t>
            </w:r>
          </w:p>
          <w:p w14:paraId="5BF6B98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2.内置DSP处理器，具有≥16路音频矩阵、啸叫抑制、≥10段EQ调节、音量dB值调节、延时器调节功能。</w:t>
            </w:r>
          </w:p>
          <w:p w14:paraId="051BC050">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※3.设备具有会议发言录音功能；搭配会议话筒可以录制单个话筒发言音频或录制所有话筒混音输出音频；支持通过主机U盘录音或PC软件录音</w:t>
            </w:r>
            <w:r>
              <w:rPr>
                <w:rFonts w:hint="eastAsia" w:ascii="宋体" w:hAnsi="宋体" w:cs="宋体"/>
                <w:color w:val="FF0000"/>
                <w:kern w:val="2"/>
                <w:sz w:val="21"/>
                <w:szCs w:val="21"/>
                <w:lang w:val="en-US" w:eastAsia="zh-CN" w:bidi="ar-SA"/>
              </w:rPr>
              <w:t>。</w:t>
            </w:r>
          </w:p>
          <w:p w14:paraId="02D3E70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4.设备接口：通讯接口：≥2路RS232接口、≥1路RS-485接口、≥4路RJ45；音频输出接口≥1路RCA、≥1路卡侬头、≥16路凤凰端子；音频输入接口≥1路RCA、≥1路卡侬头、≥2路凤凰端子。</w:t>
            </w:r>
          </w:p>
          <w:p w14:paraId="6158B4D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5.支持≥16通道音频输出功能，可灵活配置为有线角色分离输出模式、无线角色分离输出模式、同传输出模式、相控输出模式。每个输出通道都可以调节10段EQ、音量dB值调节、延时器参数调节。</w:t>
            </w:r>
          </w:p>
          <w:p w14:paraId="558228FD">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※6.设备具有安卓手机APP软件、平板APP软件控制的功能，通过软件可控制话筒开关、开启签到、投票、表决，接收会议服务信息、一键关闭无线话筒等功能，免PC操作</w:t>
            </w:r>
            <w:r>
              <w:rPr>
                <w:rFonts w:hint="eastAsia" w:ascii="宋体" w:hAnsi="宋体" w:cs="宋体"/>
                <w:color w:val="FF0000"/>
                <w:kern w:val="2"/>
                <w:sz w:val="21"/>
                <w:szCs w:val="21"/>
                <w:lang w:val="en-US" w:eastAsia="zh-CN" w:bidi="ar-SA"/>
              </w:rPr>
              <w:t>。</w:t>
            </w:r>
          </w:p>
          <w:p w14:paraId="6B91FCF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7.设备具有客户端、WEB端控制方式，通过客户端或WEB端可调节音频矩阵参数（包括EQ、音量、延时器、话筒灵敏度等）、≥16通道输出模式切换、开关话筒同步、中英俄法四种语言切换、控制角色分离主机。</w:t>
            </w:r>
          </w:p>
          <w:p w14:paraId="6560664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p>
          <w:p w14:paraId="1F4C541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9.支持搭配同声传译系统，最大可同时传输≥63+1的有线同声传译。</w:t>
            </w:r>
          </w:p>
          <w:p w14:paraId="4E001B3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10.系统与语音转写系统深度适配，系统之间通过网线交互数据，实现角色分离语音转写功能。</w:t>
            </w:r>
          </w:p>
          <w:p w14:paraId="5563BA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11.会议主机具备注册天数显示功能，可以随时了解注册后使用的剩余天数；支持触摸设备屏幕输入注册码进行主机注册。</w:t>
            </w:r>
          </w:p>
          <w:p w14:paraId="3C0A481F">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※12.具有运维管理平台的功能，可通过web端远程固件升级；具有日志管理功能，可以自动收集和存储系统日志；比如实时监测设备运行状态、设备故障信息，包括内存不足、火警提示、id重复等</w:t>
            </w:r>
            <w:r>
              <w:rPr>
                <w:rFonts w:hint="eastAsia" w:ascii="宋体" w:hAnsi="宋体" w:cs="宋体"/>
                <w:color w:val="FF0000"/>
                <w:kern w:val="2"/>
                <w:sz w:val="21"/>
                <w:szCs w:val="21"/>
                <w:lang w:val="en-US" w:eastAsia="zh-CN" w:bidi="ar-SA"/>
              </w:rPr>
              <w:t>。</w:t>
            </w:r>
          </w:p>
          <w:p w14:paraId="5E28458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w:t>
            </w:r>
          </w:p>
        </w:tc>
        <w:tc>
          <w:tcPr>
            <w:tcW w:w="431" w:type="pct"/>
            <w:vAlign w:val="center"/>
          </w:tcPr>
          <w:p w14:paraId="5C0EBC9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64698EA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0EE46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29FFE9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29</w:t>
            </w:r>
          </w:p>
        </w:tc>
        <w:tc>
          <w:tcPr>
            <w:tcW w:w="757" w:type="pct"/>
            <w:vAlign w:val="center"/>
          </w:tcPr>
          <w:p w14:paraId="33764DE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会议话筒（1）</w:t>
            </w:r>
          </w:p>
        </w:tc>
        <w:tc>
          <w:tcPr>
            <w:tcW w:w="3015" w:type="pct"/>
            <w:shd w:val="clear" w:color="auto" w:fill="auto"/>
            <w:vAlign w:val="center"/>
          </w:tcPr>
          <w:p w14:paraId="671F05A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1.话筒采用≥48kHz采样率。</w:t>
            </w:r>
          </w:p>
          <w:p w14:paraId="1FFDF04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2.采用芯片架构及算法，话筒开机连接时间≤5秒。</w:t>
            </w:r>
          </w:p>
          <w:p w14:paraId="2D9848E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3.具有智能检测故障功能，提示用户AP故障、主机通信故障、信号强度过低等情况</w:t>
            </w:r>
            <w:r>
              <w:rPr>
                <w:rFonts w:hint="eastAsia" w:ascii="宋体" w:hAnsi="宋体" w:cs="宋体"/>
                <w:color w:val="auto"/>
                <w:kern w:val="2"/>
                <w:sz w:val="21"/>
                <w:szCs w:val="21"/>
                <w:lang w:val="en-US" w:eastAsia="zh-CN" w:bidi="ar-SA"/>
              </w:rPr>
              <w:t>。</w:t>
            </w:r>
          </w:p>
          <w:p w14:paraId="72BB552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4.支持通过Type-C口充电，支持≥18W快充，具有智能指标状态。</w:t>
            </w:r>
          </w:p>
          <w:p w14:paraId="0BEE229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5.可通过UI设置SSID</w:t>
            </w:r>
            <w:r>
              <w:rPr>
                <w:rFonts w:hint="eastAsia" w:ascii="宋体" w:hAnsi="宋体" w:cs="宋体"/>
                <w:color w:val="auto"/>
                <w:kern w:val="2"/>
                <w:sz w:val="21"/>
                <w:szCs w:val="21"/>
                <w:lang w:val="en-US" w:eastAsia="zh-CN" w:bidi="ar-SA"/>
              </w:rPr>
              <w:t>。</w:t>
            </w:r>
          </w:p>
          <w:p w14:paraId="7B3765F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6.具有中英文切换显示功能，通过PC软件统一设置。</w:t>
            </w:r>
          </w:p>
          <w:p w14:paraId="0A7C52F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7.具有发言计时和定时发言功能。</w:t>
            </w:r>
          </w:p>
          <w:p w14:paraId="5AB5091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8.具有声控功能。通过软件调节声控灵敏度及设置关闭时间。</w:t>
            </w:r>
          </w:p>
          <w:p w14:paraId="2C13772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9.支持签到功能，通过PC软件设置并发起。</w:t>
            </w:r>
          </w:p>
          <w:p w14:paraId="7420591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10.支持会议投票功能、支持五键选举、三键表决功能。</w:t>
            </w:r>
          </w:p>
          <w:p w14:paraId="07D705D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11.采用≥128位AES加密技术，支持 WPA/WPA2 无线安全技术。</w:t>
            </w:r>
          </w:p>
          <w:p w14:paraId="5B56429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12.主席具备优先权功能，可关闭正在发言的所有代表话筒。</w:t>
            </w:r>
          </w:p>
          <w:p w14:paraId="4EA47ED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13.采用全彩触屏，咪杆长度≤240mm</w:t>
            </w:r>
            <w:r>
              <w:rPr>
                <w:rFonts w:hint="eastAsia" w:ascii="宋体" w:hAnsi="宋体" w:cs="宋体"/>
                <w:color w:val="auto"/>
                <w:kern w:val="2"/>
                <w:sz w:val="21"/>
                <w:szCs w:val="21"/>
                <w:lang w:val="en-US" w:eastAsia="zh-CN" w:bidi="ar-SA"/>
              </w:rPr>
              <w:t>。</w:t>
            </w:r>
          </w:p>
          <w:p w14:paraId="797FEEF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14.具备≥3.5mm耳机孔，可连接外置麦克风。</w:t>
            </w:r>
          </w:p>
          <w:p w14:paraId="29A43CA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15.内置锂电池，电池容量支持≥14小时持续发言。</w:t>
            </w:r>
          </w:p>
        </w:tc>
        <w:tc>
          <w:tcPr>
            <w:tcW w:w="431" w:type="pct"/>
            <w:vAlign w:val="center"/>
          </w:tcPr>
          <w:p w14:paraId="00229B2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33436CA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20572D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6A8C872">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757" w:type="pct"/>
            <w:vAlign w:val="center"/>
          </w:tcPr>
          <w:p w14:paraId="7CCE9BF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会议话筒（2）</w:t>
            </w:r>
          </w:p>
        </w:tc>
        <w:tc>
          <w:tcPr>
            <w:tcW w:w="3015" w:type="pct"/>
            <w:shd w:val="clear" w:color="auto" w:fill="auto"/>
            <w:vAlign w:val="center"/>
          </w:tcPr>
          <w:p w14:paraId="328F338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1.话筒采用≥48kHz采样率。</w:t>
            </w:r>
          </w:p>
          <w:p w14:paraId="01A9636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2.采用芯片架构及算法，话筒开机连接时间≤5秒。</w:t>
            </w:r>
          </w:p>
          <w:p w14:paraId="3AABD9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3.具有智能检测故障功能，提示用户AP故障、主机通信故障、信号强度过低等情况。</w:t>
            </w:r>
          </w:p>
          <w:p w14:paraId="2E94297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4.支持通过Type-C口充电，支持≥18W快充，具有智能指标状态。</w:t>
            </w:r>
          </w:p>
          <w:p w14:paraId="46E129A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5.可通过UI设置SSID。</w:t>
            </w:r>
          </w:p>
          <w:p w14:paraId="44994F9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6.具有中英文切换显示功能，通过PC软件统一设置。</w:t>
            </w:r>
          </w:p>
          <w:p w14:paraId="498267C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7.具有发言计时和定时发言功能。</w:t>
            </w:r>
          </w:p>
          <w:p w14:paraId="30A5EF5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8.具有声控功能。通过软件调节声控灵敏度及设置关闭时间。</w:t>
            </w:r>
          </w:p>
          <w:p w14:paraId="7B4FD1C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9.支持签到功能，通过PC软件设置并发起。</w:t>
            </w:r>
          </w:p>
          <w:p w14:paraId="2D4A898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10.支持会议投票功能、支持五键选举、三键表决功能。</w:t>
            </w:r>
          </w:p>
          <w:p w14:paraId="64393B4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11.采用≥128位AES加密技术，支持 WPA/WPA2 无线安全技术。</w:t>
            </w:r>
          </w:p>
          <w:p w14:paraId="00BF355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12.代表机具有申请发言功能，通过主席机批准申请人发言。</w:t>
            </w:r>
          </w:p>
          <w:p w14:paraId="51D01A9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13.采用全彩触屏，咪杆长度≤240mm。</w:t>
            </w:r>
          </w:p>
          <w:p w14:paraId="02298E4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14.具备≥3.5mm耳机孔，可连接外置麦克风。</w:t>
            </w:r>
          </w:p>
          <w:p w14:paraId="4516110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15.内置锂电池，电池容量支持≥14小时持续发言。</w:t>
            </w:r>
          </w:p>
        </w:tc>
        <w:tc>
          <w:tcPr>
            <w:tcW w:w="431" w:type="pct"/>
            <w:vAlign w:val="center"/>
          </w:tcPr>
          <w:p w14:paraId="5E7AD6E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399" w:type="pct"/>
            <w:vAlign w:val="center"/>
          </w:tcPr>
          <w:p w14:paraId="294DC6D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852F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F6743B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31</w:t>
            </w:r>
          </w:p>
        </w:tc>
        <w:tc>
          <w:tcPr>
            <w:tcW w:w="757" w:type="pct"/>
            <w:vAlign w:val="center"/>
          </w:tcPr>
          <w:p w14:paraId="37E8AE2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发射器</w:t>
            </w:r>
          </w:p>
        </w:tc>
        <w:tc>
          <w:tcPr>
            <w:tcW w:w="3015" w:type="pct"/>
            <w:shd w:val="clear" w:color="auto" w:fill="auto"/>
            <w:vAlign w:val="center"/>
          </w:tcPr>
          <w:p w14:paraId="6798BE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1.遵从Wi-Fi 6协议标准（IEEE 802.11ax），向下兼容802.11a/b/g/n/ac/Wave2，支持MU-MIMO，允许AP同时接收多个终端发送数据，整机最大传输速率可达1.601Gbps</w:t>
            </w:r>
          </w:p>
          <w:p w14:paraId="289F91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2.支持OFDMA空间复用技术和1024QAM调制解调算法。</w:t>
            </w:r>
          </w:p>
          <w:p w14:paraId="505E0FD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3.支持中文SSID，可指定最长包含≥31个字符的SSID，也可以使用中英文混合的SSID</w:t>
            </w:r>
          </w:p>
          <w:p w14:paraId="24B1166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4.支持WPA3安全协议。</w:t>
            </w:r>
          </w:p>
          <w:p w14:paraId="08F1FEE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5.支持等同或优于80/160MHz的高带宽频段。</w:t>
            </w:r>
          </w:p>
        </w:tc>
        <w:tc>
          <w:tcPr>
            <w:tcW w:w="431" w:type="pct"/>
            <w:vAlign w:val="center"/>
          </w:tcPr>
          <w:p w14:paraId="45E86E1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017548E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DD0F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E9398E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32</w:t>
            </w:r>
          </w:p>
        </w:tc>
        <w:tc>
          <w:tcPr>
            <w:tcW w:w="757" w:type="pct"/>
            <w:vAlign w:val="center"/>
          </w:tcPr>
          <w:p w14:paraId="5BD68F5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充电箱</w:t>
            </w:r>
          </w:p>
        </w:tc>
        <w:tc>
          <w:tcPr>
            <w:tcW w:w="3015" w:type="pct"/>
            <w:shd w:val="clear" w:color="auto" w:fill="auto"/>
            <w:vAlign w:val="center"/>
          </w:tcPr>
          <w:p w14:paraId="196B36F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1.充电箱具有≥10个USB接口，支持使用USB线充电，提供5V/9V供电。一端连接充电器一端连接会议单元,支持≥18W快充。支持同时插满所有USB接口。</w:t>
            </w:r>
          </w:p>
          <w:p w14:paraId="48DC92A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2.根据设备的耐受电流大小充电器会自动匹配合适的电流大小给设备充电，同时有过流保护功能。</w:t>
            </w:r>
          </w:p>
          <w:p w14:paraId="78885BD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3.智能自动电路保护，所有USB插口均具有短路保护功能和自恢复功能。</w:t>
            </w:r>
          </w:p>
        </w:tc>
        <w:tc>
          <w:tcPr>
            <w:tcW w:w="431" w:type="pct"/>
            <w:vAlign w:val="center"/>
          </w:tcPr>
          <w:p w14:paraId="4568401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ECF19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8388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BF79A8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33</w:t>
            </w:r>
          </w:p>
        </w:tc>
        <w:tc>
          <w:tcPr>
            <w:tcW w:w="757" w:type="pct"/>
            <w:vAlign w:val="center"/>
          </w:tcPr>
          <w:p w14:paraId="0B38C66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会议话筒处理器</w:t>
            </w:r>
          </w:p>
        </w:tc>
        <w:tc>
          <w:tcPr>
            <w:tcW w:w="3015" w:type="pct"/>
            <w:shd w:val="clear" w:color="auto" w:fill="auto"/>
            <w:vAlign w:val="center"/>
          </w:tcPr>
          <w:p w14:paraId="1764E96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1.具有自动混音功能，包括增益共享型自动混音以及门限型自动混音。具有自动增益功能，能够有效将话筒音量保持在一定动态范围。</w:t>
            </w:r>
          </w:p>
          <w:p w14:paraId="7B22E737">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2.具有AFC反馈抑制功能，采用陷波+移频双方式，能够自动抓取啸叫点并设置陷波器陷波，陷波器支持≥12个固定点≥+12个动态点，可有效消除啸叫功能</w:t>
            </w:r>
            <w:r>
              <w:rPr>
                <w:rFonts w:hint="eastAsia" w:ascii="宋体" w:hAnsi="宋体" w:cs="宋体"/>
                <w:color w:val="FF0000"/>
                <w:kern w:val="2"/>
                <w:sz w:val="21"/>
                <w:szCs w:val="21"/>
                <w:lang w:val="en-US" w:eastAsia="zh-CN" w:bidi="ar-SA"/>
              </w:rPr>
              <w:t>。</w:t>
            </w:r>
          </w:p>
          <w:p w14:paraId="44CD5128">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3.具有话筒语音激励功能，可设置跟踪阈值，当话筒发言达阈值时可实现联动摄像跟踪功能。具有EQ调节功能，输出具有≥31段图示均衡器调节</w:t>
            </w:r>
            <w:r>
              <w:rPr>
                <w:rFonts w:hint="eastAsia" w:ascii="宋体" w:hAnsi="宋体" w:cs="宋体"/>
                <w:color w:val="FF0000"/>
                <w:kern w:val="2"/>
                <w:sz w:val="21"/>
                <w:szCs w:val="21"/>
                <w:lang w:val="en-US" w:eastAsia="zh-CN" w:bidi="ar-SA"/>
              </w:rPr>
              <w:t>。</w:t>
            </w:r>
          </w:p>
          <w:p w14:paraId="754270D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4.具有≥2路网口，用于连接无线AP和与会议主机通信；通过网络协议对接数字会议主机，实现音频数据传输。具有≥1路EXTENSION接口，用于连接会议主机扩展口。具有≥1路卡侬平衡输出，≥1路莲花非平衡输出。</w:t>
            </w:r>
          </w:p>
          <w:p w14:paraId="4324436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14:paraId="2015327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6.支持话筒同时开麦数量≥16个有线单元+≥8个无线单元。</w:t>
            </w:r>
          </w:p>
        </w:tc>
        <w:tc>
          <w:tcPr>
            <w:tcW w:w="431" w:type="pct"/>
            <w:vAlign w:val="center"/>
          </w:tcPr>
          <w:p w14:paraId="64A3AEC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2ACA6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46549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9115C22">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34</w:t>
            </w:r>
          </w:p>
        </w:tc>
        <w:tc>
          <w:tcPr>
            <w:tcW w:w="757" w:type="pct"/>
            <w:vAlign w:val="center"/>
          </w:tcPr>
          <w:p w14:paraId="22AB8B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集线器</w:t>
            </w:r>
          </w:p>
        </w:tc>
        <w:tc>
          <w:tcPr>
            <w:tcW w:w="3015" w:type="pct"/>
            <w:shd w:val="clear" w:color="auto" w:fill="auto"/>
            <w:vAlign w:val="center"/>
          </w:tcPr>
          <w:p w14:paraId="377F532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1.端口描述：≥9个10/100Mbps RJ45端口，其中1-8端口支持PoE功能。</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2.传输模式：全双工/半双工自适应。</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3.网络标准：IEEE 802.3、IEEE 802.3u、IEEE 802.3x、IEEE 802.af、IEEE 802.at。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4.单端口PoE功率可达30W，整机最大PoE输出功率为125W。</w:t>
            </w:r>
          </w:p>
        </w:tc>
        <w:tc>
          <w:tcPr>
            <w:tcW w:w="431" w:type="pct"/>
            <w:vAlign w:val="center"/>
          </w:tcPr>
          <w:p w14:paraId="648FDC3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3C80FDD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62B55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0CB6CA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35</w:t>
            </w:r>
          </w:p>
        </w:tc>
        <w:tc>
          <w:tcPr>
            <w:tcW w:w="757" w:type="pct"/>
            <w:vAlign w:val="center"/>
          </w:tcPr>
          <w:p w14:paraId="35F9317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电子桌牌</w:t>
            </w:r>
          </w:p>
        </w:tc>
        <w:tc>
          <w:tcPr>
            <w:tcW w:w="3015" w:type="pct"/>
            <w:shd w:val="clear" w:color="auto" w:fill="auto"/>
            <w:vAlign w:val="center"/>
          </w:tcPr>
          <w:p w14:paraId="1860E20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1.设备采用双屏设计，具有</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1个7英寸IPS全视角显示屏、</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1个7英寸IPS全视角触摸显示屏</w:t>
            </w:r>
            <w:r>
              <w:rPr>
                <w:rFonts w:hint="eastAsia" w:ascii="宋体" w:hAnsi="宋体" w:cs="宋体"/>
                <w:color w:val="auto"/>
                <w:kern w:val="2"/>
                <w:sz w:val="21"/>
                <w:szCs w:val="21"/>
                <w:lang w:val="en-US" w:eastAsia="zh-CN" w:bidi="ar-SA"/>
              </w:rPr>
              <w:t>。</w:t>
            </w:r>
          </w:p>
          <w:p w14:paraId="759DC88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2.供电方式：锂电池供电；具有TYPE-C接口，支持快充。</w:t>
            </w:r>
          </w:p>
          <w:p w14:paraId="33CD488D">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3.支持电子铭牌显示功能，支持≥11种字体以及自由设置颜色及字号，可在本地使用输入法输入；可通过客户端自定义铭牌，支持选用图片及多种字体的文字</w:t>
            </w:r>
            <w:r>
              <w:rPr>
                <w:rFonts w:hint="eastAsia" w:ascii="宋体" w:hAnsi="宋体" w:cs="宋体"/>
                <w:color w:val="FF0000"/>
                <w:kern w:val="2"/>
                <w:sz w:val="21"/>
                <w:szCs w:val="21"/>
                <w:lang w:val="en-US" w:eastAsia="zh-CN" w:bidi="ar-SA"/>
              </w:rPr>
              <w:t>。</w:t>
            </w:r>
          </w:p>
          <w:p w14:paraId="51C39B2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4.支持多种铭牌背景模板，可自定义导入国徽、图片作为背景。</w:t>
            </w:r>
          </w:p>
          <w:p w14:paraId="39B1BFE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5.支持显示会议信息，可预览服务器下发的会议信息部分内容（例如会议名称、标语、内容、参会人员等信息）。</w:t>
            </w:r>
          </w:p>
          <w:p w14:paraId="185D131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6.支持显示设备状态，包括ID、IP、MAC、网络连接状态、服务器连接状态、设备电量、名称、单位、职位、信号量等。</w:t>
            </w:r>
          </w:p>
          <w:p w14:paraId="56AD2CBE">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7.支持C/S管控架构，通过客户端即可统一下发会议主题、铭牌背景及铭牌信息，可点击查看或在主页面预览，支持统一控制关机</w:t>
            </w:r>
            <w:r>
              <w:rPr>
                <w:rFonts w:hint="eastAsia" w:ascii="宋体" w:hAnsi="宋体" w:cs="宋体"/>
                <w:color w:val="FF0000"/>
                <w:kern w:val="2"/>
                <w:sz w:val="21"/>
                <w:szCs w:val="21"/>
                <w:lang w:val="en-US" w:eastAsia="zh-CN" w:bidi="ar-SA"/>
              </w:rPr>
              <w:t>。</w:t>
            </w:r>
          </w:p>
          <w:p w14:paraId="46625CD8">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8.支持多种服务呼叫功能（咖啡、茶、水、话筒、纸、笔、人工服务、自定义其他等）；通过客户端查看与会人员服务需求</w:t>
            </w:r>
            <w:r>
              <w:rPr>
                <w:rFonts w:hint="eastAsia" w:ascii="宋体" w:hAnsi="宋体" w:cs="宋体"/>
                <w:color w:val="FF0000"/>
                <w:kern w:val="2"/>
                <w:sz w:val="21"/>
                <w:szCs w:val="21"/>
                <w:lang w:val="en-US" w:eastAsia="zh-CN" w:bidi="ar-SA"/>
              </w:rPr>
              <w:t>。</w:t>
            </w:r>
          </w:p>
          <w:p w14:paraId="6C0AAC0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9.支持离线本地编辑人名信息，字体大小、背景颜色，本地背景图片，支持居中、靠左、靠右的对齐方式。支持自由布局文字摆放位置。</w:t>
            </w:r>
          </w:p>
          <w:p w14:paraId="346116A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10.支持会议室内电子桌牌设备之间内部短消息通讯，支持文字发送功能。</w:t>
            </w:r>
          </w:p>
          <w:p w14:paraId="479904E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11.支持会议签到，可显示人员名称进行确认签到。</w:t>
            </w:r>
          </w:p>
          <w:p w14:paraId="073DD0F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12.支持会议投票，可查看当前投票描述详情进行投票。</w:t>
            </w:r>
          </w:p>
          <w:p w14:paraId="51E14AA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13.产品内置中、英、俄文三国语言切换功能，软件界面可切换为中、英、俄文，满足不同人员使用。</w:t>
            </w:r>
          </w:p>
        </w:tc>
        <w:tc>
          <w:tcPr>
            <w:tcW w:w="431" w:type="pct"/>
            <w:vAlign w:val="center"/>
          </w:tcPr>
          <w:p w14:paraId="2C67FEE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399" w:type="pct"/>
            <w:vAlign w:val="center"/>
          </w:tcPr>
          <w:p w14:paraId="7387FA8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363F8F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DCD6E2A">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36</w:t>
            </w:r>
          </w:p>
        </w:tc>
        <w:tc>
          <w:tcPr>
            <w:tcW w:w="757" w:type="pct"/>
            <w:vAlign w:val="center"/>
          </w:tcPr>
          <w:p w14:paraId="6EDC3F7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充电箱</w:t>
            </w:r>
          </w:p>
        </w:tc>
        <w:tc>
          <w:tcPr>
            <w:tcW w:w="3015" w:type="pct"/>
            <w:shd w:val="clear" w:color="auto" w:fill="auto"/>
            <w:vAlign w:val="center"/>
          </w:tcPr>
          <w:p w14:paraId="2EF8858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1.充电箱具有≥10个USB接口，支持使用USB线充电，提供5V/9V供电。一端连接充电器一端连接会议单元,支持≥18W快充。支持同时插满所有USB接口。</w:t>
            </w:r>
          </w:p>
          <w:p w14:paraId="58E4DBE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2.根据设备的耐受电流大小充电器会自动匹配合适的电流大小给设备充电，同时有过流保护功能。</w:t>
            </w:r>
          </w:p>
          <w:p w14:paraId="49A46EC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3.智能自动电路保护，所有USB插口均具有短路保护功能和自恢复功能。</w:t>
            </w:r>
          </w:p>
        </w:tc>
        <w:tc>
          <w:tcPr>
            <w:tcW w:w="431" w:type="pct"/>
            <w:vAlign w:val="center"/>
          </w:tcPr>
          <w:p w14:paraId="62CD4B7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0733B39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106CE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7FE173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37</w:t>
            </w:r>
          </w:p>
        </w:tc>
        <w:tc>
          <w:tcPr>
            <w:tcW w:w="757" w:type="pct"/>
            <w:vAlign w:val="center"/>
          </w:tcPr>
          <w:p w14:paraId="5E912E0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发射器</w:t>
            </w:r>
          </w:p>
        </w:tc>
        <w:tc>
          <w:tcPr>
            <w:tcW w:w="3015" w:type="pct"/>
            <w:shd w:val="clear" w:color="auto" w:fill="auto"/>
            <w:vAlign w:val="center"/>
          </w:tcPr>
          <w:p w14:paraId="7FC0ED1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1.吸顶式的设计，采用PoE供电方式，安装使用简捷方便。</w:t>
            </w:r>
          </w:p>
          <w:p w14:paraId="36FC6D0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2.网络吞吐量：采用802.11n和802.11ac双频双空间流技术，1.2Gbps的千兆WiFi接入，满足室内大容量，高吞吐量的应用需求。</w:t>
            </w:r>
          </w:p>
          <w:p w14:paraId="206B117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3.无线安全：无线AP支持包括OPEN，WEP, WPA，WPA2，WPA-PSK，WPA2-PSK，802.11i在内的多种加密标准，并提供无线用户隔离和无线用户黑白名单等安全特性，为用户提供一个安全的网络应用环境。</w:t>
            </w:r>
          </w:p>
        </w:tc>
        <w:tc>
          <w:tcPr>
            <w:tcW w:w="431" w:type="pct"/>
            <w:vAlign w:val="center"/>
          </w:tcPr>
          <w:p w14:paraId="1336DE3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20B079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48D3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AEF94FF">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38</w:t>
            </w:r>
          </w:p>
        </w:tc>
        <w:tc>
          <w:tcPr>
            <w:tcW w:w="757" w:type="pct"/>
            <w:vAlign w:val="center"/>
          </w:tcPr>
          <w:p w14:paraId="672855F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网络中控主机</w:t>
            </w:r>
          </w:p>
        </w:tc>
        <w:tc>
          <w:tcPr>
            <w:tcW w:w="3015" w:type="pct"/>
            <w:shd w:val="clear" w:color="auto" w:fill="auto"/>
            <w:vAlign w:val="center"/>
          </w:tcPr>
          <w:p w14:paraId="6854DDB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1.采用SMT全贴片式生产工艺，高度集成处理芯片，系统运行稳定、流畅。内置等同或优于32位Cortex-A8 ARM架构内嵌式处理器，处理速度≥720MHz。</w:t>
            </w:r>
          </w:p>
          <w:p w14:paraId="64D19FF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2.支持红外控制、RS-232、RS-422、RS-485、UDP、TCP、telnet、http、MQTT以及SNMP等多种协议，兼容性强，可对接第三方设备。</w:t>
            </w:r>
          </w:p>
          <w:p w14:paraId="68F84367">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3.主机具备≥4.3英寸触摸彩屏、≥8路独立可编程串口、≥8路独立可编程IR红外发射口、≥8路数字I/0控制口、≥8路弱电继电器控制接口、≥1个NET网络控制接口、≥1路TF卡接口</w:t>
            </w:r>
            <w:r>
              <w:rPr>
                <w:rFonts w:hint="eastAsia" w:ascii="宋体" w:hAnsi="宋体" w:cs="宋体"/>
                <w:color w:val="FF0000"/>
                <w:kern w:val="2"/>
                <w:sz w:val="21"/>
                <w:szCs w:val="21"/>
                <w:lang w:val="en-US" w:eastAsia="zh-CN" w:bidi="ar-SA"/>
              </w:rPr>
              <w:t>。</w:t>
            </w:r>
          </w:p>
          <w:p w14:paraId="147D59A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4.支持状态反馈。操作人员可在控制端查看所有设备开关状态，设备受控情况一目了然，大大减轻操作人员工作强度，使用更加人性化。</w:t>
            </w:r>
          </w:p>
          <w:p w14:paraId="2618624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5.支持信号预览。用户可通过控制端查看会议摄像机画面并根据会议画面对设备进行调整，同时可查看多路画面。</w:t>
            </w:r>
          </w:p>
          <w:p w14:paraId="1FC5698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6.支持双机热备份。当中控主机出现故障时，备用中控主机自动承担服务，从而保证系统在不需要人工干预的情况下能正常运行。</w:t>
            </w:r>
          </w:p>
          <w:p w14:paraId="254D19D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7.支持触发联动。中控主机可根据传感器采集数据和预设数据进行比对，从而自动控制空调或加湿器等设备，使环境维持在舒适的温湿度范围内。</w:t>
            </w:r>
          </w:p>
          <w:p w14:paraId="791CFC1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8.支持互联网控制。中控主机在连接互联网的情况下，用户可操作手机或平板等移动端通过互联网实现对中控主机远程控制。</w:t>
            </w:r>
          </w:p>
          <w:p w14:paraId="56243495">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9.支持语音控制。中控主机可搭配语音控制软件或支持对接主机的第三方语音音箱，通过将语音转换成中控指令，实现对周边设备控制或场景调用</w:t>
            </w:r>
            <w:r>
              <w:rPr>
                <w:rFonts w:hint="eastAsia" w:ascii="宋体" w:hAnsi="宋体" w:cs="宋体"/>
                <w:color w:val="FF0000"/>
                <w:kern w:val="2"/>
                <w:sz w:val="21"/>
                <w:szCs w:val="21"/>
                <w:lang w:val="en-US" w:eastAsia="zh-CN" w:bidi="ar-SA"/>
              </w:rPr>
              <w:t>。</w:t>
            </w:r>
          </w:p>
          <w:p w14:paraId="60BD6AA2">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cs="宋体"/>
                <w:color w:val="FF0000"/>
                <w:kern w:val="2"/>
                <w:sz w:val="21"/>
                <w:szCs w:val="21"/>
                <w:lang w:val="en-US" w:eastAsia="zh-CN" w:bidi="ar-SA"/>
              </w:rPr>
              <w:t>。</w:t>
            </w:r>
          </w:p>
          <w:p w14:paraId="2A39298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11.支持定时控制。用户可预先设置定时控制任务，到达指定时间后，中控主机自动执行控制任务。</w:t>
            </w:r>
          </w:p>
          <w:p w14:paraId="6658AB5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12.支持视频矩阵可视化控制。用户可通过控制端实时预览、拖动并切换矩阵视频信号，支持设置触碰和投放触发切换方式。</w:t>
            </w:r>
          </w:p>
          <w:p w14:paraId="6892901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13.支持拼接矩阵可视化控制。用户可通过控制端实时预览、放大、缩小、拖动并切换拼接矩阵视频信号，可对输入信号源进行置底、置顶以及一键清屏等操作，支持设置触碰和投放触发切换方式。</w:t>
            </w:r>
          </w:p>
          <w:p w14:paraId="3666AEC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14.支持电脑远程控制。当中控主机和电脑在同一局域网情况下，用户可通过控制端APP实时对电脑远程桌面控制并查看电脑工作状态。</w:t>
            </w:r>
          </w:p>
          <w:p w14:paraId="6EB8E1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15.对接云会务系统。用户通过手机APP或WEB端预约会议室时，可设置情景类型以及开始/结束时间。会议开始前，系统会自动调用场景，场景内所有设备联动启动或切换；会议结束后设备自动关闭。</w:t>
            </w:r>
          </w:p>
          <w:p w14:paraId="23A8282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tc>
        <w:tc>
          <w:tcPr>
            <w:tcW w:w="431" w:type="pct"/>
            <w:vAlign w:val="center"/>
          </w:tcPr>
          <w:p w14:paraId="0EE17F6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14CCB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366852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3F83384">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39</w:t>
            </w:r>
          </w:p>
        </w:tc>
        <w:tc>
          <w:tcPr>
            <w:tcW w:w="757" w:type="pct"/>
            <w:vAlign w:val="center"/>
          </w:tcPr>
          <w:p w14:paraId="11F23FE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触摸屏</w:t>
            </w:r>
          </w:p>
        </w:tc>
        <w:tc>
          <w:tcPr>
            <w:tcW w:w="3015" w:type="pct"/>
            <w:shd w:val="clear" w:color="auto" w:fill="auto"/>
            <w:vAlign w:val="center"/>
          </w:tcPr>
          <w:p w14:paraId="7543A62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1.设备采用操作系统等同或优于Android 11，显示器≥10.1 英寸，显示画面≥1920*1200分辨率，显示屏≥五点触控，摄像头像素≥500W。</w:t>
            </w:r>
          </w:p>
          <w:p w14:paraId="15C8D7B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2.设备具有物理隐私拨片，滑动可遮挡摄像头，保护用户隐私。</w:t>
            </w:r>
          </w:p>
          <w:p w14:paraId="18BC611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3.内置≥4个拾音麦，拾音距离可达≥5米；搭配中控主机支持通过语音助手控制切换矩阵显示画面、设备开关等功能。</w:t>
            </w:r>
          </w:p>
          <w:p w14:paraId="3B030BC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4.具有距离传感器，支持感应人体位置，实现人来亮屏功能；具有光感传感器，支持采集周边环境光线亮度值并可将数值实时显示；具有温湿度传感器，支持采集周边温湿度环境并可将数值实时显示</w:t>
            </w:r>
            <w:r>
              <w:rPr>
                <w:rFonts w:hint="eastAsia" w:ascii="宋体" w:hAnsi="宋体" w:cs="宋体"/>
                <w:color w:val="auto"/>
                <w:kern w:val="2"/>
                <w:sz w:val="21"/>
                <w:szCs w:val="21"/>
                <w:lang w:val="en-US" w:eastAsia="zh-CN" w:bidi="ar-SA"/>
              </w:rPr>
              <w:t>。</w:t>
            </w:r>
          </w:p>
          <w:p w14:paraId="2D4DFAC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5.具有语音唤醒控制功能；呼唤即可唤醒AI语音助手，通过将语音转换成中控指令，实现对周边设备控制或场景调用</w:t>
            </w:r>
            <w:r>
              <w:rPr>
                <w:rFonts w:hint="eastAsia" w:ascii="宋体" w:hAnsi="宋体" w:cs="宋体"/>
                <w:color w:val="auto"/>
                <w:kern w:val="2"/>
                <w:sz w:val="21"/>
                <w:szCs w:val="21"/>
                <w:lang w:val="en-US" w:eastAsia="zh-CN" w:bidi="ar-SA"/>
              </w:rPr>
              <w:t>。</w:t>
            </w:r>
          </w:p>
          <w:p w14:paraId="0F8C0CE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6.内置≥1个背光灯条，搭配中控主机可根据会议状态切换指示灯显示状态，无需接近即可了解会议室使用情况。</w:t>
            </w:r>
          </w:p>
          <w:p w14:paraId="110F568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支持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r>
              <w:rPr>
                <w:rFonts w:hint="eastAsia" w:ascii="宋体" w:hAnsi="宋体" w:cs="宋体"/>
                <w:color w:val="auto"/>
                <w:kern w:val="2"/>
                <w:sz w:val="21"/>
                <w:szCs w:val="21"/>
                <w:lang w:val="en-US" w:eastAsia="zh-CN" w:bidi="ar-SA"/>
              </w:rPr>
              <w:t>。</w:t>
            </w:r>
          </w:p>
        </w:tc>
        <w:tc>
          <w:tcPr>
            <w:tcW w:w="431" w:type="pct"/>
            <w:vAlign w:val="center"/>
          </w:tcPr>
          <w:p w14:paraId="4DE683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A45FBD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76D4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59BD1B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40</w:t>
            </w:r>
          </w:p>
        </w:tc>
        <w:tc>
          <w:tcPr>
            <w:tcW w:w="757" w:type="pct"/>
            <w:vAlign w:val="center"/>
          </w:tcPr>
          <w:p w14:paraId="2CA4CFF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控制器</w:t>
            </w:r>
          </w:p>
        </w:tc>
        <w:tc>
          <w:tcPr>
            <w:tcW w:w="3015" w:type="pct"/>
            <w:shd w:val="clear" w:color="auto" w:fill="auto"/>
            <w:vAlign w:val="center"/>
          </w:tcPr>
          <w:p w14:paraId="1AB11E5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1.具有≥8路自动、手动电源控制器，内置≥8个20A继电器，负载能力≥4400W/单路；配合中控主机使用，用于控制灯光、电动投影幕、电动窗帘等会议室周边设备。</w:t>
            </w:r>
          </w:p>
          <w:p w14:paraId="6414CE7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2.每路继电器都有三连接点的接线柱,具有常开与常闭的功能。</w:t>
            </w:r>
          </w:p>
          <w:p w14:paraId="24137EE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3.具有复位按键，支持恢复到出厂的默认设置。具有1路网络接口，支持通过网络实现远程控制。</w:t>
            </w:r>
          </w:p>
          <w:p w14:paraId="1674F6C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4.具有设备运行状态指示灯及≥8个继电器的开关状态指示灯。</w:t>
            </w:r>
          </w:p>
          <w:p w14:paraId="1DB9C21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5.具有键盘锁（LOCK）功能。</w:t>
            </w:r>
          </w:p>
          <w:p w14:paraId="05BC7A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6.机器具备ID识别，通过中控主机网络控制多台时，可通过ID识别。</w:t>
            </w:r>
          </w:p>
        </w:tc>
        <w:tc>
          <w:tcPr>
            <w:tcW w:w="431" w:type="pct"/>
            <w:vAlign w:val="center"/>
          </w:tcPr>
          <w:p w14:paraId="7982752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91E51D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D80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A3D0B7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41</w:t>
            </w:r>
          </w:p>
        </w:tc>
        <w:tc>
          <w:tcPr>
            <w:tcW w:w="757" w:type="pct"/>
            <w:vAlign w:val="center"/>
          </w:tcPr>
          <w:p w14:paraId="1EB7A57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控制终端</w:t>
            </w:r>
          </w:p>
        </w:tc>
        <w:tc>
          <w:tcPr>
            <w:tcW w:w="3015" w:type="pct"/>
            <w:shd w:val="clear" w:color="auto" w:fill="auto"/>
            <w:vAlign w:val="center"/>
          </w:tcPr>
          <w:p w14:paraId="39C47CD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1.内存：≥8G+128G。</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2.屏幕尺寸：≥10英寸。</w:t>
            </w:r>
          </w:p>
        </w:tc>
        <w:tc>
          <w:tcPr>
            <w:tcW w:w="431" w:type="pct"/>
            <w:vAlign w:val="center"/>
          </w:tcPr>
          <w:p w14:paraId="3215C3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6E4B289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02CFA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1D09871">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42</w:t>
            </w:r>
          </w:p>
        </w:tc>
        <w:tc>
          <w:tcPr>
            <w:tcW w:w="757" w:type="pct"/>
            <w:vAlign w:val="center"/>
          </w:tcPr>
          <w:p w14:paraId="73B4BA4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网关</w:t>
            </w:r>
          </w:p>
        </w:tc>
        <w:tc>
          <w:tcPr>
            <w:tcW w:w="3015" w:type="pct"/>
            <w:shd w:val="clear" w:color="auto" w:fill="auto"/>
            <w:vAlign w:val="center"/>
          </w:tcPr>
          <w:p w14:paraId="14191A35">
            <w:pPr>
              <w:keepNext w:val="0"/>
              <w:keepLines w:val="0"/>
              <w:widowControl/>
              <w:suppressLineNumbers w:val="0"/>
              <w:jc w:val="left"/>
              <w:textAlignment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1.带机量：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250，交换容量：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16Gbps ，包转发率：上传：</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500Kpps，下载：</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420Kpps，出口带宽：</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2Gbps，固定WAN接口：</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2个10/100/1000BASE-T 以太网端口，固定LAN接口：</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8个10/100/1000BASE-T以太网端口，MAC 地址表：</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2K，电源适配器，最大功耗：145.8W（PoE：124W），自然散热。</w:t>
            </w:r>
          </w:p>
        </w:tc>
        <w:tc>
          <w:tcPr>
            <w:tcW w:w="431" w:type="pct"/>
            <w:vAlign w:val="center"/>
          </w:tcPr>
          <w:p w14:paraId="6FEB58A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F5364B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81FC1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F84BAB7">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43</w:t>
            </w:r>
          </w:p>
        </w:tc>
        <w:tc>
          <w:tcPr>
            <w:tcW w:w="757" w:type="pct"/>
            <w:vAlign w:val="center"/>
          </w:tcPr>
          <w:p w14:paraId="151DBFC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吸顶AP</w:t>
            </w:r>
          </w:p>
        </w:tc>
        <w:tc>
          <w:tcPr>
            <w:tcW w:w="3015" w:type="pct"/>
            <w:shd w:val="clear" w:color="auto" w:fill="auto"/>
            <w:vAlign w:val="center"/>
          </w:tcPr>
          <w:p w14:paraId="02E26191">
            <w:pPr>
              <w:keepNext w:val="0"/>
              <w:keepLines w:val="0"/>
              <w:widowControl/>
              <w:suppressLineNumbers w:val="0"/>
              <w:jc w:val="left"/>
              <w:textAlignment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1.吸顶AP 11ax，整机速率</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1.775Gbps，双频，推荐接入用户数</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60，大用户数128，发射功率</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20dBm，</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1个千兆电，智能天线，leader AP，支持BLE 5.0，最佳覆盖半径18米。</w:t>
            </w:r>
          </w:p>
        </w:tc>
        <w:tc>
          <w:tcPr>
            <w:tcW w:w="431" w:type="pct"/>
            <w:vAlign w:val="center"/>
          </w:tcPr>
          <w:p w14:paraId="459720E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9" w:type="pct"/>
            <w:vAlign w:val="center"/>
          </w:tcPr>
          <w:p w14:paraId="12E3D71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B307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7A7530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44</w:t>
            </w:r>
          </w:p>
        </w:tc>
        <w:tc>
          <w:tcPr>
            <w:tcW w:w="757" w:type="pct"/>
            <w:vAlign w:val="center"/>
          </w:tcPr>
          <w:p w14:paraId="01D3C03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光束图案灯</w:t>
            </w:r>
          </w:p>
        </w:tc>
        <w:tc>
          <w:tcPr>
            <w:tcW w:w="3015" w:type="pct"/>
            <w:shd w:val="clear" w:color="auto" w:fill="auto"/>
            <w:vAlign w:val="center"/>
          </w:tcPr>
          <w:p w14:paraId="1A11DE0D">
            <w:pPr>
              <w:keepNext w:val="0"/>
              <w:keepLines w:val="0"/>
              <w:widowControl/>
              <w:suppressLineNumbers w:val="0"/>
              <w:jc w:val="left"/>
              <w:textAlignment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1.输入电压：AC110V-240V/50-60HZ。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2.光源规格：</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3000小时长寿命，色温</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7800K。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3.辅光灯珠：</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48颗5050RGB三合一。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5.通道模式：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24通道。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6.水平扫描：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540度（16bit 精度扫描）电子纠错。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7.垂直扫描：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270度（16bit 精度扫描）电子纠错。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8.调光系统：0-100%线性调节。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9.光学系统：采用直径</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152大口径光学镜头，光斑粗而饱满。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10.调焦系统：线性调节，3米到无限远。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11.雾化系统：</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1个独立的雾化效果，光斑柔和自然。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12.光束角度：</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1.8度。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13.色温校正：3200K-7500K。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14.高速频闪：5-13次/秒的机械频闪效果.可调速、可随机频闪。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15.颜色盘：</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13种颜色+白光.带旋转的采虹效果.色彩半色功能。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16.固定图案盘：</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13种图案+白光.图案盘正反旋转，带图案抖动功能。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17.棱镜系统：标配</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8棱镜和8+16棱镜，每个棱镜单独正反旋转，两棱镜可叠加效果更佳。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18.辅光系统：</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48颗5050RGB三合一组成的灯圈，可以流水，多种跑马流水效果，颜色混色均匀，可创造出美轮美奂的动感舞台效果。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19.宏功能：控台复位功能，控台开关泡功能，内置自走功能。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20.显示方式：</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1.8寸LCD彩色液晶显示屏。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21.控制信号：国际标准DMX512、自走、主从、声控、带RDM功能。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22.散热方式：灯泡采用</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1个5020鼓风机+</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2个8025轴流滚珠风机散热，底箱采用滚珠轴流风扇一进一出的通风散热模式。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23.安全装置：带温控开关过热保护，过热系统故障时温控开关自动断电保护。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24.内置程序功能：内置多种灯光效果程序，可脱离控台声控同步进行。</w:t>
            </w:r>
          </w:p>
        </w:tc>
        <w:tc>
          <w:tcPr>
            <w:tcW w:w="431" w:type="pct"/>
            <w:vAlign w:val="center"/>
          </w:tcPr>
          <w:p w14:paraId="3C0DB3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99" w:type="pct"/>
            <w:vAlign w:val="center"/>
          </w:tcPr>
          <w:p w14:paraId="66ADE11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D98C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07A6DF1">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45</w:t>
            </w:r>
          </w:p>
        </w:tc>
        <w:tc>
          <w:tcPr>
            <w:tcW w:w="757" w:type="pct"/>
            <w:vAlign w:val="center"/>
          </w:tcPr>
          <w:p w14:paraId="5A12212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LED染色灯</w:t>
            </w:r>
          </w:p>
        </w:tc>
        <w:tc>
          <w:tcPr>
            <w:tcW w:w="3015" w:type="pct"/>
            <w:shd w:val="clear" w:color="auto" w:fill="auto"/>
            <w:vAlign w:val="center"/>
          </w:tcPr>
          <w:p w14:paraId="4508F5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1.电压：AC90-240V,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3.LED：</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3W*54Pcs。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4.使用寿命：60,000~100,000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5.光束角度：10°~45°。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6.控制模式：DMX 512/主从/自走/RDM功能。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7.通道数：</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7。</w:t>
            </w:r>
          </w:p>
        </w:tc>
        <w:tc>
          <w:tcPr>
            <w:tcW w:w="431" w:type="pct"/>
            <w:vAlign w:val="center"/>
          </w:tcPr>
          <w:p w14:paraId="0C977FE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399" w:type="pct"/>
            <w:vAlign w:val="center"/>
          </w:tcPr>
          <w:p w14:paraId="4B9D84F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69E04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D08D700">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46</w:t>
            </w:r>
          </w:p>
        </w:tc>
        <w:tc>
          <w:tcPr>
            <w:tcW w:w="757" w:type="pct"/>
            <w:vAlign w:val="center"/>
          </w:tcPr>
          <w:p w14:paraId="3DA2F20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LED聚光灯</w:t>
            </w:r>
          </w:p>
        </w:tc>
        <w:tc>
          <w:tcPr>
            <w:tcW w:w="3015" w:type="pct"/>
            <w:shd w:val="clear" w:color="auto" w:fill="auto"/>
            <w:vAlign w:val="center"/>
          </w:tcPr>
          <w:p w14:paraId="14E143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1.光源：</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200WLED高亮度模组。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2.色温：3200K/5600K（可选）。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3.光源预期使用寿命：</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10000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4.电压：AC100-240V,50/60HZ。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5.总功率：</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250W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6.显色指数：大于90。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7.控制面板：LCD液晶面板+</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4个按键。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8.控制模式：DMX512，手动 ，主从、RDM功能。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9.控制通道：</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2CH。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10.0~~100%线性顺滑调光。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11.散热方式：风冷。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12.防护等级：</w:t>
            </w:r>
            <w:r>
              <w:rPr>
                <w:rFonts w:hint="eastAsia" w:ascii="宋体" w:hAnsi="宋体" w:eastAsia="宋体" w:cs="宋体"/>
                <w:color w:val="auto"/>
                <w:kern w:val="2"/>
                <w:sz w:val="21"/>
                <w:szCs w:val="21"/>
                <w:lang w:val="en-US" w:eastAsia="zh-CN" w:bidi="ar-SA"/>
              </w:rPr>
              <w:t>≥</w:t>
            </w:r>
            <w:r>
              <w:rPr>
                <w:rFonts w:hint="eastAsia" w:ascii="宋体" w:hAnsi="宋体" w:eastAsia="宋体" w:cs="宋体"/>
                <w:i w:val="0"/>
                <w:iCs w:val="0"/>
                <w:color w:val="000000"/>
                <w:kern w:val="0"/>
                <w:sz w:val="22"/>
                <w:szCs w:val="22"/>
                <w:u w:val="none"/>
                <w:lang w:val="en-US" w:eastAsia="zh-CN" w:bidi="ar"/>
              </w:rPr>
              <w:t>IP20。</w:t>
            </w:r>
          </w:p>
        </w:tc>
        <w:tc>
          <w:tcPr>
            <w:tcW w:w="431" w:type="pct"/>
            <w:vAlign w:val="center"/>
          </w:tcPr>
          <w:p w14:paraId="55C8130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399" w:type="pct"/>
            <w:vAlign w:val="center"/>
          </w:tcPr>
          <w:p w14:paraId="43A6468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3738E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9CC4C4F">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47</w:t>
            </w:r>
          </w:p>
        </w:tc>
        <w:tc>
          <w:tcPr>
            <w:tcW w:w="757" w:type="pct"/>
            <w:vAlign w:val="center"/>
          </w:tcPr>
          <w:p w14:paraId="41AB343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LED会议灯</w:t>
            </w:r>
          </w:p>
        </w:tc>
        <w:tc>
          <w:tcPr>
            <w:tcW w:w="3015" w:type="pct"/>
            <w:shd w:val="clear" w:color="auto" w:fill="auto"/>
            <w:vAlign w:val="center"/>
          </w:tcPr>
          <w:p w14:paraId="6F3CB5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1.显色指数：Ra≥95。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2.色温：3200K/5600K或2900K-5800K可选，±150。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3.寿命：≥5万小时。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4.额定电压：AC100-240V  50-60Hz。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5.总功耗：≥220W，光学：发光角度: ≥180度。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6.效果：调光:0~100% 线性调光。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7.调光曲线：有≥4种调光曲线。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8.调光模式：频率可选500hz-25000hz。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9.频闪：1-25次/秒。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10.液晶显示板，带触屏。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11.控制：控制系统：DMX512/RDM , 主从模式 ，自走模式。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12.DMX通道：≥2CH。</w:t>
            </w:r>
          </w:p>
        </w:tc>
        <w:tc>
          <w:tcPr>
            <w:tcW w:w="431" w:type="pct"/>
            <w:vAlign w:val="center"/>
          </w:tcPr>
          <w:p w14:paraId="29BE630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399" w:type="pct"/>
            <w:vAlign w:val="center"/>
          </w:tcPr>
          <w:p w14:paraId="624DE10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B071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43E5D5A">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48</w:t>
            </w:r>
          </w:p>
        </w:tc>
        <w:tc>
          <w:tcPr>
            <w:tcW w:w="757" w:type="pct"/>
            <w:vAlign w:val="center"/>
          </w:tcPr>
          <w:p w14:paraId="2CC29F4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特效烟机</w:t>
            </w:r>
          </w:p>
        </w:tc>
        <w:tc>
          <w:tcPr>
            <w:tcW w:w="3015" w:type="pct"/>
            <w:shd w:val="clear" w:color="auto" w:fill="auto"/>
            <w:vAlign w:val="top"/>
          </w:tcPr>
          <w:p w14:paraId="5680DB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1.创新工艺的加热系统，首次加热完毕后可24小时连续不间断喷出均匀细腻的雾效。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2.雾效距离通过控制面板调节风速，最远可推送至15米外。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3.喷雾角度可手动调节，满足不同区域的雾效补给需求。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4.具有定时定量周期循环系统，让操作更随心。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5.内置DMX通道模块（双通道），操作简易，任意搭配DMX系统。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6.操作模式多样化，内置超强信号接收模块，比常规遥控穿透能力更强（可至50米外）。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7.烟雾干燥无水气，具国际标准环保要求。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8.超平滑输油管道结构，无须再担忧阻塞问题。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9.科学合理的内部结构设计更能保障机器的工作性能始终优良。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10.人性化的无油保护提醒功能，使用更安心。</w:t>
            </w:r>
          </w:p>
        </w:tc>
        <w:tc>
          <w:tcPr>
            <w:tcW w:w="431" w:type="pct"/>
            <w:vAlign w:val="center"/>
          </w:tcPr>
          <w:p w14:paraId="76609AA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7CEA21D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3D313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B2DEF94">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49</w:t>
            </w:r>
          </w:p>
        </w:tc>
        <w:tc>
          <w:tcPr>
            <w:tcW w:w="757" w:type="pct"/>
            <w:vAlign w:val="center"/>
          </w:tcPr>
          <w:p w14:paraId="3C8F0A4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灯控台</w:t>
            </w:r>
          </w:p>
        </w:tc>
        <w:tc>
          <w:tcPr>
            <w:tcW w:w="3015" w:type="pct"/>
            <w:shd w:val="clear" w:color="auto" w:fill="auto"/>
            <w:vAlign w:val="top"/>
          </w:tcPr>
          <w:p w14:paraId="682DFB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1.≥4个光隔离DMX512信号输出端口。≥2048个通道；可扩展至≥8个DMX输出，≥4096个DMX通道。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2.支持多种格式灯库：R20灯库/D4灯库/xml灯库格式；控台自带灯库编辑器，方便用户在控台上创建灯库。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3.≥1个Art-NET网络接口，支持扩展DMX输出口，也可通过网线传输DMX512信号以及连接3D模拟软件。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4.≥1个10.4寸TFT-LCD电容触摸屏，支持多点电容触摸屏。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5.内置中文，英文，俄语，德语，西班牙语，日语等多种语言，语言可随意切换，并支持定制其他语言。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6.≥12个重演程序推杆*60页，≥12个点控键*60页，≥1400个重演程序。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7.≥8个预置重演推杆，可同时输出≥32个重演程序。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8.≥4个工业级耐磨编码器，自带背光颜色调节。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9.三色背光机械耐磨按键，支持多种颜色背光组合搭配。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10.重演推杆支持自定义设置背景颜色。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11.拥有矢量灯位布局功能，呈现现场布局排放，选灯操控更直接便捷。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12.支持创建工作区，快速调取界面。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13.自带内置图形，并支持修改图形方向、偏移效果等参数，方便快捷做出炫丽的灯光效果。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14.多种发散效果，提供手绘式扇形模式快速给灯具做造型。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15.支持文字，手写涂鸦，外框颜色等命名功能。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16.时间码（灯光秀）支持内部播放器，外部MIDI,支持LTC时间码触发，一键启动多种触发模式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17.内置音乐播放器，兼容 MP3、WAV、FLAC、APE等格式音乐。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18.独立CMY或RGB混色系统，支持色块分类。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19.程序优先级别功能，允许设置多个不同级别的重演，高级别优先运行。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20.支持属性时间修改，延时、渐入渐出、灯具交叠等功能。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21.重演程序支持调光，点控，暂停等多种模式选择。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22.控台自带常用电脑灯库。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23.≥1000个灯具，≥600个灯具组。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24.≥600个素材；素材支持分类别。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25.≥1组音频输出口，≥1个耳机监听口，1个12V工作灯接口。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26.安装专用移动app，控台可实现手机，平板等移动设备控制，实现重演控制和节目播放控制。</w:t>
            </w:r>
          </w:p>
        </w:tc>
        <w:tc>
          <w:tcPr>
            <w:tcW w:w="431" w:type="pct"/>
            <w:vAlign w:val="center"/>
          </w:tcPr>
          <w:p w14:paraId="4CC936A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101BE6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638F14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5FEDD9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50</w:t>
            </w:r>
          </w:p>
        </w:tc>
        <w:tc>
          <w:tcPr>
            <w:tcW w:w="757" w:type="pct"/>
            <w:vAlign w:val="center"/>
          </w:tcPr>
          <w:p w14:paraId="676CF6B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电源直通箱</w:t>
            </w:r>
          </w:p>
        </w:tc>
        <w:tc>
          <w:tcPr>
            <w:tcW w:w="3015" w:type="pct"/>
            <w:shd w:val="clear" w:color="auto" w:fill="auto"/>
            <w:vAlign w:val="center"/>
          </w:tcPr>
          <w:p w14:paraId="55B66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1.供电：三相五线制AC380V±10％，频率50Hz±5％。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2.额定功率：≥12路×4KW;可适用于任何负载。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3.过载与短路双重保护高分断空气开关。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4.A.B.C三相工作指示灯.设两脚和三脚带开关备用插座方便使用。</w:t>
            </w:r>
          </w:p>
        </w:tc>
        <w:tc>
          <w:tcPr>
            <w:tcW w:w="431" w:type="pct"/>
            <w:vAlign w:val="center"/>
          </w:tcPr>
          <w:p w14:paraId="06D1885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5E10FD6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20B005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0C121F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51</w:t>
            </w:r>
          </w:p>
        </w:tc>
        <w:tc>
          <w:tcPr>
            <w:tcW w:w="757" w:type="pct"/>
            <w:vAlign w:val="center"/>
          </w:tcPr>
          <w:p w14:paraId="4DAB3A0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信号放大器</w:t>
            </w:r>
          </w:p>
        </w:tc>
        <w:tc>
          <w:tcPr>
            <w:tcW w:w="3015" w:type="pct"/>
            <w:shd w:val="clear" w:color="auto" w:fill="auto"/>
            <w:vAlign w:val="center"/>
          </w:tcPr>
          <w:p w14:paraId="09AAB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1.输入电压：AC110/240V,50-60HZ。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2.输出功率：小于30W。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3.输入接口：三芯和五芯镀金卡侬公座母座并接。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4.输出接口：三芯镀金卡侬母座≥10路 五芯镀金卡侬母座≥2路。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5.全方位光电隔离设计，绝对避免高电压窜入信号系统影响其它设备正常工作，每个输出口均独立电路，工作互不影响。</w:t>
            </w:r>
          </w:p>
        </w:tc>
        <w:tc>
          <w:tcPr>
            <w:tcW w:w="431" w:type="pct"/>
            <w:vAlign w:val="center"/>
          </w:tcPr>
          <w:p w14:paraId="7EB53B5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99" w:type="pct"/>
            <w:vAlign w:val="center"/>
          </w:tcPr>
          <w:p w14:paraId="6CFA53E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2CAE7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0AA02A3">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52</w:t>
            </w:r>
          </w:p>
        </w:tc>
        <w:tc>
          <w:tcPr>
            <w:tcW w:w="757" w:type="pct"/>
            <w:vAlign w:val="center"/>
          </w:tcPr>
          <w:p w14:paraId="08D071D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大灯勾</w:t>
            </w:r>
          </w:p>
        </w:tc>
        <w:tc>
          <w:tcPr>
            <w:tcW w:w="3015" w:type="pct"/>
            <w:shd w:val="clear" w:color="auto" w:fill="auto"/>
            <w:vAlign w:val="center"/>
          </w:tcPr>
          <w:p w14:paraId="6E4BEAF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1.规格≥25cm，承重≥100kg，卡管40-58mm。</w:t>
            </w:r>
          </w:p>
        </w:tc>
        <w:tc>
          <w:tcPr>
            <w:tcW w:w="431" w:type="pct"/>
            <w:vAlign w:val="center"/>
          </w:tcPr>
          <w:p w14:paraId="113E71D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82</w:t>
            </w:r>
          </w:p>
        </w:tc>
        <w:tc>
          <w:tcPr>
            <w:tcW w:w="399" w:type="pct"/>
            <w:vAlign w:val="center"/>
          </w:tcPr>
          <w:p w14:paraId="09FBF5F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1AFDE6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794B14B">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53</w:t>
            </w:r>
          </w:p>
        </w:tc>
        <w:tc>
          <w:tcPr>
            <w:tcW w:w="757" w:type="pct"/>
            <w:vAlign w:val="center"/>
          </w:tcPr>
          <w:p w14:paraId="3E4CD9B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保险</w:t>
            </w:r>
          </w:p>
        </w:tc>
        <w:tc>
          <w:tcPr>
            <w:tcW w:w="3015" w:type="pct"/>
            <w:shd w:val="clear" w:color="auto" w:fill="auto"/>
            <w:vAlign w:val="center"/>
          </w:tcPr>
          <w:p w14:paraId="10D04AC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1.长度≥80cm，规格≥4mm，承重≥80kg。</w:t>
            </w:r>
          </w:p>
        </w:tc>
        <w:tc>
          <w:tcPr>
            <w:tcW w:w="431" w:type="pct"/>
            <w:vAlign w:val="center"/>
          </w:tcPr>
          <w:p w14:paraId="15A04ED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74</w:t>
            </w:r>
          </w:p>
        </w:tc>
        <w:tc>
          <w:tcPr>
            <w:tcW w:w="399" w:type="pct"/>
            <w:vAlign w:val="center"/>
          </w:tcPr>
          <w:p w14:paraId="67C397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2A9BB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6DA09C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54</w:t>
            </w:r>
          </w:p>
        </w:tc>
        <w:tc>
          <w:tcPr>
            <w:tcW w:w="757" w:type="pct"/>
            <w:vAlign w:val="center"/>
          </w:tcPr>
          <w:p w14:paraId="754FCC1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电源线</w:t>
            </w:r>
          </w:p>
        </w:tc>
        <w:tc>
          <w:tcPr>
            <w:tcW w:w="3015" w:type="pct"/>
            <w:shd w:val="clear" w:color="auto" w:fill="auto"/>
            <w:vAlign w:val="center"/>
          </w:tcPr>
          <w:p w14:paraId="73A21D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1.ZRVVP2*2.5及以上规格。</w:t>
            </w:r>
          </w:p>
        </w:tc>
        <w:tc>
          <w:tcPr>
            <w:tcW w:w="431" w:type="pct"/>
            <w:vAlign w:val="center"/>
          </w:tcPr>
          <w:p w14:paraId="6A1E920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550</w:t>
            </w:r>
          </w:p>
        </w:tc>
        <w:tc>
          <w:tcPr>
            <w:tcW w:w="399" w:type="pct"/>
            <w:vAlign w:val="center"/>
          </w:tcPr>
          <w:p w14:paraId="507CC38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r>
      <w:tr w14:paraId="33098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52FB3E0">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55</w:t>
            </w:r>
          </w:p>
        </w:tc>
        <w:tc>
          <w:tcPr>
            <w:tcW w:w="757" w:type="pct"/>
            <w:vAlign w:val="center"/>
          </w:tcPr>
          <w:p w14:paraId="08C45A3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信号线</w:t>
            </w:r>
          </w:p>
        </w:tc>
        <w:tc>
          <w:tcPr>
            <w:tcW w:w="3015" w:type="pct"/>
            <w:shd w:val="clear" w:color="auto" w:fill="auto"/>
            <w:vAlign w:val="center"/>
          </w:tcPr>
          <w:p w14:paraId="595E4F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1.168网及以上规格咪线。</w:t>
            </w:r>
          </w:p>
        </w:tc>
        <w:tc>
          <w:tcPr>
            <w:tcW w:w="431" w:type="pct"/>
            <w:vAlign w:val="center"/>
          </w:tcPr>
          <w:p w14:paraId="70FEB9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450</w:t>
            </w:r>
          </w:p>
        </w:tc>
        <w:tc>
          <w:tcPr>
            <w:tcW w:w="399" w:type="pct"/>
            <w:vAlign w:val="center"/>
          </w:tcPr>
          <w:p w14:paraId="2D0CDE1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r>
      <w:tr w14:paraId="199C4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66FB671">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56</w:t>
            </w:r>
          </w:p>
        </w:tc>
        <w:tc>
          <w:tcPr>
            <w:tcW w:w="757" w:type="pct"/>
            <w:vAlign w:val="center"/>
          </w:tcPr>
          <w:p w14:paraId="7102A3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固定灯架</w:t>
            </w:r>
          </w:p>
        </w:tc>
        <w:tc>
          <w:tcPr>
            <w:tcW w:w="3015" w:type="pct"/>
            <w:shd w:val="clear" w:color="auto" w:fill="auto"/>
            <w:vAlign w:val="center"/>
          </w:tcPr>
          <w:p w14:paraId="6FDE5A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1.电焊，现场电焊。</w:t>
            </w:r>
          </w:p>
        </w:tc>
        <w:tc>
          <w:tcPr>
            <w:tcW w:w="431" w:type="pct"/>
            <w:vAlign w:val="center"/>
          </w:tcPr>
          <w:p w14:paraId="70F55E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399" w:type="pct"/>
            <w:vAlign w:val="center"/>
          </w:tcPr>
          <w:p w14:paraId="5739F14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道</w:t>
            </w:r>
          </w:p>
        </w:tc>
      </w:tr>
      <w:tr w14:paraId="6F77EE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601E3C2">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57</w:t>
            </w:r>
          </w:p>
        </w:tc>
        <w:tc>
          <w:tcPr>
            <w:tcW w:w="757" w:type="pct"/>
            <w:vAlign w:val="center"/>
          </w:tcPr>
          <w:p w14:paraId="5AE91E5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固定会标吊杆</w:t>
            </w:r>
          </w:p>
        </w:tc>
        <w:tc>
          <w:tcPr>
            <w:tcW w:w="3015" w:type="pct"/>
            <w:shd w:val="clear" w:color="auto" w:fill="auto"/>
            <w:vAlign w:val="center"/>
          </w:tcPr>
          <w:p w14:paraId="4689E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1.5.0及以上焊管安装制作，钢丝绳悬挂安装。</w:t>
            </w:r>
          </w:p>
        </w:tc>
        <w:tc>
          <w:tcPr>
            <w:tcW w:w="431" w:type="pct"/>
            <w:vAlign w:val="center"/>
          </w:tcPr>
          <w:p w14:paraId="478238A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D81896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道</w:t>
            </w:r>
          </w:p>
        </w:tc>
      </w:tr>
      <w:tr w14:paraId="3C5B6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9A78B64">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58</w:t>
            </w:r>
          </w:p>
        </w:tc>
        <w:tc>
          <w:tcPr>
            <w:tcW w:w="757" w:type="pct"/>
            <w:vAlign w:val="center"/>
          </w:tcPr>
          <w:p w14:paraId="6C8F465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电动恒速对开幕机</w:t>
            </w:r>
          </w:p>
        </w:tc>
        <w:tc>
          <w:tcPr>
            <w:tcW w:w="3015" w:type="pct"/>
            <w:shd w:val="clear" w:color="auto" w:fill="auto"/>
            <w:vAlign w:val="center"/>
          </w:tcPr>
          <w:p w14:paraId="581E4A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1.最大牵引：600 KG。</w:t>
            </w:r>
          </w:p>
          <w:p w14:paraId="369D7F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2.运行速度：0.35m/s。</w:t>
            </w:r>
          </w:p>
          <w:p w14:paraId="0BF503B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3.噪音：≤50db。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4.电机功率：≥1.1KW。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5.电源：AC380V/50Hz铁质、双滑轮。</w:t>
            </w:r>
          </w:p>
        </w:tc>
        <w:tc>
          <w:tcPr>
            <w:tcW w:w="431" w:type="pct"/>
            <w:vAlign w:val="center"/>
          </w:tcPr>
          <w:p w14:paraId="4123DEC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5B2615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道</w:t>
            </w:r>
          </w:p>
        </w:tc>
      </w:tr>
      <w:tr w14:paraId="77FC8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0CBADD0">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59</w:t>
            </w:r>
          </w:p>
        </w:tc>
        <w:tc>
          <w:tcPr>
            <w:tcW w:w="757" w:type="pct"/>
            <w:vAlign w:val="center"/>
          </w:tcPr>
          <w:p w14:paraId="5B7206E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背景幕轨道</w:t>
            </w:r>
          </w:p>
        </w:tc>
        <w:tc>
          <w:tcPr>
            <w:tcW w:w="3015" w:type="pct"/>
            <w:shd w:val="clear" w:color="auto" w:fill="auto"/>
            <w:vAlign w:val="center"/>
          </w:tcPr>
          <w:p w14:paraId="59703797">
            <w:pPr>
              <w:keepNext w:val="0"/>
              <w:keepLines w:val="0"/>
              <w:widowControl/>
              <w:suppressLineNumbers w:val="0"/>
              <w:jc w:val="left"/>
              <w:textAlignment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1.含幕布挂钩、滑轮、钢丝绳、限位开关等大幕轨道固定安装在台口内侧上沿。</w:t>
            </w:r>
          </w:p>
        </w:tc>
        <w:tc>
          <w:tcPr>
            <w:tcW w:w="431" w:type="pct"/>
            <w:vAlign w:val="center"/>
          </w:tcPr>
          <w:p w14:paraId="4C4B2DD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8CB998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道</w:t>
            </w:r>
          </w:p>
        </w:tc>
      </w:tr>
      <w:tr w14:paraId="576FD1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64A1D7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60</w:t>
            </w:r>
          </w:p>
        </w:tc>
        <w:tc>
          <w:tcPr>
            <w:tcW w:w="757" w:type="pct"/>
            <w:vAlign w:val="center"/>
          </w:tcPr>
          <w:p w14:paraId="24FB7AF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金丝绒大幕</w:t>
            </w:r>
          </w:p>
        </w:tc>
        <w:tc>
          <w:tcPr>
            <w:tcW w:w="3015" w:type="pct"/>
            <w:shd w:val="clear" w:color="auto" w:fill="auto"/>
            <w:vAlign w:val="center"/>
          </w:tcPr>
          <w:p w14:paraId="4343F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1.采用防火阻燃处理，达到防火B1级；经过国家消防装备质量监督检测中心检测为合格产品，面料无破损、烫黄、污渍，色泽一致。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2.缝纫轨迹要均、直、牢固，缝纫接针要套正，缝到边口处必须打加针。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3.针迹密度：(11～13)针/3cm。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4.幕布整体倒顺光顺向一致。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5.褶间距应均匀。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6.舞台幕布防火要求达到B1级。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7.幕布≤280g/平方米。</w:t>
            </w:r>
          </w:p>
        </w:tc>
        <w:tc>
          <w:tcPr>
            <w:tcW w:w="431" w:type="pct"/>
            <w:vAlign w:val="center"/>
          </w:tcPr>
          <w:p w14:paraId="57747FB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259.2</w:t>
            </w:r>
          </w:p>
        </w:tc>
        <w:tc>
          <w:tcPr>
            <w:tcW w:w="399" w:type="pct"/>
            <w:vAlign w:val="center"/>
          </w:tcPr>
          <w:p w14:paraId="02896F8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Style w:val="75"/>
                <w:rFonts w:hint="eastAsia" w:ascii="宋体" w:hAnsi="宋体" w:eastAsia="宋体" w:cs="宋体"/>
                <w:sz w:val="21"/>
                <w:szCs w:val="21"/>
                <w:lang w:val="en-US" w:eastAsia="zh-CN" w:bidi="ar"/>
              </w:rPr>
              <w:t>m</w:t>
            </w:r>
            <w:r>
              <w:rPr>
                <w:rStyle w:val="76"/>
                <w:rFonts w:hint="eastAsia" w:ascii="宋体" w:hAnsi="宋体" w:eastAsia="宋体" w:cs="宋体"/>
                <w:sz w:val="21"/>
                <w:szCs w:val="21"/>
                <w:lang w:val="en-US" w:eastAsia="zh-CN" w:bidi="ar"/>
              </w:rPr>
              <w:t>2</w:t>
            </w:r>
          </w:p>
        </w:tc>
      </w:tr>
      <w:tr w14:paraId="741FA2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642F58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61</w:t>
            </w:r>
          </w:p>
        </w:tc>
        <w:tc>
          <w:tcPr>
            <w:tcW w:w="757" w:type="pct"/>
            <w:vAlign w:val="center"/>
          </w:tcPr>
          <w:p w14:paraId="739F88A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金丝绒横条幕</w:t>
            </w:r>
          </w:p>
        </w:tc>
        <w:tc>
          <w:tcPr>
            <w:tcW w:w="3015" w:type="pct"/>
            <w:shd w:val="clear" w:color="auto" w:fill="auto"/>
            <w:vAlign w:val="center"/>
          </w:tcPr>
          <w:p w14:paraId="3D6A57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1.采用防火阻燃处理，达到防火B1级；经过国家消防装备质量监督检测中心检测为合格产品，面料无破损、烫黄、污渍，色泽一致。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2.缝纫轨迹要均、直、牢固，缝纫接针要套正，缝到边口处必须打加针。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3.针迹密度：(11～13)针/3cm。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4.幕布整体倒顺光顺向一致。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5.褶间距应均匀。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6.舞台幕布防火要求达到B1级。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7.幕布≤280g/平方米。</w:t>
            </w:r>
          </w:p>
        </w:tc>
        <w:tc>
          <w:tcPr>
            <w:tcW w:w="431" w:type="pct"/>
            <w:vAlign w:val="center"/>
          </w:tcPr>
          <w:p w14:paraId="1CBF2C6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399" w:type="pct"/>
            <w:vAlign w:val="center"/>
          </w:tcPr>
          <w:p w14:paraId="4ABF64B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Style w:val="75"/>
                <w:rFonts w:hint="eastAsia" w:ascii="宋体" w:hAnsi="宋体" w:eastAsia="宋体" w:cs="宋体"/>
                <w:sz w:val="21"/>
                <w:szCs w:val="21"/>
                <w:lang w:val="en-US" w:eastAsia="zh-CN" w:bidi="ar"/>
              </w:rPr>
              <w:t>m</w:t>
            </w:r>
            <w:r>
              <w:rPr>
                <w:rStyle w:val="76"/>
                <w:rFonts w:hint="eastAsia" w:ascii="宋体" w:hAnsi="宋体" w:eastAsia="宋体" w:cs="宋体"/>
                <w:sz w:val="21"/>
                <w:szCs w:val="21"/>
                <w:lang w:val="en-US" w:eastAsia="zh-CN" w:bidi="ar"/>
              </w:rPr>
              <w:t>2</w:t>
            </w:r>
          </w:p>
        </w:tc>
      </w:tr>
      <w:tr w14:paraId="6E109D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FC3817E">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62</w:t>
            </w:r>
          </w:p>
        </w:tc>
        <w:tc>
          <w:tcPr>
            <w:tcW w:w="757" w:type="pct"/>
            <w:vAlign w:val="center"/>
          </w:tcPr>
          <w:p w14:paraId="5A0108E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金丝绒侧条幕</w:t>
            </w:r>
          </w:p>
        </w:tc>
        <w:tc>
          <w:tcPr>
            <w:tcW w:w="3015" w:type="pct"/>
            <w:shd w:val="clear" w:color="auto" w:fill="auto"/>
            <w:vAlign w:val="center"/>
          </w:tcPr>
          <w:p w14:paraId="45637B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1.采用防火阻燃处理，达到防火B1级；经过国家消防装备质量监督检测中心检测为合格产品，面料无破损、烫黄、污渍，色泽一致。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2.缝纫轨迹要均、直、牢固，缝纫接针要套正，缝到边口处必须打加针。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3.针迹密度：(11～13)针/3cm。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4.幕布整体倒顺光顺向一致。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5.褶间距应均匀。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6.舞台幕布防火要求达到B1级。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7.幕布≤280g/平方米。</w:t>
            </w:r>
          </w:p>
        </w:tc>
        <w:tc>
          <w:tcPr>
            <w:tcW w:w="431" w:type="pct"/>
            <w:vAlign w:val="center"/>
          </w:tcPr>
          <w:p w14:paraId="06944B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99" w:type="pct"/>
            <w:vAlign w:val="center"/>
          </w:tcPr>
          <w:p w14:paraId="78DAF91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Style w:val="75"/>
                <w:rFonts w:hint="eastAsia" w:ascii="宋体" w:hAnsi="宋体" w:eastAsia="宋体" w:cs="宋体"/>
                <w:sz w:val="21"/>
                <w:szCs w:val="21"/>
                <w:lang w:val="en-US" w:eastAsia="zh-CN" w:bidi="ar"/>
              </w:rPr>
              <w:t>m</w:t>
            </w:r>
            <w:r>
              <w:rPr>
                <w:rStyle w:val="76"/>
                <w:rFonts w:hint="eastAsia" w:ascii="宋体" w:hAnsi="宋体" w:eastAsia="宋体" w:cs="宋体"/>
                <w:sz w:val="21"/>
                <w:szCs w:val="21"/>
                <w:lang w:val="en-US" w:eastAsia="zh-CN" w:bidi="ar"/>
              </w:rPr>
              <w:t>2</w:t>
            </w:r>
          </w:p>
        </w:tc>
      </w:tr>
      <w:tr w14:paraId="6C4A7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047A6DF">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63</w:t>
            </w:r>
          </w:p>
        </w:tc>
        <w:tc>
          <w:tcPr>
            <w:tcW w:w="757" w:type="pct"/>
            <w:vAlign w:val="center"/>
          </w:tcPr>
          <w:p w14:paraId="6FEDD4E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金丝绒背景幕</w:t>
            </w:r>
          </w:p>
        </w:tc>
        <w:tc>
          <w:tcPr>
            <w:tcW w:w="3015" w:type="pct"/>
            <w:shd w:val="clear" w:color="auto" w:fill="auto"/>
            <w:vAlign w:val="center"/>
          </w:tcPr>
          <w:p w14:paraId="307679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1.采用防火阻燃处理，达到防火B1级；经过国家消防装备质量监督检测中心检测为合格产品，面料无破损、烫黄、污渍，色泽一致。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2.缝纫轨迹要均、直、牢固，缝纫接针要套正，缝到边口处必须打加针。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3.针迹密度：(11～13)针/3cm。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4.幕布整体倒顺光顺向一致。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5.褶间距应均匀。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6.舞台幕布防火要求达到B1级。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7.幕布≤280g/平方米。</w:t>
            </w:r>
          </w:p>
        </w:tc>
        <w:tc>
          <w:tcPr>
            <w:tcW w:w="431" w:type="pct"/>
            <w:vAlign w:val="center"/>
          </w:tcPr>
          <w:p w14:paraId="75C8A02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165</w:t>
            </w:r>
          </w:p>
        </w:tc>
        <w:tc>
          <w:tcPr>
            <w:tcW w:w="399" w:type="pct"/>
            <w:vAlign w:val="center"/>
          </w:tcPr>
          <w:p w14:paraId="1FE84FA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Style w:val="75"/>
                <w:rFonts w:hint="eastAsia" w:ascii="宋体" w:hAnsi="宋体" w:eastAsia="宋体" w:cs="宋体"/>
                <w:sz w:val="21"/>
                <w:szCs w:val="21"/>
                <w:lang w:val="en-US" w:eastAsia="zh-CN" w:bidi="ar"/>
              </w:rPr>
              <w:t>m</w:t>
            </w:r>
            <w:r>
              <w:rPr>
                <w:rStyle w:val="76"/>
                <w:rFonts w:hint="eastAsia" w:ascii="宋体" w:hAnsi="宋体" w:eastAsia="宋体" w:cs="宋体"/>
                <w:sz w:val="21"/>
                <w:szCs w:val="21"/>
                <w:lang w:val="en-US" w:eastAsia="zh-CN" w:bidi="ar"/>
              </w:rPr>
              <w:t>2</w:t>
            </w:r>
          </w:p>
        </w:tc>
      </w:tr>
      <w:tr w14:paraId="5ED35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32894C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64</w:t>
            </w:r>
          </w:p>
        </w:tc>
        <w:tc>
          <w:tcPr>
            <w:tcW w:w="757" w:type="pct"/>
            <w:vAlign w:val="center"/>
          </w:tcPr>
          <w:p w14:paraId="3EA5497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海螺型PoE网络摄像机</w:t>
            </w:r>
          </w:p>
        </w:tc>
        <w:tc>
          <w:tcPr>
            <w:tcW w:w="3015" w:type="pct"/>
            <w:shd w:val="clear" w:color="auto" w:fill="auto"/>
            <w:vAlign w:val="center"/>
          </w:tcPr>
          <w:p w14:paraId="24BAB9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1.400万及以上星光海螺型PoE网络摄像机，红外补光（≥30米），IP66及以上防护等级，内置麦克风，≥120dB宽动态。</w:t>
            </w:r>
          </w:p>
        </w:tc>
        <w:tc>
          <w:tcPr>
            <w:tcW w:w="431" w:type="pct"/>
            <w:vAlign w:val="center"/>
          </w:tcPr>
          <w:p w14:paraId="5D7F55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9" w:type="pct"/>
            <w:vAlign w:val="center"/>
          </w:tcPr>
          <w:p w14:paraId="3532618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11356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3813AD4">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65</w:t>
            </w:r>
          </w:p>
        </w:tc>
        <w:tc>
          <w:tcPr>
            <w:tcW w:w="757" w:type="pct"/>
            <w:vAlign w:val="center"/>
          </w:tcPr>
          <w:p w14:paraId="2A0D4E9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硬盘录像机</w:t>
            </w:r>
          </w:p>
        </w:tc>
        <w:tc>
          <w:tcPr>
            <w:tcW w:w="3015" w:type="pct"/>
            <w:shd w:val="clear" w:color="auto" w:fill="auto"/>
            <w:vAlign w:val="center"/>
          </w:tcPr>
          <w:p w14:paraId="16AC9C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1.通用智能型≥2盘位录像机，≥4路智能人/车侦测，最大8路1080P解码(可增强至12路1080P)，满接≥6MP，最大支持8TB，4K超清输出。</w:t>
            </w:r>
          </w:p>
        </w:tc>
        <w:tc>
          <w:tcPr>
            <w:tcW w:w="431" w:type="pct"/>
            <w:vAlign w:val="center"/>
          </w:tcPr>
          <w:p w14:paraId="11FE995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35B26B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3CE9E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140642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66</w:t>
            </w:r>
          </w:p>
        </w:tc>
        <w:tc>
          <w:tcPr>
            <w:tcW w:w="757" w:type="pct"/>
            <w:vAlign w:val="center"/>
          </w:tcPr>
          <w:p w14:paraId="3CFE514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POE集线器</w:t>
            </w:r>
          </w:p>
        </w:tc>
        <w:tc>
          <w:tcPr>
            <w:tcW w:w="3015" w:type="pct"/>
            <w:shd w:val="clear" w:color="auto" w:fill="auto"/>
            <w:vAlign w:val="center"/>
          </w:tcPr>
          <w:p w14:paraId="33C7CCB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1.≥10口全千兆，POE功能。</w:t>
            </w:r>
          </w:p>
        </w:tc>
        <w:tc>
          <w:tcPr>
            <w:tcW w:w="431" w:type="pct"/>
            <w:vAlign w:val="center"/>
          </w:tcPr>
          <w:p w14:paraId="27A0849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1CDA9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E4B32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BF298B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67</w:t>
            </w:r>
          </w:p>
        </w:tc>
        <w:tc>
          <w:tcPr>
            <w:tcW w:w="757" w:type="pct"/>
            <w:vAlign w:val="center"/>
          </w:tcPr>
          <w:p w14:paraId="1934B48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存储硬盘</w:t>
            </w:r>
          </w:p>
        </w:tc>
        <w:tc>
          <w:tcPr>
            <w:tcW w:w="3015" w:type="pct"/>
            <w:shd w:val="clear" w:color="auto" w:fill="auto"/>
            <w:vAlign w:val="center"/>
          </w:tcPr>
          <w:p w14:paraId="7BE8CC9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1.≥4T。</w:t>
            </w:r>
          </w:p>
        </w:tc>
        <w:tc>
          <w:tcPr>
            <w:tcW w:w="431" w:type="pct"/>
            <w:vAlign w:val="center"/>
          </w:tcPr>
          <w:p w14:paraId="68596FA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649331F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r>
      <w:tr w14:paraId="49F3D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F0B808F">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68</w:t>
            </w:r>
          </w:p>
        </w:tc>
        <w:tc>
          <w:tcPr>
            <w:tcW w:w="757" w:type="pct"/>
            <w:vAlign w:val="center"/>
          </w:tcPr>
          <w:p w14:paraId="2CEAC8D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空气循环机</w:t>
            </w:r>
          </w:p>
        </w:tc>
        <w:tc>
          <w:tcPr>
            <w:tcW w:w="3015" w:type="pct"/>
            <w:shd w:val="clear" w:color="auto" w:fill="auto"/>
            <w:vAlign w:val="center"/>
          </w:tcPr>
          <w:p w14:paraId="644CD0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1.规格：≥5匹。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2.变频/定频：变频。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3.类型：风管机。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4.支持冷暖。</w:t>
            </w:r>
          </w:p>
        </w:tc>
        <w:tc>
          <w:tcPr>
            <w:tcW w:w="431" w:type="pct"/>
            <w:vAlign w:val="center"/>
          </w:tcPr>
          <w:p w14:paraId="1F38110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9" w:type="pct"/>
            <w:vAlign w:val="center"/>
          </w:tcPr>
          <w:p w14:paraId="50B0A2D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DC4E6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26BF262">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69</w:t>
            </w:r>
          </w:p>
        </w:tc>
        <w:tc>
          <w:tcPr>
            <w:tcW w:w="757" w:type="pct"/>
            <w:vAlign w:val="center"/>
          </w:tcPr>
          <w:p w14:paraId="34F2D4F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录播主机</w:t>
            </w:r>
          </w:p>
        </w:tc>
        <w:tc>
          <w:tcPr>
            <w:tcW w:w="3015" w:type="pct"/>
            <w:shd w:val="clear" w:color="auto" w:fill="auto"/>
            <w:vAlign w:val="center"/>
          </w:tcPr>
          <w:p w14:paraId="7408750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一、整体设计</w:t>
            </w:r>
          </w:p>
          <w:p w14:paraId="4491BAB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p>
          <w:p w14:paraId="26781D5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2.高度集成：主机需同时具备录制、直播、导播、自动跟踪、音频编码、视频编码、音频处理、视频处理、存储、点播、互动多功能于一体；</w:t>
            </w:r>
          </w:p>
          <w:p w14:paraId="22F8387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3.优质性能：主机采用ARM架构处理器同时内置GPU与NPU协处理器，CPU核心数≥8，核心主频≥2.4GHz；</w:t>
            </w:r>
          </w:p>
          <w:p w14:paraId="6F92C35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4.工作噪声：主机在正常工作状态下的生产噪声不高于20dB(A)；</w:t>
            </w:r>
          </w:p>
          <w:p w14:paraId="041F30C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5.工作功率：要求整机正常工作状态下功耗不超过50W；</w:t>
            </w:r>
          </w:p>
          <w:p w14:paraId="3EADC9E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6.视频接口：数字视频接口D-Video（RJ45）≥4，HDMI 输入≥2，HDMI 输出≥2路，分辨率均支持1080P@30fps；</w:t>
            </w:r>
          </w:p>
          <w:p w14:paraId="2521DF6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7.音频接口：要求主机支持线性音频输入与数字音频输入，要求Line in接口≥2，Line out接口≥2，数字音频接口D-Mic（RJ45）≥6；</w:t>
            </w:r>
          </w:p>
          <w:p w14:paraId="37B18D2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8.网络接口：RJ45≥1，支持100/1000M网络自适应及IPv4、IPv6双协议栈；</w:t>
            </w:r>
          </w:p>
          <w:p w14:paraId="3B11227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9.控制接口：RJ45≥2，支持RS232串行通信协议进行外接控制；</w:t>
            </w:r>
          </w:p>
          <w:p w14:paraId="65AF575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10.外设接口：USB2.0≥2，可用于连接U盘等外设；</w:t>
            </w:r>
          </w:p>
          <w:p w14:paraId="48485AB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11.系统存储≥2T，保障设备的正常运行与录制视频文件的本地存储；</w:t>
            </w:r>
          </w:p>
          <w:p w14:paraId="2D68801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12.视频一线通：支持摄像机与主机之间仅通过一根双绞线即可同时实现供电、控制和视频信号的同步传输，不接受使用转接器的方式；</w:t>
            </w:r>
          </w:p>
          <w:p w14:paraId="232A5FD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13.音频一线通：支持麦克风与主机之间仅通过一根双绞线即可同时实现供电和音频信号的采集，实现音频信号的高品质、抗干扰稳定传输；</w:t>
            </w:r>
          </w:p>
          <w:p w14:paraId="529F1C1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14.视频录制：兼容标准H.264视频编解码能力，要求支持1080P@30fps、720P@30fps，以及AAC音频编解码协议标准且内置音频处理功能；</w:t>
            </w:r>
          </w:p>
          <w:p w14:paraId="622C2C7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15.支持现≤100ms的声画同步</w:t>
            </w:r>
            <w:r>
              <w:rPr>
                <w:rFonts w:hint="eastAsia" w:ascii="宋体" w:hAnsi="宋体" w:cs="宋体"/>
                <w:color w:val="auto"/>
                <w:kern w:val="2"/>
                <w:sz w:val="21"/>
                <w:szCs w:val="21"/>
                <w:lang w:val="en-US" w:eastAsia="zh-CN" w:bidi="ar-SA"/>
              </w:rPr>
              <w:t>。</w:t>
            </w:r>
          </w:p>
          <w:p w14:paraId="3EF2734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二、功能设计</w:t>
            </w:r>
          </w:p>
          <w:p w14:paraId="67E62DA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1.在使用同品牌摄像机的情况下支持时钟跟随技术，实现多机位画面的高度同步。须提供第三方机构出具的检测报告复印件。</w:t>
            </w:r>
          </w:p>
          <w:p w14:paraId="4E0E4BA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2.UVC/UAC:USB口可输出音视频流供其他软件预览使用。</w:t>
            </w:r>
          </w:p>
          <w:p w14:paraId="603F211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3.分段录制:在不结束录制的条件下自动按分段时长将课程视频文件分割录制成多个视频文件，具备不分段、30分钟分段、60分钟分段三种分段录制方式。</w:t>
            </w:r>
          </w:p>
          <w:p w14:paraId="66FA522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4.录制画质:480P@25/30/50/60fps、 720P@25/30/50/60fps、 1080P@25/30/50/60fps、4K@25/30/50/60fps可选.</w:t>
            </w:r>
          </w:p>
          <w:p w14:paraId="0200C919">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5.编码码流:码流64Kbps～10Mbps自定义可设，并支持 选择动态比特率或静态比特率</w:t>
            </w:r>
            <w:r>
              <w:rPr>
                <w:rFonts w:hint="eastAsia" w:ascii="宋体" w:hAnsi="宋体" w:cs="宋体"/>
                <w:color w:val="FF0000"/>
                <w:kern w:val="2"/>
                <w:sz w:val="21"/>
                <w:szCs w:val="21"/>
                <w:lang w:val="en-US" w:eastAsia="zh-CN" w:bidi="ar-SA"/>
              </w:rPr>
              <w:t>。</w:t>
            </w:r>
          </w:p>
          <w:p w14:paraId="5132900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6.多流直播:支持4路RTMP同步推流直播，直播信号可选择主码流或子码流信号源。</w:t>
            </w:r>
          </w:p>
          <w:p w14:paraId="49EBD43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7.直播画面质量:支持自定义直播分辨率和码率，支持选择4K/1080P/720P/480P。</w:t>
            </w:r>
          </w:p>
          <w:p w14:paraId="48A5053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8.内置音频处理:EQ均衡、AEC回声抑制、AGC自动增益、ANS 噪声抑制、音频采样率可设.</w:t>
            </w:r>
          </w:p>
          <w:p w14:paraId="586580E9">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9.多场景设置:录播主机音频设置支持录制模式、互动模式双场景配置，并可在对应的设备使用场景下自动调用</w:t>
            </w:r>
            <w:r>
              <w:rPr>
                <w:rFonts w:hint="eastAsia" w:ascii="宋体" w:hAnsi="宋体" w:cs="宋体"/>
                <w:color w:val="FF0000"/>
                <w:kern w:val="2"/>
                <w:sz w:val="21"/>
                <w:szCs w:val="21"/>
                <w:lang w:val="en-US" w:eastAsia="zh-CN" w:bidi="ar-SA"/>
              </w:rPr>
              <w:t>。</w:t>
            </w:r>
          </w:p>
          <w:p w14:paraId="13AA36AC">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10.单通道设置:支持对任意线性输入通道进行配置，支持选择无线MIC和多媒体等多种设备类型，支持对音频比特率与采样率等细节参数进行设置</w:t>
            </w:r>
            <w:r>
              <w:rPr>
                <w:rFonts w:hint="eastAsia" w:ascii="宋体" w:hAnsi="宋体" w:cs="宋体"/>
                <w:color w:val="FF0000"/>
                <w:kern w:val="2"/>
                <w:sz w:val="21"/>
                <w:szCs w:val="21"/>
                <w:lang w:val="en-US" w:eastAsia="zh-CN" w:bidi="ar-SA"/>
              </w:rPr>
              <w:t>。</w:t>
            </w:r>
          </w:p>
          <w:p w14:paraId="42515C43">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11.标签设置:支持视频信号源标签设置，对摄像机实时拍摄信号或HDMI高清输入信号均可自定义名称标签</w:t>
            </w:r>
            <w:r>
              <w:rPr>
                <w:rFonts w:hint="eastAsia" w:ascii="宋体" w:hAnsi="宋体" w:cs="宋体"/>
                <w:color w:val="FF0000"/>
                <w:kern w:val="2"/>
                <w:sz w:val="21"/>
                <w:szCs w:val="21"/>
                <w:lang w:val="en-US" w:eastAsia="zh-CN" w:bidi="ar-SA"/>
              </w:rPr>
              <w:t>。</w:t>
            </w:r>
          </w:p>
          <w:p w14:paraId="78A454B8">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12.自动跟踪拍摄:支持基于计算机视觉CV技术的AI人工智能跟踪算法</w:t>
            </w:r>
            <w:r>
              <w:rPr>
                <w:rFonts w:hint="eastAsia" w:ascii="宋体" w:hAnsi="宋体" w:cs="宋体"/>
                <w:color w:val="FF0000"/>
                <w:kern w:val="2"/>
                <w:sz w:val="21"/>
                <w:szCs w:val="21"/>
                <w:lang w:val="en-US" w:eastAsia="zh-CN" w:bidi="ar-SA"/>
              </w:rPr>
              <w:t>。</w:t>
            </w:r>
          </w:p>
          <w:p w14:paraId="6680995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13.互动能力:内置音视频交互能力，无需额外部署互动服务器类设备即可实现“1+3”的互动能力，并具备“授课互动”及“会议互动”两种</w:t>
            </w:r>
            <w:r>
              <w:rPr>
                <w:rFonts w:hint="eastAsia" w:ascii="宋体" w:hAnsi="宋体" w:cs="宋体"/>
                <w:color w:val="auto"/>
                <w:kern w:val="2"/>
                <w:sz w:val="21"/>
                <w:szCs w:val="21"/>
                <w:lang w:val="en-US" w:eastAsia="zh-CN" w:bidi="ar-SA"/>
              </w:rPr>
              <w:t>。</w:t>
            </w:r>
          </w:p>
          <w:p w14:paraId="116D1F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14.短号系统:可以通过直接呼叫一个或多个短号快速创建互动房间。</w:t>
            </w:r>
          </w:p>
          <w:p w14:paraId="7833D27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15.分组系统：支持对通讯录自定义添加分组，可对分组内账号进行批量快速呼叫。</w:t>
            </w:r>
          </w:p>
          <w:p w14:paraId="02A3AC3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16.录像管理：保存录制文件，并可对录制视频按标题、主持人、时间、时长进行排序。支持对录像文件进行回放和下载。</w:t>
            </w:r>
          </w:p>
          <w:p w14:paraId="6F87CCF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17.循环覆盖：当硬盘使用超出90%,新增文件将自动覆盖 距今时间最久的录像文件。</w:t>
            </w:r>
          </w:p>
          <w:p w14:paraId="2F0BC5D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18.版本管理：提供离线文件升级、网络在线升级和定时、自动升级三种升级方式，可导出和导入系统配置文件</w:t>
            </w:r>
            <w:r>
              <w:rPr>
                <w:rFonts w:hint="eastAsia" w:ascii="宋体" w:hAnsi="宋体" w:cs="宋体"/>
                <w:color w:val="auto"/>
                <w:kern w:val="2"/>
                <w:sz w:val="21"/>
                <w:szCs w:val="21"/>
                <w:lang w:val="en-US" w:eastAsia="zh-CN" w:bidi="ar-SA"/>
              </w:rPr>
              <w:t>。</w:t>
            </w:r>
          </w:p>
          <w:p w14:paraId="5A89669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19.测绘信息：支持检测灯光亮度/色温、混响时间、磁盘空间、设备温度、网络质量以及显示运维报障信息。</w:t>
            </w:r>
          </w:p>
          <w:p w14:paraId="2DCD8EC1">
            <w:pPr>
              <w:keepNext w:val="0"/>
              <w:keepLines w:val="0"/>
              <w:widowControl/>
              <w:suppressLineNumbers w:val="0"/>
              <w:jc w:val="left"/>
              <w:textAlignment w:val="center"/>
              <w:rPr>
                <w:rFonts w:hint="eastAsia" w:ascii="宋体" w:hAnsi="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20.支持通过软件授权方式扩展AI板书增强功能</w:t>
            </w:r>
            <w:r>
              <w:rPr>
                <w:rFonts w:hint="eastAsia" w:ascii="宋体" w:hAnsi="宋体" w:cs="宋体"/>
                <w:color w:val="FF0000"/>
                <w:kern w:val="2"/>
                <w:sz w:val="21"/>
                <w:szCs w:val="21"/>
                <w:lang w:val="en-US" w:eastAsia="zh-CN" w:bidi="ar-SA"/>
              </w:rPr>
              <w:t>。</w:t>
            </w:r>
          </w:p>
          <w:p w14:paraId="4B46A18B">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三、多景别智能摄录与流媒体处理软件</w:t>
            </w:r>
          </w:p>
          <w:p w14:paraId="6222717D">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1.录制存储：采用H.264/H.265的视频编码格式和MP4的视频封装格式，支持在断网情况下也可以进行视频录制并存储于录播主机中，也支持在联网情况下通过FTP自动上传视频文件；</w:t>
            </w:r>
          </w:p>
          <w:p w14:paraId="795362CB">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2.同步录制：支持外接存储设备（如U盘），实现在视频录制的过程中，自动同步录制多一份并存储至U盘中；</w:t>
            </w:r>
          </w:p>
          <w:p w14:paraId="6D0E5208">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3.录制关联：支持在录制启动时自动关联开启直播和全自动跟踪模式；</w:t>
            </w:r>
          </w:p>
          <w:p w14:paraId="45C0787D">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4.视频管理：支持查看已录制的视频文件，并可按录制时间进行排序和按关键字检索查看，也支持对视频文件进行在线播放、下载、删除和FTP上传；</w:t>
            </w:r>
          </w:p>
          <w:p w14:paraId="32D1B6A9">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5.网络导播：支持通过浏览器即可访问并使用导播功能，而无需额外安装客户端或APP；</w:t>
            </w:r>
          </w:p>
          <w:p w14:paraId="7F66D60A">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6.导播模式：支持全自动、半自动、手动三种导播模式，且支持在录制、直播和互动过程中任意切换导播模式；</w:t>
            </w:r>
          </w:p>
          <w:p w14:paraId="4B39A036">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7.导播预览：支持对接入的所有画面进行导播预览，包括教师特写、教师全景、学生全景、学生特写、电脑画面等，电脑画面包括两路HDMI画面可切换，并支持点击预览画面即可切换为导播输出画面；</w:t>
            </w:r>
          </w:p>
          <w:p w14:paraId="400FCBC3">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8.视频布局：支持二分屏、三分屏、画中画等布局，也支持自定义布局方式，且支持对布局内的每个画面窗口进行拖动、叠加、缩放和指定视频源的操作，实现灵活调整；</w:t>
            </w:r>
          </w:p>
          <w:p w14:paraId="35B9B4C5">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9.台标字幕：需支持在导播预览界面添加Logo台标与字幕，可自主上传Logo图标、设置logo位置、编辑字幕内容、选择字幕字体颜色与是否滚动显示，且后台管理设置可预设字幕作为备选，方便灵活调整与切换；</w:t>
            </w:r>
          </w:p>
          <w:p w14:paraId="00EC4EC8">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10.片头片尾：需支持片头片尾设置，可上传JPG格式图片作为录制默认的片头片尾画面，并可自定义片头片尾显示时长，支持片头片尾显示视频信息</w:t>
            </w:r>
            <w:r>
              <w:rPr>
                <w:rFonts w:hint="eastAsia" w:ascii="宋体" w:hAnsi="宋体" w:cs="宋体"/>
                <w:color w:val="auto"/>
                <w:kern w:val="2"/>
                <w:sz w:val="21"/>
                <w:szCs w:val="21"/>
                <w:lang w:val="en-US" w:eastAsia="zh-CN" w:bidi="ar-SA"/>
              </w:rPr>
              <w:t>。</w:t>
            </w:r>
          </w:p>
          <w:p w14:paraId="00668ED2">
            <w:pPr>
              <w:keepNext w:val="0"/>
              <w:keepLines w:val="0"/>
              <w:widowControl/>
              <w:suppressLineNumbers w:val="0"/>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四、基于AI的智能跟踪数据分析处理软件</w:t>
            </w:r>
          </w:p>
          <w:p w14:paraId="0260950C">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1.跟踪逻辑：支持智能识别接入摄像机的使用定位，并联动摄像机选用对应的跟踪逻辑，如教师跟踪、学生跟踪等；</w:t>
            </w:r>
          </w:p>
          <w:p w14:paraId="02121C9D">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2.检测区域：支持对接入摄像机的AI跟踪检测区域设置，可基于实景拍摄画面框选跟踪区域，框选后只在区域中方能触发跟踪，所见所得方便操作；</w:t>
            </w:r>
          </w:p>
          <w:p w14:paraId="542D6404">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3.跟踪切换：支持根据设定的跟踪策略形成跟踪指令，实现多路接入摄像机的全自动AI跟踪画面切换；且支持自定义跟踪切换逻辑的画面布局，包含但不限于双分屏、画中画与自定义布局等；</w:t>
            </w:r>
          </w:p>
          <w:p w14:paraId="676C8975">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4.跟踪策略：支持对接入摄像机自定义设置AI跟踪目标更新周期时间，摄像机依据配置实现相应跟踪策略；</w:t>
            </w:r>
          </w:p>
          <w:p w14:paraId="03DF9FA2">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5.全场景跟拍：要求支持基于计算机视觉CV技术的AI人工智能跟踪算法，实现教师识别、教师移动跟拍、教师轨迹识别以及学生上台识别、板书行为识别、单人与多人起立识别等教学焦点进行自动捕捉与切换</w:t>
            </w:r>
            <w:r>
              <w:rPr>
                <w:rFonts w:hint="eastAsia" w:ascii="宋体" w:hAnsi="宋体" w:cs="宋体"/>
                <w:color w:val="auto"/>
                <w:kern w:val="2"/>
                <w:sz w:val="21"/>
                <w:szCs w:val="21"/>
                <w:lang w:val="en-US" w:eastAsia="zh-CN" w:bidi="ar-SA"/>
              </w:rPr>
              <w:t>。</w:t>
            </w:r>
          </w:p>
        </w:tc>
        <w:tc>
          <w:tcPr>
            <w:tcW w:w="431" w:type="pct"/>
            <w:vAlign w:val="center"/>
          </w:tcPr>
          <w:p w14:paraId="5D440BD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5E496D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1F1BF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2BE2F9E">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70</w:t>
            </w:r>
          </w:p>
        </w:tc>
        <w:tc>
          <w:tcPr>
            <w:tcW w:w="757" w:type="pct"/>
            <w:vAlign w:val="center"/>
          </w:tcPr>
          <w:p w14:paraId="3968C46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高清摄像机</w:t>
            </w:r>
          </w:p>
        </w:tc>
        <w:tc>
          <w:tcPr>
            <w:tcW w:w="3015" w:type="pct"/>
            <w:shd w:val="clear" w:color="auto" w:fill="auto"/>
            <w:vAlign w:val="center"/>
          </w:tcPr>
          <w:p w14:paraId="5F2C4DB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1.传感器：要求采用CMOS类型图像传感器，尺寸≥1/2.5英寸</w:t>
            </w:r>
            <w:r>
              <w:rPr>
                <w:rFonts w:hint="eastAsia" w:ascii="宋体" w:hAnsi="宋体" w:cs="宋体"/>
                <w:color w:val="auto"/>
                <w:kern w:val="2"/>
                <w:sz w:val="21"/>
                <w:szCs w:val="21"/>
                <w:lang w:val="en-US" w:eastAsia="zh-CN" w:bidi="ar-SA"/>
              </w:rPr>
              <w:t>。</w:t>
            </w:r>
          </w:p>
          <w:p w14:paraId="1528E01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2.像素：有效像素≥800万</w:t>
            </w:r>
            <w:r>
              <w:rPr>
                <w:rFonts w:hint="eastAsia" w:ascii="宋体" w:hAnsi="宋体" w:cs="宋体"/>
                <w:color w:val="auto"/>
                <w:kern w:val="2"/>
                <w:sz w:val="21"/>
                <w:szCs w:val="21"/>
                <w:lang w:val="en-US" w:eastAsia="zh-CN" w:bidi="ar-SA"/>
              </w:rPr>
              <w:t>。</w:t>
            </w:r>
          </w:p>
          <w:p w14:paraId="5EB9905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3.变焦：要求支持自动和手动变焦，光学变焦倍数≥22倍</w:t>
            </w:r>
            <w:r>
              <w:rPr>
                <w:rFonts w:hint="eastAsia" w:ascii="宋体" w:hAnsi="宋体" w:cs="宋体"/>
                <w:color w:val="auto"/>
                <w:kern w:val="2"/>
                <w:sz w:val="21"/>
                <w:szCs w:val="21"/>
                <w:lang w:val="en-US" w:eastAsia="zh-CN" w:bidi="ar-SA"/>
              </w:rPr>
              <w:t>。</w:t>
            </w:r>
          </w:p>
          <w:p w14:paraId="759A1C3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4.云台转动：要求具备机械云台可进行转动跟踪。水平转动速度范围不少于1.0°~ 94.2°/s，垂直转动速度范围不少于1.0°~ 74.8°/s</w:t>
            </w:r>
            <w:r>
              <w:rPr>
                <w:rFonts w:hint="eastAsia" w:ascii="宋体" w:hAnsi="宋体" w:cs="宋体"/>
                <w:color w:val="auto"/>
                <w:kern w:val="2"/>
                <w:sz w:val="21"/>
                <w:szCs w:val="21"/>
                <w:lang w:val="en-US" w:eastAsia="zh-CN" w:bidi="ar-SA"/>
              </w:rPr>
              <w:t>。</w:t>
            </w:r>
          </w:p>
          <w:p w14:paraId="03725D5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5.视频编码：要求支持H.265、H.264高清视频编码协议</w:t>
            </w:r>
            <w:r>
              <w:rPr>
                <w:rFonts w:hint="eastAsia" w:ascii="宋体" w:hAnsi="宋体" w:cs="宋体"/>
                <w:color w:val="auto"/>
                <w:kern w:val="2"/>
                <w:sz w:val="21"/>
                <w:szCs w:val="21"/>
                <w:lang w:val="en-US" w:eastAsia="zh-CN" w:bidi="ar-SA"/>
              </w:rPr>
              <w:t>。</w:t>
            </w:r>
          </w:p>
          <w:p w14:paraId="7FA313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6.视频输出：要求具备数字视频输出口（RJ45）≥1，HDMI视频输出口≥1</w:t>
            </w:r>
            <w:r>
              <w:rPr>
                <w:rFonts w:hint="eastAsia" w:ascii="宋体" w:hAnsi="宋体" w:cs="宋体"/>
                <w:color w:val="auto"/>
                <w:kern w:val="2"/>
                <w:sz w:val="21"/>
                <w:szCs w:val="21"/>
                <w:lang w:val="en-US" w:eastAsia="zh-CN" w:bidi="ar-SA"/>
              </w:rPr>
              <w:t>。</w:t>
            </w:r>
          </w:p>
          <w:p w14:paraId="3EC29A4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7.通讯接口：要求具备RS232/RS422≥1</w:t>
            </w:r>
            <w:r>
              <w:rPr>
                <w:rFonts w:hint="eastAsia" w:ascii="宋体" w:hAnsi="宋体" w:cs="宋体"/>
                <w:color w:val="auto"/>
                <w:kern w:val="2"/>
                <w:sz w:val="21"/>
                <w:szCs w:val="21"/>
                <w:lang w:val="en-US" w:eastAsia="zh-CN" w:bidi="ar-SA"/>
              </w:rPr>
              <w:t>。</w:t>
            </w:r>
          </w:p>
          <w:p w14:paraId="1CA3B87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8.网络接入：RJ45网络接口≥1，并支持100M/1000M自适应以太网接入与RTSP协议网络视频输出</w:t>
            </w:r>
            <w:r>
              <w:rPr>
                <w:rFonts w:hint="eastAsia" w:ascii="宋体" w:hAnsi="宋体" w:cs="宋体"/>
                <w:color w:val="auto"/>
                <w:kern w:val="2"/>
                <w:sz w:val="21"/>
                <w:szCs w:val="21"/>
                <w:lang w:val="en-US" w:eastAsia="zh-CN" w:bidi="ar-SA"/>
              </w:rPr>
              <w:t>。</w:t>
            </w:r>
          </w:p>
          <w:p w14:paraId="2EE3AFE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9.音频接口：Line in输入口≥1</w:t>
            </w:r>
            <w:r>
              <w:rPr>
                <w:rFonts w:hint="eastAsia" w:ascii="宋体" w:hAnsi="宋体" w:cs="宋体"/>
                <w:color w:val="auto"/>
                <w:kern w:val="2"/>
                <w:sz w:val="21"/>
                <w:szCs w:val="21"/>
                <w:lang w:val="en-US" w:eastAsia="zh-CN" w:bidi="ar-SA"/>
              </w:rPr>
              <w:t>。</w:t>
            </w:r>
          </w:p>
          <w:p w14:paraId="39E202C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10.USB接口：要求具备USB Type-A≥1</w:t>
            </w:r>
            <w:r>
              <w:rPr>
                <w:rFonts w:hint="eastAsia" w:ascii="宋体" w:hAnsi="宋体" w:cs="宋体"/>
                <w:color w:val="auto"/>
                <w:kern w:val="2"/>
                <w:sz w:val="21"/>
                <w:szCs w:val="21"/>
                <w:lang w:val="en-US" w:eastAsia="zh-CN" w:bidi="ar-SA"/>
              </w:rPr>
              <w:t>。</w:t>
            </w:r>
          </w:p>
          <w:p w14:paraId="428E765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11.协议支持：要求支持VISCA/ONVIF协议满足多种场景控制要求</w:t>
            </w:r>
            <w:r>
              <w:rPr>
                <w:rFonts w:hint="eastAsia" w:ascii="宋体" w:hAnsi="宋体" w:cs="宋体"/>
                <w:color w:val="auto"/>
                <w:kern w:val="2"/>
                <w:sz w:val="21"/>
                <w:szCs w:val="21"/>
                <w:lang w:val="en-US" w:eastAsia="zh-CN" w:bidi="ar-SA"/>
              </w:rPr>
              <w:t>。</w:t>
            </w:r>
          </w:p>
          <w:p w14:paraId="159AB92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12.背光补偿：要求具备背光补偿功能</w:t>
            </w:r>
            <w:r>
              <w:rPr>
                <w:rFonts w:hint="eastAsia" w:ascii="宋体" w:hAnsi="宋体" w:cs="宋体"/>
                <w:color w:val="auto"/>
                <w:kern w:val="2"/>
                <w:sz w:val="21"/>
                <w:szCs w:val="21"/>
                <w:lang w:val="en-US" w:eastAsia="zh-CN" w:bidi="ar-SA"/>
              </w:rPr>
              <w:t>。</w:t>
            </w:r>
          </w:p>
          <w:p w14:paraId="2EAA57C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13.数字降噪：支持2D/3D数字降噪，信噪比≥55dB</w:t>
            </w:r>
            <w:r>
              <w:rPr>
                <w:rFonts w:hint="eastAsia" w:ascii="宋体" w:hAnsi="宋体" w:cs="宋体"/>
                <w:color w:val="auto"/>
                <w:kern w:val="2"/>
                <w:sz w:val="21"/>
                <w:szCs w:val="21"/>
                <w:lang w:val="en-US" w:eastAsia="zh-CN" w:bidi="ar-SA"/>
              </w:rPr>
              <w:t>。</w:t>
            </w:r>
          </w:p>
          <w:p w14:paraId="096551E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14.一线通：要求与搭配的录播主机实现基于RJ45双绞线的一线通连接，完成摄像机供电、控制以及视频信号传输</w:t>
            </w:r>
            <w:r>
              <w:rPr>
                <w:rFonts w:hint="eastAsia" w:ascii="宋体" w:hAnsi="宋体" w:cs="宋体"/>
                <w:color w:val="auto"/>
                <w:kern w:val="2"/>
                <w:sz w:val="21"/>
                <w:szCs w:val="21"/>
                <w:lang w:val="en-US" w:eastAsia="zh-CN" w:bidi="ar-SA"/>
              </w:rPr>
              <w:t>。</w:t>
            </w:r>
          </w:p>
          <w:p w14:paraId="77EF979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cs="宋体"/>
                <w:color w:val="auto"/>
                <w:kern w:val="2"/>
                <w:sz w:val="21"/>
                <w:szCs w:val="21"/>
                <w:lang w:val="en-US" w:eastAsia="zh-CN" w:bidi="ar-SA"/>
              </w:rPr>
              <w:t>。</w:t>
            </w:r>
          </w:p>
          <w:p w14:paraId="37A1251E">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16.AI跟踪：要求内置跟踪算法，摄像机内无额外辅助摄像头也无需增加任何设备即可实现人像自动跟踪，包括水平运动、俯仰运动、变焦、聚焦四维实时跟踪</w:t>
            </w:r>
            <w:r>
              <w:rPr>
                <w:rFonts w:hint="eastAsia" w:ascii="宋体" w:hAnsi="宋体" w:cs="宋体"/>
                <w:color w:val="FF0000"/>
                <w:kern w:val="2"/>
                <w:sz w:val="21"/>
                <w:szCs w:val="21"/>
                <w:lang w:val="en-US" w:eastAsia="zh-CN" w:bidi="ar-SA"/>
              </w:rPr>
              <w:t>。</w:t>
            </w:r>
          </w:p>
          <w:p w14:paraId="259B563F">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17.AI交叉识别</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AI人体与面部特征交叉识别，能够自动识别并锁定跟踪对象，在多人同时进入拍摄画面的情况下，不跟丢不误跟。跟踪对象在画面丢失后再进入拍摄区域可以继续识别锁定进行跟踪</w:t>
            </w:r>
            <w:r>
              <w:rPr>
                <w:rFonts w:hint="eastAsia" w:ascii="宋体" w:hAnsi="宋体" w:cs="宋体"/>
                <w:color w:val="FF0000"/>
                <w:kern w:val="2"/>
                <w:sz w:val="21"/>
                <w:szCs w:val="21"/>
                <w:lang w:val="en-US" w:eastAsia="zh-CN" w:bidi="ar-SA"/>
              </w:rPr>
              <w:t>。</w:t>
            </w:r>
          </w:p>
          <w:p w14:paraId="1A422F72">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18.AI教师角色识别</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AI教师角色识别逻辑，可基于站立姿态、面/背向状态等多维判定，快速识别并锁定教师跟踪，避免学生站立影响</w:t>
            </w:r>
            <w:r>
              <w:rPr>
                <w:rFonts w:hint="eastAsia" w:ascii="宋体" w:hAnsi="宋体" w:cs="宋体"/>
                <w:color w:val="FF0000"/>
                <w:kern w:val="2"/>
                <w:sz w:val="21"/>
                <w:szCs w:val="21"/>
                <w:lang w:val="en-US" w:eastAsia="zh-CN" w:bidi="ar-SA"/>
              </w:rPr>
              <w:t>。</w:t>
            </w:r>
          </w:p>
          <w:p w14:paraId="2AC3E872">
            <w:pPr>
              <w:keepNext w:val="0"/>
              <w:keepLines w:val="0"/>
              <w:widowControl/>
              <w:suppressLineNumbers w:val="0"/>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19.AI跟踪区域划分</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支持划分自动跟踪区域，当锁定跟踪人物走出自动跟踪区域时即停止跟踪，直到重新回到区域出现在画面中为止</w:t>
            </w:r>
            <w:r>
              <w:rPr>
                <w:rFonts w:hint="eastAsia" w:ascii="宋体" w:hAnsi="宋体" w:cs="宋体"/>
                <w:color w:val="FF0000"/>
                <w:kern w:val="2"/>
                <w:sz w:val="21"/>
                <w:szCs w:val="21"/>
                <w:lang w:val="en-US" w:eastAsia="zh-CN" w:bidi="ar-SA"/>
              </w:rPr>
              <w:t>。</w:t>
            </w:r>
          </w:p>
          <w:p w14:paraId="7C05E89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20.AI跟踪锁定解除</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支持设置AI跟踪锁定解除时间，被锁定人员脱离画面跟踪区域后，在跟踪锁定解除时间到达之后自动解除人员锁定，回归默认状态，等待下一位人员进入画面中开始重新锁定跟踪</w:t>
            </w:r>
            <w:r>
              <w:rPr>
                <w:rFonts w:hint="eastAsia" w:ascii="宋体" w:hAnsi="宋体" w:cs="宋体"/>
                <w:color w:val="FF0000"/>
                <w:kern w:val="2"/>
                <w:sz w:val="21"/>
                <w:szCs w:val="21"/>
                <w:lang w:val="en-US" w:eastAsia="zh-CN" w:bidi="ar-SA"/>
              </w:rPr>
              <w:t>。</w:t>
            </w:r>
          </w:p>
        </w:tc>
        <w:tc>
          <w:tcPr>
            <w:tcW w:w="431" w:type="pct"/>
            <w:vAlign w:val="center"/>
          </w:tcPr>
          <w:p w14:paraId="1AB61A6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399" w:type="pct"/>
            <w:vAlign w:val="center"/>
          </w:tcPr>
          <w:p w14:paraId="0E3447E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163FD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8DB9CE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71</w:t>
            </w:r>
          </w:p>
        </w:tc>
        <w:tc>
          <w:tcPr>
            <w:tcW w:w="757" w:type="pct"/>
            <w:vAlign w:val="center"/>
          </w:tcPr>
          <w:p w14:paraId="617F7D0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音频处理器</w:t>
            </w:r>
          </w:p>
        </w:tc>
        <w:tc>
          <w:tcPr>
            <w:tcW w:w="3015" w:type="pct"/>
            <w:shd w:val="clear" w:color="auto" w:fill="auto"/>
            <w:vAlign w:val="center"/>
          </w:tcPr>
          <w:p w14:paraId="7AC16E5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1.48K采样率，高速DSP处理芯片。</w:t>
            </w:r>
          </w:p>
          <w:p w14:paraId="150BA49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2.内置功放功能，支持直接对接无源扬声器进行扩音，无需额外另配功放设备。</w:t>
            </w:r>
          </w:p>
          <w:p w14:paraId="3DA7769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3.至少支持4路模拟输入+1路立体声输入+2路无线输入；支持4路模拟输出+2路功放输出的音频信号处理。</w:t>
            </w:r>
          </w:p>
          <w:p w14:paraId="59C4FCE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4.频率响应：20-20KHz。</w:t>
            </w:r>
          </w:p>
          <w:p w14:paraId="3F46C97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5.THD+N：≤0.005 。</w:t>
            </w:r>
          </w:p>
          <w:p w14:paraId="31FF830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6.动态范围：≥100dB。</w:t>
            </w:r>
          </w:p>
          <w:p w14:paraId="3BB7D41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7.幻象供电：支持每路独立48V幻象供电。</w:t>
            </w:r>
          </w:p>
          <w:p w14:paraId="7E6B4C7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8.音频处理：支持DSP音频处理功能，包含反馈消除、回声消除、噪声消除等。</w:t>
            </w:r>
          </w:p>
          <w:p w14:paraId="5CC6000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9.支持全功能矩阵混音功能。</w:t>
            </w:r>
          </w:p>
          <w:p w14:paraId="10F7ADC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10.支持场景预设功能，可通过场景预设切换相应配置。</w:t>
            </w:r>
          </w:p>
          <w:p w14:paraId="44C326D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11.USB背景音乐播放与录制功能，支持通过USB接口自动读取并选择播放U盘中的MP3、WAV等格式的音频文件。</w:t>
            </w:r>
          </w:p>
        </w:tc>
        <w:tc>
          <w:tcPr>
            <w:tcW w:w="431" w:type="pct"/>
            <w:vAlign w:val="center"/>
          </w:tcPr>
          <w:p w14:paraId="0664008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87A841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120A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5769F2A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72</w:t>
            </w:r>
          </w:p>
        </w:tc>
        <w:tc>
          <w:tcPr>
            <w:tcW w:w="757" w:type="pct"/>
            <w:vAlign w:val="center"/>
          </w:tcPr>
          <w:p w14:paraId="2475D29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指向拾音话筒</w:t>
            </w:r>
          </w:p>
        </w:tc>
        <w:tc>
          <w:tcPr>
            <w:tcW w:w="3015" w:type="pct"/>
            <w:shd w:val="clear" w:color="auto" w:fill="auto"/>
            <w:vAlign w:val="center"/>
          </w:tcPr>
          <w:p w14:paraId="52A3357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1.单体：背极式驻极体</w:t>
            </w:r>
            <w:r>
              <w:rPr>
                <w:rFonts w:hint="eastAsia" w:ascii="宋体" w:hAnsi="宋体" w:cs="宋体"/>
                <w:color w:val="auto"/>
                <w:kern w:val="2"/>
                <w:sz w:val="21"/>
                <w:szCs w:val="21"/>
                <w:lang w:val="en-US" w:eastAsia="zh-CN" w:bidi="ar-SA"/>
              </w:rPr>
              <w:t>。</w:t>
            </w:r>
          </w:p>
          <w:p w14:paraId="0829B83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2.指向性：超心型</w:t>
            </w:r>
            <w:r>
              <w:rPr>
                <w:rFonts w:hint="eastAsia" w:ascii="宋体" w:hAnsi="宋体" w:cs="宋体"/>
                <w:color w:val="auto"/>
                <w:kern w:val="2"/>
                <w:sz w:val="21"/>
                <w:szCs w:val="21"/>
                <w:lang w:val="en-US" w:eastAsia="zh-CN" w:bidi="ar-SA"/>
              </w:rPr>
              <w:t>。</w:t>
            </w:r>
          </w:p>
          <w:p w14:paraId="760A0E6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3.频率响应：40Hz—16kHz</w:t>
            </w:r>
            <w:r>
              <w:rPr>
                <w:rFonts w:hint="eastAsia" w:ascii="宋体" w:hAnsi="宋体" w:cs="宋体"/>
                <w:color w:val="auto"/>
                <w:kern w:val="2"/>
                <w:sz w:val="21"/>
                <w:szCs w:val="21"/>
                <w:lang w:val="en-US" w:eastAsia="zh-CN" w:bidi="ar-SA"/>
              </w:rPr>
              <w:t>。</w:t>
            </w:r>
          </w:p>
          <w:p w14:paraId="5B3A4FE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4.低频衰减：内置</w:t>
            </w:r>
            <w:r>
              <w:rPr>
                <w:rFonts w:hint="eastAsia" w:ascii="宋体" w:hAnsi="宋体" w:cs="宋体"/>
                <w:color w:val="auto"/>
                <w:kern w:val="2"/>
                <w:sz w:val="21"/>
                <w:szCs w:val="21"/>
                <w:lang w:val="en-US" w:eastAsia="zh-CN" w:bidi="ar-SA"/>
              </w:rPr>
              <w:t>。</w:t>
            </w:r>
          </w:p>
          <w:p w14:paraId="7911260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5.灵敏度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≥-29dB±3dB</w:t>
            </w:r>
            <w:r>
              <w:rPr>
                <w:rFonts w:hint="eastAsia" w:ascii="宋体" w:hAnsi="宋体" w:cs="宋体"/>
                <w:color w:val="auto"/>
                <w:kern w:val="2"/>
                <w:sz w:val="21"/>
                <w:szCs w:val="21"/>
                <w:lang w:val="en-US" w:eastAsia="zh-CN" w:bidi="ar-SA"/>
              </w:rPr>
              <w:t>。</w:t>
            </w:r>
          </w:p>
          <w:p w14:paraId="6F678DF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6.输出阻抗</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≥500Ω±20%</w:t>
            </w:r>
            <w:r>
              <w:rPr>
                <w:rFonts w:hint="eastAsia" w:ascii="宋体" w:hAnsi="宋体" w:cs="宋体"/>
                <w:color w:val="auto"/>
                <w:kern w:val="2"/>
                <w:sz w:val="21"/>
                <w:szCs w:val="21"/>
                <w:lang w:val="en-US" w:eastAsia="zh-CN" w:bidi="ar-SA"/>
              </w:rPr>
              <w:t>。</w:t>
            </w:r>
          </w:p>
          <w:p w14:paraId="1F571C0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7.最大声压级</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≥130dB</w:t>
            </w:r>
            <w:r>
              <w:rPr>
                <w:rFonts w:hint="eastAsia" w:ascii="宋体" w:hAnsi="宋体" w:cs="宋体"/>
                <w:color w:val="auto"/>
                <w:kern w:val="2"/>
                <w:sz w:val="21"/>
                <w:szCs w:val="21"/>
                <w:lang w:val="en-US" w:eastAsia="zh-CN" w:bidi="ar-SA"/>
              </w:rPr>
              <w:t>。</w:t>
            </w:r>
          </w:p>
          <w:p w14:paraId="4134C3F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8.信噪比</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≥70dB</w:t>
            </w:r>
            <w:r>
              <w:rPr>
                <w:rFonts w:hint="eastAsia" w:ascii="宋体" w:hAnsi="宋体" w:cs="宋体"/>
                <w:color w:val="auto"/>
                <w:kern w:val="2"/>
                <w:sz w:val="21"/>
                <w:szCs w:val="21"/>
                <w:lang w:val="en-US" w:eastAsia="zh-CN" w:bidi="ar-SA"/>
              </w:rPr>
              <w:t>。</w:t>
            </w:r>
          </w:p>
          <w:p w14:paraId="0E2EED4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9.动态范围</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≥106dB</w:t>
            </w:r>
            <w:r>
              <w:rPr>
                <w:rFonts w:hint="eastAsia" w:ascii="宋体" w:hAnsi="宋体" w:cs="宋体"/>
                <w:color w:val="auto"/>
                <w:kern w:val="2"/>
                <w:sz w:val="21"/>
                <w:szCs w:val="21"/>
                <w:lang w:val="en-US" w:eastAsia="zh-CN" w:bidi="ar-SA"/>
              </w:rPr>
              <w:t>。</w:t>
            </w:r>
          </w:p>
          <w:p w14:paraId="3EAAF0F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10.使用电源：48V 幻象电源（48V DC）</w:t>
            </w:r>
            <w:r>
              <w:rPr>
                <w:rFonts w:hint="eastAsia" w:ascii="宋体" w:hAnsi="宋体" w:cs="宋体"/>
                <w:color w:val="auto"/>
                <w:kern w:val="2"/>
                <w:sz w:val="21"/>
                <w:szCs w:val="21"/>
                <w:lang w:val="en-US" w:eastAsia="zh-CN" w:bidi="ar-SA"/>
              </w:rPr>
              <w:t>。</w:t>
            </w:r>
          </w:p>
        </w:tc>
        <w:tc>
          <w:tcPr>
            <w:tcW w:w="431" w:type="pct"/>
            <w:vAlign w:val="center"/>
          </w:tcPr>
          <w:p w14:paraId="1B4610F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9" w:type="pct"/>
            <w:vAlign w:val="center"/>
          </w:tcPr>
          <w:p w14:paraId="4DECF16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r>
      <w:tr w14:paraId="32B5F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4D936C33">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73</w:t>
            </w:r>
          </w:p>
        </w:tc>
        <w:tc>
          <w:tcPr>
            <w:tcW w:w="757" w:type="pct"/>
            <w:vAlign w:val="center"/>
          </w:tcPr>
          <w:p w14:paraId="702C449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录制面板</w:t>
            </w:r>
          </w:p>
        </w:tc>
        <w:tc>
          <w:tcPr>
            <w:tcW w:w="3015" w:type="pct"/>
            <w:shd w:val="clear" w:color="auto" w:fill="auto"/>
            <w:vAlign w:val="center"/>
          </w:tcPr>
          <w:p w14:paraId="372DB456">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1.安装方式：要求镶嵌式安装在讲台。</w:t>
            </w:r>
          </w:p>
          <w:p w14:paraId="463E3D0C">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2.控制接口：要求支持RS232控制接口用以连接录播主机。</w:t>
            </w:r>
          </w:p>
          <w:p w14:paraId="159C2582">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3.信号指示灯：要求具备信号指示灯。</w:t>
            </w:r>
          </w:p>
          <w:p w14:paraId="64B4A594">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4.支持一键式系统电源开关控制。</w:t>
            </w:r>
          </w:p>
          <w:p w14:paraId="38A425DE">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5.一键式录制、停止、锁定电脑信号。</w:t>
            </w:r>
          </w:p>
          <w:p w14:paraId="1BBA3D45">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6.支持本地录播全自动的开启、关闭控制。该功能同时支持录播模式和互动模式。</w:t>
            </w:r>
          </w:p>
          <w:p w14:paraId="008B4CFC">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7.支持通过面板一键发起与远端设备互动连接。</w:t>
            </w:r>
          </w:p>
          <w:p w14:paraId="55C51AED">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8.支持通过交互控制面板切换互动画面的信号源，并传输到听课室，包括本地老师信号、学生信号、电脑信号、远端课室画面。</w:t>
            </w:r>
          </w:p>
          <w:p w14:paraId="468BB0E7">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9.支持对各画面的自由布局控制，包括单画面全屏、双分屏、三分屏、四分屏、画中画，并传输到听课室。</w:t>
            </w:r>
          </w:p>
          <w:p w14:paraId="1231A6BE">
            <w:pPr>
              <w:keepNext w:val="0"/>
              <w:keepLines w:val="0"/>
              <w:widowControl/>
              <w:suppressLineNumbers w:val="0"/>
              <w:jc w:val="left"/>
              <w:textAlignment w:val="center"/>
              <w:rPr>
                <w:rFonts w:hint="default" w:ascii="宋体" w:hAnsi="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10.支持远程“一键静音”功能，主讲端可一键关闭远端互动教室发言，进入主讲授课模式。</w:t>
            </w:r>
          </w:p>
        </w:tc>
        <w:tc>
          <w:tcPr>
            <w:tcW w:w="431" w:type="pct"/>
            <w:vAlign w:val="center"/>
          </w:tcPr>
          <w:p w14:paraId="76A1E60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56B5A1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5091F0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73392E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74</w:t>
            </w:r>
          </w:p>
        </w:tc>
        <w:tc>
          <w:tcPr>
            <w:tcW w:w="757" w:type="pct"/>
            <w:vAlign w:val="center"/>
          </w:tcPr>
          <w:p w14:paraId="64323DC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电源管理器</w:t>
            </w:r>
          </w:p>
        </w:tc>
        <w:tc>
          <w:tcPr>
            <w:tcW w:w="3015" w:type="pct"/>
            <w:shd w:val="clear" w:color="auto" w:fill="auto"/>
            <w:vAlign w:val="center"/>
          </w:tcPr>
          <w:p w14:paraId="3EDA501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1.向录播视频系统、音频系统、显示系统提供统一的、至少八路电源管理</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 xml:space="preserve"> </w:t>
            </w:r>
          </w:p>
          <w:p w14:paraId="0B374E4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2.支持对录播系统控制功能，实现通过录制面板一键启动录播系统相关设备的电源</w:t>
            </w:r>
            <w:r>
              <w:rPr>
                <w:rFonts w:hint="eastAsia" w:ascii="宋体" w:hAnsi="宋体" w:cs="宋体"/>
                <w:color w:val="auto"/>
                <w:kern w:val="2"/>
                <w:sz w:val="21"/>
                <w:szCs w:val="21"/>
                <w:lang w:val="en-US" w:eastAsia="zh-CN" w:bidi="ar-SA"/>
              </w:rPr>
              <w:t>。</w:t>
            </w:r>
          </w:p>
          <w:p w14:paraId="5444D1E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3.支持时序电源控制功能，每路延迟一秒，可编程控制</w:t>
            </w:r>
            <w:r>
              <w:rPr>
                <w:rFonts w:hint="eastAsia" w:ascii="宋体" w:hAnsi="宋体" w:cs="宋体"/>
                <w:color w:val="auto"/>
                <w:kern w:val="2"/>
                <w:sz w:val="21"/>
                <w:szCs w:val="21"/>
                <w:lang w:val="en-US" w:eastAsia="zh-CN" w:bidi="ar-SA"/>
              </w:rPr>
              <w:t>。</w:t>
            </w:r>
          </w:p>
          <w:p w14:paraId="3A14C36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4.具备内置光电隔离模块，保障负载运行安全</w:t>
            </w:r>
            <w:r>
              <w:rPr>
                <w:rFonts w:hint="eastAsia" w:ascii="宋体" w:hAnsi="宋体" w:cs="宋体"/>
                <w:color w:val="auto"/>
                <w:kern w:val="2"/>
                <w:sz w:val="21"/>
                <w:szCs w:val="21"/>
                <w:lang w:val="en-US" w:eastAsia="zh-CN" w:bidi="ar-SA"/>
              </w:rPr>
              <w:t>。</w:t>
            </w:r>
          </w:p>
          <w:p w14:paraId="6B7345C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5.支持提供1路最大电流不低于10A的电源输出接口</w:t>
            </w:r>
            <w:r>
              <w:rPr>
                <w:rFonts w:hint="eastAsia" w:ascii="宋体" w:hAnsi="宋体" w:cs="宋体"/>
                <w:color w:val="auto"/>
                <w:kern w:val="2"/>
                <w:sz w:val="21"/>
                <w:szCs w:val="21"/>
                <w:lang w:val="en-US" w:eastAsia="zh-CN" w:bidi="ar-SA"/>
              </w:rPr>
              <w:t>。</w:t>
            </w:r>
          </w:p>
          <w:p w14:paraId="5660EDA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6.支持RS-485/RS-422/RS-232 等控制协议。</w:t>
            </w:r>
          </w:p>
        </w:tc>
        <w:tc>
          <w:tcPr>
            <w:tcW w:w="431" w:type="pct"/>
            <w:vAlign w:val="center"/>
          </w:tcPr>
          <w:p w14:paraId="24E0354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454F67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F8B67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922B4F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75</w:t>
            </w:r>
          </w:p>
        </w:tc>
        <w:tc>
          <w:tcPr>
            <w:tcW w:w="757" w:type="pct"/>
            <w:vAlign w:val="center"/>
          </w:tcPr>
          <w:p w14:paraId="1E327B7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导播控制台</w:t>
            </w:r>
          </w:p>
        </w:tc>
        <w:tc>
          <w:tcPr>
            <w:tcW w:w="3015" w:type="pct"/>
            <w:shd w:val="clear" w:color="auto" w:fill="auto"/>
            <w:vAlign w:val="center"/>
          </w:tcPr>
          <w:p w14:paraId="1FB1B26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1.支持不少于5种特技效果。</w:t>
            </w:r>
          </w:p>
          <w:p w14:paraId="5C8C24C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2.支持不少于6布局选择；6路视频直播切换；6个预置位；6个视频预选功能。</w:t>
            </w:r>
          </w:p>
          <w:p w14:paraId="586B4AA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3.支持云台控制功能：上下左右及变焦功能。</w:t>
            </w:r>
          </w:p>
          <w:p w14:paraId="3855995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4.支持录制、暂停、停止功能。</w:t>
            </w:r>
          </w:p>
          <w:p w14:paraId="24A86F9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5.支持全自动录播模式和手动录播模式。</w:t>
            </w:r>
          </w:p>
        </w:tc>
        <w:tc>
          <w:tcPr>
            <w:tcW w:w="431" w:type="pct"/>
            <w:vAlign w:val="center"/>
          </w:tcPr>
          <w:p w14:paraId="7EE6615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AD2564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3281C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D6C9B1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76</w:t>
            </w:r>
          </w:p>
        </w:tc>
        <w:tc>
          <w:tcPr>
            <w:tcW w:w="757" w:type="pct"/>
            <w:vAlign w:val="center"/>
          </w:tcPr>
          <w:p w14:paraId="778B816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资源平台主机</w:t>
            </w:r>
          </w:p>
        </w:tc>
        <w:tc>
          <w:tcPr>
            <w:tcW w:w="3015" w:type="pct"/>
            <w:shd w:val="clear" w:color="auto" w:fill="auto"/>
            <w:vAlign w:val="center"/>
          </w:tcPr>
          <w:p w14:paraId="7DE4657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一、</w:t>
            </w:r>
            <w:r>
              <w:rPr>
                <w:rFonts w:hint="eastAsia" w:ascii="宋体" w:hAnsi="宋体" w:eastAsia="宋体" w:cs="宋体"/>
                <w:color w:val="auto"/>
                <w:kern w:val="2"/>
                <w:sz w:val="21"/>
                <w:szCs w:val="21"/>
                <w:lang w:val="en-US" w:eastAsia="zh-CN" w:bidi="ar-SA"/>
              </w:rPr>
              <w:t>资源平台主机</w:t>
            </w:r>
          </w:p>
          <w:p w14:paraId="73ED540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设备高度：≤1U</w:t>
            </w:r>
            <w:r>
              <w:rPr>
                <w:rFonts w:hint="eastAsia" w:ascii="宋体" w:hAnsi="宋体" w:cs="宋体"/>
                <w:color w:val="auto"/>
                <w:kern w:val="2"/>
                <w:sz w:val="21"/>
                <w:szCs w:val="21"/>
                <w:lang w:val="en-US" w:eastAsia="zh-CN" w:bidi="ar-SA"/>
              </w:rPr>
              <w:t>。</w:t>
            </w:r>
          </w:p>
          <w:p w14:paraId="097343F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硬件架构：嵌入式ARM架构设计，主机出厂内置视频资源管理平台，无需进行复杂的系统环境、软件安装作。</w:t>
            </w:r>
          </w:p>
          <w:p w14:paraId="2EE9E5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系统支持：Linux系统</w:t>
            </w:r>
            <w:r>
              <w:rPr>
                <w:rFonts w:hint="eastAsia" w:ascii="宋体" w:hAnsi="宋体" w:cs="宋体"/>
                <w:color w:val="auto"/>
                <w:kern w:val="2"/>
                <w:sz w:val="21"/>
                <w:szCs w:val="21"/>
                <w:lang w:val="en-US" w:eastAsia="zh-CN" w:bidi="ar-SA"/>
              </w:rPr>
              <w:t>。</w:t>
            </w:r>
          </w:p>
          <w:p w14:paraId="0A4920F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数据库支持：MYSQL</w:t>
            </w:r>
            <w:r>
              <w:rPr>
                <w:rFonts w:hint="eastAsia" w:ascii="宋体" w:hAnsi="宋体" w:cs="宋体"/>
                <w:color w:val="auto"/>
                <w:kern w:val="2"/>
                <w:sz w:val="21"/>
                <w:szCs w:val="21"/>
                <w:lang w:val="en-US" w:eastAsia="zh-CN" w:bidi="ar-SA"/>
              </w:rPr>
              <w:t>。</w:t>
            </w:r>
          </w:p>
          <w:p w14:paraId="2E60FBE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存储容量：</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4TB SATA 7.2k 3.5in</w:t>
            </w:r>
            <w:r>
              <w:rPr>
                <w:rFonts w:hint="eastAsia" w:ascii="宋体" w:hAnsi="宋体" w:cs="宋体"/>
                <w:color w:val="auto"/>
                <w:kern w:val="2"/>
                <w:sz w:val="21"/>
                <w:szCs w:val="21"/>
                <w:lang w:val="en-US" w:eastAsia="zh-CN" w:bidi="ar-SA"/>
              </w:rPr>
              <w:t>。</w:t>
            </w:r>
          </w:p>
          <w:p w14:paraId="46E9128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网络连接：RJ45千兆网口</w:t>
            </w:r>
            <w:r>
              <w:rPr>
                <w:rFonts w:hint="eastAsia" w:ascii="宋体" w:hAnsi="宋体" w:cs="宋体"/>
                <w:color w:val="auto"/>
                <w:kern w:val="2"/>
                <w:sz w:val="21"/>
                <w:szCs w:val="21"/>
                <w:lang w:val="en-US" w:eastAsia="zh-CN" w:bidi="ar-SA"/>
              </w:rPr>
              <w:t>。</w:t>
            </w:r>
          </w:p>
          <w:p w14:paraId="7A66F27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通讯接口：支持两个以上USB2.0接口</w:t>
            </w:r>
            <w:r>
              <w:rPr>
                <w:rFonts w:hint="eastAsia" w:ascii="宋体" w:hAnsi="宋体" w:cs="宋体"/>
                <w:color w:val="auto"/>
                <w:kern w:val="2"/>
                <w:sz w:val="21"/>
                <w:szCs w:val="21"/>
                <w:lang w:val="en-US" w:eastAsia="zh-CN" w:bidi="ar-SA"/>
              </w:rPr>
              <w:t>。</w:t>
            </w:r>
          </w:p>
          <w:p w14:paraId="3B836A3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支持Rst设备一键复位功能</w:t>
            </w:r>
            <w:r>
              <w:rPr>
                <w:rFonts w:hint="eastAsia" w:ascii="宋体" w:hAnsi="宋体" w:cs="宋体"/>
                <w:color w:val="auto"/>
                <w:kern w:val="2"/>
                <w:sz w:val="21"/>
                <w:szCs w:val="21"/>
                <w:lang w:val="en-US" w:eastAsia="zh-CN" w:bidi="ar-SA"/>
              </w:rPr>
              <w:t>。</w:t>
            </w:r>
          </w:p>
          <w:p w14:paraId="7FB501A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采用安全电压不大于DC36V供电，节能环保，采用无风扇设计，低噪音。</w:t>
            </w:r>
          </w:p>
          <w:p w14:paraId="4382113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支持流媒体转发、直播、点播功能，单台主机支持不少于200点转发直播、支持大规模点播。</w:t>
            </w:r>
          </w:p>
          <w:p w14:paraId="1664350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二、</w:t>
            </w:r>
            <w:r>
              <w:rPr>
                <w:rFonts w:hint="eastAsia" w:ascii="宋体" w:hAnsi="宋体" w:eastAsia="宋体" w:cs="宋体"/>
                <w:color w:val="auto"/>
                <w:kern w:val="2"/>
                <w:sz w:val="21"/>
                <w:szCs w:val="21"/>
                <w:lang w:val="en-US" w:eastAsia="zh-CN" w:bidi="ar-SA"/>
              </w:rPr>
              <w:t>教学视频资源管理系统</w:t>
            </w:r>
          </w:p>
          <w:p w14:paraId="078E8DE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1.信息管理系统</w:t>
            </w:r>
          </w:p>
          <w:p w14:paraId="7E7FA27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（1）录播管理：支持把录播设备接入平台，实现自动转码、无缝直播点播，并具备直播和点播功能。支持对录播进行远程关机、休眠唤醒、启动录制等操作。</w:t>
            </w:r>
          </w:p>
          <w:p w14:paraId="7B070AC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（2）多级平台对接：支持校平台与上级区平台进行对接，校平台资源可像区平台提交，并能参加区平台组织的活动。</w:t>
            </w:r>
          </w:p>
          <w:p w14:paraId="31491BE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（3）录制预约：平台支持用户远程进行在线录课预约，可实现单个或批量预约；可直接导入课表实现预约；支持预约信息的申请和审核管理。</w:t>
            </w:r>
          </w:p>
          <w:p w14:paraId="1179E93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（4）资源颗粒度管理：支持视频资源多维度分类，如按年级、学科等分类管理，支持用户自定义分类类型。并支持根据关注度、用户推荐度和点击热度的不同维度在平台呈现。</w:t>
            </w:r>
          </w:p>
          <w:p w14:paraId="0BB056D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（5）视频专辑：支持用户可灵活创建各种视频专辑，并自定义专辑类型，可将一同类型的视频进行归类，便于视频的归整和便捷查询。</w:t>
            </w:r>
          </w:p>
          <w:p w14:paraId="3A377D3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（6）公告发布：平台首页提供公告模块，支持通过平台发布校务公告、活动通知、行政公告、直播通知、紧急通告等多种类型公告。公告支持按定义的类型进行归类查询，支持用户自定义公告类型。</w:t>
            </w:r>
          </w:p>
          <w:p w14:paraId="19DD11D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（7）自动转码功能：支持视频下载、上传、编辑、管理。可实现所有主流视频文件格式自动转码，包括asf、mpg、rmvb、mov、rm、avi、3gp、wmv、flv、mp4等，可设置下载及观看权限。</w:t>
            </w:r>
          </w:p>
          <w:p w14:paraId="5C0CBDC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p>
          <w:p w14:paraId="2B1CD28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（9）教学行为分析：支持弗兰德斯教学行为分析法（S-T），平台根据跟踪数据生成S-T曲线图，帮助用户进行教学技能提升和评估。S-T行为数据支持后期在线编辑修改，便于教师进行错误修正。</w:t>
            </w:r>
          </w:p>
          <w:p w14:paraId="2264E9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（10）文件检索：支持关键字搜索功能，用户可直接在资源管理平台的页面搜索框输入关键字，对某个视频标题、知识点和教学环节进行搜索。</w:t>
            </w:r>
          </w:p>
          <w:p w14:paraId="7A33032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（11）一键置灰：支持平台肤色一键置灰功能，切合特殊纪念日氛围。</w:t>
            </w:r>
          </w:p>
          <w:p w14:paraId="3F730F2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（12）强制播放：支持强制设置播放源，用户点击任意视频均强制播放指定视频源，便于学校进行统一播放和管理。</w:t>
            </w:r>
          </w:p>
          <w:p w14:paraId="63CAA43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流量统计：支持平台对用户访问数、页面访问数进行数量统计，用户流量可按日、周、月、年、总浏览数进行分类统计。支持对视频直播流量、点播流量统计，并以曲线图形式展现10天内的访问流量变化趋势。</w:t>
            </w:r>
          </w:p>
          <w:p w14:paraId="0118181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14:paraId="7E617C6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2.直播点播系统</w:t>
            </w:r>
          </w:p>
          <w:p w14:paraId="6B167FA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（1）基于flash+html5技术，无需安装插件即可进行跨平台（Windows、Linux、IOS）视频点播观看。</w:t>
            </w:r>
          </w:p>
          <w:p w14:paraId="33EAAE4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（2）支持流媒体转发服务，平台支持不少于200点以上高清直播功能。</w:t>
            </w:r>
          </w:p>
          <w:p w14:paraId="2FCA4E9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（3）集群技术：支持直播集群技术，以支持系统的横向拓展，随系统应用规模的拓展逐渐增加转发服务器以支持更大规模直播。</w:t>
            </w:r>
          </w:p>
          <w:p w14:paraId="3B69D0F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（4）多码率支持：要求转发时支持标清、高清两种清晰度设置，点播视频时可根据网络情况在播放器窗口进行高标清切换观看。</w:t>
            </w:r>
          </w:p>
          <w:p w14:paraId="1823B3F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（5）支持直播权限及密码设置，让直播信息更加安全。</w:t>
            </w:r>
          </w:p>
          <w:p w14:paraId="0D582D7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（6）支持上传教案、课件等视频附件，附件可与视频进行绑定。支持word、excel、ppt、PDF、jpeg等格式。用户在点播视频时下载附件。</w:t>
            </w:r>
          </w:p>
          <w:p w14:paraId="545E685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（7）提供视频转发分享功能，支持二维码分享和一键转发分享至新浪微博、QQ、微信等社交平台中。</w:t>
            </w:r>
          </w:p>
          <w:p w14:paraId="555712A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3.微课管理系统</w:t>
            </w:r>
          </w:p>
          <w:p w14:paraId="518FF98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（1）提供微课管理模块，支持自定义微课时长限制，在规定时长内的视频上传平台后自动归类到微课模块当中，并支持按学段、学科进行自动归类整理。</w:t>
            </w:r>
          </w:p>
          <w:p w14:paraId="50CBC34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（2）提供专业微课录制软件，支持直接从平台下载微课录制软件并安装于笔记本电脑中。微课视频录制完毕后支持一键上传到平台，或下载到本地电脑保存。</w:t>
            </w:r>
          </w:p>
          <w:p w14:paraId="13D1C4B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（3）微课录制软件需满足包括教师头像、实物展台、课件PPT在内的三路视频源切换及组合布局录制，支持课件与老师画中画模式。</w:t>
            </w:r>
          </w:p>
          <w:p w14:paraId="612CB4E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（4）支持PPT课件导入、课件批注，在微课录制的同时支持PPT分页预览，并进行切换录制。</w:t>
            </w:r>
          </w:p>
          <w:p w14:paraId="693A7D7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4.移动APP应用服务</w:t>
            </w:r>
          </w:p>
          <w:p w14:paraId="004035D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（1）提供自主研发的平台移动端APP，支持与视频资源管理平台对接。</w:t>
            </w:r>
          </w:p>
          <w:p w14:paraId="4B36FB1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（2）移动端APP应提供视频在线直播、视频点播、专辑点播等功能。</w:t>
            </w:r>
          </w:p>
          <w:p w14:paraId="4172672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（3）移动端同步支持虚拟切片功能，实现知识点的快速跳转观看、学习，提高学生的学习效率。</w:t>
            </w:r>
          </w:p>
          <w:p w14:paraId="2068490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（4）移动端APP支持直接播放视频，无需调用其它播放器直播。</w:t>
            </w:r>
          </w:p>
          <w:p w14:paraId="6D2E1BC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（5）支持移动端APP点播视频时查看视频信息、视频附件。</w:t>
            </w:r>
          </w:p>
        </w:tc>
        <w:tc>
          <w:tcPr>
            <w:tcW w:w="431" w:type="pct"/>
            <w:vAlign w:val="center"/>
          </w:tcPr>
          <w:p w14:paraId="580412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CD6C74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0D3858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1E57FB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77</w:t>
            </w:r>
          </w:p>
        </w:tc>
        <w:tc>
          <w:tcPr>
            <w:tcW w:w="757" w:type="pct"/>
            <w:vAlign w:val="center"/>
          </w:tcPr>
          <w:p w14:paraId="67C40B9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智慧黑板</w:t>
            </w:r>
          </w:p>
        </w:tc>
        <w:tc>
          <w:tcPr>
            <w:tcW w:w="3015" w:type="pct"/>
            <w:shd w:val="clear" w:color="auto" w:fill="auto"/>
            <w:vAlign w:val="center"/>
          </w:tcPr>
          <w:p w14:paraId="33E4372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1.智慧黑板尺寸要求：宽≥4200mm，高≥1200mm，厚≤142mm</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由三部分拼接而成，可实现整块黑板统一书写；需采用专业的模块化构架，方便老师使用磁吸教具两块副屏支持磁吸功能，支持水溶性粉笔、液体粉笔等直接书写，普通板擦可擦除。</w:t>
            </w:r>
          </w:p>
          <w:p w14:paraId="69C8893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2.黑板中间显示屏采用≥86 英寸，UHD超高清LED显示屏，显示比例16:9；物理分辨率：3840×2160；可视角度≥178°, 屏体亮度≥300cd/㎡,对比度≥4000：1，屏幕具备高色域，色彩真实还原度高，色彩覆盖率≥NTSC 72%，屏幕最高灰阶度≥128灰阶；刷新率≥60Hz。</w:t>
            </w:r>
          </w:p>
          <w:p w14:paraId="351F596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3.整机壁挂架具有快速定位拼接方式，采用三段快速定位技术，能拼接成整体挂架；通过限位装置能快速对准拼缝接口，按压式卡扣能根据压力调节平整度及拼缝缝隙，安装快捷，售后高效。</w:t>
            </w:r>
          </w:p>
          <w:p w14:paraId="1F2FA68E">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4.采用电容触控技术，触摸点数：安卓系统下支持不少于30点触摸操作，Windows系统支持不少于40点触摸。</w:t>
            </w:r>
          </w:p>
          <w:p w14:paraId="45653FF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5.整机提供≥1路网口，≥2路HDMI输入，≥1路HDMI 输出，≥1路TOUCH-USB，≥2路USB，≥1路RS232串口。</w:t>
            </w:r>
          </w:p>
          <w:p w14:paraId="570787B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6.内置安卓嵌入式系统，不低于Android</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12.0版本，具备≥8核CPU。机身内存不低于32G</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ROM，运行内存不低于4G</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RAM。</w:t>
            </w:r>
          </w:p>
          <w:p w14:paraId="0AD7429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7.OPS模块：Intel第12代酷睿I5处理器/8G DDR4/256G/WIFI+BT</w:t>
            </w:r>
            <w:r>
              <w:rPr>
                <w:rFonts w:hint="eastAsia" w:ascii="宋体" w:hAnsi="宋体" w:cs="宋体"/>
                <w:color w:val="auto"/>
                <w:kern w:val="2"/>
                <w:sz w:val="21"/>
                <w:szCs w:val="21"/>
                <w:lang w:val="en-US" w:eastAsia="zh-CN" w:bidi="ar-SA"/>
              </w:rPr>
              <w:t>及以上配置</w:t>
            </w:r>
            <w:r>
              <w:rPr>
                <w:rFonts w:hint="eastAsia" w:ascii="宋体" w:hAnsi="宋体" w:eastAsia="宋体" w:cs="宋体"/>
                <w:color w:val="auto"/>
                <w:kern w:val="2"/>
                <w:sz w:val="21"/>
                <w:szCs w:val="21"/>
                <w:lang w:val="en-US" w:eastAsia="zh-CN" w:bidi="ar-SA"/>
              </w:rPr>
              <w:t>。接口：≥1个HDMI，≥1个DP1.2，≥6个USB，Type-C接口≥1个，≥1个RJ45，≥1个Line out，≥1个Mic in。模块化电脑采用抽拉内置式，采用80pin或以上接口，实现无单独接线的插拔。</w:t>
            </w:r>
          </w:p>
        </w:tc>
        <w:tc>
          <w:tcPr>
            <w:tcW w:w="431" w:type="pct"/>
            <w:vAlign w:val="center"/>
          </w:tcPr>
          <w:p w14:paraId="4E0A607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C39943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3143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72C3B79">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78</w:t>
            </w:r>
          </w:p>
        </w:tc>
        <w:tc>
          <w:tcPr>
            <w:tcW w:w="757" w:type="pct"/>
            <w:vAlign w:val="center"/>
          </w:tcPr>
          <w:p w14:paraId="5648CE2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工业安全柜（1）</w:t>
            </w:r>
          </w:p>
        </w:tc>
        <w:tc>
          <w:tcPr>
            <w:tcW w:w="3015" w:type="pct"/>
            <w:shd w:val="clear" w:color="auto" w:fill="auto"/>
            <w:vAlign w:val="center"/>
          </w:tcPr>
          <w:p w14:paraId="54D54714">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1.19英寸标准机柜。</w:t>
            </w:r>
          </w:p>
          <w:p w14:paraId="35AA824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lang w:val="en-US" w:eastAsia="zh-CN" w:bidi="ar"/>
              </w:rPr>
              <w:t>2.</w:t>
            </w:r>
            <w:r>
              <w:rPr>
                <w:rFonts w:hint="eastAsia" w:asciiTheme="minorEastAsia" w:hAnsiTheme="minorEastAsia" w:eastAsiaTheme="minorEastAsia" w:cstheme="minorEastAsia"/>
                <w:i w:val="0"/>
                <w:color w:val="auto"/>
                <w:kern w:val="0"/>
                <w:sz w:val="21"/>
                <w:szCs w:val="21"/>
                <w:u w:val="none"/>
                <w:lang w:val="en-US" w:eastAsia="zh-CN" w:bidi="ar"/>
              </w:rPr>
              <w:t>材质及工艺：材料采用SPCC冷轧钢板，表面处理采用脱脂、酸洗磷化静电喷塑。</w:t>
            </w:r>
          </w:p>
          <w:p w14:paraId="552903E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i w:val="0"/>
                <w:color w:val="auto"/>
                <w:kern w:val="0"/>
                <w:sz w:val="21"/>
                <w:szCs w:val="21"/>
                <w:lang w:val="en-US" w:eastAsia="zh-CN" w:bidi="ar"/>
              </w:rPr>
              <w:t>3.</w:t>
            </w:r>
            <w:r>
              <w:rPr>
                <w:rFonts w:hint="eastAsia" w:asciiTheme="minorEastAsia" w:hAnsiTheme="minorEastAsia" w:eastAsiaTheme="minorEastAsia" w:cstheme="minorEastAsia"/>
                <w:i w:val="0"/>
                <w:color w:val="auto"/>
                <w:kern w:val="0"/>
                <w:sz w:val="21"/>
                <w:szCs w:val="21"/>
                <w:u w:val="none"/>
                <w:lang w:val="en-US" w:eastAsia="zh-CN" w:bidi="ar"/>
              </w:rPr>
              <w:t>尺寸：宽</w:t>
            </w:r>
            <w:r>
              <w:rPr>
                <w:rFonts w:hint="eastAsia" w:ascii="宋体" w:hAnsi="宋体" w:eastAsia="宋体" w:cs="宋体"/>
                <w:color w:val="auto"/>
                <w:kern w:val="2"/>
                <w:sz w:val="21"/>
                <w:szCs w:val="21"/>
                <w:lang w:val="en-US" w:eastAsia="zh-CN" w:bidi="ar-SA"/>
              </w:rPr>
              <w:t>≥</w:t>
            </w:r>
            <w:r>
              <w:rPr>
                <w:rFonts w:hint="eastAsia" w:asciiTheme="minorEastAsia" w:hAnsiTheme="minorEastAsia" w:eastAsiaTheme="minorEastAsia" w:cstheme="minorEastAsia"/>
                <w:i w:val="0"/>
                <w:color w:val="auto"/>
                <w:kern w:val="0"/>
                <w:sz w:val="21"/>
                <w:szCs w:val="21"/>
                <w:u w:val="none"/>
                <w:lang w:val="en-US" w:eastAsia="zh-CN" w:bidi="ar"/>
              </w:rPr>
              <w:t>600mm*深</w:t>
            </w:r>
            <w:r>
              <w:rPr>
                <w:rFonts w:hint="eastAsia" w:ascii="宋体" w:hAnsi="宋体" w:eastAsia="宋体" w:cs="宋体"/>
                <w:color w:val="auto"/>
                <w:kern w:val="2"/>
                <w:sz w:val="21"/>
                <w:szCs w:val="21"/>
                <w:lang w:val="en-US" w:eastAsia="zh-CN" w:bidi="ar-SA"/>
              </w:rPr>
              <w:t>≥</w:t>
            </w:r>
            <w:r>
              <w:rPr>
                <w:rFonts w:hint="eastAsia" w:asciiTheme="minorEastAsia" w:hAnsiTheme="minorEastAsia" w:cstheme="minorEastAsia"/>
                <w:i w:val="0"/>
                <w:color w:val="auto"/>
                <w:kern w:val="0"/>
                <w:sz w:val="21"/>
                <w:szCs w:val="21"/>
                <w:u w:val="none"/>
                <w:lang w:val="en-US" w:eastAsia="zh-CN" w:bidi="ar"/>
              </w:rPr>
              <w:t>600</w:t>
            </w:r>
            <w:r>
              <w:rPr>
                <w:rFonts w:hint="eastAsia" w:asciiTheme="minorEastAsia" w:hAnsiTheme="minorEastAsia" w:eastAsiaTheme="minorEastAsia" w:cstheme="minorEastAsia"/>
                <w:i w:val="0"/>
                <w:color w:val="auto"/>
                <w:kern w:val="0"/>
                <w:sz w:val="21"/>
                <w:szCs w:val="21"/>
                <w:u w:val="none"/>
                <w:lang w:val="en-US" w:eastAsia="zh-CN" w:bidi="ar"/>
              </w:rPr>
              <w:t>mm*高</w:t>
            </w:r>
            <w:r>
              <w:rPr>
                <w:rFonts w:hint="eastAsia" w:ascii="宋体" w:hAnsi="宋体" w:eastAsia="宋体" w:cs="宋体"/>
                <w:color w:val="auto"/>
                <w:kern w:val="2"/>
                <w:sz w:val="21"/>
                <w:szCs w:val="21"/>
                <w:lang w:val="en-US" w:eastAsia="zh-CN" w:bidi="ar-SA"/>
              </w:rPr>
              <w:t>≥</w:t>
            </w:r>
            <w:r>
              <w:rPr>
                <w:rFonts w:hint="eastAsia" w:asciiTheme="minorEastAsia" w:hAnsiTheme="minorEastAsia" w:cstheme="minorEastAsia"/>
                <w:i w:val="0"/>
                <w:color w:val="auto"/>
                <w:kern w:val="0"/>
                <w:sz w:val="21"/>
                <w:szCs w:val="21"/>
                <w:u w:val="none"/>
                <w:lang w:val="en-US" w:eastAsia="zh-CN" w:bidi="ar"/>
              </w:rPr>
              <w:t>12</w:t>
            </w:r>
            <w:r>
              <w:rPr>
                <w:rFonts w:hint="eastAsia" w:asciiTheme="minorEastAsia" w:hAnsiTheme="minorEastAsia" w:eastAsiaTheme="minorEastAsia" w:cstheme="minorEastAsia"/>
                <w:i w:val="0"/>
                <w:color w:val="auto"/>
                <w:kern w:val="0"/>
                <w:sz w:val="21"/>
                <w:szCs w:val="21"/>
                <w:u w:val="none"/>
                <w:lang w:val="en-US" w:eastAsia="zh-CN" w:bidi="ar"/>
              </w:rPr>
              <w:t>00mm。</w:t>
            </w:r>
          </w:p>
        </w:tc>
        <w:tc>
          <w:tcPr>
            <w:tcW w:w="431" w:type="pct"/>
            <w:vAlign w:val="center"/>
          </w:tcPr>
          <w:p w14:paraId="6F61FB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51C5C81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r>
      <w:tr w14:paraId="2E669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29B4C62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79</w:t>
            </w:r>
          </w:p>
        </w:tc>
        <w:tc>
          <w:tcPr>
            <w:tcW w:w="757" w:type="pct"/>
            <w:vAlign w:val="center"/>
          </w:tcPr>
          <w:p w14:paraId="519A05C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工业安全柜（2）</w:t>
            </w:r>
          </w:p>
        </w:tc>
        <w:tc>
          <w:tcPr>
            <w:tcW w:w="3015" w:type="pct"/>
            <w:shd w:val="clear" w:color="auto" w:fill="auto"/>
            <w:vAlign w:val="center"/>
          </w:tcPr>
          <w:p w14:paraId="0726A42C">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1.材料要求：木纹桌面、冷轧钢板桌体、防潮防锈的塑钢底脚板。</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2.外置功能要求：独立的开关电源和电锁装置。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内置功能要求：桌体内置可放置19寸-22寸液晶显示器的翻转板,仰角任意可调；翻转键盘板，键盘板下的塑钢盒内，有专门用于放中控面板、鼠标、笔记本电脑接线、可固定的便携展示台、水笔、水性笔擦等专用位置；侧面可内置侧抽拉大展示台抽屉；笔记本电脑接线为抽拉接线方式，USB\VGA\VIDIO\AUDIO\NET。</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4.外观要求：正前方便印校徽，整体外观流线型设计,无菱角，保护师生安全。</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5.尺寸要求：讲桌大小与教室整体环境协调。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6.安装要求：桌体采用拆装设计，塑钢底板设计两个过线孔。</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7.防潮、防水、防锈要求：为防止桌面水杯的水或清洁桌面的水，以及潮湿天气对讲桌底脚板的腐蚀，所以桌面和底脚板均采用塑钢材料。</w:t>
            </w:r>
          </w:p>
        </w:tc>
        <w:tc>
          <w:tcPr>
            <w:tcW w:w="431" w:type="pct"/>
            <w:vAlign w:val="center"/>
          </w:tcPr>
          <w:p w14:paraId="0CED37D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EACC1A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r>
      <w:tr w14:paraId="2D348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1B301A56">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80</w:t>
            </w:r>
          </w:p>
        </w:tc>
        <w:tc>
          <w:tcPr>
            <w:tcW w:w="757" w:type="pct"/>
            <w:vAlign w:val="center"/>
          </w:tcPr>
          <w:p w14:paraId="43F71A1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工业安全柜（3）</w:t>
            </w:r>
          </w:p>
        </w:tc>
        <w:tc>
          <w:tcPr>
            <w:tcW w:w="3015" w:type="pct"/>
            <w:shd w:val="clear" w:color="auto" w:fill="auto"/>
            <w:vAlign w:val="center"/>
          </w:tcPr>
          <w:p w14:paraId="7B5DA1B3">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1.19英寸标准机柜。</w:t>
            </w:r>
          </w:p>
          <w:p w14:paraId="090D9BD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lang w:val="en-US" w:eastAsia="zh-CN" w:bidi="ar"/>
              </w:rPr>
              <w:t>2.</w:t>
            </w:r>
            <w:r>
              <w:rPr>
                <w:rFonts w:hint="eastAsia" w:asciiTheme="minorEastAsia" w:hAnsiTheme="minorEastAsia" w:eastAsiaTheme="minorEastAsia" w:cstheme="minorEastAsia"/>
                <w:i w:val="0"/>
                <w:color w:val="auto"/>
                <w:kern w:val="0"/>
                <w:sz w:val="21"/>
                <w:szCs w:val="21"/>
                <w:u w:val="none"/>
                <w:lang w:val="en-US" w:eastAsia="zh-CN" w:bidi="ar"/>
              </w:rPr>
              <w:t>材质及工艺：材料采用SPCC冷轧钢板，表面处理采用脱脂、酸洗磷化静电喷塑。</w:t>
            </w:r>
          </w:p>
          <w:p w14:paraId="188CB73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i w:val="0"/>
                <w:color w:val="auto"/>
                <w:kern w:val="0"/>
                <w:sz w:val="21"/>
                <w:szCs w:val="21"/>
                <w:lang w:val="en-US" w:eastAsia="zh-CN" w:bidi="ar"/>
              </w:rPr>
              <w:t>3.</w:t>
            </w:r>
            <w:r>
              <w:rPr>
                <w:rFonts w:hint="eastAsia" w:asciiTheme="minorEastAsia" w:hAnsiTheme="minorEastAsia" w:eastAsiaTheme="minorEastAsia" w:cstheme="minorEastAsia"/>
                <w:i w:val="0"/>
                <w:color w:val="auto"/>
                <w:kern w:val="0"/>
                <w:sz w:val="21"/>
                <w:szCs w:val="21"/>
                <w:u w:val="none"/>
                <w:lang w:val="en-US" w:eastAsia="zh-CN" w:bidi="ar"/>
              </w:rPr>
              <w:t>尺寸：宽</w:t>
            </w:r>
            <w:r>
              <w:rPr>
                <w:rFonts w:hint="eastAsia" w:ascii="宋体" w:hAnsi="宋体" w:eastAsia="宋体" w:cs="宋体"/>
                <w:color w:val="auto"/>
                <w:kern w:val="2"/>
                <w:sz w:val="21"/>
                <w:szCs w:val="21"/>
                <w:lang w:val="en-US" w:eastAsia="zh-CN" w:bidi="ar-SA"/>
              </w:rPr>
              <w:t>≥</w:t>
            </w:r>
            <w:r>
              <w:rPr>
                <w:rFonts w:hint="eastAsia" w:asciiTheme="minorEastAsia" w:hAnsiTheme="minorEastAsia" w:eastAsiaTheme="minorEastAsia" w:cstheme="minorEastAsia"/>
                <w:i w:val="0"/>
                <w:color w:val="auto"/>
                <w:kern w:val="0"/>
                <w:sz w:val="21"/>
                <w:szCs w:val="21"/>
                <w:u w:val="none"/>
                <w:lang w:val="en-US" w:eastAsia="zh-CN" w:bidi="ar"/>
              </w:rPr>
              <w:t>600mm*深</w:t>
            </w:r>
            <w:r>
              <w:rPr>
                <w:rFonts w:hint="eastAsia" w:ascii="宋体" w:hAnsi="宋体" w:eastAsia="宋体" w:cs="宋体"/>
                <w:color w:val="auto"/>
                <w:kern w:val="2"/>
                <w:sz w:val="21"/>
                <w:szCs w:val="21"/>
                <w:lang w:val="en-US" w:eastAsia="zh-CN" w:bidi="ar-SA"/>
              </w:rPr>
              <w:t>≥</w:t>
            </w:r>
            <w:r>
              <w:rPr>
                <w:rFonts w:hint="eastAsia" w:asciiTheme="minorEastAsia" w:hAnsiTheme="minorEastAsia" w:cstheme="minorEastAsia"/>
                <w:i w:val="0"/>
                <w:color w:val="auto"/>
                <w:kern w:val="0"/>
                <w:sz w:val="21"/>
                <w:szCs w:val="21"/>
                <w:u w:val="none"/>
                <w:lang w:val="en-US" w:eastAsia="zh-CN" w:bidi="ar"/>
              </w:rPr>
              <w:t>800</w:t>
            </w:r>
            <w:r>
              <w:rPr>
                <w:rFonts w:hint="eastAsia" w:asciiTheme="minorEastAsia" w:hAnsiTheme="minorEastAsia" w:eastAsiaTheme="minorEastAsia" w:cstheme="minorEastAsia"/>
                <w:i w:val="0"/>
                <w:color w:val="auto"/>
                <w:kern w:val="0"/>
                <w:sz w:val="21"/>
                <w:szCs w:val="21"/>
                <w:u w:val="none"/>
                <w:lang w:val="en-US" w:eastAsia="zh-CN" w:bidi="ar"/>
              </w:rPr>
              <w:t>mm*高</w:t>
            </w:r>
            <w:r>
              <w:rPr>
                <w:rFonts w:hint="eastAsia" w:ascii="宋体" w:hAnsi="宋体" w:eastAsia="宋体" w:cs="宋体"/>
                <w:color w:val="auto"/>
                <w:kern w:val="2"/>
                <w:sz w:val="21"/>
                <w:szCs w:val="21"/>
                <w:lang w:val="en-US" w:eastAsia="zh-CN" w:bidi="ar-SA"/>
              </w:rPr>
              <w:t>≥</w:t>
            </w:r>
            <w:r>
              <w:rPr>
                <w:rFonts w:hint="eastAsia" w:asciiTheme="minorEastAsia" w:hAnsiTheme="minorEastAsia" w:cstheme="minorEastAsia"/>
                <w:i w:val="0"/>
                <w:color w:val="auto"/>
                <w:kern w:val="0"/>
                <w:sz w:val="21"/>
                <w:szCs w:val="21"/>
                <w:u w:val="none"/>
                <w:lang w:val="en-US" w:eastAsia="zh-CN" w:bidi="ar"/>
              </w:rPr>
              <w:t>20</w:t>
            </w:r>
            <w:r>
              <w:rPr>
                <w:rFonts w:hint="eastAsia" w:asciiTheme="minorEastAsia" w:hAnsiTheme="minorEastAsia" w:eastAsiaTheme="minorEastAsia" w:cstheme="minorEastAsia"/>
                <w:i w:val="0"/>
                <w:color w:val="auto"/>
                <w:kern w:val="0"/>
                <w:sz w:val="21"/>
                <w:szCs w:val="21"/>
                <w:u w:val="none"/>
                <w:lang w:val="en-US" w:eastAsia="zh-CN" w:bidi="ar"/>
              </w:rPr>
              <w:t>00mm。</w:t>
            </w:r>
          </w:p>
        </w:tc>
        <w:tc>
          <w:tcPr>
            <w:tcW w:w="431" w:type="pct"/>
            <w:vAlign w:val="center"/>
          </w:tcPr>
          <w:p w14:paraId="4068E42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9" w:type="pct"/>
            <w:vAlign w:val="center"/>
          </w:tcPr>
          <w:p w14:paraId="7E502CA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7D80D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6080938">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81</w:t>
            </w:r>
          </w:p>
        </w:tc>
        <w:tc>
          <w:tcPr>
            <w:tcW w:w="757" w:type="pct"/>
            <w:vAlign w:val="center"/>
          </w:tcPr>
          <w:p w14:paraId="7040C4B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工业安全柜（4）</w:t>
            </w:r>
          </w:p>
        </w:tc>
        <w:tc>
          <w:tcPr>
            <w:tcW w:w="3015" w:type="pct"/>
            <w:shd w:val="clear" w:color="auto" w:fill="auto"/>
            <w:vAlign w:val="center"/>
          </w:tcPr>
          <w:p w14:paraId="11F2B17C">
            <w:pPr>
              <w:keepNext w:val="0"/>
              <w:keepLines w:val="0"/>
              <w:widowControl/>
              <w:suppressLineNumbers w:val="0"/>
              <w:jc w:val="left"/>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1.≥1800mm冷轧钢三联操作台。</w:t>
            </w:r>
          </w:p>
        </w:tc>
        <w:tc>
          <w:tcPr>
            <w:tcW w:w="431" w:type="pct"/>
            <w:vAlign w:val="center"/>
          </w:tcPr>
          <w:p w14:paraId="54374BB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6332B4D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4C98A3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3298218D">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82</w:t>
            </w:r>
          </w:p>
        </w:tc>
        <w:tc>
          <w:tcPr>
            <w:tcW w:w="757" w:type="pct"/>
            <w:vAlign w:val="center"/>
          </w:tcPr>
          <w:p w14:paraId="32AA190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辅助线材</w:t>
            </w:r>
          </w:p>
        </w:tc>
        <w:tc>
          <w:tcPr>
            <w:tcW w:w="3015" w:type="pct"/>
            <w:shd w:val="clear" w:color="auto" w:fill="auto"/>
            <w:vAlign w:val="center"/>
          </w:tcPr>
          <w:p w14:paraId="5800B3F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1.符合标准的PVC管材及辅料、固定件、强弱电线缆、高清音视频线缆、HDMI远传等。</w:t>
            </w:r>
          </w:p>
        </w:tc>
        <w:tc>
          <w:tcPr>
            <w:tcW w:w="431" w:type="pct"/>
            <w:vAlign w:val="center"/>
          </w:tcPr>
          <w:p w14:paraId="7909AE3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0C80166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批</w:t>
            </w:r>
          </w:p>
        </w:tc>
      </w:tr>
      <w:tr w14:paraId="62E59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67A2715">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83</w:t>
            </w:r>
          </w:p>
        </w:tc>
        <w:tc>
          <w:tcPr>
            <w:tcW w:w="757" w:type="pct"/>
            <w:vAlign w:val="center"/>
          </w:tcPr>
          <w:p w14:paraId="6BC06BC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系统集成</w:t>
            </w:r>
          </w:p>
        </w:tc>
        <w:tc>
          <w:tcPr>
            <w:tcW w:w="3015" w:type="pct"/>
            <w:shd w:val="clear" w:color="auto" w:fill="auto"/>
            <w:vAlign w:val="center"/>
          </w:tcPr>
          <w:p w14:paraId="130DF5A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1.综合布线、管材及桥架铺设，设备安装及调试等服务。</w:t>
            </w:r>
          </w:p>
        </w:tc>
        <w:tc>
          <w:tcPr>
            <w:tcW w:w="431" w:type="pct"/>
            <w:vAlign w:val="center"/>
          </w:tcPr>
          <w:p w14:paraId="128CC44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99" w:type="pct"/>
            <w:vAlign w:val="center"/>
          </w:tcPr>
          <w:p w14:paraId="2FBD51B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项</w:t>
            </w:r>
          </w:p>
        </w:tc>
      </w:tr>
      <w:tr w14:paraId="11156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93E985C">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84</w:t>
            </w:r>
          </w:p>
        </w:tc>
        <w:tc>
          <w:tcPr>
            <w:tcW w:w="757" w:type="pct"/>
            <w:vAlign w:val="center"/>
          </w:tcPr>
          <w:p w14:paraId="0C5BCA5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报告厅配套设施（1）</w:t>
            </w:r>
          </w:p>
        </w:tc>
        <w:tc>
          <w:tcPr>
            <w:tcW w:w="3015" w:type="pct"/>
            <w:shd w:val="clear" w:color="auto" w:fill="auto"/>
            <w:vAlign w:val="center"/>
          </w:tcPr>
          <w:p w14:paraId="03241D9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1.采用冷发泡高回弹定型PU海绵一体发泡成型，密度高达</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55Kg/m3。</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2.采用冷发泡高回弹定型PU海绵一体发泡成型，密度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60kg/m3。长时间使用不易变形；座绵内置</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1.5mm加厚钢架+蛇形弹簧，采用黑色无纺布作隔层，座包不易变形，持久耐用。</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3.采用优质多层旋切桦木皮用无甲醛环保胶热压成型,表面经</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5次抛光、喷涂处理；油漆厚度均为</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16mm。</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4.采用优质麻绒面料；椅背拉线定位并加垫丝光绵。</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5.铝合金站底脚+采用</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2.0mm优质钢板模具冲压焊接打磨精制而成的扶手上框，外贴优质PP布面装饰板。</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6.基材采用高密度板面贴防火板，写字板链接机构采用铝合金装置，抗压力度强，隐藏于扶手内。</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7.采用原木经</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5次抛光封漆而成，油漆厚度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25mm。</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8.采用弹簧加阻尼器的回复机构。采用了以上回复机构使得座包在回复时匀速运动而又无噪音，从而提升了椅子的档次。</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9.采用不锈钢内六角圆柱头螺钉与镀彩锌膨胀螺母。</w:t>
            </w:r>
          </w:p>
        </w:tc>
        <w:tc>
          <w:tcPr>
            <w:tcW w:w="431" w:type="pct"/>
            <w:vAlign w:val="center"/>
          </w:tcPr>
          <w:p w14:paraId="34DD13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306</w:t>
            </w:r>
          </w:p>
        </w:tc>
        <w:tc>
          <w:tcPr>
            <w:tcW w:w="399" w:type="pct"/>
            <w:vAlign w:val="center"/>
          </w:tcPr>
          <w:p w14:paraId="6951276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位</w:t>
            </w:r>
          </w:p>
        </w:tc>
      </w:tr>
      <w:tr w14:paraId="10BA77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6DF6C502">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85</w:t>
            </w:r>
          </w:p>
        </w:tc>
        <w:tc>
          <w:tcPr>
            <w:tcW w:w="757" w:type="pct"/>
            <w:vAlign w:val="center"/>
          </w:tcPr>
          <w:p w14:paraId="113C862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报告厅配套设施（2）</w:t>
            </w:r>
          </w:p>
        </w:tc>
        <w:tc>
          <w:tcPr>
            <w:tcW w:w="3015" w:type="pct"/>
            <w:shd w:val="clear" w:color="auto" w:fill="auto"/>
            <w:vAlign w:val="center"/>
          </w:tcPr>
          <w:p w14:paraId="79D358B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1.采用优质E0级及以上高密度纤维板，长度和宽度偏差±2mm，密度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0.78g/cm3，吸水厚度膨胀率≤5%，甲醛释放量≤0.124mg/m3，含水率≤8%。面板不低于25mm厚、侧板、底板不低于16mm厚，稳固承重。</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2.采用天然实木皮，厚度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0.8mm，含水率≤8%，甲醛释放量≤0.124mg/m3。</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3.采用优质天然实木封边条，封边条厚度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2mm，含水率≤8%。</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4.采用优质环保油漆，经过五底三面油漆工序，木纹纹理清晰，色泽均匀、光滑耐用。</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5.选用优质环保胶，粘性强，久不分层，具有防水性、防潮性、耐油性、耐撞性等特点。</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6.采用优质五金配件，无锈蚀，具有足够的承载能力、耐腐蚀能力。</w:t>
            </w:r>
          </w:p>
          <w:p w14:paraId="70C97193">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7.规格要求：长</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1400mm*宽</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600mm*高</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760mm。</w:t>
            </w:r>
          </w:p>
        </w:tc>
        <w:tc>
          <w:tcPr>
            <w:tcW w:w="431" w:type="pct"/>
            <w:vAlign w:val="center"/>
          </w:tcPr>
          <w:p w14:paraId="6929801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399" w:type="pct"/>
            <w:vAlign w:val="center"/>
          </w:tcPr>
          <w:p w14:paraId="721C3C1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张</w:t>
            </w:r>
          </w:p>
        </w:tc>
      </w:tr>
      <w:tr w14:paraId="6CE1F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75D1AFDA">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86</w:t>
            </w:r>
          </w:p>
        </w:tc>
        <w:tc>
          <w:tcPr>
            <w:tcW w:w="757" w:type="pct"/>
            <w:vAlign w:val="center"/>
          </w:tcPr>
          <w:p w14:paraId="70E9E14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报告厅配套设施（3）</w:t>
            </w:r>
          </w:p>
        </w:tc>
        <w:tc>
          <w:tcPr>
            <w:tcW w:w="3015" w:type="pct"/>
            <w:shd w:val="clear" w:color="auto" w:fill="auto"/>
            <w:vAlign w:val="center"/>
          </w:tcPr>
          <w:p w14:paraId="0095EDE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1.优质阻燃西皮，皮面厚度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2mm，具有皮质细腻，光泽度好，透气性强，柔软而富于韧性，坐感舒适等特点。</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2.海绵采用PU成型发泡高密度阻燃海棉，用抽纱或丝绒覆面，表面有防腐化和防变型保护膜，座包密度：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48kg/m3,背包：</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 xml:space="preserve">45kg/m3,软硬适中,耐久不变形，回弹力强。                                                                                 </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3.具有透气性强，软硬适中，长久使用不变形，不塌陷，不老化及对人体无害等优势。</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4.椅架：优质橡胶木实木框架及扶手，卯榫结构，结构牢固，结实耐用，含水率≤8%，并经防腐、防蛀处理，木质部分油漆采用环保油漆，经过五底三面油漆工序。</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5.采用标准优质配件，五金需要抗氧化处理牢固耐用。</w:t>
            </w:r>
          </w:p>
        </w:tc>
        <w:tc>
          <w:tcPr>
            <w:tcW w:w="431" w:type="pct"/>
            <w:vAlign w:val="center"/>
          </w:tcPr>
          <w:p w14:paraId="1EB0AAB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399" w:type="pct"/>
            <w:vAlign w:val="center"/>
          </w:tcPr>
          <w:p w14:paraId="5C580EF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把</w:t>
            </w:r>
          </w:p>
        </w:tc>
      </w:tr>
      <w:tr w14:paraId="26723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4" w:type="pct"/>
            <w:vAlign w:val="center"/>
          </w:tcPr>
          <w:p w14:paraId="0BA4044E">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87</w:t>
            </w:r>
          </w:p>
        </w:tc>
        <w:tc>
          <w:tcPr>
            <w:tcW w:w="757" w:type="pct"/>
            <w:vAlign w:val="center"/>
          </w:tcPr>
          <w:p w14:paraId="64FE90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报告厅配套设施（4）</w:t>
            </w:r>
          </w:p>
        </w:tc>
        <w:tc>
          <w:tcPr>
            <w:tcW w:w="3015" w:type="pct"/>
            <w:shd w:val="clear" w:color="auto" w:fill="auto"/>
            <w:vAlign w:val="center"/>
          </w:tcPr>
          <w:p w14:paraId="48B9C3A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1.采用优质E0级及以上高密度纤维板，长度和宽度偏差±2mm，密度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0.78g/cm3，吸水厚度膨胀率≤5%，甲醛释放量≤0.124mg/m3，含水率≤8%。面板不低于25mm厚、侧板、底板不低于16mm厚，稳固承重。</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2.采用天然实木皮，厚度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0.8mm，含水率≤8%，甲醛释放量≤0.124mg/m3。</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3.采用优质天然实木封边条，封边条厚度</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2mm，含水率≤8%。</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4.采用优质环保油漆，经过五底三面油漆工序，木纹纹理清晰，色泽均匀、光滑耐用。</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5.选用优质环保胶，粘性强，久不分层，具有防水性、防潮性、耐油性、耐撞性等特点。</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6.采用优质五金配件，无锈蚀，具有足够的承载能力、耐腐蚀能力。</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7.结构：桌面下方有三个桌堂。</w:t>
            </w:r>
          </w:p>
          <w:p w14:paraId="5E7B13B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8.规格要求：长</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1800mm*宽</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400mm*高</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760mm。</w:t>
            </w:r>
          </w:p>
        </w:tc>
        <w:tc>
          <w:tcPr>
            <w:tcW w:w="431" w:type="pct"/>
            <w:vAlign w:val="center"/>
          </w:tcPr>
          <w:p w14:paraId="3E9452E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399" w:type="pct"/>
            <w:vAlign w:val="center"/>
          </w:tcPr>
          <w:p w14:paraId="0C8FE66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张</w:t>
            </w:r>
          </w:p>
        </w:tc>
      </w:tr>
    </w:tbl>
    <w:p w14:paraId="5464EFDF">
      <w:pPr>
        <w:rPr>
          <w:b/>
          <w:bCs/>
          <w:color w:val="auto"/>
          <w:sz w:val="24"/>
          <w:szCs w:val="24"/>
        </w:rPr>
      </w:pPr>
    </w:p>
    <w:p w14:paraId="3A56F457">
      <w:pPr>
        <w:widowControl/>
        <w:spacing w:line="480" w:lineRule="auto"/>
        <w:jc w:val="left"/>
        <w:rPr>
          <w:rFonts w:ascii="宋体" w:hAnsi="宋体" w:cs="宋体"/>
          <w:b/>
          <w:color w:val="auto"/>
          <w:kern w:val="0"/>
          <w:sz w:val="24"/>
        </w:rPr>
      </w:pPr>
      <w:r>
        <w:rPr>
          <w:rFonts w:hint="eastAsia" w:ascii="宋体" w:hAnsi="宋体" w:cs="宋体"/>
          <w:b/>
          <w:color w:val="auto"/>
          <w:kern w:val="0"/>
          <w:sz w:val="24"/>
          <w:lang w:val="en-US" w:eastAsia="zh-CN"/>
        </w:rPr>
        <w:t>三、</w:t>
      </w:r>
      <w:r>
        <w:rPr>
          <w:rFonts w:hint="eastAsia" w:ascii="宋体" w:hAnsi="宋体" w:cs="宋体"/>
          <w:b/>
          <w:color w:val="auto"/>
          <w:kern w:val="0"/>
          <w:sz w:val="24"/>
        </w:rPr>
        <w:t>商务要求</w:t>
      </w:r>
    </w:p>
    <w:p w14:paraId="122125C3">
      <w:pPr>
        <w:widowControl/>
        <w:spacing w:line="360" w:lineRule="auto"/>
        <w:jc w:val="left"/>
        <w:rPr>
          <w:rFonts w:ascii="宋体" w:hAnsi="宋体" w:cs="宋体"/>
          <w:bCs/>
          <w:color w:val="auto"/>
          <w:sz w:val="24"/>
          <w:lang w:val="zh-CN"/>
        </w:rPr>
      </w:pPr>
      <w:r>
        <w:rPr>
          <w:rFonts w:hint="eastAsia" w:ascii="宋体" w:hAnsi="宋体" w:cs="宋体"/>
          <w:bCs/>
          <w:color w:val="auto"/>
          <w:sz w:val="24"/>
          <w:lang w:val="zh-CN"/>
        </w:rPr>
        <w:t>注：</w:t>
      </w:r>
      <w:r>
        <w:rPr>
          <w:rFonts w:hint="eastAsia" w:ascii="宋体" w:hAnsi="宋体" w:cs="宋体"/>
          <w:bCs/>
          <w:color w:val="auto"/>
          <w:sz w:val="24"/>
        </w:rPr>
        <w:t>1.供应商</w:t>
      </w:r>
      <w:r>
        <w:rPr>
          <w:rFonts w:hint="eastAsia" w:ascii="宋体" w:hAnsi="宋体" w:cs="宋体"/>
          <w:bCs/>
          <w:color w:val="auto"/>
          <w:sz w:val="24"/>
          <w:lang w:val="zh-CN"/>
        </w:rPr>
        <w:t>应在响应文件《</w:t>
      </w:r>
      <w:r>
        <w:rPr>
          <w:rFonts w:hint="eastAsia" w:ascii="宋体" w:hAnsi="宋体" w:cs="宋体"/>
          <w:bCs/>
          <w:color w:val="auto"/>
          <w:sz w:val="24"/>
        </w:rPr>
        <w:t>商务条款偏离表</w:t>
      </w:r>
      <w:r>
        <w:rPr>
          <w:rFonts w:hint="eastAsia" w:ascii="宋体" w:hAnsi="宋体" w:cs="宋体"/>
          <w:bCs/>
          <w:color w:val="auto"/>
          <w:sz w:val="24"/>
          <w:lang w:val="zh-CN"/>
        </w:rPr>
        <w:t>》中对本部分所有条款逐条说明响应和偏离情况。</w:t>
      </w:r>
    </w:p>
    <w:p w14:paraId="643DCC58">
      <w:pPr>
        <w:widowControl/>
        <w:numPr>
          <w:ilvl w:val="0"/>
          <w:numId w:val="3"/>
        </w:numPr>
        <w:spacing w:line="360" w:lineRule="auto"/>
        <w:ind w:firstLine="480" w:firstLineChars="200"/>
        <w:jc w:val="left"/>
        <w:rPr>
          <w:rFonts w:ascii="宋体" w:hAnsi="宋体" w:cs="宋体"/>
          <w:bCs/>
          <w:color w:val="auto"/>
          <w:sz w:val="24"/>
          <w:lang w:val="zh-CN"/>
        </w:rPr>
      </w:pPr>
      <w:r>
        <w:rPr>
          <w:rFonts w:hint="eastAsia" w:ascii="宋体" w:hAnsi="宋体" w:cs="宋体"/>
          <w:bCs/>
          <w:color w:val="auto"/>
          <w:sz w:val="24"/>
          <w:lang w:val="zh-CN"/>
        </w:rPr>
        <w:t>本商务要求内容均为实质性条款，投标人的响应必须完全满足或者正偏离，否则响应无效。</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3788"/>
        <w:gridCol w:w="9079"/>
      </w:tblGrid>
      <w:tr w14:paraId="3A0B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0" w:type="pct"/>
            <w:noWrap w:val="0"/>
            <w:vAlign w:val="center"/>
          </w:tcPr>
          <w:p w14:paraId="511F6F58">
            <w:pPr>
              <w:widowControl/>
              <w:spacing w:line="480" w:lineRule="auto"/>
              <w:jc w:val="center"/>
              <w:rPr>
                <w:rFonts w:ascii="宋体" w:hAnsi="宋体" w:cs="宋体"/>
                <w:bCs/>
                <w:color w:val="auto"/>
                <w:sz w:val="20"/>
                <w:szCs w:val="20"/>
                <w:lang w:val="zh-CN"/>
              </w:rPr>
            </w:pPr>
            <w:r>
              <w:rPr>
                <w:rFonts w:hint="eastAsia" w:ascii="宋体" w:hAnsi="宋体" w:cs="宋体"/>
                <w:bCs/>
                <w:color w:val="auto"/>
                <w:sz w:val="20"/>
                <w:szCs w:val="20"/>
                <w:lang w:val="zh-CN"/>
              </w:rPr>
              <w:t>序号</w:t>
            </w:r>
          </w:p>
        </w:tc>
        <w:tc>
          <w:tcPr>
            <w:tcW w:w="1336" w:type="pct"/>
            <w:noWrap w:val="0"/>
            <w:vAlign w:val="center"/>
          </w:tcPr>
          <w:p w14:paraId="08DA1170">
            <w:pPr>
              <w:widowControl/>
              <w:spacing w:line="480" w:lineRule="auto"/>
              <w:jc w:val="center"/>
              <w:rPr>
                <w:rFonts w:ascii="宋体" w:hAnsi="宋体" w:cs="宋体"/>
                <w:bCs/>
                <w:color w:val="auto"/>
                <w:sz w:val="20"/>
                <w:szCs w:val="20"/>
                <w:lang w:val="zh-CN"/>
              </w:rPr>
            </w:pPr>
            <w:r>
              <w:rPr>
                <w:rFonts w:hint="eastAsia" w:ascii="宋体" w:hAnsi="宋体" w:cs="宋体"/>
                <w:bCs/>
                <w:color w:val="auto"/>
                <w:sz w:val="20"/>
                <w:szCs w:val="20"/>
                <w:lang w:val="zh-CN"/>
              </w:rPr>
              <w:t>商务条款</w:t>
            </w:r>
          </w:p>
        </w:tc>
        <w:tc>
          <w:tcPr>
            <w:tcW w:w="3202" w:type="pct"/>
            <w:noWrap w:val="0"/>
            <w:vAlign w:val="center"/>
          </w:tcPr>
          <w:p w14:paraId="5F2D099A">
            <w:pPr>
              <w:widowControl/>
              <w:spacing w:line="480" w:lineRule="auto"/>
              <w:jc w:val="center"/>
              <w:rPr>
                <w:rFonts w:ascii="宋体" w:hAnsi="宋体" w:cs="宋体"/>
                <w:bCs/>
                <w:color w:val="auto"/>
                <w:sz w:val="20"/>
                <w:szCs w:val="20"/>
                <w:lang w:val="zh-CN"/>
              </w:rPr>
            </w:pPr>
            <w:r>
              <w:rPr>
                <w:rFonts w:hint="eastAsia" w:ascii="宋体" w:hAnsi="宋体" w:cs="宋体"/>
                <w:bCs/>
                <w:color w:val="auto"/>
                <w:sz w:val="20"/>
                <w:szCs w:val="20"/>
                <w:lang w:val="zh-CN"/>
              </w:rPr>
              <w:t>内容</w:t>
            </w:r>
          </w:p>
        </w:tc>
      </w:tr>
      <w:tr w14:paraId="3900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60" w:type="pct"/>
            <w:noWrap w:val="0"/>
            <w:vAlign w:val="center"/>
          </w:tcPr>
          <w:p w14:paraId="014ADAB2">
            <w:pPr>
              <w:widowControl/>
              <w:spacing w:line="480" w:lineRule="auto"/>
              <w:jc w:val="center"/>
              <w:rPr>
                <w:rFonts w:ascii="宋体" w:hAnsi="宋体" w:cs="宋体"/>
                <w:bCs/>
                <w:color w:val="FF0000"/>
                <w:sz w:val="20"/>
                <w:szCs w:val="20"/>
              </w:rPr>
            </w:pPr>
            <w:r>
              <w:rPr>
                <w:rFonts w:hint="eastAsia" w:ascii="宋体" w:hAnsi="宋体" w:cs="宋体"/>
                <w:bCs/>
                <w:color w:val="FF0000"/>
                <w:sz w:val="20"/>
                <w:szCs w:val="20"/>
              </w:rPr>
              <w:t>1</w:t>
            </w:r>
          </w:p>
        </w:tc>
        <w:tc>
          <w:tcPr>
            <w:tcW w:w="1336" w:type="pct"/>
            <w:noWrap w:val="0"/>
            <w:vAlign w:val="center"/>
          </w:tcPr>
          <w:p w14:paraId="252D10EA">
            <w:pPr>
              <w:widowControl/>
              <w:spacing w:line="360" w:lineRule="auto"/>
              <w:jc w:val="center"/>
              <w:rPr>
                <w:rFonts w:hint="eastAsia" w:ascii="宋体" w:hAnsi="宋体" w:cs="宋体" w:eastAsiaTheme="minorEastAsia"/>
                <w:bCs/>
                <w:color w:val="FF0000"/>
                <w:sz w:val="20"/>
                <w:szCs w:val="20"/>
                <w:lang w:val="zh-CN" w:eastAsia="zh-CN"/>
              </w:rPr>
            </w:pPr>
            <w:r>
              <w:rPr>
                <w:rFonts w:hint="eastAsia" w:ascii="宋体" w:hAnsi="宋体" w:cs="宋体"/>
                <w:bCs/>
                <w:color w:val="FF0000"/>
                <w:sz w:val="20"/>
                <w:szCs w:val="20"/>
                <w:lang w:val="en-US" w:eastAsia="zh-CN"/>
              </w:rPr>
              <w:t>合同履行期限</w:t>
            </w:r>
          </w:p>
        </w:tc>
        <w:tc>
          <w:tcPr>
            <w:tcW w:w="3202" w:type="pct"/>
            <w:noWrap w:val="0"/>
            <w:vAlign w:val="center"/>
          </w:tcPr>
          <w:p w14:paraId="006FED65">
            <w:pPr>
              <w:widowControl/>
              <w:spacing w:line="480" w:lineRule="auto"/>
              <w:jc w:val="center"/>
              <w:rPr>
                <w:rFonts w:hint="eastAsia" w:ascii="宋体" w:hAnsi="宋体" w:cs="宋体" w:eastAsiaTheme="minorEastAsia"/>
                <w:bCs/>
                <w:color w:val="FF0000"/>
                <w:sz w:val="20"/>
                <w:szCs w:val="20"/>
                <w:lang w:val="zh-CN" w:eastAsia="zh-CN"/>
              </w:rPr>
            </w:pPr>
            <w:r>
              <w:rPr>
                <w:rFonts w:hint="eastAsia" w:ascii="宋体" w:hAnsi="宋体" w:cs="宋体" w:eastAsiaTheme="minorEastAsia"/>
                <w:bCs/>
                <w:color w:val="FF0000"/>
                <w:sz w:val="20"/>
                <w:szCs w:val="20"/>
                <w:lang w:val="zh-CN" w:eastAsia="zh-CN"/>
              </w:rPr>
              <w:t>合同签订后30日内完成供货、安装及调试</w:t>
            </w:r>
          </w:p>
        </w:tc>
      </w:tr>
      <w:tr w14:paraId="2DA8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60" w:type="pct"/>
            <w:noWrap w:val="0"/>
            <w:vAlign w:val="center"/>
          </w:tcPr>
          <w:p w14:paraId="7E3095B7">
            <w:pPr>
              <w:widowControl/>
              <w:spacing w:line="480" w:lineRule="auto"/>
              <w:jc w:val="center"/>
              <w:rPr>
                <w:rFonts w:ascii="宋体" w:hAnsi="宋体" w:cs="宋体"/>
                <w:bCs/>
                <w:color w:val="auto"/>
                <w:sz w:val="20"/>
                <w:szCs w:val="20"/>
              </w:rPr>
            </w:pPr>
            <w:r>
              <w:rPr>
                <w:rFonts w:hint="eastAsia" w:ascii="宋体" w:hAnsi="宋体" w:cs="宋体"/>
                <w:bCs/>
                <w:color w:val="auto"/>
                <w:sz w:val="20"/>
                <w:szCs w:val="20"/>
              </w:rPr>
              <w:t>2</w:t>
            </w:r>
          </w:p>
        </w:tc>
        <w:tc>
          <w:tcPr>
            <w:tcW w:w="1336" w:type="pct"/>
            <w:noWrap w:val="0"/>
            <w:vAlign w:val="center"/>
          </w:tcPr>
          <w:p w14:paraId="36C5AC12">
            <w:pPr>
              <w:widowControl/>
              <w:spacing w:line="360" w:lineRule="auto"/>
              <w:jc w:val="center"/>
              <w:rPr>
                <w:rFonts w:ascii="宋体" w:hAnsi="宋体" w:cs="宋体"/>
                <w:bCs/>
                <w:color w:val="auto"/>
                <w:sz w:val="20"/>
                <w:szCs w:val="20"/>
              </w:rPr>
            </w:pPr>
            <w:r>
              <w:rPr>
                <w:rFonts w:hint="eastAsia" w:ascii="宋体" w:hAnsi="宋体" w:cs="宋体"/>
                <w:bCs/>
                <w:color w:val="auto"/>
                <w:sz w:val="20"/>
                <w:szCs w:val="20"/>
              </w:rPr>
              <w:t>交付（实施）的地点（范围）</w:t>
            </w:r>
          </w:p>
        </w:tc>
        <w:tc>
          <w:tcPr>
            <w:tcW w:w="3202" w:type="pct"/>
            <w:noWrap w:val="0"/>
            <w:vAlign w:val="center"/>
          </w:tcPr>
          <w:p w14:paraId="74646D05">
            <w:pPr>
              <w:widowControl/>
              <w:spacing w:line="480" w:lineRule="auto"/>
              <w:jc w:val="center"/>
              <w:rPr>
                <w:rFonts w:ascii="宋体" w:hAnsi="宋体" w:cs="宋体"/>
                <w:bCs/>
                <w:color w:val="auto"/>
                <w:sz w:val="20"/>
                <w:szCs w:val="20"/>
                <w:lang w:val="zh-CN"/>
              </w:rPr>
            </w:pPr>
            <w:r>
              <w:rPr>
                <w:rFonts w:hint="eastAsia" w:ascii="宋体" w:hAnsi="宋体" w:cs="宋体"/>
                <w:bCs/>
                <w:color w:val="auto"/>
                <w:sz w:val="20"/>
                <w:szCs w:val="20"/>
                <w:lang w:val="en-US" w:eastAsia="zh-CN"/>
              </w:rPr>
              <w:t>采购人</w:t>
            </w:r>
            <w:r>
              <w:rPr>
                <w:rFonts w:hint="eastAsia" w:ascii="宋体" w:hAnsi="宋体" w:cs="宋体"/>
                <w:bCs/>
                <w:color w:val="auto"/>
                <w:sz w:val="20"/>
                <w:szCs w:val="20"/>
              </w:rPr>
              <w:t>指定地点</w:t>
            </w:r>
          </w:p>
        </w:tc>
      </w:tr>
      <w:tr w14:paraId="7AD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60" w:type="pct"/>
            <w:noWrap w:val="0"/>
            <w:vAlign w:val="center"/>
          </w:tcPr>
          <w:p w14:paraId="01EB8EE6">
            <w:pPr>
              <w:widowControl/>
              <w:spacing w:line="480" w:lineRule="auto"/>
              <w:jc w:val="center"/>
              <w:rPr>
                <w:rFonts w:hint="eastAsia" w:ascii="宋体" w:hAnsi="宋体" w:cs="宋体" w:eastAsiaTheme="minorEastAsia"/>
                <w:bCs/>
                <w:color w:val="auto"/>
                <w:sz w:val="20"/>
                <w:szCs w:val="20"/>
                <w:lang w:val="en-US" w:eastAsia="zh-CN"/>
              </w:rPr>
            </w:pPr>
            <w:r>
              <w:rPr>
                <w:rFonts w:hint="eastAsia" w:ascii="宋体" w:hAnsi="宋体" w:cs="宋体"/>
                <w:bCs/>
                <w:color w:val="auto"/>
                <w:sz w:val="20"/>
                <w:szCs w:val="20"/>
                <w:lang w:val="en-US" w:eastAsia="zh-CN"/>
              </w:rPr>
              <w:t>3</w:t>
            </w:r>
          </w:p>
        </w:tc>
        <w:tc>
          <w:tcPr>
            <w:tcW w:w="1336" w:type="pct"/>
            <w:noWrap w:val="0"/>
            <w:vAlign w:val="center"/>
          </w:tcPr>
          <w:p w14:paraId="5DEC9C41">
            <w:pPr>
              <w:widowControl/>
              <w:spacing w:line="480" w:lineRule="auto"/>
              <w:jc w:val="center"/>
              <w:rPr>
                <w:rFonts w:hint="eastAsia" w:ascii="宋体" w:hAnsi="宋体" w:cs="宋体"/>
                <w:bCs/>
                <w:color w:val="auto"/>
                <w:sz w:val="20"/>
                <w:szCs w:val="20"/>
                <w:lang w:val="zh-CN" w:eastAsia="zh-CN"/>
              </w:rPr>
            </w:pPr>
            <w:r>
              <w:rPr>
                <w:rFonts w:hint="eastAsia" w:ascii="宋体" w:hAnsi="宋体" w:cs="宋体"/>
                <w:bCs/>
                <w:color w:val="auto"/>
                <w:sz w:val="20"/>
                <w:szCs w:val="20"/>
                <w:lang w:val="en-US" w:eastAsia="zh-CN"/>
              </w:rPr>
              <w:t>付款条件（进度和方式）</w:t>
            </w:r>
          </w:p>
        </w:tc>
        <w:tc>
          <w:tcPr>
            <w:tcW w:w="3202" w:type="pct"/>
            <w:noWrap w:val="0"/>
            <w:vAlign w:val="center"/>
          </w:tcPr>
          <w:p w14:paraId="50D93F51">
            <w:pPr>
              <w:widowControl/>
              <w:spacing w:line="480" w:lineRule="auto"/>
              <w:jc w:val="center"/>
              <w:rPr>
                <w:rFonts w:hint="default" w:ascii="宋体" w:hAnsi="宋体" w:cs="宋体" w:eastAsiaTheme="minorEastAsia"/>
                <w:bCs/>
                <w:color w:val="auto"/>
                <w:sz w:val="20"/>
                <w:szCs w:val="20"/>
                <w:lang w:val="en-US" w:eastAsia="zh-CN"/>
              </w:rPr>
            </w:pPr>
            <w:r>
              <w:rPr>
                <w:rFonts w:hint="eastAsia" w:ascii="宋体" w:hAnsi="宋体" w:cs="宋体"/>
                <w:bCs/>
                <w:color w:val="auto"/>
                <w:sz w:val="20"/>
                <w:szCs w:val="20"/>
                <w:lang w:val="en-US" w:eastAsia="zh-CN"/>
              </w:rPr>
              <w:t>双方签订合同时约定</w:t>
            </w:r>
          </w:p>
        </w:tc>
      </w:tr>
      <w:tr w14:paraId="230E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60" w:type="pct"/>
            <w:noWrap w:val="0"/>
            <w:vAlign w:val="center"/>
          </w:tcPr>
          <w:p w14:paraId="45E6EFF1">
            <w:pPr>
              <w:widowControl/>
              <w:spacing w:line="480" w:lineRule="auto"/>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4</w:t>
            </w:r>
          </w:p>
        </w:tc>
        <w:tc>
          <w:tcPr>
            <w:tcW w:w="1336" w:type="pct"/>
            <w:noWrap w:val="0"/>
            <w:vAlign w:val="center"/>
          </w:tcPr>
          <w:p w14:paraId="2EBB1DDF">
            <w:pPr>
              <w:widowControl/>
              <w:spacing w:line="480" w:lineRule="auto"/>
              <w:jc w:val="center"/>
              <w:rPr>
                <w:rFonts w:hint="default" w:ascii="宋体" w:hAnsi="宋体" w:cs="宋体"/>
                <w:bCs/>
                <w:color w:val="auto"/>
                <w:sz w:val="20"/>
                <w:szCs w:val="20"/>
                <w:lang w:val="en-US" w:eastAsia="zh-CN"/>
              </w:rPr>
            </w:pPr>
            <w:r>
              <w:rPr>
                <w:rFonts w:hint="eastAsia" w:ascii="宋体" w:hAnsi="宋体" w:cs="宋体"/>
                <w:bCs/>
                <w:color w:val="auto"/>
                <w:sz w:val="20"/>
                <w:szCs w:val="20"/>
                <w:lang w:val="en-US" w:eastAsia="zh-CN"/>
              </w:rPr>
              <w:t>质量要求</w:t>
            </w:r>
          </w:p>
        </w:tc>
        <w:tc>
          <w:tcPr>
            <w:tcW w:w="3202" w:type="pct"/>
            <w:noWrap w:val="0"/>
            <w:vAlign w:val="center"/>
          </w:tcPr>
          <w:p w14:paraId="5165E18B">
            <w:pPr>
              <w:widowControl/>
              <w:spacing w:line="480" w:lineRule="auto"/>
              <w:jc w:val="center"/>
              <w:rPr>
                <w:rFonts w:hint="eastAsia" w:ascii="宋体" w:hAnsi="宋体" w:cs="宋体"/>
                <w:bCs/>
                <w:color w:val="auto"/>
                <w:sz w:val="20"/>
                <w:szCs w:val="20"/>
                <w:lang w:val="en-US" w:eastAsia="zh-CN"/>
              </w:rPr>
            </w:pPr>
            <w:r>
              <w:rPr>
                <w:rFonts w:hint="eastAsia" w:ascii="宋体" w:hAnsi="宋体" w:cs="宋体"/>
                <w:bCs/>
                <w:color w:val="auto"/>
                <w:sz w:val="20"/>
                <w:szCs w:val="20"/>
                <w:lang w:val="en-US" w:eastAsia="zh-CN"/>
              </w:rPr>
              <w:t>符合国家、行业规定的合格标准及采购人需求</w:t>
            </w:r>
          </w:p>
        </w:tc>
      </w:tr>
    </w:tbl>
    <w:p w14:paraId="32056E9C">
      <w:pPr>
        <w:widowControl/>
        <w:jc w:val="left"/>
        <w:rPr>
          <w:rFonts w:ascii="宋体" w:hAnsi="宋体" w:eastAsia="宋体"/>
          <w:color w:val="auto"/>
        </w:rPr>
      </w:pPr>
      <w:r>
        <w:rPr>
          <w:rFonts w:ascii="宋体" w:hAnsi="宋体" w:eastAsia="宋体"/>
          <w:color w:val="auto"/>
        </w:rPr>
        <w:br w:type="page"/>
      </w:r>
    </w:p>
    <w:p w14:paraId="74268224">
      <w:pPr>
        <w:pStyle w:val="33"/>
        <w:adjustRightInd w:val="0"/>
        <w:snapToGrid w:val="0"/>
        <w:spacing w:after="0" w:line="360" w:lineRule="auto"/>
        <w:ind w:left="0" w:leftChars="0" w:firstLine="0" w:firstLineChars="0"/>
        <w:rPr>
          <w:rFonts w:hint="eastAsia" w:ascii="宋体" w:hAnsi="宋体" w:eastAsia="宋体"/>
          <w:color w:val="auto"/>
        </w:rPr>
        <w:sectPr>
          <w:pgSz w:w="16838" w:h="11906" w:orient="landscape"/>
          <w:pgMar w:top="1080" w:right="1440" w:bottom="1080" w:left="1440" w:header="851" w:footer="992" w:gutter="0"/>
          <w:cols w:space="425" w:num="1"/>
          <w:docGrid w:type="lines" w:linePitch="312" w:charSpace="0"/>
        </w:sectPr>
      </w:pPr>
    </w:p>
    <w:p w14:paraId="44F31F4A">
      <w:pPr>
        <w:pStyle w:val="2"/>
        <w:rPr>
          <w:rFonts w:ascii="宋体" w:hAnsi="宋体"/>
          <w:color w:val="auto"/>
        </w:rPr>
      </w:pPr>
      <w:bookmarkStart w:id="73" w:name="_Toc18112"/>
      <w:bookmarkStart w:id="74" w:name="_Toc17601"/>
      <w:r>
        <w:rPr>
          <w:rFonts w:hint="eastAsia" w:ascii="宋体" w:hAnsi="宋体"/>
          <w:color w:val="auto"/>
        </w:rPr>
        <w:t>第六章 响应文件格式</w:t>
      </w:r>
      <w:bookmarkEnd w:id="73"/>
      <w:bookmarkEnd w:id="74"/>
    </w:p>
    <w:p w14:paraId="7F2CA951">
      <w:pPr>
        <w:autoSpaceDE w:val="0"/>
        <w:autoSpaceDN w:val="0"/>
        <w:adjustRightInd w:val="0"/>
        <w:spacing w:line="600" w:lineRule="exact"/>
        <w:jc w:val="center"/>
        <w:rPr>
          <w:rFonts w:ascii="宋体" w:hAnsi="宋体" w:eastAsia="宋体" w:cs="宋体"/>
          <w:color w:val="auto"/>
          <w:sz w:val="36"/>
          <w:szCs w:val="18"/>
          <w:u w:val="single"/>
          <w:lang w:val="zh-CN"/>
        </w:rPr>
      </w:pPr>
    </w:p>
    <w:p w14:paraId="25A8A804">
      <w:pPr>
        <w:autoSpaceDE w:val="0"/>
        <w:autoSpaceDN w:val="0"/>
        <w:adjustRightInd w:val="0"/>
        <w:spacing w:line="600" w:lineRule="exact"/>
        <w:jc w:val="center"/>
        <w:rPr>
          <w:rFonts w:ascii="宋体" w:hAnsi="宋体" w:eastAsia="宋体" w:cs="宋体"/>
          <w:color w:val="auto"/>
          <w:sz w:val="36"/>
          <w:szCs w:val="18"/>
          <w:lang w:val="zh-CN"/>
        </w:rPr>
      </w:pPr>
      <w:r>
        <w:rPr>
          <w:rFonts w:hint="eastAsia" w:ascii="宋体" w:hAnsi="宋体" w:eastAsia="宋体" w:cs="宋体"/>
          <w:color w:val="auto"/>
          <w:sz w:val="36"/>
          <w:szCs w:val="18"/>
          <w:u w:val="single"/>
          <w:lang w:val="zh-CN"/>
        </w:rPr>
        <w:t xml:space="preserve">            (项目名称)         </w:t>
      </w:r>
      <w:r>
        <w:rPr>
          <w:rFonts w:hint="eastAsia" w:ascii="宋体" w:hAnsi="宋体" w:eastAsia="宋体" w:cs="宋体"/>
          <w:color w:val="auto"/>
          <w:sz w:val="36"/>
          <w:szCs w:val="18"/>
          <w:lang w:val="zh-CN"/>
        </w:rPr>
        <w:t>磋商</w:t>
      </w:r>
    </w:p>
    <w:p w14:paraId="36ABCD40">
      <w:pPr>
        <w:autoSpaceDE w:val="0"/>
        <w:autoSpaceDN w:val="0"/>
        <w:adjustRightInd w:val="0"/>
        <w:spacing w:line="600" w:lineRule="exact"/>
        <w:rPr>
          <w:rFonts w:ascii="宋体" w:hAnsi="宋体" w:eastAsia="宋体" w:cs="宋体"/>
          <w:color w:val="auto"/>
          <w:szCs w:val="18"/>
          <w:lang w:val="zh-CN"/>
        </w:rPr>
      </w:pPr>
    </w:p>
    <w:p w14:paraId="7CBEECE3">
      <w:pPr>
        <w:autoSpaceDE w:val="0"/>
        <w:autoSpaceDN w:val="0"/>
        <w:adjustRightInd w:val="0"/>
        <w:spacing w:line="600" w:lineRule="exact"/>
        <w:jc w:val="center"/>
        <w:rPr>
          <w:rFonts w:ascii="宋体" w:hAnsi="宋体" w:eastAsia="宋体" w:cs="宋体"/>
          <w:color w:val="auto"/>
          <w:sz w:val="44"/>
          <w:szCs w:val="44"/>
          <w:lang w:val="zh-CN"/>
        </w:rPr>
      </w:pPr>
      <w:r>
        <w:rPr>
          <w:rFonts w:hint="eastAsia" w:ascii="宋体" w:hAnsi="宋体" w:eastAsia="宋体" w:cs="宋体"/>
          <w:color w:val="auto"/>
          <w:sz w:val="44"/>
          <w:szCs w:val="44"/>
          <w:lang w:val="zh-CN"/>
        </w:rPr>
        <w:t>响应文件</w:t>
      </w:r>
    </w:p>
    <w:p w14:paraId="3A4C3B93">
      <w:pPr>
        <w:autoSpaceDE w:val="0"/>
        <w:autoSpaceDN w:val="0"/>
        <w:adjustRightInd w:val="0"/>
        <w:spacing w:line="600" w:lineRule="exact"/>
        <w:jc w:val="left"/>
        <w:rPr>
          <w:rFonts w:ascii="宋体" w:hAnsi="宋体" w:eastAsia="宋体" w:cs="宋体"/>
          <w:color w:val="auto"/>
          <w:szCs w:val="18"/>
          <w:lang w:val="zh-CN"/>
        </w:rPr>
      </w:pPr>
    </w:p>
    <w:p w14:paraId="7ACB45FC">
      <w:pPr>
        <w:autoSpaceDE w:val="0"/>
        <w:autoSpaceDN w:val="0"/>
        <w:adjustRightInd w:val="0"/>
        <w:spacing w:line="600" w:lineRule="exact"/>
        <w:jc w:val="left"/>
        <w:rPr>
          <w:rFonts w:ascii="宋体" w:hAnsi="宋体" w:eastAsia="宋体" w:cs="宋体"/>
          <w:color w:val="auto"/>
          <w:szCs w:val="18"/>
          <w:lang w:val="zh-CN"/>
        </w:rPr>
      </w:pPr>
    </w:p>
    <w:p w14:paraId="3251CAA0">
      <w:pPr>
        <w:autoSpaceDE w:val="0"/>
        <w:autoSpaceDN w:val="0"/>
        <w:adjustRightInd w:val="0"/>
        <w:spacing w:line="400" w:lineRule="exact"/>
        <w:jc w:val="left"/>
        <w:rPr>
          <w:rFonts w:ascii="宋体" w:hAnsi="宋体" w:eastAsia="宋体" w:cs="宋体"/>
          <w:color w:val="auto"/>
          <w:szCs w:val="18"/>
          <w:lang w:val="zh-CN"/>
        </w:rPr>
      </w:pPr>
    </w:p>
    <w:p w14:paraId="34B27D11">
      <w:pPr>
        <w:autoSpaceDE w:val="0"/>
        <w:autoSpaceDN w:val="0"/>
        <w:adjustRightInd w:val="0"/>
        <w:spacing w:line="400" w:lineRule="exact"/>
        <w:jc w:val="left"/>
        <w:rPr>
          <w:rFonts w:ascii="宋体" w:hAnsi="宋体" w:eastAsia="宋体" w:cs="宋体"/>
          <w:color w:val="auto"/>
          <w:szCs w:val="18"/>
          <w:lang w:val="zh-CN"/>
        </w:rPr>
      </w:pPr>
    </w:p>
    <w:p w14:paraId="190532E6">
      <w:pPr>
        <w:autoSpaceDE w:val="0"/>
        <w:autoSpaceDN w:val="0"/>
        <w:adjustRightInd w:val="0"/>
        <w:spacing w:line="400" w:lineRule="exact"/>
        <w:jc w:val="left"/>
        <w:rPr>
          <w:rFonts w:ascii="宋体" w:hAnsi="宋体" w:eastAsia="宋体" w:cs="宋体"/>
          <w:color w:val="auto"/>
          <w:szCs w:val="18"/>
          <w:lang w:val="zh-CN"/>
        </w:rPr>
      </w:pPr>
    </w:p>
    <w:p w14:paraId="2AB869F2">
      <w:pPr>
        <w:autoSpaceDE w:val="0"/>
        <w:autoSpaceDN w:val="0"/>
        <w:adjustRightInd w:val="0"/>
        <w:spacing w:line="400" w:lineRule="exact"/>
        <w:jc w:val="left"/>
        <w:rPr>
          <w:rFonts w:ascii="宋体" w:hAnsi="宋体" w:eastAsia="宋体" w:cs="宋体"/>
          <w:color w:val="auto"/>
          <w:szCs w:val="18"/>
          <w:lang w:val="zh-CN"/>
        </w:rPr>
      </w:pPr>
    </w:p>
    <w:p w14:paraId="5C508D9A">
      <w:pPr>
        <w:autoSpaceDE w:val="0"/>
        <w:autoSpaceDN w:val="0"/>
        <w:adjustRightInd w:val="0"/>
        <w:spacing w:line="400" w:lineRule="exact"/>
        <w:jc w:val="left"/>
        <w:rPr>
          <w:rFonts w:ascii="宋体" w:hAnsi="宋体" w:eastAsia="宋体" w:cs="宋体"/>
          <w:color w:val="auto"/>
          <w:szCs w:val="18"/>
          <w:lang w:val="zh-CN"/>
        </w:rPr>
      </w:pPr>
    </w:p>
    <w:p w14:paraId="68BCD4B0">
      <w:pPr>
        <w:autoSpaceDE w:val="0"/>
        <w:autoSpaceDN w:val="0"/>
        <w:adjustRightInd w:val="0"/>
        <w:spacing w:line="400" w:lineRule="exact"/>
        <w:jc w:val="left"/>
        <w:rPr>
          <w:rFonts w:ascii="宋体" w:hAnsi="宋体" w:eastAsia="宋体" w:cs="宋体"/>
          <w:color w:val="auto"/>
          <w:szCs w:val="18"/>
          <w:lang w:val="zh-CN"/>
        </w:rPr>
      </w:pPr>
    </w:p>
    <w:p w14:paraId="6BC4671A">
      <w:pPr>
        <w:pStyle w:val="23"/>
        <w:rPr>
          <w:rFonts w:ascii="宋体" w:hAnsi="宋体" w:eastAsia="宋体" w:cs="宋体"/>
          <w:color w:val="auto"/>
        </w:rPr>
      </w:pPr>
    </w:p>
    <w:p w14:paraId="4CD5AA49">
      <w:pPr>
        <w:autoSpaceDE w:val="0"/>
        <w:autoSpaceDN w:val="0"/>
        <w:adjustRightInd w:val="0"/>
        <w:spacing w:line="400" w:lineRule="exact"/>
        <w:jc w:val="left"/>
        <w:rPr>
          <w:rFonts w:ascii="宋体" w:hAnsi="宋体" w:eastAsia="宋体" w:cs="宋体"/>
          <w:color w:val="auto"/>
          <w:szCs w:val="18"/>
          <w:lang w:val="zh-CN"/>
        </w:rPr>
      </w:pPr>
    </w:p>
    <w:p w14:paraId="35C6C7E4">
      <w:pPr>
        <w:autoSpaceDE w:val="0"/>
        <w:autoSpaceDN w:val="0"/>
        <w:adjustRightInd w:val="0"/>
        <w:spacing w:line="400" w:lineRule="exact"/>
        <w:jc w:val="left"/>
        <w:rPr>
          <w:rFonts w:ascii="宋体" w:hAnsi="宋体" w:eastAsia="宋体" w:cs="宋体"/>
          <w:color w:val="auto"/>
          <w:szCs w:val="18"/>
          <w:lang w:val="zh-CN"/>
        </w:rPr>
      </w:pPr>
    </w:p>
    <w:p w14:paraId="673A7652">
      <w:pPr>
        <w:autoSpaceDE w:val="0"/>
        <w:autoSpaceDN w:val="0"/>
        <w:adjustRightInd w:val="0"/>
        <w:spacing w:line="400" w:lineRule="exact"/>
        <w:jc w:val="left"/>
        <w:rPr>
          <w:rFonts w:ascii="宋体" w:hAnsi="宋体" w:eastAsia="宋体" w:cs="宋体"/>
          <w:color w:val="auto"/>
          <w:szCs w:val="18"/>
          <w:lang w:val="zh-CN"/>
        </w:rPr>
      </w:pPr>
    </w:p>
    <w:p w14:paraId="55EF58C6">
      <w:pPr>
        <w:autoSpaceDE w:val="0"/>
        <w:autoSpaceDN w:val="0"/>
        <w:adjustRightInd w:val="0"/>
        <w:spacing w:line="400" w:lineRule="exact"/>
        <w:jc w:val="left"/>
        <w:rPr>
          <w:rFonts w:ascii="宋体" w:hAnsi="宋体" w:eastAsia="宋体" w:cs="宋体"/>
          <w:color w:val="auto"/>
          <w:szCs w:val="18"/>
          <w:lang w:val="zh-CN"/>
        </w:rPr>
      </w:pPr>
    </w:p>
    <w:p w14:paraId="64B99593">
      <w:pPr>
        <w:autoSpaceDE w:val="0"/>
        <w:autoSpaceDN w:val="0"/>
        <w:adjustRightInd w:val="0"/>
        <w:spacing w:line="400" w:lineRule="exact"/>
        <w:jc w:val="left"/>
        <w:rPr>
          <w:rFonts w:ascii="宋体" w:hAnsi="宋体" w:eastAsia="宋体" w:cs="宋体"/>
          <w:color w:val="auto"/>
          <w:szCs w:val="18"/>
          <w:lang w:val="zh-CN"/>
        </w:rPr>
      </w:pPr>
    </w:p>
    <w:p w14:paraId="62E3E2FF">
      <w:pPr>
        <w:autoSpaceDE w:val="0"/>
        <w:autoSpaceDN w:val="0"/>
        <w:adjustRightInd w:val="0"/>
        <w:spacing w:line="400" w:lineRule="exact"/>
        <w:jc w:val="left"/>
        <w:rPr>
          <w:rFonts w:ascii="宋体" w:hAnsi="宋体" w:eastAsia="宋体" w:cs="宋体"/>
          <w:color w:val="auto"/>
          <w:szCs w:val="18"/>
          <w:lang w:val="zh-CN"/>
        </w:rPr>
      </w:pPr>
    </w:p>
    <w:p w14:paraId="32D33FBF">
      <w:pPr>
        <w:autoSpaceDE w:val="0"/>
        <w:autoSpaceDN w:val="0"/>
        <w:adjustRightInd w:val="0"/>
        <w:spacing w:line="400" w:lineRule="exact"/>
        <w:jc w:val="left"/>
        <w:rPr>
          <w:rFonts w:ascii="宋体" w:hAnsi="宋体" w:eastAsia="宋体" w:cs="宋体"/>
          <w:color w:val="auto"/>
          <w:szCs w:val="18"/>
          <w:lang w:val="zh-CN"/>
        </w:rPr>
      </w:pPr>
    </w:p>
    <w:p w14:paraId="18A54AF8">
      <w:pPr>
        <w:autoSpaceDE w:val="0"/>
        <w:autoSpaceDN w:val="0"/>
        <w:adjustRightInd w:val="0"/>
        <w:spacing w:line="400" w:lineRule="exact"/>
        <w:jc w:val="center"/>
        <w:rPr>
          <w:rFonts w:ascii="宋体" w:hAnsi="宋体" w:eastAsia="宋体" w:cs="宋体"/>
          <w:color w:val="auto"/>
          <w:sz w:val="28"/>
          <w:szCs w:val="18"/>
          <w:lang w:val="zh-CN"/>
        </w:rPr>
      </w:pPr>
      <w:r>
        <w:rPr>
          <w:rFonts w:hint="eastAsia" w:ascii="宋体" w:hAnsi="宋体" w:eastAsia="宋体" w:cs="宋体"/>
          <w:color w:val="auto"/>
          <w:sz w:val="28"/>
          <w:szCs w:val="18"/>
          <w:lang w:val="zh-CN"/>
        </w:rPr>
        <w:t>供应商：(盖单位章)</w:t>
      </w:r>
    </w:p>
    <w:p w14:paraId="2E3B5046">
      <w:pPr>
        <w:autoSpaceDE w:val="0"/>
        <w:autoSpaceDN w:val="0"/>
        <w:adjustRightInd w:val="0"/>
        <w:spacing w:line="400" w:lineRule="exact"/>
        <w:jc w:val="center"/>
        <w:rPr>
          <w:rFonts w:ascii="宋体" w:hAnsi="宋体" w:eastAsia="宋体" w:cs="宋体"/>
          <w:color w:val="auto"/>
          <w:sz w:val="28"/>
          <w:szCs w:val="18"/>
          <w:lang w:val="zh-CN"/>
        </w:rPr>
      </w:pPr>
    </w:p>
    <w:p w14:paraId="77A01832">
      <w:pPr>
        <w:autoSpaceDE w:val="0"/>
        <w:autoSpaceDN w:val="0"/>
        <w:adjustRightInd w:val="0"/>
        <w:spacing w:line="400" w:lineRule="exact"/>
        <w:jc w:val="center"/>
        <w:rPr>
          <w:rFonts w:ascii="宋体" w:hAnsi="宋体" w:eastAsia="宋体" w:cs="宋体"/>
          <w:color w:val="auto"/>
          <w:sz w:val="28"/>
          <w:szCs w:val="18"/>
          <w:lang w:val="zh-CN"/>
        </w:rPr>
      </w:pPr>
      <w:r>
        <w:rPr>
          <w:rFonts w:hint="eastAsia" w:ascii="宋体" w:hAnsi="宋体" w:eastAsia="宋体" w:cs="宋体"/>
          <w:color w:val="auto"/>
          <w:sz w:val="28"/>
          <w:szCs w:val="18"/>
          <w:lang w:val="zh-CN"/>
        </w:rPr>
        <w:t>法定代表人或其委托代理人：(签字</w:t>
      </w:r>
      <w:r>
        <w:rPr>
          <w:rFonts w:hint="eastAsia" w:ascii="宋体" w:hAnsi="宋体" w:eastAsia="宋体" w:cs="宋体"/>
          <w:color w:val="auto"/>
          <w:sz w:val="28"/>
          <w:szCs w:val="18"/>
        </w:rPr>
        <w:t>或盖章</w:t>
      </w:r>
      <w:r>
        <w:rPr>
          <w:rFonts w:hint="eastAsia" w:ascii="宋体" w:hAnsi="宋体" w:eastAsia="宋体" w:cs="宋体"/>
          <w:color w:val="auto"/>
          <w:sz w:val="28"/>
          <w:szCs w:val="18"/>
          <w:lang w:val="zh-CN"/>
        </w:rPr>
        <w:t>)</w:t>
      </w:r>
    </w:p>
    <w:p w14:paraId="0E8CF6B7">
      <w:pPr>
        <w:autoSpaceDE w:val="0"/>
        <w:autoSpaceDN w:val="0"/>
        <w:adjustRightInd w:val="0"/>
        <w:spacing w:line="400" w:lineRule="exact"/>
        <w:ind w:firstLine="280" w:firstLineChars="100"/>
        <w:jc w:val="center"/>
        <w:rPr>
          <w:rFonts w:ascii="宋体" w:hAnsi="宋体" w:eastAsia="宋体" w:cs="宋体"/>
          <w:color w:val="auto"/>
          <w:sz w:val="28"/>
          <w:szCs w:val="18"/>
          <w:u w:val="single"/>
          <w:lang w:val="zh-CN"/>
        </w:rPr>
      </w:pPr>
    </w:p>
    <w:p w14:paraId="649D4519">
      <w:pPr>
        <w:autoSpaceDE w:val="0"/>
        <w:autoSpaceDN w:val="0"/>
        <w:adjustRightInd w:val="0"/>
        <w:spacing w:line="400" w:lineRule="exact"/>
        <w:ind w:right="480"/>
        <w:jc w:val="center"/>
        <w:rPr>
          <w:rFonts w:ascii="宋体" w:hAnsi="宋体" w:eastAsia="宋体" w:cs="宋体"/>
          <w:color w:val="auto"/>
          <w:sz w:val="28"/>
          <w:szCs w:val="28"/>
          <w:lang w:val="zh-CN"/>
        </w:rPr>
      </w:pPr>
      <w:r>
        <w:rPr>
          <w:rFonts w:hint="eastAsia" w:ascii="宋体" w:hAnsi="宋体" w:eastAsia="宋体" w:cs="宋体"/>
          <w:color w:val="auto"/>
          <w:sz w:val="28"/>
          <w:szCs w:val="28"/>
          <w:lang w:val="zh-CN"/>
        </w:rPr>
        <w:t>年月日</w:t>
      </w:r>
    </w:p>
    <w:p w14:paraId="3F165268">
      <w:pPr>
        <w:autoSpaceDE w:val="0"/>
        <w:autoSpaceDN w:val="0"/>
        <w:adjustRightInd w:val="0"/>
        <w:spacing w:line="400" w:lineRule="exact"/>
        <w:jc w:val="left"/>
        <w:rPr>
          <w:rFonts w:ascii="宋体" w:hAnsi="宋体" w:eastAsia="宋体" w:cs="宋体"/>
          <w:color w:val="auto"/>
          <w:szCs w:val="18"/>
          <w:lang w:val="zh-CN"/>
        </w:rPr>
      </w:pPr>
    </w:p>
    <w:p w14:paraId="26162C7D">
      <w:pPr>
        <w:autoSpaceDE w:val="0"/>
        <w:autoSpaceDN w:val="0"/>
        <w:adjustRightInd w:val="0"/>
        <w:snapToGrid w:val="0"/>
        <w:spacing w:line="360" w:lineRule="auto"/>
        <w:ind w:firstLine="480"/>
        <w:rPr>
          <w:rFonts w:ascii="宋体" w:hAnsi="宋体" w:eastAsia="宋体" w:cs="宋体"/>
          <w:color w:val="auto"/>
          <w:kern w:val="0"/>
          <w:sz w:val="24"/>
          <w:szCs w:val="24"/>
          <w:lang w:val="zh-CN"/>
        </w:rPr>
      </w:pPr>
    </w:p>
    <w:p w14:paraId="6C90C9AC">
      <w:pPr>
        <w:pStyle w:val="66"/>
        <w:rPr>
          <w:rFonts w:ascii="宋体" w:hAnsi="宋体"/>
          <w:color w:val="auto"/>
          <w:lang w:val="zh-CN"/>
        </w:rPr>
      </w:pPr>
    </w:p>
    <w:p w14:paraId="6B8045F6">
      <w:pPr>
        <w:autoSpaceDE w:val="0"/>
        <w:autoSpaceDN w:val="0"/>
        <w:adjustRightInd w:val="0"/>
        <w:snapToGrid w:val="0"/>
        <w:spacing w:line="360" w:lineRule="auto"/>
        <w:rPr>
          <w:rFonts w:ascii="宋体" w:hAnsi="宋体" w:eastAsia="宋体"/>
          <w:color w:val="auto"/>
          <w:sz w:val="24"/>
          <w:szCs w:val="24"/>
        </w:rPr>
        <w:sectPr>
          <w:pgSz w:w="11906" w:h="16838"/>
          <w:pgMar w:top="1440" w:right="1080" w:bottom="1440" w:left="1080" w:header="851" w:footer="992" w:gutter="0"/>
          <w:cols w:space="425" w:num="1"/>
          <w:docGrid w:type="lines" w:linePitch="312" w:charSpace="0"/>
        </w:sectPr>
      </w:pPr>
    </w:p>
    <w:p w14:paraId="05306D3B">
      <w:pPr>
        <w:jc w:val="center"/>
        <w:rPr>
          <w:rFonts w:ascii="宋体" w:hAnsi="宋体" w:eastAsia="宋体"/>
          <w:b/>
          <w:bCs/>
          <w:color w:val="auto"/>
          <w:sz w:val="32"/>
          <w:szCs w:val="32"/>
        </w:rPr>
      </w:pPr>
      <w:bookmarkStart w:id="75" w:name="_Toc25546"/>
      <w:bookmarkStart w:id="76" w:name="_Toc5218"/>
      <w:r>
        <w:rPr>
          <w:rFonts w:hint="eastAsia" w:ascii="宋体" w:hAnsi="宋体" w:eastAsia="宋体"/>
          <w:b/>
          <w:bCs/>
          <w:color w:val="auto"/>
          <w:sz w:val="32"/>
          <w:szCs w:val="32"/>
        </w:rPr>
        <w:t>目   录</w:t>
      </w:r>
    </w:p>
    <w:p w14:paraId="3F946F71">
      <w:pPr>
        <w:rPr>
          <w:rFonts w:hint="eastAsia" w:ascii="宋体" w:hAnsi="宋体" w:eastAsia="宋体"/>
          <w:b/>
          <w:bCs/>
          <w:color w:val="auto"/>
          <w:sz w:val="32"/>
          <w:szCs w:val="32"/>
        </w:rPr>
        <w:sectPr>
          <w:pgSz w:w="11906" w:h="16838"/>
          <w:pgMar w:top="1440" w:right="1080" w:bottom="1440" w:left="1080" w:header="851" w:footer="992" w:gutter="0"/>
          <w:cols w:space="425" w:num="1"/>
          <w:docGrid w:type="lines" w:linePitch="312" w:charSpace="0"/>
        </w:sectPr>
      </w:pPr>
    </w:p>
    <w:p w14:paraId="13094578">
      <w:pPr>
        <w:jc w:val="center"/>
        <w:rPr>
          <w:rFonts w:ascii="宋体" w:hAnsi="宋体" w:eastAsia="宋体"/>
          <w:b/>
          <w:bCs/>
          <w:color w:val="auto"/>
          <w:sz w:val="32"/>
          <w:szCs w:val="32"/>
          <w:lang w:val="zh-CN"/>
        </w:rPr>
      </w:pPr>
      <w:r>
        <w:rPr>
          <w:rFonts w:hint="eastAsia" w:ascii="宋体" w:hAnsi="宋体" w:eastAsia="宋体"/>
          <w:b/>
          <w:bCs/>
          <w:color w:val="auto"/>
          <w:sz w:val="32"/>
          <w:szCs w:val="32"/>
          <w:lang w:val="zh-CN"/>
        </w:rPr>
        <w:t>第一部分商务文件</w:t>
      </w:r>
      <w:bookmarkEnd w:id="75"/>
      <w:bookmarkEnd w:id="76"/>
    </w:p>
    <w:p w14:paraId="07B7AE43">
      <w:pPr>
        <w:jc w:val="center"/>
        <w:rPr>
          <w:rFonts w:hint="default" w:ascii="宋体" w:hAnsi="宋体" w:eastAsia="宋体"/>
          <w:b/>
          <w:bCs/>
          <w:color w:val="auto"/>
          <w:sz w:val="32"/>
          <w:szCs w:val="32"/>
          <w:lang w:val="en-US" w:eastAsia="zh-CN"/>
        </w:rPr>
      </w:pPr>
      <w:bookmarkStart w:id="77" w:name="_Toc4087"/>
      <w:bookmarkStart w:id="78" w:name="_Toc25830"/>
      <w:r>
        <w:rPr>
          <w:rFonts w:hint="eastAsia" w:ascii="宋体" w:hAnsi="宋体" w:eastAsia="宋体"/>
          <w:b/>
          <w:bCs/>
          <w:color w:val="auto"/>
          <w:sz w:val="32"/>
          <w:szCs w:val="32"/>
          <w:lang w:val="zh-CN"/>
        </w:rPr>
        <w:t>格式一、</w:t>
      </w:r>
      <w:bookmarkEnd w:id="77"/>
      <w:bookmarkEnd w:id="78"/>
      <w:r>
        <w:rPr>
          <w:rFonts w:hint="eastAsia" w:ascii="宋体" w:hAnsi="宋体" w:eastAsia="宋体"/>
          <w:b/>
          <w:bCs/>
          <w:color w:val="auto"/>
          <w:sz w:val="32"/>
          <w:szCs w:val="32"/>
          <w:lang w:val="en-US" w:eastAsia="zh-CN"/>
        </w:rPr>
        <w:t>开标一览表</w:t>
      </w:r>
    </w:p>
    <w:p w14:paraId="4E41593A">
      <w:pPr>
        <w:adjustRightInd w:val="0"/>
        <w:snapToGrid w:val="0"/>
        <w:spacing w:line="360"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14:paraId="399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14:paraId="3AC86F6F">
            <w:pPr>
              <w:adjustRightInd w:val="0"/>
              <w:snapToGrid w:val="0"/>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olor w:val="auto"/>
                <w:sz w:val="24"/>
                <w:szCs w:val="24"/>
                <w:lang w:val="zh-CN"/>
              </w:rPr>
              <w:t>供应商名称</w:t>
            </w:r>
          </w:p>
        </w:tc>
        <w:tc>
          <w:tcPr>
            <w:tcW w:w="1992" w:type="dxa"/>
            <w:vAlign w:val="center"/>
          </w:tcPr>
          <w:p w14:paraId="3D49917D">
            <w:pPr>
              <w:adjustRightInd w:val="0"/>
              <w:snapToGrid w:val="0"/>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olor w:val="auto"/>
                <w:sz w:val="24"/>
                <w:szCs w:val="24"/>
              </w:rPr>
              <w:t>磋商报价</w:t>
            </w:r>
            <w:r>
              <w:rPr>
                <w:rFonts w:hint="eastAsia" w:ascii="宋体" w:hAnsi="宋体" w:eastAsia="宋体"/>
                <w:color w:val="auto"/>
                <w:sz w:val="24"/>
                <w:szCs w:val="24"/>
                <w:lang w:val="en-US" w:eastAsia="zh-CN"/>
              </w:rPr>
              <w:t>总价</w:t>
            </w:r>
            <w:r>
              <w:rPr>
                <w:rFonts w:hint="eastAsia" w:ascii="宋体" w:hAnsi="宋体" w:eastAsia="宋体"/>
                <w:color w:val="auto"/>
                <w:sz w:val="24"/>
                <w:szCs w:val="24"/>
              </w:rPr>
              <w:t>（元）</w:t>
            </w:r>
          </w:p>
        </w:tc>
        <w:tc>
          <w:tcPr>
            <w:tcW w:w="1992" w:type="dxa"/>
            <w:vAlign w:val="center"/>
          </w:tcPr>
          <w:p w14:paraId="3CCB6F6F">
            <w:pPr>
              <w:adjustRightInd w:val="0"/>
              <w:snapToGrid w:val="0"/>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olor w:val="auto"/>
                <w:sz w:val="24"/>
                <w:szCs w:val="24"/>
                <w:lang w:val="zh-CN"/>
              </w:rPr>
              <w:t>合同履行期限</w:t>
            </w:r>
          </w:p>
        </w:tc>
        <w:tc>
          <w:tcPr>
            <w:tcW w:w="1993" w:type="dxa"/>
            <w:vAlign w:val="center"/>
          </w:tcPr>
          <w:p w14:paraId="4D9B26C6">
            <w:pPr>
              <w:adjustRightInd w:val="0"/>
              <w:snapToGrid w:val="0"/>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lang w:val="zh-CN"/>
              </w:rPr>
              <w:t>质量要求</w:t>
            </w:r>
          </w:p>
        </w:tc>
        <w:tc>
          <w:tcPr>
            <w:tcW w:w="1993" w:type="dxa"/>
            <w:vAlign w:val="center"/>
          </w:tcPr>
          <w:p w14:paraId="67F04AEE">
            <w:pPr>
              <w:adjustRightInd w:val="0"/>
              <w:snapToGrid w:val="0"/>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lang w:val="zh-CN"/>
              </w:rPr>
              <w:t>备注</w:t>
            </w:r>
          </w:p>
        </w:tc>
      </w:tr>
      <w:tr w14:paraId="50CE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14:paraId="2CE78E8E">
            <w:pPr>
              <w:adjustRightInd w:val="0"/>
              <w:snapToGrid w:val="0"/>
              <w:spacing w:line="360" w:lineRule="auto"/>
              <w:rPr>
                <w:rFonts w:hint="eastAsia" w:ascii="宋体" w:hAnsi="宋体" w:eastAsia="宋体" w:cs="宋体"/>
                <w:color w:val="auto"/>
                <w:sz w:val="24"/>
                <w:szCs w:val="24"/>
                <w:vertAlign w:val="baseline"/>
                <w:lang w:val="zh-CN"/>
              </w:rPr>
            </w:pPr>
          </w:p>
        </w:tc>
        <w:tc>
          <w:tcPr>
            <w:tcW w:w="1992" w:type="dxa"/>
            <w:vAlign w:val="center"/>
          </w:tcPr>
          <w:p w14:paraId="23D87BAF">
            <w:pPr>
              <w:adjustRightInd w:val="0"/>
              <w:snapToGrid w:val="0"/>
              <w:spacing w:line="360" w:lineRule="auto"/>
              <w:rPr>
                <w:rFonts w:hint="eastAsia" w:ascii="宋体" w:hAnsi="宋体" w:eastAsia="宋体" w:cs="宋体"/>
                <w:color w:val="auto"/>
                <w:sz w:val="24"/>
                <w:szCs w:val="24"/>
                <w:vertAlign w:val="baseline"/>
                <w:lang w:val="zh-CN"/>
              </w:rPr>
            </w:pPr>
          </w:p>
        </w:tc>
        <w:tc>
          <w:tcPr>
            <w:tcW w:w="1992" w:type="dxa"/>
            <w:vAlign w:val="center"/>
          </w:tcPr>
          <w:p w14:paraId="518C4D0E">
            <w:pPr>
              <w:adjustRightInd w:val="0"/>
              <w:snapToGrid w:val="0"/>
              <w:spacing w:line="360" w:lineRule="auto"/>
              <w:jc w:val="center"/>
              <w:rPr>
                <w:rFonts w:hint="eastAsia" w:ascii="宋体" w:hAnsi="宋体" w:eastAsia="宋体" w:cs="宋体"/>
                <w:color w:val="auto"/>
                <w:sz w:val="24"/>
                <w:szCs w:val="24"/>
                <w:vertAlign w:val="baseline"/>
                <w:lang w:val="zh-CN"/>
              </w:rPr>
            </w:pPr>
          </w:p>
        </w:tc>
        <w:tc>
          <w:tcPr>
            <w:tcW w:w="1993" w:type="dxa"/>
            <w:vAlign w:val="center"/>
          </w:tcPr>
          <w:p w14:paraId="39620574">
            <w:pPr>
              <w:adjustRightInd w:val="0"/>
              <w:snapToGrid w:val="0"/>
              <w:spacing w:line="360" w:lineRule="auto"/>
              <w:rPr>
                <w:rFonts w:hint="eastAsia" w:ascii="宋体" w:hAnsi="宋体" w:eastAsia="宋体" w:cs="宋体"/>
                <w:color w:val="auto"/>
                <w:sz w:val="24"/>
                <w:szCs w:val="24"/>
                <w:vertAlign w:val="baseline"/>
                <w:lang w:val="zh-CN"/>
              </w:rPr>
            </w:pPr>
          </w:p>
        </w:tc>
        <w:tc>
          <w:tcPr>
            <w:tcW w:w="1993" w:type="dxa"/>
            <w:vAlign w:val="center"/>
          </w:tcPr>
          <w:p w14:paraId="1449FDB4">
            <w:pPr>
              <w:adjustRightInd w:val="0"/>
              <w:snapToGrid w:val="0"/>
              <w:spacing w:line="360" w:lineRule="auto"/>
              <w:rPr>
                <w:rFonts w:hint="eastAsia" w:ascii="宋体" w:hAnsi="宋体" w:eastAsia="宋体" w:cs="宋体"/>
                <w:color w:val="auto"/>
                <w:sz w:val="24"/>
                <w:szCs w:val="24"/>
                <w:vertAlign w:val="baseline"/>
                <w:lang w:val="zh-CN"/>
              </w:rPr>
            </w:pPr>
          </w:p>
        </w:tc>
      </w:tr>
    </w:tbl>
    <w:p w14:paraId="5C89CAA3">
      <w:pPr>
        <w:adjustRightInd w:val="0"/>
        <w:snapToGrid w:val="0"/>
        <w:spacing w:line="360" w:lineRule="auto"/>
        <w:ind w:firstLine="240" w:firstLineChars="100"/>
        <w:rPr>
          <w:rFonts w:hint="eastAsia" w:ascii="宋体" w:hAnsi="宋体" w:eastAsia="宋体" w:cs="宋体"/>
          <w:color w:val="auto"/>
          <w:sz w:val="24"/>
          <w:szCs w:val="24"/>
          <w:lang w:val="zh-CN"/>
        </w:rPr>
      </w:pPr>
    </w:p>
    <w:p w14:paraId="4A745A31">
      <w:pPr>
        <w:adjustRightInd w:val="0"/>
        <w:snapToGrid w:val="0"/>
        <w:spacing w:line="360" w:lineRule="auto"/>
        <w:ind w:firstLine="240" w:firstLineChars="100"/>
        <w:rPr>
          <w:rFonts w:hint="eastAsia" w:ascii="宋体" w:hAnsi="宋体" w:eastAsia="宋体" w:cs="黑体"/>
          <w:b/>
          <w:bCs/>
          <w:color w:val="auto"/>
          <w:sz w:val="24"/>
          <w:szCs w:val="24"/>
          <w:lang w:val="zh-CN"/>
        </w:rPr>
      </w:pPr>
      <w:r>
        <w:rPr>
          <w:rFonts w:hint="eastAsia" w:ascii="宋体" w:hAnsi="宋体" w:eastAsia="宋体" w:cs="宋体"/>
          <w:color w:val="auto"/>
          <w:sz w:val="24"/>
          <w:szCs w:val="24"/>
          <w:lang w:val="zh-CN"/>
        </w:rPr>
        <w:t>供应商名称</w:t>
      </w:r>
      <w:r>
        <w:rPr>
          <w:rFonts w:hint="eastAsia" w:ascii="宋体" w:hAnsi="宋体" w:eastAsia="宋体" w:cs="黑体"/>
          <w:b/>
          <w:bCs/>
          <w:color w:val="auto"/>
          <w:sz w:val="24"/>
          <w:szCs w:val="24"/>
          <w:lang w:val="zh-CN"/>
        </w:rPr>
        <w:t xml:space="preserve">（加盖供应商公章）：                                 </w:t>
      </w:r>
    </w:p>
    <w:p w14:paraId="754B80F7">
      <w:pPr>
        <w:adjustRightInd w:val="0"/>
        <w:snapToGrid w:val="0"/>
        <w:spacing w:line="360" w:lineRule="auto"/>
        <w:ind w:firstLine="240" w:firstLineChars="100"/>
        <w:rPr>
          <w:rFonts w:ascii="宋体" w:hAnsi="宋体" w:eastAsia="宋体"/>
          <w:color w:val="auto"/>
          <w:sz w:val="24"/>
          <w:szCs w:val="24"/>
          <w:lang w:val="zh-CN"/>
        </w:rPr>
      </w:pPr>
      <w:r>
        <w:rPr>
          <w:rFonts w:hint="eastAsia" w:ascii="宋体" w:hAnsi="宋体" w:eastAsia="宋体" w:cs="宋体"/>
          <w:color w:val="auto"/>
          <w:sz w:val="24"/>
          <w:szCs w:val="24"/>
          <w:lang w:val="zh-CN"/>
        </w:rPr>
        <w:t>年月日</w:t>
      </w:r>
    </w:p>
    <w:p w14:paraId="425D860B">
      <w:pPr>
        <w:autoSpaceDE w:val="0"/>
        <w:autoSpaceDN w:val="0"/>
        <w:adjustRightInd w:val="0"/>
        <w:snapToGrid w:val="0"/>
        <w:spacing w:line="360" w:lineRule="auto"/>
        <w:rPr>
          <w:rFonts w:ascii="宋体" w:hAnsi="宋体" w:eastAsia="宋体" w:cs="黑体"/>
          <w:bCs/>
          <w:color w:val="auto"/>
          <w:sz w:val="24"/>
          <w:szCs w:val="24"/>
          <w:lang w:val="zh-CN"/>
        </w:rPr>
        <w:sectPr>
          <w:pgSz w:w="11906" w:h="16838"/>
          <w:pgMar w:top="1440" w:right="1080" w:bottom="1440" w:left="1080" w:header="851" w:footer="992" w:gutter="0"/>
          <w:cols w:space="425" w:num="1"/>
          <w:docGrid w:type="lines" w:linePitch="312" w:charSpace="0"/>
        </w:sectPr>
      </w:pPr>
    </w:p>
    <w:p w14:paraId="0A900A3B">
      <w:pPr>
        <w:tabs>
          <w:tab w:val="left" w:pos="3780"/>
          <w:tab w:val="left" w:pos="3960"/>
        </w:tabs>
        <w:spacing w:line="360" w:lineRule="auto"/>
        <w:jc w:val="center"/>
        <w:rPr>
          <w:rFonts w:ascii="宋体" w:hAnsi="宋体" w:cs="宋体"/>
          <w:b/>
          <w:color w:val="auto"/>
          <w:sz w:val="23"/>
          <w:szCs w:val="23"/>
        </w:rPr>
      </w:pPr>
      <w:bookmarkStart w:id="79" w:name="_Toc21395"/>
      <w:bookmarkStart w:id="80" w:name="_Toc11471"/>
      <w:r>
        <w:rPr>
          <w:rFonts w:hint="eastAsia" w:ascii="宋体" w:hAnsi="宋体" w:eastAsia="宋体"/>
          <w:b/>
          <w:bCs/>
          <w:color w:val="auto"/>
          <w:sz w:val="32"/>
          <w:szCs w:val="32"/>
          <w:lang w:val="zh-CN"/>
        </w:rPr>
        <w:t>格式二、报价明细表</w:t>
      </w:r>
    </w:p>
    <w:p w14:paraId="099D34AC">
      <w:pPr>
        <w:spacing w:line="360" w:lineRule="auto"/>
        <w:ind w:left="192"/>
        <w:rPr>
          <w:rFonts w:ascii="宋体" w:hAnsi="宋体" w:cs="宋体"/>
          <w:color w:val="auto"/>
          <w:sz w:val="23"/>
          <w:szCs w:val="23"/>
        </w:rPr>
      </w:pPr>
    </w:p>
    <w:p w14:paraId="2749938B">
      <w:pPr>
        <w:spacing w:line="360" w:lineRule="auto"/>
        <w:ind w:left="192"/>
        <w:rPr>
          <w:rFonts w:ascii="宋体" w:hAnsi="宋体" w:cs="宋体"/>
          <w:color w:val="auto"/>
          <w:sz w:val="23"/>
          <w:szCs w:val="23"/>
        </w:rPr>
      </w:pPr>
      <w:r>
        <w:rPr>
          <w:rFonts w:hint="eastAsia" w:ascii="宋体" w:hAnsi="宋体" w:cs="宋体"/>
          <w:color w:val="auto"/>
          <w:sz w:val="23"/>
          <w:szCs w:val="23"/>
        </w:rPr>
        <w:t>项目名称：</w:t>
      </w:r>
    </w:p>
    <w:p w14:paraId="0B72AAEA">
      <w:pPr>
        <w:spacing w:line="360" w:lineRule="auto"/>
        <w:ind w:left="192"/>
        <w:rPr>
          <w:rFonts w:ascii="宋体" w:hAnsi="宋体" w:cs="宋体"/>
          <w:color w:val="auto"/>
          <w:sz w:val="23"/>
          <w:szCs w:val="23"/>
        </w:rPr>
      </w:pPr>
      <w:r>
        <w:rPr>
          <w:rFonts w:hint="eastAsia" w:ascii="宋体" w:hAnsi="宋体" w:cs="宋体"/>
          <w:color w:val="auto"/>
          <w:sz w:val="23"/>
          <w:szCs w:val="23"/>
        </w:rPr>
        <w:t>项目编号：</w:t>
      </w:r>
    </w:p>
    <w:p w14:paraId="3D065EFE">
      <w:pPr>
        <w:spacing w:line="360" w:lineRule="auto"/>
        <w:ind w:firstLine="6670" w:firstLineChars="2900"/>
        <w:rPr>
          <w:rFonts w:ascii="宋体" w:hAnsi="宋体" w:cs="宋体"/>
          <w:color w:val="auto"/>
          <w:sz w:val="23"/>
          <w:szCs w:val="23"/>
        </w:rPr>
      </w:pPr>
      <w:r>
        <w:rPr>
          <w:rFonts w:hint="eastAsia" w:ascii="宋体" w:hAnsi="宋体" w:cs="宋体"/>
          <w:color w:val="auto"/>
          <w:sz w:val="23"/>
          <w:szCs w:val="23"/>
        </w:rPr>
        <w:t>单位：元</w:t>
      </w:r>
    </w:p>
    <w:tbl>
      <w:tblPr>
        <w:tblStyle w:val="3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603"/>
        <w:gridCol w:w="1133"/>
        <w:gridCol w:w="1251"/>
        <w:gridCol w:w="1251"/>
        <w:gridCol w:w="1251"/>
        <w:gridCol w:w="1239"/>
        <w:gridCol w:w="1227"/>
      </w:tblGrid>
      <w:tr w14:paraId="773D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3B3C4299">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序号</w:t>
            </w:r>
          </w:p>
        </w:tc>
        <w:tc>
          <w:tcPr>
            <w:tcW w:w="805" w:type="pct"/>
            <w:noWrap w:val="0"/>
            <w:vAlign w:val="center"/>
          </w:tcPr>
          <w:p w14:paraId="5BE4BC4C">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货物名称</w:t>
            </w:r>
          </w:p>
        </w:tc>
        <w:tc>
          <w:tcPr>
            <w:tcW w:w="569" w:type="pct"/>
            <w:noWrap w:val="0"/>
            <w:vAlign w:val="center"/>
          </w:tcPr>
          <w:p w14:paraId="609990AA">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品牌</w:t>
            </w:r>
          </w:p>
        </w:tc>
        <w:tc>
          <w:tcPr>
            <w:tcW w:w="628" w:type="pct"/>
            <w:noWrap w:val="0"/>
            <w:vAlign w:val="center"/>
          </w:tcPr>
          <w:p w14:paraId="0B14559D">
            <w:pPr>
              <w:spacing w:line="360" w:lineRule="auto"/>
              <w:jc w:val="center"/>
              <w:rPr>
                <w:rFonts w:hint="eastAsia" w:ascii="宋体" w:hAnsi="宋体" w:cs="宋体" w:eastAsiaTheme="minorEastAsia"/>
                <w:color w:val="auto"/>
                <w:kern w:val="0"/>
                <w:sz w:val="23"/>
                <w:szCs w:val="23"/>
                <w:lang w:val="en-US" w:eastAsia="zh-CN"/>
              </w:rPr>
            </w:pPr>
            <w:r>
              <w:rPr>
                <w:rFonts w:hint="eastAsia" w:ascii="宋体" w:hAnsi="宋体" w:cs="宋体"/>
                <w:color w:val="auto"/>
                <w:kern w:val="0"/>
                <w:sz w:val="23"/>
                <w:szCs w:val="23"/>
                <w:lang w:val="en-US" w:eastAsia="zh-CN"/>
              </w:rPr>
              <w:t>型号</w:t>
            </w:r>
          </w:p>
        </w:tc>
        <w:tc>
          <w:tcPr>
            <w:tcW w:w="628" w:type="pct"/>
            <w:noWrap w:val="0"/>
            <w:vAlign w:val="center"/>
          </w:tcPr>
          <w:p w14:paraId="74592A0D">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计量单位</w:t>
            </w:r>
          </w:p>
        </w:tc>
        <w:tc>
          <w:tcPr>
            <w:tcW w:w="628" w:type="pct"/>
            <w:noWrap w:val="0"/>
            <w:vAlign w:val="center"/>
          </w:tcPr>
          <w:p w14:paraId="37F9E9FB">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数量</w:t>
            </w:r>
          </w:p>
        </w:tc>
        <w:tc>
          <w:tcPr>
            <w:tcW w:w="622" w:type="pct"/>
            <w:noWrap w:val="0"/>
            <w:vAlign w:val="center"/>
          </w:tcPr>
          <w:p w14:paraId="203B35A6">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单价</w:t>
            </w:r>
          </w:p>
        </w:tc>
        <w:tc>
          <w:tcPr>
            <w:tcW w:w="616" w:type="pct"/>
            <w:noWrap w:val="0"/>
            <w:vAlign w:val="center"/>
          </w:tcPr>
          <w:p w14:paraId="02B1A73B">
            <w:pPr>
              <w:spacing w:line="360" w:lineRule="auto"/>
              <w:jc w:val="center"/>
              <w:rPr>
                <w:rFonts w:ascii="宋体" w:hAnsi="宋体" w:cs="宋体"/>
                <w:color w:val="auto"/>
                <w:kern w:val="0"/>
                <w:sz w:val="23"/>
                <w:szCs w:val="23"/>
              </w:rPr>
            </w:pPr>
            <w:r>
              <w:rPr>
                <w:rFonts w:hint="eastAsia" w:ascii="宋体" w:hAnsi="宋体" w:cs="宋体"/>
                <w:color w:val="auto"/>
                <w:kern w:val="0"/>
                <w:sz w:val="23"/>
                <w:szCs w:val="23"/>
              </w:rPr>
              <w:t>总价</w:t>
            </w:r>
          </w:p>
        </w:tc>
      </w:tr>
      <w:tr w14:paraId="25D9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103D79BD">
            <w:pPr>
              <w:spacing w:line="360" w:lineRule="auto"/>
              <w:jc w:val="center"/>
              <w:rPr>
                <w:rFonts w:ascii="宋体" w:hAnsi="宋体" w:cs="宋体"/>
                <w:color w:val="auto"/>
                <w:kern w:val="0"/>
                <w:sz w:val="23"/>
                <w:szCs w:val="23"/>
              </w:rPr>
            </w:pPr>
          </w:p>
        </w:tc>
        <w:tc>
          <w:tcPr>
            <w:tcW w:w="805" w:type="pct"/>
            <w:noWrap w:val="0"/>
            <w:vAlign w:val="center"/>
          </w:tcPr>
          <w:p w14:paraId="60B1FA88">
            <w:pPr>
              <w:spacing w:line="360" w:lineRule="auto"/>
              <w:jc w:val="center"/>
              <w:rPr>
                <w:rFonts w:ascii="宋体" w:hAnsi="宋体" w:cs="宋体"/>
                <w:color w:val="auto"/>
                <w:kern w:val="0"/>
                <w:sz w:val="23"/>
                <w:szCs w:val="23"/>
              </w:rPr>
            </w:pPr>
          </w:p>
        </w:tc>
        <w:tc>
          <w:tcPr>
            <w:tcW w:w="569" w:type="pct"/>
            <w:noWrap w:val="0"/>
            <w:vAlign w:val="center"/>
          </w:tcPr>
          <w:p w14:paraId="4F2EC868">
            <w:pPr>
              <w:spacing w:line="360" w:lineRule="auto"/>
              <w:jc w:val="center"/>
              <w:rPr>
                <w:rFonts w:ascii="宋体" w:hAnsi="宋体" w:cs="宋体"/>
                <w:color w:val="auto"/>
                <w:kern w:val="0"/>
                <w:sz w:val="23"/>
                <w:szCs w:val="23"/>
              </w:rPr>
            </w:pPr>
          </w:p>
        </w:tc>
        <w:tc>
          <w:tcPr>
            <w:tcW w:w="628" w:type="pct"/>
            <w:noWrap w:val="0"/>
            <w:vAlign w:val="center"/>
          </w:tcPr>
          <w:p w14:paraId="685FD7FC">
            <w:pPr>
              <w:spacing w:line="360" w:lineRule="auto"/>
              <w:jc w:val="center"/>
              <w:rPr>
                <w:rFonts w:ascii="宋体" w:hAnsi="宋体" w:cs="宋体"/>
                <w:color w:val="auto"/>
                <w:kern w:val="0"/>
                <w:sz w:val="23"/>
                <w:szCs w:val="23"/>
              </w:rPr>
            </w:pPr>
          </w:p>
        </w:tc>
        <w:tc>
          <w:tcPr>
            <w:tcW w:w="628" w:type="pct"/>
            <w:noWrap w:val="0"/>
            <w:vAlign w:val="center"/>
          </w:tcPr>
          <w:p w14:paraId="4F1C5798">
            <w:pPr>
              <w:spacing w:line="360" w:lineRule="auto"/>
              <w:jc w:val="center"/>
              <w:rPr>
                <w:rFonts w:ascii="宋体" w:hAnsi="宋体" w:cs="宋体"/>
                <w:color w:val="auto"/>
                <w:kern w:val="0"/>
                <w:sz w:val="23"/>
                <w:szCs w:val="23"/>
              </w:rPr>
            </w:pPr>
          </w:p>
        </w:tc>
        <w:tc>
          <w:tcPr>
            <w:tcW w:w="628" w:type="pct"/>
            <w:noWrap w:val="0"/>
            <w:vAlign w:val="center"/>
          </w:tcPr>
          <w:p w14:paraId="643C1F6A">
            <w:pPr>
              <w:spacing w:line="360" w:lineRule="auto"/>
              <w:jc w:val="center"/>
              <w:rPr>
                <w:rFonts w:ascii="宋体" w:hAnsi="宋体" w:cs="宋体"/>
                <w:color w:val="auto"/>
                <w:kern w:val="0"/>
                <w:sz w:val="23"/>
                <w:szCs w:val="23"/>
              </w:rPr>
            </w:pPr>
          </w:p>
        </w:tc>
        <w:tc>
          <w:tcPr>
            <w:tcW w:w="622" w:type="pct"/>
            <w:noWrap w:val="0"/>
            <w:vAlign w:val="center"/>
          </w:tcPr>
          <w:p w14:paraId="15C5D575">
            <w:pPr>
              <w:spacing w:line="360" w:lineRule="auto"/>
              <w:jc w:val="center"/>
              <w:rPr>
                <w:rFonts w:ascii="宋体" w:hAnsi="宋体" w:cs="宋体"/>
                <w:color w:val="auto"/>
                <w:kern w:val="0"/>
                <w:sz w:val="23"/>
                <w:szCs w:val="23"/>
              </w:rPr>
            </w:pPr>
          </w:p>
        </w:tc>
        <w:tc>
          <w:tcPr>
            <w:tcW w:w="616" w:type="pct"/>
            <w:noWrap w:val="0"/>
            <w:vAlign w:val="center"/>
          </w:tcPr>
          <w:p w14:paraId="7BED3575">
            <w:pPr>
              <w:spacing w:line="360" w:lineRule="auto"/>
              <w:jc w:val="center"/>
              <w:rPr>
                <w:rFonts w:ascii="宋体" w:hAnsi="宋体" w:cs="宋体"/>
                <w:color w:val="auto"/>
                <w:kern w:val="0"/>
                <w:sz w:val="23"/>
                <w:szCs w:val="23"/>
              </w:rPr>
            </w:pPr>
          </w:p>
        </w:tc>
      </w:tr>
      <w:tr w14:paraId="5E43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2440156A">
            <w:pPr>
              <w:spacing w:line="360" w:lineRule="auto"/>
              <w:jc w:val="center"/>
              <w:rPr>
                <w:rFonts w:ascii="宋体" w:hAnsi="宋体" w:cs="宋体"/>
                <w:color w:val="auto"/>
                <w:kern w:val="0"/>
                <w:sz w:val="23"/>
                <w:szCs w:val="23"/>
              </w:rPr>
            </w:pPr>
          </w:p>
        </w:tc>
        <w:tc>
          <w:tcPr>
            <w:tcW w:w="805" w:type="pct"/>
            <w:noWrap w:val="0"/>
            <w:vAlign w:val="center"/>
          </w:tcPr>
          <w:p w14:paraId="2F3EF4AC">
            <w:pPr>
              <w:spacing w:line="360" w:lineRule="auto"/>
              <w:jc w:val="center"/>
              <w:rPr>
                <w:rFonts w:ascii="宋体" w:hAnsi="宋体" w:cs="宋体"/>
                <w:color w:val="auto"/>
                <w:kern w:val="0"/>
                <w:sz w:val="23"/>
                <w:szCs w:val="23"/>
              </w:rPr>
            </w:pPr>
          </w:p>
        </w:tc>
        <w:tc>
          <w:tcPr>
            <w:tcW w:w="569" w:type="pct"/>
            <w:noWrap w:val="0"/>
            <w:vAlign w:val="center"/>
          </w:tcPr>
          <w:p w14:paraId="093FF5EA">
            <w:pPr>
              <w:spacing w:line="360" w:lineRule="auto"/>
              <w:jc w:val="center"/>
              <w:rPr>
                <w:rFonts w:ascii="宋体" w:hAnsi="宋体" w:cs="宋体"/>
                <w:color w:val="auto"/>
                <w:kern w:val="0"/>
                <w:sz w:val="23"/>
                <w:szCs w:val="23"/>
              </w:rPr>
            </w:pPr>
          </w:p>
        </w:tc>
        <w:tc>
          <w:tcPr>
            <w:tcW w:w="628" w:type="pct"/>
            <w:noWrap w:val="0"/>
            <w:vAlign w:val="center"/>
          </w:tcPr>
          <w:p w14:paraId="1CB74605">
            <w:pPr>
              <w:spacing w:line="360" w:lineRule="auto"/>
              <w:jc w:val="center"/>
              <w:rPr>
                <w:rFonts w:ascii="宋体" w:hAnsi="宋体" w:cs="宋体"/>
                <w:color w:val="auto"/>
                <w:kern w:val="0"/>
                <w:sz w:val="23"/>
                <w:szCs w:val="23"/>
              </w:rPr>
            </w:pPr>
          </w:p>
        </w:tc>
        <w:tc>
          <w:tcPr>
            <w:tcW w:w="628" w:type="pct"/>
            <w:noWrap w:val="0"/>
            <w:vAlign w:val="center"/>
          </w:tcPr>
          <w:p w14:paraId="3DBC7EC8">
            <w:pPr>
              <w:spacing w:line="360" w:lineRule="auto"/>
              <w:jc w:val="center"/>
              <w:rPr>
                <w:rFonts w:ascii="宋体" w:hAnsi="宋体" w:cs="宋体"/>
                <w:color w:val="auto"/>
                <w:kern w:val="0"/>
                <w:sz w:val="23"/>
                <w:szCs w:val="23"/>
              </w:rPr>
            </w:pPr>
          </w:p>
        </w:tc>
        <w:tc>
          <w:tcPr>
            <w:tcW w:w="628" w:type="pct"/>
            <w:noWrap w:val="0"/>
            <w:vAlign w:val="center"/>
          </w:tcPr>
          <w:p w14:paraId="309EBF36">
            <w:pPr>
              <w:spacing w:line="360" w:lineRule="auto"/>
              <w:jc w:val="center"/>
              <w:rPr>
                <w:rFonts w:ascii="宋体" w:hAnsi="宋体" w:cs="宋体"/>
                <w:color w:val="auto"/>
                <w:kern w:val="0"/>
                <w:sz w:val="23"/>
                <w:szCs w:val="23"/>
              </w:rPr>
            </w:pPr>
          </w:p>
        </w:tc>
        <w:tc>
          <w:tcPr>
            <w:tcW w:w="622" w:type="pct"/>
            <w:noWrap w:val="0"/>
            <w:vAlign w:val="center"/>
          </w:tcPr>
          <w:p w14:paraId="7B0C3825">
            <w:pPr>
              <w:spacing w:line="360" w:lineRule="auto"/>
              <w:jc w:val="center"/>
              <w:rPr>
                <w:rFonts w:ascii="宋体" w:hAnsi="宋体" w:cs="宋体"/>
                <w:color w:val="auto"/>
                <w:kern w:val="0"/>
                <w:sz w:val="23"/>
                <w:szCs w:val="23"/>
              </w:rPr>
            </w:pPr>
          </w:p>
        </w:tc>
        <w:tc>
          <w:tcPr>
            <w:tcW w:w="616" w:type="pct"/>
            <w:noWrap w:val="0"/>
            <w:vAlign w:val="center"/>
          </w:tcPr>
          <w:p w14:paraId="7CE66DBB">
            <w:pPr>
              <w:spacing w:line="360" w:lineRule="auto"/>
              <w:jc w:val="center"/>
              <w:rPr>
                <w:rFonts w:ascii="宋体" w:hAnsi="宋体" w:cs="宋体"/>
                <w:color w:val="auto"/>
                <w:kern w:val="0"/>
                <w:sz w:val="23"/>
                <w:szCs w:val="23"/>
              </w:rPr>
            </w:pPr>
          </w:p>
        </w:tc>
      </w:tr>
      <w:tr w14:paraId="535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75287A1D">
            <w:pPr>
              <w:spacing w:line="360" w:lineRule="auto"/>
              <w:jc w:val="center"/>
              <w:rPr>
                <w:rFonts w:ascii="宋体" w:hAnsi="宋体" w:cs="宋体"/>
                <w:color w:val="auto"/>
                <w:kern w:val="0"/>
                <w:sz w:val="23"/>
                <w:szCs w:val="23"/>
              </w:rPr>
            </w:pPr>
          </w:p>
        </w:tc>
        <w:tc>
          <w:tcPr>
            <w:tcW w:w="805" w:type="pct"/>
            <w:noWrap w:val="0"/>
            <w:vAlign w:val="center"/>
          </w:tcPr>
          <w:p w14:paraId="23E67B81">
            <w:pPr>
              <w:spacing w:line="360" w:lineRule="auto"/>
              <w:jc w:val="center"/>
              <w:rPr>
                <w:rFonts w:ascii="宋体" w:hAnsi="宋体" w:cs="宋体"/>
                <w:color w:val="auto"/>
                <w:kern w:val="0"/>
                <w:sz w:val="23"/>
                <w:szCs w:val="23"/>
              </w:rPr>
            </w:pPr>
          </w:p>
        </w:tc>
        <w:tc>
          <w:tcPr>
            <w:tcW w:w="569" w:type="pct"/>
            <w:noWrap w:val="0"/>
            <w:vAlign w:val="center"/>
          </w:tcPr>
          <w:p w14:paraId="57AB8176">
            <w:pPr>
              <w:spacing w:line="360" w:lineRule="auto"/>
              <w:jc w:val="center"/>
              <w:rPr>
                <w:rFonts w:ascii="宋体" w:hAnsi="宋体" w:cs="宋体"/>
                <w:color w:val="auto"/>
                <w:kern w:val="0"/>
                <w:sz w:val="23"/>
                <w:szCs w:val="23"/>
              </w:rPr>
            </w:pPr>
          </w:p>
        </w:tc>
        <w:tc>
          <w:tcPr>
            <w:tcW w:w="628" w:type="pct"/>
            <w:noWrap w:val="0"/>
            <w:vAlign w:val="center"/>
          </w:tcPr>
          <w:p w14:paraId="09708C6B">
            <w:pPr>
              <w:spacing w:line="360" w:lineRule="auto"/>
              <w:jc w:val="center"/>
              <w:rPr>
                <w:rFonts w:ascii="宋体" w:hAnsi="宋体" w:cs="宋体"/>
                <w:color w:val="auto"/>
                <w:kern w:val="0"/>
                <w:sz w:val="23"/>
                <w:szCs w:val="23"/>
              </w:rPr>
            </w:pPr>
          </w:p>
        </w:tc>
        <w:tc>
          <w:tcPr>
            <w:tcW w:w="628" w:type="pct"/>
            <w:noWrap w:val="0"/>
            <w:vAlign w:val="center"/>
          </w:tcPr>
          <w:p w14:paraId="4A61E856">
            <w:pPr>
              <w:spacing w:line="360" w:lineRule="auto"/>
              <w:jc w:val="center"/>
              <w:rPr>
                <w:rFonts w:ascii="宋体" w:hAnsi="宋体" w:cs="宋体"/>
                <w:color w:val="auto"/>
                <w:kern w:val="0"/>
                <w:sz w:val="23"/>
                <w:szCs w:val="23"/>
              </w:rPr>
            </w:pPr>
          </w:p>
        </w:tc>
        <w:tc>
          <w:tcPr>
            <w:tcW w:w="628" w:type="pct"/>
            <w:noWrap w:val="0"/>
            <w:vAlign w:val="center"/>
          </w:tcPr>
          <w:p w14:paraId="25BDC14C">
            <w:pPr>
              <w:spacing w:line="360" w:lineRule="auto"/>
              <w:jc w:val="center"/>
              <w:rPr>
                <w:rFonts w:ascii="宋体" w:hAnsi="宋体" w:cs="宋体"/>
                <w:color w:val="auto"/>
                <w:kern w:val="0"/>
                <w:sz w:val="23"/>
                <w:szCs w:val="23"/>
              </w:rPr>
            </w:pPr>
          </w:p>
        </w:tc>
        <w:tc>
          <w:tcPr>
            <w:tcW w:w="622" w:type="pct"/>
            <w:noWrap w:val="0"/>
            <w:vAlign w:val="center"/>
          </w:tcPr>
          <w:p w14:paraId="70CEF8B9">
            <w:pPr>
              <w:spacing w:line="360" w:lineRule="auto"/>
              <w:jc w:val="center"/>
              <w:rPr>
                <w:rFonts w:ascii="宋体" w:hAnsi="宋体" w:cs="宋体"/>
                <w:color w:val="auto"/>
                <w:kern w:val="0"/>
                <w:sz w:val="23"/>
                <w:szCs w:val="23"/>
              </w:rPr>
            </w:pPr>
          </w:p>
        </w:tc>
        <w:tc>
          <w:tcPr>
            <w:tcW w:w="616" w:type="pct"/>
            <w:noWrap w:val="0"/>
            <w:vAlign w:val="center"/>
          </w:tcPr>
          <w:p w14:paraId="07A0F96F">
            <w:pPr>
              <w:spacing w:line="360" w:lineRule="auto"/>
              <w:jc w:val="center"/>
              <w:rPr>
                <w:rFonts w:ascii="宋体" w:hAnsi="宋体" w:cs="宋体"/>
                <w:color w:val="auto"/>
                <w:kern w:val="0"/>
                <w:sz w:val="23"/>
                <w:szCs w:val="23"/>
              </w:rPr>
            </w:pPr>
          </w:p>
        </w:tc>
      </w:tr>
      <w:tr w14:paraId="0A13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3FC9318A">
            <w:pPr>
              <w:spacing w:line="360" w:lineRule="auto"/>
              <w:jc w:val="center"/>
              <w:rPr>
                <w:rFonts w:ascii="宋体" w:hAnsi="宋体" w:cs="宋体"/>
                <w:color w:val="auto"/>
                <w:kern w:val="0"/>
                <w:sz w:val="23"/>
                <w:szCs w:val="23"/>
              </w:rPr>
            </w:pPr>
          </w:p>
        </w:tc>
        <w:tc>
          <w:tcPr>
            <w:tcW w:w="805" w:type="pct"/>
            <w:noWrap w:val="0"/>
            <w:vAlign w:val="center"/>
          </w:tcPr>
          <w:p w14:paraId="5AC7E144">
            <w:pPr>
              <w:spacing w:line="360" w:lineRule="auto"/>
              <w:jc w:val="center"/>
              <w:rPr>
                <w:rFonts w:ascii="宋体" w:hAnsi="宋体" w:cs="宋体"/>
                <w:color w:val="auto"/>
                <w:kern w:val="0"/>
                <w:sz w:val="23"/>
                <w:szCs w:val="23"/>
              </w:rPr>
            </w:pPr>
          </w:p>
        </w:tc>
        <w:tc>
          <w:tcPr>
            <w:tcW w:w="569" w:type="pct"/>
            <w:noWrap w:val="0"/>
            <w:vAlign w:val="center"/>
          </w:tcPr>
          <w:p w14:paraId="243F2838">
            <w:pPr>
              <w:spacing w:line="360" w:lineRule="auto"/>
              <w:jc w:val="center"/>
              <w:rPr>
                <w:rFonts w:ascii="宋体" w:hAnsi="宋体" w:cs="宋体"/>
                <w:color w:val="auto"/>
                <w:kern w:val="0"/>
                <w:sz w:val="23"/>
                <w:szCs w:val="23"/>
              </w:rPr>
            </w:pPr>
          </w:p>
        </w:tc>
        <w:tc>
          <w:tcPr>
            <w:tcW w:w="628" w:type="pct"/>
            <w:noWrap w:val="0"/>
            <w:vAlign w:val="center"/>
          </w:tcPr>
          <w:p w14:paraId="6ACEAA28">
            <w:pPr>
              <w:spacing w:line="360" w:lineRule="auto"/>
              <w:jc w:val="center"/>
              <w:rPr>
                <w:rFonts w:ascii="宋体" w:hAnsi="宋体" w:cs="宋体"/>
                <w:color w:val="auto"/>
                <w:kern w:val="0"/>
                <w:sz w:val="23"/>
                <w:szCs w:val="23"/>
              </w:rPr>
            </w:pPr>
          </w:p>
        </w:tc>
        <w:tc>
          <w:tcPr>
            <w:tcW w:w="628" w:type="pct"/>
            <w:noWrap w:val="0"/>
            <w:vAlign w:val="center"/>
          </w:tcPr>
          <w:p w14:paraId="49786976">
            <w:pPr>
              <w:spacing w:line="360" w:lineRule="auto"/>
              <w:jc w:val="center"/>
              <w:rPr>
                <w:rFonts w:ascii="宋体" w:hAnsi="宋体" w:cs="宋体"/>
                <w:color w:val="auto"/>
                <w:kern w:val="0"/>
                <w:sz w:val="23"/>
                <w:szCs w:val="23"/>
              </w:rPr>
            </w:pPr>
          </w:p>
        </w:tc>
        <w:tc>
          <w:tcPr>
            <w:tcW w:w="628" w:type="pct"/>
            <w:noWrap w:val="0"/>
            <w:vAlign w:val="center"/>
          </w:tcPr>
          <w:p w14:paraId="1643C225">
            <w:pPr>
              <w:spacing w:line="360" w:lineRule="auto"/>
              <w:jc w:val="center"/>
              <w:rPr>
                <w:rFonts w:ascii="宋体" w:hAnsi="宋体" w:cs="宋体"/>
                <w:color w:val="auto"/>
                <w:kern w:val="0"/>
                <w:sz w:val="23"/>
                <w:szCs w:val="23"/>
              </w:rPr>
            </w:pPr>
          </w:p>
        </w:tc>
        <w:tc>
          <w:tcPr>
            <w:tcW w:w="622" w:type="pct"/>
            <w:noWrap w:val="0"/>
            <w:vAlign w:val="center"/>
          </w:tcPr>
          <w:p w14:paraId="1850CBBC">
            <w:pPr>
              <w:spacing w:line="360" w:lineRule="auto"/>
              <w:jc w:val="center"/>
              <w:rPr>
                <w:rFonts w:ascii="宋体" w:hAnsi="宋体" w:cs="宋体"/>
                <w:color w:val="auto"/>
                <w:kern w:val="0"/>
                <w:sz w:val="23"/>
                <w:szCs w:val="23"/>
              </w:rPr>
            </w:pPr>
          </w:p>
        </w:tc>
        <w:tc>
          <w:tcPr>
            <w:tcW w:w="616" w:type="pct"/>
            <w:noWrap w:val="0"/>
            <w:vAlign w:val="center"/>
          </w:tcPr>
          <w:p w14:paraId="531920D9">
            <w:pPr>
              <w:spacing w:line="360" w:lineRule="auto"/>
              <w:jc w:val="center"/>
              <w:rPr>
                <w:rFonts w:ascii="宋体" w:hAnsi="宋体" w:cs="宋体"/>
                <w:color w:val="auto"/>
                <w:kern w:val="0"/>
                <w:sz w:val="23"/>
                <w:szCs w:val="23"/>
              </w:rPr>
            </w:pPr>
          </w:p>
        </w:tc>
      </w:tr>
      <w:tr w14:paraId="75BE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640C922B">
            <w:pPr>
              <w:spacing w:line="360" w:lineRule="auto"/>
              <w:jc w:val="center"/>
              <w:rPr>
                <w:rFonts w:ascii="宋体" w:hAnsi="宋体" w:cs="宋体"/>
                <w:color w:val="auto"/>
                <w:kern w:val="0"/>
                <w:sz w:val="23"/>
                <w:szCs w:val="23"/>
              </w:rPr>
            </w:pPr>
          </w:p>
        </w:tc>
        <w:tc>
          <w:tcPr>
            <w:tcW w:w="805" w:type="pct"/>
            <w:noWrap w:val="0"/>
            <w:vAlign w:val="center"/>
          </w:tcPr>
          <w:p w14:paraId="6D493D0F">
            <w:pPr>
              <w:spacing w:line="360" w:lineRule="auto"/>
              <w:jc w:val="center"/>
              <w:rPr>
                <w:rFonts w:ascii="宋体" w:hAnsi="宋体" w:cs="宋体"/>
                <w:color w:val="auto"/>
                <w:kern w:val="0"/>
                <w:sz w:val="23"/>
                <w:szCs w:val="23"/>
              </w:rPr>
            </w:pPr>
          </w:p>
        </w:tc>
        <w:tc>
          <w:tcPr>
            <w:tcW w:w="569" w:type="pct"/>
            <w:noWrap w:val="0"/>
            <w:vAlign w:val="center"/>
          </w:tcPr>
          <w:p w14:paraId="2FE78EA5">
            <w:pPr>
              <w:spacing w:line="360" w:lineRule="auto"/>
              <w:jc w:val="center"/>
              <w:rPr>
                <w:rFonts w:ascii="宋体" w:hAnsi="宋体" w:cs="宋体"/>
                <w:color w:val="auto"/>
                <w:kern w:val="0"/>
                <w:sz w:val="23"/>
                <w:szCs w:val="23"/>
              </w:rPr>
            </w:pPr>
          </w:p>
        </w:tc>
        <w:tc>
          <w:tcPr>
            <w:tcW w:w="628" w:type="pct"/>
            <w:noWrap w:val="0"/>
            <w:vAlign w:val="center"/>
          </w:tcPr>
          <w:p w14:paraId="0DE84E28">
            <w:pPr>
              <w:spacing w:line="360" w:lineRule="auto"/>
              <w:jc w:val="center"/>
              <w:rPr>
                <w:rFonts w:ascii="宋体" w:hAnsi="宋体" w:cs="宋体"/>
                <w:color w:val="auto"/>
                <w:kern w:val="0"/>
                <w:sz w:val="23"/>
                <w:szCs w:val="23"/>
              </w:rPr>
            </w:pPr>
          </w:p>
        </w:tc>
        <w:tc>
          <w:tcPr>
            <w:tcW w:w="628" w:type="pct"/>
            <w:noWrap w:val="0"/>
            <w:vAlign w:val="center"/>
          </w:tcPr>
          <w:p w14:paraId="7A7F0CF7">
            <w:pPr>
              <w:spacing w:line="360" w:lineRule="auto"/>
              <w:jc w:val="center"/>
              <w:rPr>
                <w:rFonts w:ascii="宋体" w:hAnsi="宋体" w:cs="宋体"/>
                <w:color w:val="auto"/>
                <w:kern w:val="0"/>
                <w:sz w:val="23"/>
                <w:szCs w:val="23"/>
              </w:rPr>
            </w:pPr>
          </w:p>
        </w:tc>
        <w:tc>
          <w:tcPr>
            <w:tcW w:w="628" w:type="pct"/>
            <w:noWrap w:val="0"/>
            <w:vAlign w:val="center"/>
          </w:tcPr>
          <w:p w14:paraId="7E999FD5">
            <w:pPr>
              <w:spacing w:line="360" w:lineRule="auto"/>
              <w:jc w:val="center"/>
              <w:rPr>
                <w:rFonts w:ascii="宋体" w:hAnsi="宋体" w:cs="宋体"/>
                <w:color w:val="auto"/>
                <w:kern w:val="0"/>
                <w:sz w:val="23"/>
                <w:szCs w:val="23"/>
              </w:rPr>
            </w:pPr>
          </w:p>
        </w:tc>
        <w:tc>
          <w:tcPr>
            <w:tcW w:w="622" w:type="pct"/>
            <w:noWrap w:val="0"/>
            <w:vAlign w:val="center"/>
          </w:tcPr>
          <w:p w14:paraId="35F25AC3">
            <w:pPr>
              <w:spacing w:line="360" w:lineRule="auto"/>
              <w:jc w:val="center"/>
              <w:rPr>
                <w:rFonts w:ascii="宋体" w:hAnsi="宋体" w:cs="宋体"/>
                <w:color w:val="auto"/>
                <w:kern w:val="0"/>
                <w:sz w:val="23"/>
                <w:szCs w:val="23"/>
              </w:rPr>
            </w:pPr>
          </w:p>
        </w:tc>
        <w:tc>
          <w:tcPr>
            <w:tcW w:w="616" w:type="pct"/>
            <w:noWrap w:val="0"/>
            <w:vAlign w:val="center"/>
          </w:tcPr>
          <w:p w14:paraId="54E01A83">
            <w:pPr>
              <w:spacing w:line="360" w:lineRule="auto"/>
              <w:jc w:val="center"/>
              <w:rPr>
                <w:rFonts w:ascii="宋体" w:hAnsi="宋体" w:cs="宋体"/>
                <w:color w:val="auto"/>
                <w:kern w:val="0"/>
                <w:sz w:val="23"/>
                <w:szCs w:val="23"/>
              </w:rPr>
            </w:pPr>
          </w:p>
        </w:tc>
      </w:tr>
      <w:tr w14:paraId="565F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5458A38E">
            <w:pPr>
              <w:spacing w:line="360" w:lineRule="auto"/>
              <w:jc w:val="center"/>
              <w:rPr>
                <w:rFonts w:ascii="宋体" w:hAnsi="宋体" w:cs="宋体"/>
                <w:color w:val="auto"/>
                <w:kern w:val="0"/>
                <w:sz w:val="23"/>
                <w:szCs w:val="23"/>
              </w:rPr>
            </w:pPr>
          </w:p>
        </w:tc>
        <w:tc>
          <w:tcPr>
            <w:tcW w:w="805" w:type="pct"/>
            <w:noWrap w:val="0"/>
            <w:vAlign w:val="center"/>
          </w:tcPr>
          <w:p w14:paraId="219B43FF">
            <w:pPr>
              <w:spacing w:line="360" w:lineRule="auto"/>
              <w:jc w:val="center"/>
              <w:rPr>
                <w:rFonts w:ascii="宋体" w:hAnsi="宋体" w:cs="宋体"/>
                <w:color w:val="auto"/>
                <w:kern w:val="0"/>
                <w:sz w:val="23"/>
                <w:szCs w:val="23"/>
              </w:rPr>
            </w:pPr>
          </w:p>
        </w:tc>
        <w:tc>
          <w:tcPr>
            <w:tcW w:w="569" w:type="pct"/>
            <w:noWrap w:val="0"/>
            <w:vAlign w:val="center"/>
          </w:tcPr>
          <w:p w14:paraId="1BFFF418">
            <w:pPr>
              <w:spacing w:line="360" w:lineRule="auto"/>
              <w:jc w:val="center"/>
              <w:rPr>
                <w:rFonts w:ascii="宋体" w:hAnsi="宋体" w:cs="宋体"/>
                <w:color w:val="auto"/>
                <w:kern w:val="0"/>
                <w:sz w:val="23"/>
                <w:szCs w:val="23"/>
              </w:rPr>
            </w:pPr>
          </w:p>
        </w:tc>
        <w:tc>
          <w:tcPr>
            <w:tcW w:w="628" w:type="pct"/>
            <w:noWrap w:val="0"/>
            <w:vAlign w:val="center"/>
          </w:tcPr>
          <w:p w14:paraId="6AB46623">
            <w:pPr>
              <w:spacing w:line="360" w:lineRule="auto"/>
              <w:jc w:val="center"/>
              <w:rPr>
                <w:rFonts w:ascii="宋体" w:hAnsi="宋体" w:cs="宋体"/>
                <w:color w:val="auto"/>
                <w:kern w:val="0"/>
                <w:sz w:val="23"/>
                <w:szCs w:val="23"/>
              </w:rPr>
            </w:pPr>
          </w:p>
        </w:tc>
        <w:tc>
          <w:tcPr>
            <w:tcW w:w="628" w:type="pct"/>
            <w:noWrap w:val="0"/>
            <w:vAlign w:val="center"/>
          </w:tcPr>
          <w:p w14:paraId="2B3ECDD8">
            <w:pPr>
              <w:spacing w:line="360" w:lineRule="auto"/>
              <w:jc w:val="center"/>
              <w:rPr>
                <w:rFonts w:ascii="宋体" w:hAnsi="宋体" w:cs="宋体"/>
                <w:color w:val="auto"/>
                <w:kern w:val="0"/>
                <w:sz w:val="23"/>
                <w:szCs w:val="23"/>
              </w:rPr>
            </w:pPr>
          </w:p>
        </w:tc>
        <w:tc>
          <w:tcPr>
            <w:tcW w:w="628" w:type="pct"/>
            <w:noWrap w:val="0"/>
            <w:vAlign w:val="center"/>
          </w:tcPr>
          <w:p w14:paraId="65B71BAB">
            <w:pPr>
              <w:spacing w:line="360" w:lineRule="auto"/>
              <w:jc w:val="center"/>
              <w:rPr>
                <w:rFonts w:ascii="宋体" w:hAnsi="宋体" w:cs="宋体"/>
                <w:color w:val="auto"/>
                <w:kern w:val="0"/>
                <w:sz w:val="23"/>
                <w:szCs w:val="23"/>
              </w:rPr>
            </w:pPr>
          </w:p>
        </w:tc>
        <w:tc>
          <w:tcPr>
            <w:tcW w:w="622" w:type="pct"/>
            <w:noWrap w:val="0"/>
            <w:vAlign w:val="center"/>
          </w:tcPr>
          <w:p w14:paraId="31596E70">
            <w:pPr>
              <w:spacing w:line="360" w:lineRule="auto"/>
              <w:jc w:val="center"/>
              <w:rPr>
                <w:rFonts w:ascii="宋体" w:hAnsi="宋体" w:cs="宋体"/>
                <w:color w:val="auto"/>
                <w:kern w:val="0"/>
                <w:sz w:val="23"/>
                <w:szCs w:val="23"/>
              </w:rPr>
            </w:pPr>
          </w:p>
        </w:tc>
        <w:tc>
          <w:tcPr>
            <w:tcW w:w="616" w:type="pct"/>
            <w:noWrap w:val="0"/>
            <w:vAlign w:val="center"/>
          </w:tcPr>
          <w:p w14:paraId="53533AD8">
            <w:pPr>
              <w:spacing w:line="360" w:lineRule="auto"/>
              <w:jc w:val="center"/>
              <w:rPr>
                <w:rFonts w:ascii="宋体" w:hAnsi="宋体" w:cs="宋体"/>
                <w:color w:val="auto"/>
                <w:kern w:val="0"/>
                <w:sz w:val="23"/>
                <w:szCs w:val="23"/>
              </w:rPr>
            </w:pPr>
          </w:p>
        </w:tc>
      </w:tr>
      <w:tr w14:paraId="6002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1E99B704">
            <w:pPr>
              <w:spacing w:line="360" w:lineRule="auto"/>
              <w:jc w:val="center"/>
              <w:rPr>
                <w:rFonts w:ascii="宋体" w:hAnsi="宋体" w:cs="宋体"/>
                <w:color w:val="auto"/>
                <w:kern w:val="0"/>
                <w:sz w:val="23"/>
                <w:szCs w:val="23"/>
              </w:rPr>
            </w:pPr>
          </w:p>
        </w:tc>
        <w:tc>
          <w:tcPr>
            <w:tcW w:w="805" w:type="pct"/>
            <w:noWrap w:val="0"/>
            <w:vAlign w:val="center"/>
          </w:tcPr>
          <w:p w14:paraId="6289DAA4">
            <w:pPr>
              <w:spacing w:line="360" w:lineRule="auto"/>
              <w:jc w:val="center"/>
              <w:rPr>
                <w:rFonts w:ascii="宋体" w:hAnsi="宋体" w:cs="宋体"/>
                <w:color w:val="auto"/>
                <w:kern w:val="0"/>
                <w:sz w:val="23"/>
                <w:szCs w:val="23"/>
              </w:rPr>
            </w:pPr>
          </w:p>
        </w:tc>
        <w:tc>
          <w:tcPr>
            <w:tcW w:w="569" w:type="pct"/>
            <w:noWrap w:val="0"/>
            <w:vAlign w:val="center"/>
          </w:tcPr>
          <w:p w14:paraId="30B7BE00">
            <w:pPr>
              <w:spacing w:line="360" w:lineRule="auto"/>
              <w:jc w:val="center"/>
              <w:rPr>
                <w:rFonts w:ascii="宋体" w:hAnsi="宋体" w:cs="宋体"/>
                <w:color w:val="auto"/>
                <w:kern w:val="0"/>
                <w:sz w:val="23"/>
                <w:szCs w:val="23"/>
              </w:rPr>
            </w:pPr>
          </w:p>
        </w:tc>
        <w:tc>
          <w:tcPr>
            <w:tcW w:w="628" w:type="pct"/>
            <w:noWrap w:val="0"/>
            <w:vAlign w:val="center"/>
          </w:tcPr>
          <w:p w14:paraId="464BFD1D">
            <w:pPr>
              <w:spacing w:line="360" w:lineRule="auto"/>
              <w:jc w:val="center"/>
              <w:rPr>
                <w:rFonts w:ascii="宋体" w:hAnsi="宋体" w:cs="宋体"/>
                <w:color w:val="auto"/>
                <w:kern w:val="0"/>
                <w:sz w:val="23"/>
                <w:szCs w:val="23"/>
              </w:rPr>
            </w:pPr>
          </w:p>
        </w:tc>
        <w:tc>
          <w:tcPr>
            <w:tcW w:w="628" w:type="pct"/>
            <w:noWrap w:val="0"/>
            <w:vAlign w:val="center"/>
          </w:tcPr>
          <w:p w14:paraId="42E2B184">
            <w:pPr>
              <w:spacing w:line="360" w:lineRule="auto"/>
              <w:jc w:val="center"/>
              <w:rPr>
                <w:rFonts w:ascii="宋体" w:hAnsi="宋体" w:cs="宋体"/>
                <w:color w:val="auto"/>
                <w:kern w:val="0"/>
                <w:sz w:val="23"/>
                <w:szCs w:val="23"/>
              </w:rPr>
            </w:pPr>
          </w:p>
        </w:tc>
        <w:tc>
          <w:tcPr>
            <w:tcW w:w="628" w:type="pct"/>
            <w:noWrap w:val="0"/>
            <w:vAlign w:val="center"/>
          </w:tcPr>
          <w:p w14:paraId="24EDC137">
            <w:pPr>
              <w:spacing w:line="360" w:lineRule="auto"/>
              <w:jc w:val="center"/>
              <w:rPr>
                <w:rFonts w:ascii="宋体" w:hAnsi="宋体" w:cs="宋体"/>
                <w:color w:val="auto"/>
                <w:kern w:val="0"/>
                <w:sz w:val="23"/>
                <w:szCs w:val="23"/>
              </w:rPr>
            </w:pPr>
          </w:p>
        </w:tc>
        <w:tc>
          <w:tcPr>
            <w:tcW w:w="622" w:type="pct"/>
            <w:noWrap w:val="0"/>
            <w:vAlign w:val="center"/>
          </w:tcPr>
          <w:p w14:paraId="4806D1E3">
            <w:pPr>
              <w:spacing w:line="360" w:lineRule="auto"/>
              <w:jc w:val="center"/>
              <w:rPr>
                <w:rFonts w:ascii="宋体" w:hAnsi="宋体" w:cs="宋体"/>
                <w:color w:val="auto"/>
                <w:kern w:val="0"/>
                <w:sz w:val="23"/>
                <w:szCs w:val="23"/>
              </w:rPr>
            </w:pPr>
          </w:p>
        </w:tc>
        <w:tc>
          <w:tcPr>
            <w:tcW w:w="616" w:type="pct"/>
            <w:noWrap w:val="0"/>
            <w:vAlign w:val="center"/>
          </w:tcPr>
          <w:p w14:paraId="3CA59C49">
            <w:pPr>
              <w:spacing w:line="360" w:lineRule="auto"/>
              <w:jc w:val="center"/>
              <w:rPr>
                <w:rFonts w:ascii="宋体" w:hAnsi="宋体" w:cs="宋体"/>
                <w:color w:val="auto"/>
                <w:kern w:val="0"/>
                <w:sz w:val="23"/>
                <w:szCs w:val="23"/>
              </w:rPr>
            </w:pPr>
          </w:p>
        </w:tc>
      </w:tr>
      <w:tr w14:paraId="2EFA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6121820F">
            <w:pPr>
              <w:spacing w:line="360" w:lineRule="auto"/>
              <w:jc w:val="center"/>
              <w:rPr>
                <w:rFonts w:ascii="宋体" w:hAnsi="宋体" w:cs="宋体"/>
                <w:color w:val="auto"/>
                <w:kern w:val="0"/>
                <w:sz w:val="23"/>
                <w:szCs w:val="23"/>
              </w:rPr>
            </w:pPr>
          </w:p>
        </w:tc>
        <w:tc>
          <w:tcPr>
            <w:tcW w:w="805" w:type="pct"/>
            <w:noWrap w:val="0"/>
            <w:vAlign w:val="center"/>
          </w:tcPr>
          <w:p w14:paraId="55DED246">
            <w:pPr>
              <w:spacing w:line="360" w:lineRule="auto"/>
              <w:jc w:val="center"/>
              <w:rPr>
                <w:rFonts w:ascii="宋体" w:hAnsi="宋体" w:cs="宋体"/>
                <w:color w:val="auto"/>
                <w:kern w:val="0"/>
                <w:sz w:val="23"/>
                <w:szCs w:val="23"/>
              </w:rPr>
            </w:pPr>
          </w:p>
        </w:tc>
        <w:tc>
          <w:tcPr>
            <w:tcW w:w="569" w:type="pct"/>
            <w:noWrap w:val="0"/>
            <w:vAlign w:val="center"/>
          </w:tcPr>
          <w:p w14:paraId="6206A920">
            <w:pPr>
              <w:spacing w:line="360" w:lineRule="auto"/>
              <w:jc w:val="center"/>
              <w:rPr>
                <w:rFonts w:ascii="宋体" w:hAnsi="宋体" w:cs="宋体"/>
                <w:color w:val="auto"/>
                <w:kern w:val="0"/>
                <w:sz w:val="23"/>
                <w:szCs w:val="23"/>
              </w:rPr>
            </w:pPr>
          </w:p>
        </w:tc>
        <w:tc>
          <w:tcPr>
            <w:tcW w:w="628" w:type="pct"/>
            <w:noWrap w:val="0"/>
            <w:vAlign w:val="center"/>
          </w:tcPr>
          <w:p w14:paraId="1789B6A0">
            <w:pPr>
              <w:spacing w:line="360" w:lineRule="auto"/>
              <w:jc w:val="center"/>
              <w:rPr>
                <w:rFonts w:ascii="宋体" w:hAnsi="宋体" w:cs="宋体"/>
                <w:color w:val="auto"/>
                <w:kern w:val="0"/>
                <w:sz w:val="23"/>
                <w:szCs w:val="23"/>
              </w:rPr>
            </w:pPr>
          </w:p>
        </w:tc>
        <w:tc>
          <w:tcPr>
            <w:tcW w:w="628" w:type="pct"/>
            <w:noWrap w:val="0"/>
            <w:vAlign w:val="center"/>
          </w:tcPr>
          <w:p w14:paraId="68276193">
            <w:pPr>
              <w:spacing w:line="360" w:lineRule="auto"/>
              <w:jc w:val="center"/>
              <w:rPr>
                <w:rFonts w:ascii="宋体" w:hAnsi="宋体" w:cs="宋体"/>
                <w:color w:val="auto"/>
                <w:kern w:val="0"/>
                <w:sz w:val="23"/>
                <w:szCs w:val="23"/>
              </w:rPr>
            </w:pPr>
          </w:p>
        </w:tc>
        <w:tc>
          <w:tcPr>
            <w:tcW w:w="628" w:type="pct"/>
            <w:noWrap w:val="0"/>
            <w:vAlign w:val="center"/>
          </w:tcPr>
          <w:p w14:paraId="277B952F">
            <w:pPr>
              <w:spacing w:line="360" w:lineRule="auto"/>
              <w:jc w:val="center"/>
              <w:rPr>
                <w:rFonts w:ascii="宋体" w:hAnsi="宋体" w:cs="宋体"/>
                <w:color w:val="auto"/>
                <w:kern w:val="0"/>
                <w:sz w:val="23"/>
                <w:szCs w:val="23"/>
              </w:rPr>
            </w:pPr>
          </w:p>
        </w:tc>
        <w:tc>
          <w:tcPr>
            <w:tcW w:w="622" w:type="pct"/>
            <w:noWrap w:val="0"/>
            <w:vAlign w:val="center"/>
          </w:tcPr>
          <w:p w14:paraId="6F71F131">
            <w:pPr>
              <w:spacing w:line="360" w:lineRule="auto"/>
              <w:jc w:val="center"/>
              <w:rPr>
                <w:rFonts w:ascii="宋体" w:hAnsi="宋体" w:cs="宋体"/>
                <w:color w:val="auto"/>
                <w:kern w:val="0"/>
                <w:sz w:val="23"/>
                <w:szCs w:val="23"/>
              </w:rPr>
            </w:pPr>
          </w:p>
        </w:tc>
        <w:tc>
          <w:tcPr>
            <w:tcW w:w="616" w:type="pct"/>
            <w:noWrap w:val="0"/>
            <w:vAlign w:val="center"/>
          </w:tcPr>
          <w:p w14:paraId="44BDF9DF">
            <w:pPr>
              <w:spacing w:line="360" w:lineRule="auto"/>
              <w:jc w:val="center"/>
              <w:rPr>
                <w:rFonts w:ascii="宋体" w:hAnsi="宋体" w:cs="宋体"/>
                <w:color w:val="auto"/>
                <w:kern w:val="0"/>
                <w:sz w:val="23"/>
                <w:szCs w:val="23"/>
              </w:rPr>
            </w:pPr>
          </w:p>
        </w:tc>
      </w:tr>
      <w:tr w14:paraId="4CEE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4E009648">
            <w:pPr>
              <w:spacing w:line="360" w:lineRule="auto"/>
              <w:jc w:val="center"/>
              <w:rPr>
                <w:rFonts w:ascii="宋体" w:hAnsi="宋体" w:cs="宋体"/>
                <w:color w:val="auto"/>
                <w:kern w:val="0"/>
                <w:sz w:val="23"/>
                <w:szCs w:val="23"/>
              </w:rPr>
            </w:pPr>
          </w:p>
        </w:tc>
        <w:tc>
          <w:tcPr>
            <w:tcW w:w="805" w:type="pct"/>
            <w:noWrap w:val="0"/>
            <w:vAlign w:val="center"/>
          </w:tcPr>
          <w:p w14:paraId="675F6FAA">
            <w:pPr>
              <w:spacing w:line="360" w:lineRule="auto"/>
              <w:jc w:val="center"/>
              <w:rPr>
                <w:rFonts w:ascii="宋体" w:hAnsi="宋体" w:cs="宋体"/>
                <w:color w:val="auto"/>
                <w:kern w:val="0"/>
                <w:sz w:val="23"/>
                <w:szCs w:val="23"/>
              </w:rPr>
            </w:pPr>
          </w:p>
        </w:tc>
        <w:tc>
          <w:tcPr>
            <w:tcW w:w="569" w:type="pct"/>
            <w:noWrap w:val="0"/>
            <w:vAlign w:val="center"/>
          </w:tcPr>
          <w:p w14:paraId="5BFE8347">
            <w:pPr>
              <w:spacing w:line="360" w:lineRule="auto"/>
              <w:jc w:val="center"/>
              <w:rPr>
                <w:rFonts w:ascii="宋体" w:hAnsi="宋体" w:cs="宋体"/>
                <w:color w:val="auto"/>
                <w:kern w:val="0"/>
                <w:sz w:val="23"/>
                <w:szCs w:val="23"/>
              </w:rPr>
            </w:pPr>
          </w:p>
        </w:tc>
        <w:tc>
          <w:tcPr>
            <w:tcW w:w="628" w:type="pct"/>
            <w:noWrap w:val="0"/>
            <w:vAlign w:val="center"/>
          </w:tcPr>
          <w:p w14:paraId="727D229A">
            <w:pPr>
              <w:spacing w:line="360" w:lineRule="auto"/>
              <w:jc w:val="center"/>
              <w:rPr>
                <w:rFonts w:ascii="宋体" w:hAnsi="宋体" w:cs="宋体"/>
                <w:color w:val="auto"/>
                <w:kern w:val="0"/>
                <w:sz w:val="23"/>
                <w:szCs w:val="23"/>
              </w:rPr>
            </w:pPr>
          </w:p>
        </w:tc>
        <w:tc>
          <w:tcPr>
            <w:tcW w:w="628" w:type="pct"/>
            <w:noWrap w:val="0"/>
            <w:vAlign w:val="center"/>
          </w:tcPr>
          <w:p w14:paraId="7833D800">
            <w:pPr>
              <w:spacing w:line="360" w:lineRule="auto"/>
              <w:jc w:val="center"/>
              <w:rPr>
                <w:rFonts w:ascii="宋体" w:hAnsi="宋体" w:cs="宋体"/>
                <w:color w:val="auto"/>
                <w:kern w:val="0"/>
                <w:sz w:val="23"/>
                <w:szCs w:val="23"/>
              </w:rPr>
            </w:pPr>
          </w:p>
        </w:tc>
        <w:tc>
          <w:tcPr>
            <w:tcW w:w="628" w:type="pct"/>
            <w:noWrap w:val="0"/>
            <w:vAlign w:val="center"/>
          </w:tcPr>
          <w:p w14:paraId="1F5000EC">
            <w:pPr>
              <w:spacing w:line="360" w:lineRule="auto"/>
              <w:jc w:val="center"/>
              <w:rPr>
                <w:rFonts w:ascii="宋体" w:hAnsi="宋体" w:cs="宋体"/>
                <w:color w:val="auto"/>
                <w:kern w:val="0"/>
                <w:sz w:val="23"/>
                <w:szCs w:val="23"/>
              </w:rPr>
            </w:pPr>
          </w:p>
        </w:tc>
        <w:tc>
          <w:tcPr>
            <w:tcW w:w="622" w:type="pct"/>
            <w:noWrap w:val="0"/>
            <w:vAlign w:val="center"/>
          </w:tcPr>
          <w:p w14:paraId="70A9C567">
            <w:pPr>
              <w:spacing w:line="360" w:lineRule="auto"/>
              <w:jc w:val="center"/>
              <w:rPr>
                <w:rFonts w:ascii="宋体" w:hAnsi="宋体" w:cs="宋体"/>
                <w:color w:val="auto"/>
                <w:kern w:val="0"/>
                <w:sz w:val="23"/>
                <w:szCs w:val="23"/>
              </w:rPr>
            </w:pPr>
          </w:p>
        </w:tc>
        <w:tc>
          <w:tcPr>
            <w:tcW w:w="616" w:type="pct"/>
            <w:noWrap w:val="0"/>
            <w:vAlign w:val="center"/>
          </w:tcPr>
          <w:p w14:paraId="55D4C0B2">
            <w:pPr>
              <w:spacing w:line="360" w:lineRule="auto"/>
              <w:jc w:val="center"/>
              <w:rPr>
                <w:rFonts w:ascii="宋体" w:hAnsi="宋体" w:cs="宋体"/>
                <w:color w:val="auto"/>
                <w:kern w:val="0"/>
                <w:sz w:val="23"/>
                <w:szCs w:val="23"/>
              </w:rPr>
            </w:pPr>
          </w:p>
        </w:tc>
      </w:tr>
      <w:tr w14:paraId="3FFA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center"/>
          </w:tcPr>
          <w:p w14:paraId="48D1264D">
            <w:pPr>
              <w:spacing w:line="360" w:lineRule="auto"/>
              <w:jc w:val="center"/>
              <w:rPr>
                <w:rFonts w:ascii="宋体" w:hAnsi="宋体" w:cs="宋体"/>
                <w:color w:val="auto"/>
                <w:kern w:val="0"/>
                <w:sz w:val="23"/>
                <w:szCs w:val="23"/>
              </w:rPr>
            </w:pPr>
          </w:p>
        </w:tc>
        <w:tc>
          <w:tcPr>
            <w:tcW w:w="805" w:type="pct"/>
            <w:noWrap w:val="0"/>
            <w:vAlign w:val="center"/>
          </w:tcPr>
          <w:p w14:paraId="746978A0">
            <w:pPr>
              <w:spacing w:line="360" w:lineRule="auto"/>
              <w:jc w:val="center"/>
              <w:rPr>
                <w:rFonts w:ascii="宋体" w:hAnsi="宋体" w:cs="宋体"/>
                <w:color w:val="auto"/>
                <w:kern w:val="0"/>
                <w:sz w:val="23"/>
                <w:szCs w:val="23"/>
              </w:rPr>
            </w:pPr>
          </w:p>
        </w:tc>
        <w:tc>
          <w:tcPr>
            <w:tcW w:w="569" w:type="pct"/>
            <w:noWrap w:val="0"/>
            <w:vAlign w:val="center"/>
          </w:tcPr>
          <w:p w14:paraId="146584F1">
            <w:pPr>
              <w:spacing w:line="360" w:lineRule="auto"/>
              <w:jc w:val="center"/>
              <w:rPr>
                <w:rFonts w:ascii="宋体" w:hAnsi="宋体" w:cs="宋体"/>
                <w:color w:val="auto"/>
                <w:kern w:val="0"/>
                <w:sz w:val="23"/>
                <w:szCs w:val="23"/>
              </w:rPr>
            </w:pPr>
          </w:p>
        </w:tc>
        <w:tc>
          <w:tcPr>
            <w:tcW w:w="628" w:type="pct"/>
            <w:noWrap w:val="0"/>
            <w:vAlign w:val="center"/>
          </w:tcPr>
          <w:p w14:paraId="2E4E6C9E">
            <w:pPr>
              <w:spacing w:line="360" w:lineRule="auto"/>
              <w:jc w:val="center"/>
              <w:rPr>
                <w:rFonts w:ascii="宋体" w:hAnsi="宋体" w:cs="宋体"/>
                <w:color w:val="auto"/>
                <w:kern w:val="0"/>
                <w:sz w:val="23"/>
                <w:szCs w:val="23"/>
              </w:rPr>
            </w:pPr>
          </w:p>
        </w:tc>
        <w:tc>
          <w:tcPr>
            <w:tcW w:w="628" w:type="pct"/>
            <w:noWrap w:val="0"/>
            <w:vAlign w:val="center"/>
          </w:tcPr>
          <w:p w14:paraId="70CC8645">
            <w:pPr>
              <w:spacing w:line="360" w:lineRule="auto"/>
              <w:jc w:val="center"/>
              <w:rPr>
                <w:rFonts w:ascii="宋体" w:hAnsi="宋体" w:cs="宋体"/>
                <w:color w:val="auto"/>
                <w:kern w:val="0"/>
                <w:sz w:val="23"/>
                <w:szCs w:val="23"/>
              </w:rPr>
            </w:pPr>
          </w:p>
        </w:tc>
        <w:tc>
          <w:tcPr>
            <w:tcW w:w="628" w:type="pct"/>
            <w:noWrap w:val="0"/>
            <w:vAlign w:val="center"/>
          </w:tcPr>
          <w:p w14:paraId="218D3CA0">
            <w:pPr>
              <w:spacing w:line="360" w:lineRule="auto"/>
              <w:jc w:val="center"/>
              <w:rPr>
                <w:rFonts w:ascii="宋体" w:hAnsi="宋体" w:cs="宋体"/>
                <w:color w:val="auto"/>
                <w:kern w:val="0"/>
                <w:sz w:val="23"/>
                <w:szCs w:val="23"/>
              </w:rPr>
            </w:pPr>
          </w:p>
        </w:tc>
        <w:tc>
          <w:tcPr>
            <w:tcW w:w="622" w:type="pct"/>
            <w:noWrap w:val="0"/>
            <w:vAlign w:val="center"/>
          </w:tcPr>
          <w:p w14:paraId="16F06783">
            <w:pPr>
              <w:spacing w:line="360" w:lineRule="auto"/>
              <w:jc w:val="center"/>
              <w:rPr>
                <w:rFonts w:ascii="宋体" w:hAnsi="宋体" w:cs="宋体"/>
                <w:color w:val="auto"/>
                <w:kern w:val="0"/>
                <w:sz w:val="23"/>
                <w:szCs w:val="23"/>
              </w:rPr>
            </w:pPr>
          </w:p>
        </w:tc>
        <w:tc>
          <w:tcPr>
            <w:tcW w:w="616" w:type="pct"/>
            <w:noWrap w:val="0"/>
            <w:vAlign w:val="center"/>
          </w:tcPr>
          <w:p w14:paraId="17E95994">
            <w:pPr>
              <w:spacing w:line="360" w:lineRule="auto"/>
              <w:jc w:val="center"/>
              <w:rPr>
                <w:rFonts w:ascii="宋体" w:hAnsi="宋体" w:cs="宋体"/>
                <w:color w:val="auto"/>
                <w:kern w:val="0"/>
                <w:sz w:val="23"/>
                <w:szCs w:val="23"/>
              </w:rPr>
            </w:pPr>
          </w:p>
        </w:tc>
      </w:tr>
    </w:tbl>
    <w:p w14:paraId="11BE9D53">
      <w:pPr>
        <w:spacing w:line="360" w:lineRule="auto"/>
        <w:rPr>
          <w:rFonts w:ascii="宋体" w:hAnsi="宋体" w:cs="宋体"/>
          <w:color w:val="auto"/>
          <w:kern w:val="0"/>
          <w:sz w:val="23"/>
          <w:szCs w:val="23"/>
        </w:rPr>
      </w:pPr>
    </w:p>
    <w:p w14:paraId="4A468FDA">
      <w:pPr>
        <w:pStyle w:val="3"/>
        <w:rPr>
          <w:color w:val="auto"/>
        </w:rPr>
      </w:pPr>
    </w:p>
    <w:p w14:paraId="01D6E7BD">
      <w:pPr>
        <w:pStyle w:val="73"/>
        <w:ind w:firstLine="4140" w:firstLineChars="1800"/>
        <w:rPr>
          <w:rFonts w:ascii="宋体" w:hAnsi="宋体" w:cs="宋体"/>
          <w:color w:val="auto"/>
          <w:sz w:val="23"/>
          <w:szCs w:val="23"/>
        </w:rPr>
      </w:pPr>
    </w:p>
    <w:p w14:paraId="08A811AC">
      <w:pPr>
        <w:pStyle w:val="73"/>
        <w:jc w:val="left"/>
        <w:rPr>
          <w:rFonts w:ascii="宋体" w:hAnsi="宋体" w:cs="宋体"/>
          <w:color w:val="auto"/>
          <w:sz w:val="23"/>
          <w:szCs w:val="23"/>
        </w:rPr>
      </w:pPr>
      <w:r>
        <w:rPr>
          <w:rFonts w:hint="eastAsia" w:ascii="宋体" w:hAnsi="宋体" w:cs="宋体"/>
          <w:color w:val="auto"/>
          <w:sz w:val="23"/>
          <w:szCs w:val="23"/>
        </w:rPr>
        <w:t>供应商名称（公章）：</w:t>
      </w:r>
    </w:p>
    <w:p w14:paraId="7AE34B0E">
      <w:pPr>
        <w:pStyle w:val="73"/>
        <w:jc w:val="left"/>
        <w:rPr>
          <w:rFonts w:ascii="宋体" w:hAnsi="宋体" w:cs="宋体"/>
          <w:color w:val="auto"/>
          <w:sz w:val="23"/>
          <w:szCs w:val="23"/>
          <w:lang w:val="en-US"/>
        </w:rPr>
      </w:pPr>
      <w:r>
        <w:rPr>
          <w:rFonts w:hint="eastAsia" w:ascii="宋体" w:hAnsi="宋体" w:cs="宋体"/>
          <w:color w:val="auto"/>
          <w:sz w:val="23"/>
          <w:szCs w:val="23"/>
        </w:rPr>
        <w:t xml:space="preserve">日期：   </w:t>
      </w:r>
      <w:r>
        <w:rPr>
          <w:rFonts w:hint="eastAsia" w:ascii="宋体" w:hAnsi="宋体" w:cs="宋体"/>
          <w:color w:val="auto"/>
          <w:sz w:val="23"/>
          <w:szCs w:val="23"/>
          <w:lang w:val="en-US"/>
        </w:rPr>
        <w:t>年   月   日</w:t>
      </w:r>
    </w:p>
    <w:p w14:paraId="3B4F7687">
      <w:pPr>
        <w:pStyle w:val="73"/>
        <w:jc w:val="left"/>
        <w:rPr>
          <w:rFonts w:hint="eastAsia" w:ascii="宋体" w:hAnsi="宋体" w:cs="宋体"/>
          <w:color w:val="auto"/>
          <w:sz w:val="23"/>
          <w:szCs w:val="23"/>
        </w:rPr>
      </w:pPr>
      <w:r>
        <w:rPr>
          <w:rFonts w:hint="eastAsia" w:ascii="宋体" w:hAnsi="宋体" w:cs="宋体"/>
          <w:color w:val="auto"/>
          <w:sz w:val="23"/>
          <w:szCs w:val="23"/>
        </w:rPr>
        <w:t>法定代表人或授权人签字：</w:t>
      </w:r>
    </w:p>
    <w:p w14:paraId="2870EA37">
      <w:pPr>
        <w:jc w:val="center"/>
        <w:rPr>
          <w:rFonts w:hint="eastAsia" w:ascii="宋体" w:hAnsi="宋体" w:eastAsia="宋体"/>
          <w:b/>
          <w:bCs/>
          <w:color w:val="auto"/>
          <w:sz w:val="32"/>
          <w:szCs w:val="32"/>
          <w:lang w:val="zh-CN"/>
        </w:rPr>
      </w:pPr>
    </w:p>
    <w:p w14:paraId="76B48925">
      <w:pPr>
        <w:rPr>
          <w:rFonts w:hint="eastAsia" w:ascii="宋体" w:hAnsi="宋体" w:eastAsia="宋体"/>
          <w:b/>
          <w:bCs/>
          <w:color w:val="auto"/>
          <w:sz w:val="32"/>
          <w:szCs w:val="32"/>
          <w:lang w:val="zh-CN"/>
        </w:rPr>
      </w:pPr>
      <w:r>
        <w:rPr>
          <w:rFonts w:hint="eastAsia" w:ascii="宋体" w:hAnsi="宋体" w:eastAsia="宋体"/>
          <w:b/>
          <w:bCs/>
          <w:color w:val="auto"/>
          <w:sz w:val="32"/>
          <w:szCs w:val="32"/>
          <w:lang w:val="zh-CN"/>
        </w:rPr>
        <w:br w:type="page"/>
      </w:r>
    </w:p>
    <w:p w14:paraId="4EDDB902">
      <w:pPr>
        <w:jc w:val="center"/>
        <w:rPr>
          <w:rFonts w:ascii="宋体" w:hAnsi="宋体" w:eastAsia="宋体"/>
          <w:b/>
          <w:bCs/>
          <w:color w:val="auto"/>
          <w:sz w:val="32"/>
          <w:szCs w:val="32"/>
          <w:lang w:val="zh-CN"/>
        </w:rPr>
      </w:pPr>
      <w:r>
        <w:rPr>
          <w:rFonts w:hint="eastAsia" w:ascii="宋体" w:hAnsi="宋体" w:eastAsia="宋体"/>
          <w:b/>
          <w:bCs/>
          <w:color w:val="auto"/>
          <w:sz w:val="32"/>
          <w:szCs w:val="32"/>
          <w:lang w:val="en-US" w:eastAsia="zh-CN"/>
        </w:rPr>
        <w:t>格式三、</w:t>
      </w:r>
      <w:r>
        <w:rPr>
          <w:rFonts w:hint="eastAsia" w:ascii="宋体" w:hAnsi="宋体" w:eastAsia="宋体"/>
          <w:b/>
          <w:bCs/>
          <w:color w:val="auto"/>
          <w:sz w:val="32"/>
          <w:szCs w:val="32"/>
          <w:lang w:val="zh-CN"/>
        </w:rPr>
        <w:t>响应函</w:t>
      </w:r>
      <w:bookmarkEnd w:id="79"/>
      <w:bookmarkEnd w:id="80"/>
    </w:p>
    <w:p w14:paraId="1AE2F43F">
      <w:pPr>
        <w:autoSpaceDE w:val="0"/>
        <w:autoSpaceDN w:val="0"/>
        <w:adjustRightInd w:val="0"/>
        <w:snapToGrid w:val="0"/>
        <w:spacing w:line="360" w:lineRule="auto"/>
        <w:rPr>
          <w:rFonts w:ascii="宋体" w:hAnsi="宋体" w:eastAsia="宋体"/>
          <w:color w:val="auto"/>
          <w:kern w:val="0"/>
          <w:sz w:val="24"/>
          <w:szCs w:val="24"/>
          <w:lang w:val="zh-CN"/>
        </w:rPr>
      </w:pPr>
    </w:p>
    <w:p w14:paraId="32F282C2">
      <w:pPr>
        <w:autoSpaceDE w:val="0"/>
        <w:autoSpaceDN w:val="0"/>
        <w:adjustRightInd w:val="0"/>
        <w:snapToGrid w:val="0"/>
        <w:spacing w:line="360" w:lineRule="auto"/>
        <w:rPr>
          <w:rFonts w:ascii="宋体" w:hAnsi="宋体" w:eastAsia="宋体"/>
          <w:color w:val="auto"/>
          <w:kern w:val="0"/>
          <w:sz w:val="24"/>
          <w:szCs w:val="24"/>
          <w:u w:val="single"/>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采购人）</w:t>
      </w:r>
      <w:r>
        <w:rPr>
          <w:rFonts w:hint="eastAsia" w:ascii="宋体" w:hAnsi="宋体" w:eastAsia="宋体" w:cs="宋体"/>
          <w:color w:val="auto"/>
          <w:kern w:val="0"/>
          <w:sz w:val="24"/>
          <w:szCs w:val="24"/>
          <w:lang w:val="zh-CN"/>
        </w:rPr>
        <w:t>：</w:t>
      </w:r>
    </w:p>
    <w:p w14:paraId="334CE749">
      <w:pPr>
        <w:autoSpaceDE w:val="0"/>
        <w:autoSpaceDN w:val="0"/>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根据你方</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lang w:val="zh-CN"/>
        </w:rPr>
        <w:t>的编号为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磋商文件，我方正式授权的下述签字人</w:t>
      </w:r>
      <w:r>
        <w:rPr>
          <w:rFonts w:hint="eastAsia" w:ascii="宋体" w:hAnsi="宋体" w:eastAsia="宋体" w:cs="宋体"/>
          <w:color w:val="auto"/>
          <w:sz w:val="24"/>
          <w:szCs w:val="24"/>
          <w:u w:val="single"/>
          <w:lang w:val="zh-CN"/>
        </w:rPr>
        <w:t>（姓名和职务）</w:t>
      </w:r>
      <w:r>
        <w:rPr>
          <w:rFonts w:hint="eastAsia" w:ascii="宋体" w:hAnsi="宋体" w:eastAsia="宋体" w:cs="宋体"/>
          <w:color w:val="auto"/>
          <w:sz w:val="24"/>
          <w:szCs w:val="24"/>
          <w:lang w:val="zh-CN"/>
        </w:rPr>
        <w:t>代表我方</w:t>
      </w:r>
      <w:r>
        <w:rPr>
          <w:rFonts w:hint="eastAsia" w:ascii="宋体" w:hAnsi="宋体" w:eastAsia="宋体" w:cs="宋体"/>
          <w:color w:val="auto"/>
          <w:sz w:val="24"/>
          <w:szCs w:val="24"/>
          <w:u w:val="single"/>
          <w:lang w:val="zh-CN"/>
        </w:rPr>
        <w:t>（</w:t>
      </w:r>
      <w:r>
        <w:rPr>
          <w:rFonts w:hint="eastAsia" w:ascii="宋体" w:hAnsi="宋体" w:eastAsia="宋体" w:cs="宋体"/>
          <w:bCs/>
          <w:color w:val="auto"/>
          <w:sz w:val="24"/>
          <w:szCs w:val="24"/>
          <w:u w:val="single"/>
          <w:lang w:val="zh-CN"/>
        </w:rPr>
        <w:t>供应商</w:t>
      </w:r>
      <w:r>
        <w:rPr>
          <w:rFonts w:hint="eastAsia" w:ascii="宋体" w:hAnsi="宋体" w:eastAsia="宋体" w:cs="宋体"/>
          <w:color w:val="auto"/>
          <w:sz w:val="24"/>
          <w:szCs w:val="24"/>
          <w:u w:val="single"/>
          <w:lang w:val="zh-CN"/>
        </w:rPr>
        <w:t>的名称）</w:t>
      </w:r>
      <w:r>
        <w:rPr>
          <w:rFonts w:hint="eastAsia" w:ascii="宋体" w:hAnsi="宋体" w:eastAsia="宋体" w:cs="宋体"/>
          <w:color w:val="auto"/>
          <w:sz w:val="24"/>
          <w:szCs w:val="24"/>
          <w:lang w:val="zh-CN"/>
        </w:rPr>
        <w:t>，按照你方磋商文件的规定，提交全部</w:t>
      </w:r>
      <w:r>
        <w:rPr>
          <w:rFonts w:hint="eastAsia" w:ascii="宋体" w:hAnsi="宋体" w:eastAsia="宋体" w:cs="宋体"/>
          <w:color w:val="auto"/>
          <w:sz w:val="24"/>
          <w:szCs w:val="24"/>
          <w:lang w:val="en-US" w:eastAsia="zh-CN"/>
        </w:rPr>
        <w:t>磋商响应</w:t>
      </w:r>
      <w:r>
        <w:rPr>
          <w:rFonts w:hint="eastAsia" w:ascii="宋体" w:hAnsi="宋体" w:eastAsia="宋体" w:cs="宋体"/>
          <w:color w:val="auto"/>
          <w:sz w:val="24"/>
          <w:szCs w:val="24"/>
          <w:lang w:val="zh-CN"/>
        </w:rPr>
        <w:t>文件，并保证所提供的全部文件是真实的、有效的和准确的。</w:t>
      </w:r>
    </w:p>
    <w:p w14:paraId="422706E4">
      <w:pPr>
        <w:autoSpaceDE w:val="0"/>
        <w:autoSpaceDN w:val="0"/>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据此函，签字人兹宣布同意如下：</w:t>
      </w:r>
    </w:p>
    <w:p w14:paraId="012C5B5C">
      <w:pPr>
        <w:tabs>
          <w:tab w:val="left" w:pos="8175"/>
        </w:tabs>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1.</w:t>
      </w:r>
      <w:r>
        <w:rPr>
          <w:rFonts w:hint="eastAsia" w:ascii="宋体" w:hAnsi="宋体" w:eastAsia="宋体" w:cs="宋体"/>
          <w:color w:val="auto"/>
          <w:sz w:val="24"/>
          <w:szCs w:val="24"/>
          <w:lang w:val="zh-CN"/>
        </w:rPr>
        <w:t>按磋商文件规定提供的报价为：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p>
    <w:p w14:paraId="50ADD315">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2.</w:t>
      </w:r>
      <w:r>
        <w:rPr>
          <w:rFonts w:hint="eastAsia" w:ascii="宋体" w:hAnsi="宋体" w:eastAsia="宋体" w:cs="宋体"/>
          <w:color w:val="auto"/>
          <w:sz w:val="24"/>
          <w:szCs w:val="24"/>
          <w:lang w:val="zh-CN"/>
        </w:rPr>
        <w:t>如果我方成交，我们保证根据磋商文件规定履行合同责任和义务。具体</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zh-CN"/>
        </w:rPr>
        <w:t>承诺如下：</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p>
    <w:p w14:paraId="4B90145A">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3.</w:t>
      </w:r>
      <w:r>
        <w:rPr>
          <w:rFonts w:hint="eastAsia" w:ascii="宋体" w:hAnsi="宋体" w:eastAsia="宋体" w:cs="宋体"/>
          <w:color w:val="auto"/>
          <w:sz w:val="24"/>
          <w:szCs w:val="24"/>
          <w:lang w:val="zh-CN"/>
        </w:rPr>
        <w:t>我方人民币</w:t>
      </w:r>
      <w:r>
        <w:rPr>
          <w:rFonts w:hint="eastAsia" w:ascii="宋体" w:hAnsi="宋体" w:eastAsia="宋体" w:cs="宋体"/>
          <w:color w:val="auto"/>
          <w:sz w:val="24"/>
          <w:szCs w:val="24"/>
          <w:u w:val="single"/>
          <w:lang w:val="zh-CN"/>
        </w:rPr>
        <w:t xml:space="preserve">  /   </w:t>
      </w:r>
      <w:r>
        <w:rPr>
          <w:rFonts w:hint="eastAsia" w:ascii="宋体" w:hAnsi="宋体" w:eastAsia="宋体" w:cs="宋体"/>
          <w:color w:val="auto"/>
          <w:sz w:val="24"/>
          <w:szCs w:val="24"/>
          <w:lang w:val="zh-CN"/>
        </w:rPr>
        <w:t>元的磋商保证金与本响应文件同时提交。</w:t>
      </w:r>
    </w:p>
    <w:p w14:paraId="7E9E37C6">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4.</w:t>
      </w:r>
      <w:r>
        <w:rPr>
          <w:rFonts w:hint="eastAsia" w:ascii="宋体" w:hAnsi="宋体" w:eastAsia="宋体" w:cs="宋体"/>
          <w:color w:val="auto"/>
          <w:sz w:val="24"/>
          <w:szCs w:val="24"/>
          <w:lang w:val="zh-CN"/>
        </w:rPr>
        <w:t>如果我方成交，我方保证按照磋商文件规定提交履约保证金，承担履约责任。</w:t>
      </w:r>
    </w:p>
    <w:p w14:paraId="5A6651E0">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5.</w:t>
      </w:r>
      <w:r>
        <w:rPr>
          <w:rFonts w:hint="eastAsia" w:ascii="宋体" w:hAnsi="宋体" w:eastAsia="宋体" w:cs="宋体"/>
          <w:color w:val="auto"/>
          <w:sz w:val="24"/>
          <w:szCs w:val="24"/>
          <w:lang w:val="zh-CN"/>
        </w:rPr>
        <w:t>我们已详细阅读了全部磋商文件，包括磋商文件的修改、补充文件、参考资料及有关的附件，我们接受磋商文件的全部条款和条件。</w:t>
      </w:r>
    </w:p>
    <w:p w14:paraId="32AD42AC">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6.</w:t>
      </w:r>
      <w:r>
        <w:rPr>
          <w:rFonts w:hint="eastAsia" w:ascii="宋体" w:hAnsi="宋体" w:eastAsia="宋体" w:cs="宋体"/>
          <w:color w:val="auto"/>
          <w:sz w:val="24"/>
          <w:szCs w:val="24"/>
          <w:lang w:val="zh-CN"/>
        </w:rPr>
        <w:t>我们对磋商文件关于时限、程序方面的规定没有异议，保证按照磋商文件规定的时限和程序参加磋商活动。</w:t>
      </w:r>
    </w:p>
    <w:p w14:paraId="069BEE86">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7.</w:t>
      </w:r>
      <w:r>
        <w:rPr>
          <w:rFonts w:hint="eastAsia" w:ascii="宋体" w:hAnsi="宋体" w:eastAsia="宋体" w:cs="宋体"/>
          <w:color w:val="auto"/>
          <w:sz w:val="24"/>
          <w:szCs w:val="24"/>
          <w:lang w:val="zh-CN"/>
        </w:rPr>
        <w:t>我们同意在供应商须知规定的响应时间起遵循本响应文件，并在供应商须知规定的响应有效期满之前均具有约束力。</w:t>
      </w:r>
    </w:p>
    <w:p w14:paraId="4E21132E">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8.</w:t>
      </w:r>
      <w:r>
        <w:rPr>
          <w:rFonts w:hint="eastAsia" w:ascii="宋体" w:hAnsi="宋体" w:eastAsia="宋体" w:cs="宋体"/>
          <w:color w:val="auto"/>
          <w:sz w:val="24"/>
          <w:szCs w:val="24"/>
          <w:lang w:val="zh-CN"/>
        </w:rPr>
        <w:t>我们如果在规定的响应有效期内撤回响应文件，则你方可不予退还我们的磋商保证金。</w:t>
      </w:r>
    </w:p>
    <w:p w14:paraId="026B6C8E">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9.</w:t>
      </w:r>
      <w:r>
        <w:rPr>
          <w:rFonts w:hint="eastAsia" w:ascii="宋体" w:hAnsi="宋体" w:eastAsia="宋体" w:cs="宋体"/>
          <w:color w:val="auto"/>
          <w:sz w:val="24"/>
          <w:szCs w:val="24"/>
          <w:lang w:val="zh-CN"/>
        </w:rPr>
        <w:t>我们保证向你方提供你方可能要求的与本响应文件有关的任何证据或资料。</w:t>
      </w:r>
    </w:p>
    <w:p w14:paraId="73C25BF2">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10.</w:t>
      </w:r>
      <w:r>
        <w:rPr>
          <w:rFonts w:hint="eastAsia" w:ascii="宋体" w:hAnsi="宋体" w:eastAsia="宋体" w:cs="宋体"/>
          <w:color w:val="auto"/>
          <w:sz w:val="24"/>
          <w:szCs w:val="24"/>
          <w:lang w:val="zh-CN"/>
        </w:rPr>
        <w:t>我们完全理解你方不一定要接受最低报价的响应或收到的任何响应文件。</w:t>
      </w:r>
    </w:p>
    <w:p w14:paraId="6E743528">
      <w:pPr>
        <w:autoSpaceDE w:val="0"/>
        <w:autoSpaceDN w:val="0"/>
        <w:adjustRightInd w:val="0"/>
        <w:snapToGrid w:val="0"/>
        <w:spacing w:line="360" w:lineRule="auto"/>
        <w:ind w:firstLine="480"/>
        <w:rPr>
          <w:rFonts w:ascii="宋体" w:hAnsi="宋体" w:eastAsia="宋体"/>
          <w:color w:val="auto"/>
          <w:sz w:val="24"/>
          <w:szCs w:val="24"/>
          <w:lang w:val="zh-CN"/>
        </w:rPr>
      </w:pPr>
      <w:r>
        <w:rPr>
          <w:rFonts w:ascii="宋体" w:hAnsi="宋体" w:eastAsia="宋体" w:cs="宋体"/>
          <w:color w:val="auto"/>
          <w:sz w:val="24"/>
          <w:szCs w:val="24"/>
          <w:lang w:val="zh-CN"/>
        </w:rPr>
        <w:t>11.</w:t>
      </w:r>
      <w:r>
        <w:rPr>
          <w:rFonts w:hint="eastAsia" w:ascii="宋体" w:hAnsi="宋体" w:eastAsia="宋体" w:cs="宋体"/>
          <w:color w:val="auto"/>
          <w:sz w:val="24"/>
          <w:szCs w:val="24"/>
          <w:lang w:val="zh-CN"/>
        </w:rPr>
        <w:t>本响应文件自开启之时起</w:t>
      </w:r>
      <w:r>
        <w:rPr>
          <w:rFonts w:ascii="宋体" w:hAnsi="宋体" w:eastAsia="宋体" w:cs="宋体"/>
          <w:color w:val="auto"/>
          <w:sz w:val="24"/>
          <w:szCs w:val="24"/>
          <w:u w:val="single"/>
          <w:lang w:val="zh-CN"/>
        </w:rPr>
        <w:t>90</w:t>
      </w:r>
      <w:r>
        <w:rPr>
          <w:rFonts w:hint="eastAsia" w:ascii="宋体" w:hAnsi="宋体" w:eastAsia="宋体" w:cs="宋体"/>
          <w:color w:val="auto"/>
          <w:sz w:val="24"/>
          <w:szCs w:val="24"/>
          <w:lang w:val="zh-CN"/>
        </w:rPr>
        <w:t>天内有效。</w:t>
      </w:r>
    </w:p>
    <w:p w14:paraId="7D305D98">
      <w:pPr>
        <w:tabs>
          <w:tab w:val="left" w:pos="709"/>
        </w:tabs>
        <w:autoSpaceDE w:val="0"/>
        <w:autoSpaceDN w:val="0"/>
        <w:adjustRightInd w:val="0"/>
        <w:snapToGrid w:val="0"/>
        <w:spacing w:line="360" w:lineRule="auto"/>
        <w:ind w:firstLine="482"/>
        <w:rPr>
          <w:rFonts w:ascii="宋体" w:hAnsi="宋体" w:eastAsia="宋体"/>
          <w:bCs/>
          <w:color w:val="auto"/>
          <w:kern w:val="0"/>
          <w:sz w:val="24"/>
          <w:szCs w:val="24"/>
          <w:lang w:val="zh-CN"/>
        </w:rPr>
      </w:pPr>
      <w:r>
        <w:rPr>
          <w:rFonts w:ascii="宋体" w:hAnsi="宋体" w:eastAsia="宋体" w:cs="宋体"/>
          <w:bCs/>
          <w:color w:val="auto"/>
          <w:kern w:val="0"/>
          <w:sz w:val="24"/>
          <w:szCs w:val="24"/>
          <w:lang w:val="zh-CN"/>
        </w:rPr>
        <w:t>12.</w:t>
      </w:r>
      <w:r>
        <w:rPr>
          <w:rFonts w:hint="eastAsia" w:ascii="宋体" w:hAnsi="宋体" w:eastAsia="宋体" w:cs="宋体"/>
          <w:bCs/>
          <w:color w:val="auto"/>
          <w:kern w:val="0"/>
          <w:sz w:val="24"/>
          <w:szCs w:val="24"/>
          <w:lang w:val="zh-CN"/>
        </w:rPr>
        <w:t>我方保证严格遵守《中华人民共和国政府采购法》的有关规定，若有下列情形之一的，我方将被处不予退还磋商保证金，列入不良行为记录名单，在一至三年内禁止参加政府采购活动，并予以公告：</w:t>
      </w:r>
    </w:p>
    <w:p w14:paraId="67A86424">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1</w:t>
      </w:r>
      <w:r>
        <w:rPr>
          <w:rFonts w:hint="eastAsia" w:ascii="宋体" w:hAnsi="宋体" w:eastAsia="宋体" w:cs="宋体"/>
          <w:color w:val="auto"/>
          <w:sz w:val="24"/>
          <w:szCs w:val="24"/>
          <w:lang w:val="zh-CN"/>
        </w:rPr>
        <w:t>）提供虚假材料谋取成交的；</w:t>
      </w:r>
    </w:p>
    <w:p w14:paraId="05194D27">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2</w:t>
      </w:r>
      <w:r>
        <w:rPr>
          <w:rFonts w:hint="eastAsia" w:ascii="宋体" w:hAnsi="宋体" w:eastAsia="宋体" w:cs="宋体"/>
          <w:color w:val="auto"/>
          <w:sz w:val="24"/>
          <w:szCs w:val="24"/>
          <w:lang w:val="zh-CN"/>
        </w:rPr>
        <w:t>）采取不正当手段诋毁、排挤其他供应商的；</w:t>
      </w:r>
    </w:p>
    <w:p w14:paraId="3C20CC64">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3</w:t>
      </w:r>
      <w:r>
        <w:rPr>
          <w:rFonts w:hint="eastAsia" w:ascii="宋体" w:hAnsi="宋体" w:eastAsia="宋体" w:cs="宋体"/>
          <w:color w:val="auto"/>
          <w:sz w:val="24"/>
          <w:szCs w:val="24"/>
          <w:lang w:val="zh-CN"/>
        </w:rPr>
        <w:t>）与其他供应商、采购单位人员或者其他有关人员恶意串通的；</w:t>
      </w:r>
    </w:p>
    <w:p w14:paraId="14AB83DB">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4</w:t>
      </w:r>
      <w:r>
        <w:rPr>
          <w:rFonts w:hint="eastAsia" w:ascii="宋体" w:hAnsi="宋体" w:eastAsia="宋体" w:cs="宋体"/>
          <w:color w:val="auto"/>
          <w:sz w:val="24"/>
          <w:szCs w:val="24"/>
          <w:lang w:val="zh-CN"/>
        </w:rPr>
        <w:t>）向磋商小组成员、采购单位人员或者其他有关人员行贿或者提供其他不正当利益的；</w:t>
      </w:r>
    </w:p>
    <w:p w14:paraId="77B14809">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5</w:t>
      </w:r>
      <w:r>
        <w:rPr>
          <w:rFonts w:hint="eastAsia" w:ascii="宋体" w:hAnsi="宋体" w:eastAsia="宋体" w:cs="宋体"/>
          <w:color w:val="auto"/>
          <w:sz w:val="24"/>
          <w:szCs w:val="24"/>
          <w:lang w:val="zh-CN"/>
        </w:rPr>
        <w:t>）被评定成交后无正当理由不与采购人或者采购代理机构订立合同，或者成交后不按磋商文件和成交供应商的响应文件订立合同，或者与采购人另行订立背离合同实质性内容的协议的；</w:t>
      </w:r>
    </w:p>
    <w:p w14:paraId="2B567C97">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6</w:t>
      </w:r>
      <w:r>
        <w:rPr>
          <w:rFonts w:hint="eastAsia" w:ascii="宋体" w:hAnsi="宋体" w:eastAsia="宋体" w:cs="宋体"/>
          <w:color w:val="auto"/>
          <w:sz w:val="24"/>
          <w:szCs w:val="24"/>
          <w:lang w:val="zh-CN"/>
        </w:rPr>
        <w:t>）将成交项目转让给他人或者将成交项目分包给他人的；</w:t>
      </w:r>
    </w:p>
    <w:p w14:paraId="4C0A436A">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7</w:t>
      </w:r>
      <w:r>
        <w:rPr>
          <w:rFonts w:hint="eastAsia" w:ascii="宋体" w:hAnsi="宋体" w:eastAsia="宋体" w:cs="宋体"/>
          <w:color w:val="auto"/>
          <w:sz w:val="24"/>
          <w:szCs w:val="24"/>
          <w:lang w:val="zh-CN"/>
        </w:rPr>
        <w:t>）签订合同后拒绝履行合同义务的；</w:t>
      </w:r>
    </w:p>
    <w:p w14:paraId="610E9DA0">
      <w:pPr>
        <w:autoSpaceDE w:val="0"/>
        <w:autoSpaceDN w:val="0"/>
        <w:adjustRightInd w:val="0"/>
        <w:snapToGrid w:val="0"/>
        <w:spacing w:line="360" w:lineRule="auto"/>
        <w:ind w:firstLine="480"/>
        <w:rPr>
          <w:rFonts w:ascii="宋体" w:hAnsi="宋体" w:eastAsia="宋体"/>
          <w:color w:val="auto"/>
          <w:sz w:val="24"/>
          <w:szCs w:val="24"/>
        </w:rPr>
      </w:pPr>
      <w:r>
        <w:rPr>
          <w:rFonts w:hint="eastAsia" w:ascii="宋体" w:hAnsi="宋体" w:eastAsia="宋体" w:cs="宋体"/>
          <w:color w:val="auto"/>
          <w:sz w:val="24"/>
          <w:szCs w:val="24"/>
          <w:lang w:val="zh-CN"/>
        </w:rPr>
        <w:t>（</w:t>
      </w:r>
      <w:r>
        <w:rPr>
          <w:rFonts w:ascii="宋体" w:hAnsi="宋体" w:eastAsia="宋体"/>
          <w:color w:val="auto"/>
          <w:sz w:val="24"/>
          <w:szCs w:val="24"/>
        </w:rPr>
        <w:t>8</w:t>
      </w:r>
      <w:r>
        <w:rPr>
          <w:rFonts w:hint="eastAsia" w:ascii="宋体" w:hAnsi="宋体" w:eastAsia="宋体" w:cs="宋体"/>
          <w:color w:val="auto"/>
          <w:sz w:val="24"/>
          <w:szCs w:val="24"/>
          <w:lang w:val="zh-CN"/>
        </w:rPr>
        <w:t>）拒绝有关部门监督检查或提供虚假情况的。</w:t>
      </w:r>
    </w:p>
    <w:p w14:paraId="38927988">
      <w:pPr>
        <w:autoSpaceDE w:val="0"/>
        <w:autoSpaceDN w:val="0"/>
        <w:adjustRightInd w:val="0"/>
        <w:snapToGrid w:val="0"/>
        <w:spacing w:line="360" w:lineRule="auto"/>
        <w:ind w:firstLine="480"/>
        <w:rPr>
          <w:rFonts w:ascii="宋体" w:hAnsi="宋体" w:eastAsia="宋体"/>
          <w:color w:val="auto"/>
          <w:sz w:val="24"/>
          <w:szCs w:val="24"/>
          <w:lang w:val="zh-CN"/>
        </w:rPr>
      </w:pPr>
    </w:p>
    <w:p w14:paraId="4C67E5C4">
      <w:pPr>
        <w:autoSpaceDE w:val="0"/>
        <w:autoSpaceDN w:val="0"/>
        <w:adjustRightInd w:val="0"/>
        <w:snapToGrid w:val="0"/>
        <w:spacing w:line="360" w:lineRule="auto"/>
        <w:ind w:firstLine="482"/>
        <w:rPr>
          <w:rFonts w:ascii="宋体" w:hAnsi="宋体" w:eastAsia="宋体" w:cs="黑体"/>
          <w:bCs/>
          <w:color w:val="auto"/>
          <w:sz w:val="24"/>
          <w:szCs w:val="24"/>
          <w:u w:val="single"/>
          <w:lang w:val="zh-CN"/>
        </w:rPr>
      </w:pPr>
      <w:r>
        <w:rPr>
          <w:rFonts w:hint="eastAsia" w:ascii="宋体" w:hAnsi="宋体" w:eastAsia="宋体" w:cs="黑体"/>
          <w:bCs/>
          <w:color w:val="auto"/>
          <w:sz w:val="24"/>
          <w:szCs w:val="24"/>
          <w:lang w:val="zh-CN"/>
        </w:rPr>
        <w:t>供应商名称（加盖公章）：</w:t>
      </w:r>
    </w:p>
    <w:p w14:paraId="62239D3B">
      <w:pPr>
        <w:autoSpaceDE w:val="0"/>
        <w:autoSpaceDN w:val="0"/>
        <w:adjustRightInd w:val="0"/>
        <w:snapToGrid w:val="0"/>
        <w:spacing w:line="360" w:lineRule="auto"/>
        <w:ind w:firstLine="480"/>
        <w:rPr>
          <w:rFonts w:ascii="宋体" w:hAnsi="宋体" w:eastAsia="宋体" w:cs="宋体"/>
          <w:color w:val="auto"/>
          <w:sz w:val="24"/>
          <w:szCs w:val="24"/>
          <w:u w:val="single"/>
          <w:lang w:val="zh-CN"/>
        </w:rPr>
      </w:pPr>
      <w:r>
        <w:rPr>
          <w:rFonts w:hint="eastAsia" w:ascii="宋体" w:hAnsi="宋体" w:eastAsia="宋体" w:cs="宋体"/>
          <w:color w:val="auto"/>
          <w:sz w:val="24"/>
          <w:szCs w:val="24"/>
          <w:lang w:val="zh-CN"/>
        </w:rPr>
        <w:t>地址：</w:t>
      </w:r>
    </w:p>
    <w:p w14:paraId="301993FE">
      <w:pPr>
        <w:autoSpaceDE w:val="0"/>
        <w:autoSpaceDN w:val="0"/>
        <w:adjustRightInd w:val="0"/>
        <w:snapToGrid w:val="0"/>
        <w:spacing w:line="360" w:lineRule="auto"/>
        <w:ind w:firstLine="480"/>
        <w:rPr>
          <w:rFonts w:ascii="宋体" w:hAnsi="宋体" w:eastAsia="宋体" w:cs="宋体"/>
          <w:color w:val="auto"/>
          <w:sz w:val="24"/>
          <w:szCs w:val="24"/>
          <w:u w:val="single"/>
          <w:lang w:val="zh-CN"/>
        </w:rPr>
      </w:pPr>
      <w:r>
        <w:rPr>
          <w:rFonts w:hint="eastAsia" w:ascii="宋体" w:hAnsi="宋体" w:eastAsia="宋体" w:cs="宋体"/>
          <w:color w:val="auto"/>
          <w:sz w:val="24"/>
          <w:szCs w:val="24"/>
          <w:lang w:val="zh-CN"/>
        </w:rPr>
        <w:t>电话、传真或电传：</w:t>
      </w:r>
    </w:p>
    <w:p w14:paraId="2A3761A3">
      <w:pPr>
        <w:autoSpaceDE w:val="0"/>
        <w:autoSpaceDN w:val="0"/>
        <w:adjustRightInd w:val="0"/>
        <w:snapToGrid w:val="0"/>
        <w:spacing w:line="360" w:lineRule="auto"/>
        <w:ind w:firstLine="480"/>
        <w:rPr>
          <w:rFonts w:ascii="宋体" w:hAnsi="宋体" w:eastAsia="宋体" w:cs="宋体"/>
          <w:color w:val="auto"/>
          <w:sz w:val="24"/>
          <w:szCs w:val="24"/>
          <w:u w:val="single"/>
          <w:lang w:val="zh-CN"/>
        </w:rPr>
      </w:pPr>
      <w:r>
        <w:rPr>
          <w:rFonts w:hint="eastAsia" w:ascii="宋体" w:hAnsi="宋体" w:eastAsia="宋体" w:cs="宋体"/>
          <w:color w:val="auto"/>
          <w:sz w:val="24"/>
          <w:szCs w:val="24"/>
          <w:lang w:val="zh-CN"/>
        </w:rPr>
        <w:t>邮政编码：</w:t>
      </w:r>
    </w:p>
    <w:p w14:paraId="3564E375">
      <w:pPr>
        <w:autoSpaceDE w:val="0"/>
        <w:autoSpaceDN w:val="0"/>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日期：年月日</w:t>
      </w:r>
    </w:p>
    <w:p w14:paraId="4A95462D">
      <w:pPr>
        <w:adjustRightInd w:val="0"/>
        <w:snapToGrid w:val="0"/>
        <w:spacing w:line="360" w:lineRule="auto"/>
        <w:rPr>
          <w:rFonts w:ascii="宋体" w:hAnsi="宋体" w:eastAsia="宋体"/>
          <w:color w:val="auto"/>
          <w:sz w:val="24"/>
          <w:szCs w:val="24"/>
          <w:lang w:val="zh-CN"/>
        </w:rPr>
      </w:pPr>
    </w:p>
    <w:p w14:paraId="3621D04E">
      <w:pPr>
        <w:adjustRightInd w:val="0"/>
        <w:snapToGrid w:val="0"/>
        <w:spacing w:line="360" w:lineRule="auto"/>
        <w:rPr>
          <w:rFonts w:ascii="宋体" w:hAnsi="宋体" w:eastAsia="宋体" w:cs="黑体"/>
          <w:bCs/>
          <w:color w:val="auto"/>
          <w:sz w:val="24"/>
          <w:szCs w:val="24"/>
          <w:lang w:val="zh-CN"/>
        </w:rPr>
        <w:sectPr>
          <w:pgSz w:w="11906" w:h="16838"/>
          <w:pgMar w:top="1440" w:right="1080" w:bottom="1440" w:left="1080" w:header="851" w:footer="992" w:gutter="0"/>
          <w:cols w:space="425" w:num="1"/>
          <w:docGrid w:type="lines" w:linePitch="312" w:charSpace="0"/>
        </w:sectPr>
      </w:pPr>
    </w:p>
    <w:p w14:paraId="6134BD2D">
      <w:pPr>
        <w:jc w:val="center"/>
        <w:rPr>
          <w:rFonts w:ascii="宋体" w:hAnsi="宋体" w:eastAsia="宋体"/>
          <w:b/>
          <w:bCs/>
          <w:color w:val="auto"/>
          <w:sz w:val="32"/>
          <w:szCs w:val="32"/>
        </w:rPr>
      </w:pPr>
      <w:bookmarkStart w:id="81" w:name="_Toc2151"/>
      <w:bookmarkStart w:id="82" w:name="_Toc7820"/>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四</w:t>
      </w:r>
      <w:r>
        <w:rPr>
          <w:rFonts w:hint="eastAsia" w:ascii="宋体" w:hAnsi="宋体" w:eastAsia="宋体"/>
          <w:b/>
          <w:bCs/>
          <w:color w:val="auto"/>
          <w:sz w:val="32"/>
          <w:szCs w:val="32"/>
          <w:lang w:val="zh-CN"/>
        </w:rPr>
        <w:t>、</w:t>
      </w:r>
      <w:bookmarkEnd w:id="81"/>
      <w:bookmarkEnd w:id="82"/>
      <w:r>
        <w:rPr>
          <w:rFonts w:hint="eastAsia" w:ascii="宋体" w:hAnsi="宋体" w:eastAsia="宋体"/>
          <w:b/>
          <w:bCs/>
          <w:color w:val="auto"/>
          <w:sz w:val="32"/>
          <w:szCs w:val="32"/>
          <w:lang w:val="zh-CN"/>
        </w:rPr>
        <w:t>法定代表人资格证明</w:t>
      </w:r>
    </w:p>
    <w:p w14:paraId="005D51E8">
      <w:pPr>
        <w:spacing w:line="360" w:lineRule="auto"/>
        <w:rPr>
          <w:rFonts w:ascii="宋体" w:hAnsi="宋体" w:eastAsia="宋体"/>
          <w:color w:val="auto"/>
          <w:sz w:val="24"/>
          <w:szCs w:val="24"/>
        </w:rPr>
      </w:pPr>
    </w:p>
    <w:p w14:paraId="3C3143C2">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兹证明：在下面签字的</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（被证明人姓名）现任</w:t>
      </w:r>
      <w:r>
        <w:rPr>
          <w:rFonts w:hint="eastAsia" w:ascii="宋体" w:hAnsi="宋体" w:eastAsia="宋体"/>
          <w:color w:val="auto"/>
          <w:sz w:val="24"/>
          <w:szCs w:val="24"/>
          <w:u w:val="single"/>
        </w:rPr>
        <w:t xml:space="preserve">  （单位名称）  </w:t>
      </w:r>
      <w:r>
        <w:rPr>
          <w:rFonts w:hint="eastAsia" w:ascii="宋体" w:hAnsi="宋体" w:eastAsia="宋体"/>
          <w:color w:val="auto"/>
          <w:sz w:val="24"/>
          <w:szCs w:val="24"/>
        </w:rPr>
        <w:t>的（职务），系</w:t>
      </w:r>
      <w:r>
        <w:rPr>
          <w:rFonts w:hint="eastAsia" w:ascii="宋体" w:hAnsi="宋体" w:eastAsia="宋体"/>
          <w:color w:val="auto"/>
          <w:sz w:val="24"/>
          <w:szCs w:val="24"/>
          <w:u w:val="single"/>
        </w:rPr>
        <w:t xml:space="preserve">  （单位名称）  </w:t>
      </w:r>
      <w:r>
        <w:rPr>
          <w:rFonts w:hint="eastAsia" w:ascii="宋体" w:hAnsi="宋体" w:eastAsia="宋体"/>
          <w:color w:val="auto"/>
          <w:sz w:val="24"/>
          <w:szCs w:val="24"/>
        </w:rPr>
        <w:t>的法定代表人。</w:t>
      </w:r>
    </w:p>
    <w:p w14:paraId="408D9D98">
      <w:pPr>
        <w:spacing w:line="360" w:lineRule="auto"/>
        <w:rPr>
          <w:rFonts w:ascii="宋体" w:hAnsi="宋体" w:eastAsia="宋体"/>
          <w:color w:val="auto"/>
          <w:sz w:val="24"/>
          <w:szCs w:val="24"/>
        </w:rPr>
      </w:pPr>
      <w:r>
        <w:rPr>
          <w:rFonts w:hint="eastAsia" w:ascii="宋体" w:hAnsi="宋体" w:eastAsia="宋体"/>
          <w:color w:val="auto"/>
          <w:sz w:val="24"/>
          <w:szCs w:val="24"/>
        </w:rPr>
        <w:t>特此证明。</w:t>
      </w:r>
    </w:p>
    <w:p w14:paraId="31CF37A5">
      <w:pPr>
        <w:spacing w:line="360" w:lineRule="auto"/>
        <w:rPr>
          <w:rFonts w:ascii="宋体" w:hAnsi="宋体" w:eastAsia="宋体"/>
          <w:color w:val="auto"/>
          <w:sz w:val="24"/>
          <w:szCs w:val="24"/>
        </w:rPr>
      </w:pPr>
      <w:r>
        <w:rPr>
          <w:rFonts w:ascii="宋体" w:hAnsi="宋体" w:eastAsia="宋体"/>
          <w:color w:val="auto"/>
          <w:sz w:val="24"/>
          <w:szCs w:val="24"/>
        </w:rPr>
        <w:pict>
          <v:rect id="_x0000_s2055" o:spid="_x0000_s2055" o:spt="1" style="position:absolute;left:0pt;margin-left:7.25pt;margin-top:8.95pt;height:165.5pt;width:477.15pt;z-index:251671552;mso-width-relative:page;mso-height-relative:page;" coordsize="21600,21600">
            <v:path/>
            <v:fill focussize="0,0"/>
            <v:stroke/>
            <v:imagedata o:title=""/>
            <o:lock v:ext="edit"/>
            <v:textbox>
              <w:txbxContent>
                <w:p w14:paraId="34273F94">
                  <w:pPr>
                    <w:spacing w:line="360" w:lineRule="auto"/>
                    <w:rPr>
                      <w:rFonts w:ascii="宋体" w:hAnsi="宋体" w:eastAsia="宋体"/>
                      <w:sz w:val="24"/>
                      <w:szCs w:val="24"/>
                    </w:rPr>
                  </w:pPr>
                  <w:r>
                    <w:rPr>
                      <w:rFonts w:hint="eastAsia" w:ascii="宋体" w:hAnsi="宋体" w:eastAsia="宋体"/>
                      <w:sz w:val="24"/>
                      <w:szCs w:val="24"/>
                    </w:rPr>
                    <w:t>附：法定代表人身份证正、反面</w:t>
                  </w:r>
                </w:p>
                <w:p w14:paraId="23D6F621"/>
              </w:txbxContent>
            </v:textbox>
          </v:rect>
        </w:pict>
      </w:r>
    </w:p>
    <w:p w14:paraId="2A3EEEE9">
      <w:pPr>
        <w:spacing w:line="360" w:lineRule="auto"/>
        <w:rPr>
          <w:rFonts w:ascii="宋体" w:hAnsi="宋体" w:eastAsia="宋体"/>
          <w:color w:val="auto"/>
          <w:sz w:val="24"/>
          <w:szCs w:val="24"/>
        </w:rPr>
      </w:pPr>
    </w:p>
    <w:p w14:paraId="6C04EE25">
      <w:pPr>
        <w:spacing w:line="360" w:lineRule="auto"/>
        <w:rPr>
          <w:rFonts w:ascii="宋体" w:hAnsi="宋体" w:eastAsia="宋体"/>
          <w:color w:val="auto"/>
          <w:sz w:val="24"/>
          <w:szCs w:val="24"/>
        </w:rPr>
      </w:pPr>
    </w:p>
    <w:p w14:paraId="2C1375BB">
      <w:pPr>
        <w:spacing w:line="360" w:lineRule="auto"/>
        <w:rPr>
          <w:rFonts w:ascii="宋体" w:hAnsi="宋体" w:eastAsia="宋体"/>
          <w:color w:val="auto"/>
          <w:sz w:val="24"/>
          <w:szCs w:val="24"/>
        </w:rPr>
      </w:pPr>
    </w:p>
    <w:p w14:paraId="4268195F">
      <w:pPr>
        <w:spacing w:line="360" w:lineRule="auto"/>
        <w:rPr>
          <w:rFonts w:ascii="宋体" w:hAnsi="宋体" w:eastAsia="宋体"/>
          <w:color w:val="auto"/>
          <w:sz w:val="24"/>
          <w:szCs w:val="24"/>
        </w:rPr>
      </w:pPr>
    </w:p>
    <w:p w14:paraId="2C6C281C">
      <w:pPr>
        <w:spacing w:line="360" w:lineRule="auto"/>
        <w:rPr>
          <w:rFonts w:ascii="宋体" w:hAnsi="宋体" w:eastAsia="宋体"/>
          <w:color w:val="auto"/>
          <w:sz w:val="24"/>
          <w:szCs w:val="24"/>
        </w:rPr>
      </w:pPr>
    </w:p>
    <w:p w14:paraId="7DEAB14B">
      <w:pPr>
        <w:spacing w:line="360" w:lineRule="auto"/>
        <w:rPr>
          <w:rFonts w:ascii="宋体" w:hAnsi="宋体" w:eastAsia="宋体"/>
          <w:color w:val="auto"/>
          <w:sz w:val="24"/>
          <w:szCs w:val="24"/>
        </w:rPr>
      </w:pPr>
    </w:p>
    <w:p w14:paraId="730DA879">
      <w:pPr>
        <w:spacing w:line="360" w:lineRule="auto"/>
        <w:rPr>
          <w:rFonts w:ascii="宋体" w:hAnsi="宋体" w:eastAsia="宋体"/>
          <w:color w:val="auto"/>
          <w:sz w:val="24"/>
          <w:szCs w:val="24"/>
        </w:rPr>
      </w:pPr>
    </w:p>
    <w:p w14:paraId="28F71427">
      <w:pPr>
        <w:spacing w:line="360" w:lineRule="auto"/>
        <w:rPr>
          <w:rFonts w:ascii="宋体" w:hAnsi="宋体" w:eastAsia="宋体"/>
          <w:color w:val="auto"/>
          <w:sz w:val="24"/>
          <w:szCs w:val="24"/>
        </w:rPr>
      </w:pPr>
      <w:r>
        <w:rPr>
          <w:rFonts w:hint="eastAsia" w:ascii="宋体" w:hAnsi="宋体" w:eastAsia="宋体"/>
          <w:color w:val="auto"/>
          <w:sz w:val="24"/>
          <w:szCs w:val="24"/>
        </w:rPr>
        <w:t>供应商全称（公章）：</w:t>
      </w:r>
    </w:p>
    <w:p w14:paraId="5AED6B64">
      <w:pPr>
        <w:spacing w:line="360" w:lineRule="auto"/>
        <w:rPr>
          <w:rFonts w:ascii="宋体" w:hAnsi="宋体" w:eastAsia="宋体"/>
          <w:color w:val="auto"/>
          <w:sz w:val="24"/>
          <w:szCs w:val="24"/>
        </w:rPr>
      </w:pPr>
      <w:r>
        <w:rPr>
          <w:rFonts w:hint="eastAsia" w:ascii="宋体" w:hAnsi="宋体" w:eastAsia="宋体"/>
          <w:color w:val="auto"/>
          <w:sz w:val="24"/>
          <w:szCs w:val="24"/>
        </w:rPr>
        <w:t>地址：</w:t>
      </w:r>
    </w:p>
    <w:p w14:paraId="1D13B94C">
      <w:pPr>
        <w:spacing w:line="360" w:lineRule="auto"/>
        <w:rPr>
          <w:rFonts w:ascii="宋体" w:hAnsi="宋体" w:eastAsia="宋体"/>
          <w:color w:val="auto"/>
          <w:sz w:val="24"/>
          <w:szCs w:val="24"/>
        </w:rPr>
      </w:pPr>
      <w:r>
        <w:rPr>
          <w:rFonts w:hint="eastAsia" w:ascii="宋体" w:hAnsi="宋体" w:eastAsia="宋体"/>
          <w:color w:val="auto"/>
          <w:sz w:val="24"/>
          <w:szCs w:val="24"/>
        </w:rPr>
        <w:t>法定代表人或授权人签字：：</w:t>
      </w:r>
    </w:p>
    <w:p w14:paraId="3ABF6530">
      <w:pPr>
        <w:spacing w:line="360" w:lineRule="auto"/>
        <w:rPr>
          <w:rFonts w:ascii="宋体" w:hAnsi="宋体" w:eastAsia="宋体"/>
          <w:color w:val="auto"/>
          <w:sz w:val="24"/>
          <w:szCs w:val="24"/>
        </w:rPr>
      </w:pPr>
    </w:p>
    <w:p w14:paraId="14F8FBE3">
      <w:pPr>
        <w:spacing w:line="360" w:lineRule="auto"/>
        <w:rPr>
          <w:rFonts w:ascii="宋体" w:hAnsi="宋体" w:eastAsia="宋体"/>
          <w:color w:val="auto"/>
          <w:sz w:val="24"/>
          <w:szCs w:val="24"/>
        </w:rPr>
      </w:pPr>
      <w:r>
        <w:rPr>
          <w:rFonts w:hint="eastAsia" w:ascii="宋体" w:hAnsi="宋体" w:eastAsia="宋体"/>
          <w:color w:val="auto"/>
          <w:sz w:val="24"/>
          <w:szCs w:val="24"/>
        </w:rPr>
        <w:t xml:space="preserve">           年   月   日</w:t>
      </w:r>
    </w:p>
    <w:p w14:paraId="75C0487C">
      <w:pPr>
        <w:pStyle w:val="15"/>
        <w:spacing w:line="360" w:lineRule="auto"/>
        <w:outlineLvl w:val="0"/>
        <w:rPr>
          <w:rFonts w:ascii="宋体" w:hAnsi="宋体" w:eastAsia="宋体" w:cs="宋体"/>
          <w:color w:val="auto"/>
          <w:szCs w:val="24"/>
        </w:rPr>
      </w:pPr>
    </w:p>
    <w:p w14:paraId="61B5DA62">
      <w:pPr>
        <w:autoSpaceDE w:val="0"/>
        <w:autoSpaceDN w:val="0"/>
        <w:adjustRightInd w:val="0"/>
        <w:snapToGrid w:val="0"/>
        <w:spacing w:line="360" w:lineRule="auto"/>
        <w:ind w:firstLine="480"/>
        <w:rPr>
          <w:rFonts w:ascii="宋体" w:hAnsi="宋体" w:eastAsia="宋体"/>
          <w:color w:val="auto"/>
          <w:sz w:val="24"/>
          <w:szCs w:val="24"/>
          <w:lang w:val="zh-CN"/>
        </w:rPr>
        <w:sectPr>
          <w:pgSz w:w="11906" w:h="16838"/>
          <w:pgMar w:top="1440" w:right="1080" w:bottom="1440" w:left="1080" w:header="851" w:footer="992" w:gutter="0"/>
          <w:cols w:space="425" w:num="1"/>
          <w:docGrid w:type="lines" w:linePitch="312" w:charSpace="0"/>
        </w:sectPr>
      </w:pPr>
    </w:p>
    <w:p w14:paraId="695B8F65">
      <w:pPr>
        <w:jc w:val="center"/>
        <w:rPr>
          <w:rFonts w:ascii="宋体" w:hAnsi="宋体" w:eastAsia="宋体"/>
          <w:b/>
          <w:bCs/>
          <w:color w:val="auto"/>
          <w:sz w:val="32"/>
          <w:szCs w:val="32"/>
        </w:rPr>
      </w:pPr>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五</w:t>
      </w:r>
      <w:r>
        <w:rPr>
          <w:rFonts w:hint="eastAsia" w:ascii="宋体" w:hAnsi="宋体" w:eastAsia="宋体"/>
          <w:b/>
          <w:bCs/>
          <w:color w:val="auto"/>
          <w:sz w:val="32"/>
          <w:szCs w:val="32"/>
          <w:lang w:val="zh-CN"/>
        </w:rPr>
        <w:t>、法定代表人授权委托书</w:t>
      </w:r>
    </w:p>
    <w:p w14:paraId="66DB5D0B">
      <w:pPr>
        <w:adjustRightInd w:val="0"/>
        <w:snapToGrid w:val="0"/>
        <w:spacing w:line="360" w:lineRule="auto"/>
        <w:ind w:firstLine="480"/>
        <w:rPr>
          <w:rFonts w:ascii="宋体" w:hAnsi="宋体" w:eastAsia="宋体" w:cs="宋体"/>
          <w:color w:val="auto"/>
          <w:sz w:val="24"/>
          <w:szCs w:val="24"/>
          <w:lang w:val="zh-CN"/>
        </w:rPr>
      </w:pPr>
    </w:p>
    <w:p w14:paraId="4EEB490A">
      <w:pPr>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本授权书声明：注册于</w:t>
      </w:r>
      <w:r>
        <w:rPr>
          <w:rFonts w:hint="eastAsia" w:ascii="宋体" w:hAnsi="宋体" w:eastAsia="宋体" w:cs="宋体"/>
          <w:color w:val="auto"/>
          <w:sz w:val="24"/>
          <w:szCs w:val="24"/>
          <w:u w:val="single"/>
          <w:lang w:val="zh-CN"/>
        </w:rPr>
        <w:t>（注册地点）</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（供应商名称）</w:t>
      </w:r>
      <w:r>
        <w:rPr>
          <w:rFonts w:hint="eastAsia" w:ascii="宋体" w:hAnsi="宋体" w:eastAsia="宋体" w:cs="宋体"/>
          <w:color w:val="auto"/>
          <w:sz w:val="24"/>
          <w:szCs w:val="24"/>
          <w:lang w:val="zh-CN"/>
        </w:rPr>
        <w:t>公司的</w:t>
      </w:r>
      <w:r>
        <w:rPr>
          <w:rFonts w:hint="eastAsia" w:ascii="宋体" w:hAnsi="宋体" w:eastAsia="宋体" w:cs="宋体"/>
          <w:color w:val="auto"/>
          <w:sz w:val="24"/>
          <w:szCs w:val="24"/>
          <w:u w:val="single"/>
          <w:lang w:val="zh-CN"/>
        </w:rPr>
        <w:t>（供应商法定代表人姓名、职务）</w:t>
      </w:r>
      <w:r>
        <w:rPr>
          <w:rFonts w:hint="eastAsia" w:ascii="宋体" w:hAnsi="宋体" w:eastAsia="宋体" w:cs="宋体"/>
          <w:color w:val="auto"/>
          <w:sz w:val="24"/>
          <w:szCs w:val="24"/>
          <w:lang w:val="zh-CN"/>
        </w:rPr>
        <w:t>代表本公司授权</w:t>
      </w:r>
      <w:r>
        <w:rPr>
          <w:rFonts w:hint="eastAsia" w:ascii="宋体" w:hAnsi="宋体" w:eastAsia="宋体" w:cs="宋体"/>
          <w:color w:val="auto"/>
          <w:sz w:val="24"/>
          <w:szCs w:val="24"/>
          <w:u w:val="single"/>
          <w:lang w:val="zh-CN"/>
        </w:rPr>
        <w:t>（被授权人单位名称）</w:t>
      </w:r>
      <w:r>
        <w:rPr>
          <w:rFonts w:hint="eastAsia" w:ascii="宋体" w:hAnsi="宋体" w:eastAsia="宋体" w:cs="宋体"/>
          <w:color w:val="auto"/>
          <w:sz w:val="24"/>
          <w:szCs w:val="24"/>
          <w:lang w:val="zh-CN"/>
        </w:rPr>
        <w:t>的</w:t>
      </w:r>
      <w:r>
        <w:rPr>
          <w:rFonts w:ascii="宋体" w:hAnsi="宋体" w:eastAsia="宋体" w:cs="宋体"/>
          <w:color w:val="auto"/>
          <w:sz w:val="24"/>
          <w:szCs w:val="24"/>
          <w:u w:val="single"/>
          <w:lang w:val="zh-CN"/>
        </w:rPr>
        <w:t>(</w:t>
      </w:r>
      <w:r>
        <w:rPr>
          <w:rFonts w:hint="eastAsia" w:ascii="宋体" w:hAnsi="宋体" w:eastAsia="宋体" w:cs="宋体"/>
          <w:color w:val="auto"/>
          <w:sz w:val="24"/>
          <w:szCs w:val="24"/>
          <w:u w:val="single"/>
          <w:lang w:val="zh-CN"/>
        </w:rPr>
        <w:t>被授权人姓名、职务</w:t>
      </w:r>
      <w:r>
        <w:rPr>
          <w:rFonts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为本公司的合法代理人，就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项目的响应以及合同的谈判、签约、执行、完成等全权负责，以本公司名义处理一切与之有关的事务。代理人在响应、开启、评审、合同谈判和履行过程中所签署的一切文件和处理的与之有关的一切事务，我均予以承认。代理人无转委托权。</w:t>
      </w:r>
    </w:p>
    <w:p w14:paraId="7E6B7CC8">
      <w:pPr>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日签字生效，特此声明。</w:t>
      </w:r>
    </w:p>
    <w:p w14:paraId="74D5C2D1">
      <w:pPr>
        <w:pStyle w:val="14"/>
        <w:rPr>
          <w:rFonts w:ascii="宋体" w:hAnsi="宋体" w:eastAsia="宋体"/>
          <w:color w:val="auto"/>
          <w:sz w:val="24"/>
          <w:szCs w:val="24"/>
          <w:lang w:val="zh-CN"/>
        </w:rPr>
      </w:pPr>
      <w:r>
        <w:rPr>
          <w:rFonts w:ascii="宋体" w:hAnsi="宋体" w:eastAsia="宋体"/>
          <w:color w:val="auto"/>
          <w:sz w:val="24"/>
          <w:szCs w:val="24"/>
          <w:lang w:val="zh-CN"/>
        </w:rPr>
        <w:pict>
          <v:rect id="_x0000_s2057" o:spid="_x0000_s2057" o:spt="1" style="position:absolute;left:0pt;margin-left:4.05pt;margin-top:1.25pt;height:220.3pt;width:483.55pt;z-index:251672576;mso-width-relative:page;mso-height-relative:page;" coordsize="21600,21600">
            <v:path/>
            <v:fill focussize="0,0"/>
            <v:stroke/>
            <v:imagedata o:title=""/>
            <o:lock v:ext="edit"/>
            <v:textbox>
              <w:txbxContent>
                <w:p w14:paraId="35381502">
                  <w:pPr>
                    <w:adjustRightInd w:val="0"/>
                    <w:snapToGrid w:val="0"/>
                    <w:spacing w:line="360" w:lineRule="auto"/>
                    <w:rPr>
                      <w:rFonts w:ascii="宋体" w:hAnsi="宋体" w:eastAsia="宋体"/>
                      <w:sz w:val="24"/>
                      <w:szCs w:val="24"/>
                      <w:lang w:val="zh-CN"/>
                    </w:rPr>
                  </w:pPr>
                  <w:r>
                    <w:rPr>
                      <w:rFonts w:hint="eastAsia" w:ascii="宋体" w:hAnsi="宋体" w:eastAsia="宋体" w:cs="宋体"/>
                      <w:sz w:val="24"/>
                    </w:rPr>
                    <w:t>附：</w:t>
                  </w:r>
                  <w:r>
                    <w:rPr>
                      <w:rFonts w:hint="eastAsia" w:ascii="宋体" w:hAnsi="宋体" w:eastAsia="宋体"/>
                      <w:sz w:val="24"/>
                      <w:szCs w:val="24"/>
                    </w:rPr>
                    <w:t>法定代表人及</w:t>
                  </w:r>
                  <w:r>
                    <w:rPr>
                      <w:rFonts w:hint="eastAsia" w:ascii="宋体" w:hAnsi="宋体" w:eastAsia="宋体" w:cs="宋体"/>
                      <w:sz w:val="24"/>
                    </w:rPr>
                    <w:t>被授权人身份证正反面复印件</w:t>
                  </w:r>
                </w:p>
                <w:p w14:paraId="655371FA"/>
              </w:txbxContent>
            </v:textbox>
          </v:rect>
        </w:pict>
      </w:r>
    </w:p>
    <w:p w14:paraId="4483346F">
      <w:pPr>
        <w:pStyle w:val="15"/>
        <w:rPr>
          <w:rFonts w:ascii="宋体" w:hAnsi="宋体" w:eastAsia="宋体"/>
          <w:color w:val="auto"/>
          <w:szCs w:val="24"/>
          <w:lang w:val="zh-CN"/>
        </w:rPr>
      </w:pPr>
    </w:p>
    <w:p w14:paraId="05F855AC">
      <w:pPr>
        <w:rPr>
          <w:rFonts w:ascii="宋体" w:hAnsi="宋体" w:eastAsia="宋体"/>
          <w:color w:val="auto"/>
          <w:lang w:val="zh-CN"/>
        </w:rPr>
      </w:pPr>
    </w:p>
    <w:p w14:paraId="33400841">
      <w:pPr>
        <w:adjustRightInd w:val="0"/>
        <w:snapToGrid w:val="0"/>
        <w:spacing w:line="360" w:lineRule="auto"/>
        <w:ind w:firstLine="480"/>
        <w:rPr>
          <w:rFonts w:ascii="宋体" w:hAnsi="宋体" w:eastAsia="宋体" w:cs="宋体"/>
          <w:color w:val="auto"/>
          <w:sz w:val="24"/>
          <w:szCs w:val="24"/>
          <w:lang w:val="zh-CN"/>
        </w:rPr>
      </w:pPr>
    </w:p>
    <w:p w14:paraId="33B9DE49">
      <w:pPr>
        <w:adjustRightInd w:val="0"/>
        <w:snapToGrid w:val="0"/>
        <w:spacing w:line="360" w:lineRule="auto"/>
        <w:ind w:firstLine="480"/>
        <w:rPr>
          <w:rFonts w:ascii="宋体" w:hAnsi="宋体" w:eastAsia="宋体" w:cs="宋体"/>
          <w:color w:val="auto"/>
          <w:sz w:val="24"/>
          <w:szCs w:val="24"/>
          <w:lang w:val="zh-CN"/>
        </w:rPr>
      </w:pPr>
    </w:p>
    <w:p w14:paraId="0C16D377">
      <w:pPr>
        <w:adjustRightInd w:val="0"/>
        <w:snapToGrid w:val="0"/>
        <w:spacing w:line="360" w:lineRule="auto"/>
        <w:ind w:firstLine="480"/>
        <w:rPr>
          <w:rFonts w:ascii="宋体" w:hAnsi="宋体" w:eastAsia="宋体" w:cs="宋体"/>
          <w:color w:val="auto"/>
          <w:sz w:val="24"/>
          <w:szCs w:val="24"/>
          <w:lang w:val="zh-CN"/>
        </w:rPr>
      </w:pPr>
    </w:p>
    <w:p w14:paraId="6CD7AED3">
      <w:pPr>
        <w:adjustRightInd w:val="0"/>
        <w:snapToGrid w:val="0"/>
        <w:spacing w:line="360" w:lineRule="auto"/>
        <w:ind w:firstLine="480"/>
        <w:rPr>
          <w:rFonts w:ascii="宋体" w:hAnsi="宋体" w:eastAsia="宋体" w:cs="宋体"/>
          <w:color w:val="auto"/>
          <w:sz w:val="24"/>
          <w:szCs w:val="24"/>
          <w:lang w:val="zh-CN"/>
        </w:rPr>
      </w:pPr>
    </w:p>
    <w:p w14:paraId="58AE8E4A">
      <w:pPr>
        <w:adjustRightInd w:val="0"/>
        <w:snapToGrid w:val="0"/>
        <w:spacing w:line="360" w:lineRule="auto"/>
        <w:ind w:firstLine="480"/>
        <w:rPr>
          <w:rFonts w:ascii="宋体" w:hAnsi="宋体" w:eastAsia="宋体" w:cs="宋体"/>
          <w:color w:val="auto"/>
          <w:sz w:val="24"/>
          <w:szCs w:val="24"/>
          <w:lang w:val="zh-CN"/>
        </w:rPr>
      </w:pPr>
    </w:p>
    <w:p w14:paraId="2B91AE4F">
      <w:pPr>
        <w:adjustRightInd w:val="0"/>
        <w:snapToGrid w:val="0"/>
        <w:spacing w:line="360" w:lineRule="auto"/>
        <w:ind w:firstLine="480"/>
        <w:rPr>
          <w:rFonts w:ascii="宋体" w:hAnsi="宋体" w:eastAsia="宋体" w:cs="宋体"/>
          <w:color w:val="auto"/>
          <w:sz w:val="24"/>
          <w:szCs w:val="24"/>
          <w:lang w:val="zh-CN"/>
        </w:rPr>
      </w:pPr>
    </w:p>
    <w:p w14:paraId="5B636D42">
      <w:pPr>
        <w:adjustRightInd w:val="0"/>
        <w:snapToGrid w:val="0"/>
        <w:spacing w:line="360" w:lineRule="auto"/>
        <w:ind w:firstLine="480"/>
        <w:rPr>
          <w:rFonts w:ascii="宋体" w:hAnsi="宋体" w:eastAsia="宋体" w:cs="宋体"/>
          <w:color w:val="auto"/>
          <w:sz w:val="24"/>
          <w:szCs w:val="24"/>
          <w:lang w:val="zh-CN"/>
        </w:rPr>
      </w:pPr>
    </w:p>
    <w:p w14:paraId="1E2EEFDA">
      <w:pPr>
        <w:adjustRightInd w:val="0"/>
        <w:snapToGrid w:val="0"/>
        <w:spacing w:line="360" w:lineRule="auto"/>
        <w:ind w:firstLine="480"/>
        <w:rPr>
          <w:rFonts w:ascii="宋体" w:hAnsi="宋体" w:eastAsia="宋体" w:cs="宋体"/>
          <w:color w:val="auto"/>
          <w:sz w:val="24"/>
          <w:szCs w:val="24"/>
          <w:lang w:val="zh-CN"/>
        </w:rPr>
      </w:pPr>
    </w:p>
    <w:p w14:paraId="4EC2CFE3">
      <w:pPr>
        <w:adjustRightInd w:val="0"/>
        <w:snapToGrid w:val="0"/>
        <w:spacing w:line="360" w:lineRule="auto"/>
        <w:ind w:firstLine="480"/>
        <w:rPr>
          <w:rFonts w:ascii="宋体" w:hAnsi="宋体" w:eastAsia="宋体"/>
          <w:color w:val="auto"/>
          <w:sz w:val="24"/>
          <w:szCs w:val="24"/>
          <w:lang w:val="zh-CN"/>
        </w:rPr>
      </w:pPr>
      <w:r>
        <w:rPr>
          <w:rFonts w:hint="eastAsia" w:ascii="宋体" w:hAnsi="宋体" w:eastAsia="宋体" w:cs="宋体"/>
          <w:color w:val="auto"/>
          <w:sz w:val="24"/>
          <w:szCs w:val="24"/>
          <w:lang w:val="zh-CN"/>
        </w:rPr>
        <w:t>供应商名称</w:t>
      </w:r>
      <w:r>
        <w:rPr>
          <w:rFonts w:hint="eastAsia" w:ascii="宋体" w:hAnsi="宋体" w:eastAsia="宋体" w:cs="黑体"/>
          <w:b/>
          <w:bCs/>
          <w:color w:val="auto"/>
          <w:sz w:val="24"/>
          <w:szCs w:val="24"/>
          <w:lang w:val="zh-CN"/>
        </w:rPr>
        <w:t>（加盖公章）：</w:t>
      </w:r>
    </w:p>
    <w:p w14:paraId="321E1563">
      <w:pPr>
        <w:adjustRightInd w:val="0"/>
        <w:snapToGrid w:val="0"/>
        <w:spacing w:line="360" w:lineRule="auto"/>
        <w:ind w:firstLine="480" w:firstLineChars="200"/>
        <w:rPr>
          <w:rFonts w:ascii="宋体" w:hAnsi="宋体" w:eastAsia="宋体"/>
          <w:b/>
          <w:bCs/>
          <w:color w:val="auto"/>
          <w:sz w:val="24"/>
          <w:szCs w:val="24"/>
          <w:u w:val="single"/>
          <w:lang w:val="zh-CN"/>
        </w:rPr>
      </w:pPr>
      <w:r>
        <w:rPr>
          <w:rFonts w:hint="eastAsia" w:ascii="宋体" w:hAnsi="宋体" w:eastAsia="宋体" w:cs="宋体"/>
          <w:color w:val="auto"/>
          <w:sz w:val="24"/>
          <w:szCs w:val="24"/>
          <w:lang w:val="zh-CN"/>
        </w:rPr>
        <w:t>授权人（法定代表人）</w:t>
      </w:r>
      <w:r>
        <w:rPr>
          <w:rFonts w:hint="eastAsia" w:ascii="宋体" w:hAnsi="宋体" w:eastAsia="宋体" w:cs="黑体"/>
          <w:b/>
          <w:bCs/>
          <w:color w:val="auto"/>
          <w:sz w:val="24"/>
          <w:szCs w:val="24"/>
        </w:rPr>
        <w:t>签字或盖章</w:t>
      </w:r>
      <w:r>
        <w:rPr>
          <w:rFonts w:hint="eastAsia" w:ascii="宋体" w:hAnsi="宋体" w:eastAsia="宋体" w:cs="黑体"/>
          <w:b/>
          <w:bCs/>
          <w:color w:val="auto"/>
          <w:sz w:val="24"/>
          <w:szCs w:val="24"/>
          <w:lang w:val="zh-CN"/>
        </w:rPr>
        <w:t>：</w:t>
      </w:r>
    </w:p>
    <w:p w14:paraId="361BFE0B">
      <w:pPr>
        <w:adjustRightInd w:val="0"/>
        <w:snapToGrid w:val="0"/>
        <w:spacing w:line="360" w:lineRule="auto"/>
        <w:ind w:firstLine="495"/>
        <w:rPr>
          <w:rFonts w:ascii="宋体" w:hAnsi="宋体" w:eastAsia="宋体"/>
          <w:color w:val="auto"/>
          <w:sz w:val="24"/>
          <w:szCs w:val="24"/>
        </w:rPr>
      </w:pPr>
      <w:r>
        <w:rPr>
          <w:rFonts w:hint="eastAsia" w:ascii="宋体" w:hAnsi="宋体" w:eastAsia="宋体" w:cs="宋体"/>
          <w:color w:val="auto"/>
          <w:sz w:val="24"/>
          <w:szCs w:val="24"/>
          <w:lang w:val="zh-CN"/>
        </w:rPr>
        <w:t>被授权人（代理人）</w:t>
      </w:r>
      <w:r>
        <w:rPr>
          <w:rFonts w:hint="eastAsia" w:ascii="宋体" w:hAnsi="宋体" w:eastAsia="宋体" w:cs="黑体"/>
          <w:b/>
          <w:bCs/>
          <w:color w:val="auto"/>
          <w:sz w:val="24"/>
          <w:szCs w:val="24"/>
        </w:rPr>
        <w:t>签字或盖章</w:t>
      </w:r>
      <w:r>
        <w:rPr>
          <w:rFonts w:hint="eastAsia" w:ascii="宋体" w:hAnsi="宋体" w:eastAsia="宋体" w:cs="黑体"/>
          <w:b/>
          <w:bCs/>
          <w:color w:val="auto"/>
          <w:sz w:val="24"/>
          <w:szCs w:val="24"/>
          <w:lang w:val="zh-CN"/>
        </w:rPr>
        <w:t>：</w:t>
      </w:r>
    </w:p>
    <w:p w14:paraId="07AA9B50">
      <w:pPr>
        <w:adjustRightInd w:val="0"/>
        <w:snapToGrid w:val="0"/>
        <w:spacing w:line="360" w:lineRule="auto"/>
        <w:ind w:firstLine="435"/>
        <w:rPr>
          <w:rFonts w:ascii="宋体" w:hAnsi="宋体" w:eastAsia="宋体"/>
          <w:color w:val="auto"/>
          <w:sz w:val="24"/>
          <w:szCs w:val="24"/>
        </w:rPr>
      </w:pPr>
    </w:p>
    <w:p w14:paraId="126DEDDE">
      <w:pPr>
        <w:autoSpaceDE w:val="0"/>
        <w:autoSpaceDN w:val="0"/>
        <w:adjustRightInd w:val="0"/>
        <w:snapToGrid w:val="0"/>
        <w:spacing w:line="360" w:lineRule="auto"/>
        <w:rPr>
          <w:rFonts w:ascii="宋体" w:hAnsi="宋体" w:eastAsia="宋体" w:cs="黑体"/>
          <w:bCs/>
          <w:color w:val="auto"/>
          <w:sz w:val="24"/>
          <w:szCs w:val="24"/>
          <w:lang w:val="zh-CN"/>
        </w:rPr>
      </w:pPr>
    </w:p>
    <w:p w14:paraId="48052DD4">
      <w:pPr>
        <w:jc w:val="both"/>
        <w:rPr>
          <w:rFonts w:hint="eastAsia" w:ascii="宋体" w:hAnsi="宋体" w:eastAsia="宋体" w:cs="黑体"/>
          <w:bCs/>
          <w:color w:val="auto"/>
          <w:sz w:val="24"/>
          <w:szCs w:val="24"/>
          <w:lang w:val="en-US" w:eastAsia="zh-CN"/>
        </w:rPr>
      </w:pPr>
    </w:p>
    <w:p w14:paraId="3966EAD6">
      <w:pPr>
        <w:jc w:val="both"/>
        <w:rPr>
          <w:rFonts w:hint="eastAsia" w:ascii="宋体" w:hAnsi="宋体" w:eastAsia="宋体" w:cs="黑体"/>
          <w:bCs/>
          <w:color w:val="auto"/>
          <w:sz w:val="24"/>
          <w:szCs w:val="24"/>
          <w:lang w:val="en-US" w:eastAsia="zh-CN"/>
        </w:rPr>
      </w:pPr>
    </w:p>
    <w:p w14:paraId="0B5B50AA">
      <w:pPr>
        <w:jc w:val="both"/>
        <w:rPr>
          <w:rFonts w:hint="eastAsia" w:ascii="宋体" w:hAnsi="宋体" w:eastAsia="宋体" w:cs="黑体"/>
          <w:bCs/>
          <w:color w:val="auto"/>
          <w:sz w:val="24"/>
          <w:szCs w:val="24"/>
          <w:lang w:val="en-US" w:eastAsia="zh-CN"/>
        </w:rPr>
      </w:pPr>
    </w:p>
    <w:p w14:paraId="36ED8DDE">
      <w:pPr>
        <w:jc w:val="both"/>
        <w:rPr>
          <w:rFonts w:hint="eastAsia" w:ascii="宋体" w:hAnsi="宋体" w:eastAsia="宋体" w:cs="黑体"/>
          <w:bCs/>
          <w:color w:val="auto"/>
          <w:sz w:val="24"/>
          <w:szCs w:val="24"/>
          <w:lang w:val="en-US" w:eastAsia="zh-CN"/>
        </w:rPr>
      </w:pPr>
    </w:p>
    <w:p w14:paraId="21EC9B34">
      <w:pPr>
        <w:jc w:val="both"/>
        <w:rPr>
          <w:rFonts w:hint="eastAsia" w:ascii="宋体" w:hAnsi="宋体" w:eastAsia="宋体" w:cs="黑体"/>
          <w:bCs/>
          <w:color w:val="auto"/>
          <w:sz w:val="24"/>
          <w:szCs w:val="24"/>
          <w:lang w:val="en-US" w:eastAsia="zh-CN"/>
        </w:rPr>
      </w:pPr>
    </w:p>
    <w:p w14:paraId="5C8CD36F">
      <w:pPr>
        <w:jc w:val="both"/>
        <w:rPr>
          <w:rFonts w:hint="eastAsia" w:ascii="宋体" w:hAnsi="宋体" w:eastAsia="宋体" w:cs="黑体"/>
          <w:bCs/>
          <w:color w:val="auto"/>
          <w:sz w:val="24"/>
          <w:szCs w:val="24"/>
          <w:lang w:val="en-US" w:eastAsia="zh-CN"/>
        </w:rPr>
      </w:pPr>
    </w:p>
    <w:p w14:paraId="5452095C">
      <w:pPr>
        <w:jc w:val="both"/>
        <w:rPr>
          <w:rFonts w:hint="default" w:eastAsia="宋体"/>
          <w:color w:val="auto"/>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eastAsia="宋体" w:cs="黑体"/>
          <w:bCs/>
          <w:color w:val="auto"/>
          <w:sz w:val="24"/>
          <w:szCs w:val="24"/>
          <w:lang w:val="en-US" w:eastAsia="zh-CN"/>
        </w:rPr>
        <w:t>注：如委托代理人进行投标，必须提供此法定代表人授权委托书，否则投标无效。</w:t>
      </w:r>
    </w:p>
    <w:p w14:paraId="09DA918E">
      <w:pPr>
        <w:jc w:val="center"/>
        <w:rPr>
          <w:rFonts w:ascii="宋体" w:hAnsi="宋体" w:eastAsia="宋体"/>
          <w:b/>
          <w:bCs/>
          <w:color w:val="auto"/>
          <w:sz w:val="32"/>
          <w:szCs w:val="32"/>
        </w:rPr>
      </w:pPr>
      <w:bookmarkStart w:id="83" w:name="_Toc26711"/>
      <w:bookmarkStart w:id="84" w:name="_Toc25558"/>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六</w:t>
      </w:r>
      <w:r>
        <w:rPr>
          <w:rFonts w:hint="eastAsia" w:ascii="宋体" w:hAnsi="宋体" w:eastAsia="宋体"/>
          <w:b/>
          <w:bCs/>
          <w:color w:val="auto"/>
          <w:sz w:val="32"/>
          <w:szCs w:val="32"/>
          <w:lang w:val="zh-CN"/>
        </w:rPr>
        <w:t>、</w:t>
      </w:r>
      <w:bookmarkEnd w:id="83"/>
      <w:bookmarkEnd w:id="84"/>
      <w:r>
        <w:rPr>
          <w:rFonts w:hint="eastAsia" w:ascii="宋体" w:hAnsi="宋体" w:eastAsia="宋体"/>
          <w:b/>
          <w:bCs/>
          <w:color w:val="auto"/>
          <w:sz w:val="32"/>
          <w:szCs w:val="32"/>
          <w:lang w:val="zh-CN"/>
        </w:rPr>
        <w:t>资格条件承诺函</w:t>
      </w:r>
    </w:p>
    <w:p w14:paraId="5C0BBB40">
      <w:pPr>
        <w:spacing w:line="48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致：（采购人、采购代理机构）</w:t>
      </w:r>
    </w:p>
    <w:p w14:paraId="1209B126">
      <w:pPr>
        <w:spacing w:line="48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我单位（公司）</w:t>
      </w:r>
      <w:r>
        <w:rPr>
          <w:rFonts w:hint="eastAsia" w:ascii="宋体" w:hAnsi="宋体" w:eastAsia="宋体" w:cs="宋体"/>
          <w:color w:val="auto"/>
          <w:sz w:val="24"/>
          <w:szCs w:val="24"/>
          <w:u w:val="single"/>
        </w:rPr>
        <w:t>参与（采购项目名称    项目编号）采购项目的政府采购活动，现承诺如下：</w:t>
      </w:r>
    </w:p>
    <w:p w14:paraId="6D4A547A">
      <w:pPr>
        <w:spacing w:line="48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1.具有良好的商业信誉和健全的财务会计制度；</w:t>
      </w:r>
    </w:p>
    <w:p w14:paraId="5EBC2B4F">
      <w:pPr>
        <w:spacing w:line="48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2.具有依法缴纳税收的良好记录；</w:t>
      </w:r>
    </w:p>
    <w:p w14:paraId="660B04BA">
      <w:pPr>
        <w:spacing w:line="48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3.具有依法缴纳社会保障金的良好记录；</w:t>
      </w:r>
    </w:p>
    <w:p w14:paraId="709782B1">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我方在采购项目评审（评标）环节结束后，随时接受采购人，采购代理机构的检查验证，配合提供相关证明资料，证明符合《中华人民共和国政府采购法》规定的供应商基本资格条件。</w:t>
      </w:r>
    </w:p>
    <w:p w14:paraId="5D2A6719">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我单位（公司）对上述承诺的真实性负责，如有虚假，将依法承担相应责任。</w:t>
      </w:r>
    </w:p>
    <w:p w14:paraId="1DF53DE4">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2675807E">
      <w:pPr>
        <w:spacing w:line="480" w:lineRule="auto"/>
        <w:rPr>
          <w:rFonts w:hint="eastAsia" w:ascii="宋体" w:hAnsi="宋体" w:eastAsia="宋体" w:cs="宋体"/>
          <w:color w:val="auto"/>
          <w:sz w:val="24"/>
          <w:szCs w:val="24"/>
        </w:rPr>
      </w:pPr>
    </w:p>
    <w:p w14:paraId="35C5CEA2">
      <w:pPr>
        <w:spacing w:line="480" w:lineRule="auto"/>
        <w:rPr>
          <w:rFonts w:hint="eastAsia" w:ascii="宋体" w:hAnsi="宋体" w:eastAsia="宋体" w:cs="宋体"/>
          <w:color w:val="auto"/>
          <w:sz w:val="24"/>
          <w:szCs w:val="24"/>
        </w:rPr>
      </w:pPr>
    </w:p>
    <w:p w14:paraId="579269C3">
      <w:pPr>
        <w:spacing w:line="480" w:lineRule="auto"/>
        <w:rPr>
          <w:rFonts w:hint="eastAsia" w:ascii="宋体" w:hAnsi="宋体" w:eastAsia="宋体" w:cs="宋体"/>
          <w:color w:val="auto"/>
          <w:sz w:val="24"/>
          <w:szCs w:val="24"/>
        </w:rPr>
      </w:pPr>
    </w:p>
    <w:p w14:paraId="07385F88">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宋体" w:eastAsia="宋体" w:cs="宋体"/>
          <w:color w:val="auto"/>
          <w:sz w:val="24"/>
          <w:szCs w:val="24"/>
        </w:rPr>
        <w:t>：</w:t>
      </w:r>
    </w:p>
    <w:p w14:paraId="569093D1">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授权人（法定代表人）</w:t>
      </w:r>
      <w:r>
        <w:rPr>
          <w:rFonts w:hint="eastAsia" w:ascii="宋体" w:hAnsi="宋体" w:eastAsia="宋体" w:cs="宋体"/>
          <w:color w:val="auto"/>
          <w:sz w:val="24"/>
          <w:szCs w:val="24"/>
        </w:rPr>
        <w:t>签字：</w:t>
      </w:r>
    </w:p>
    <w:p w14:paraId="30738889">
      <w:pPr>
        <w:spacing w:line="480" w:lineRule="auto"/>
        <w:jc w:val="center"/>
        <w:rPr>
          <w:rFonts w:hint="eastAsia" w:ascii="宋体" w:hAnsi="宋体"/>
          <w:color w:val="auto"/>
          <w:kern w:val="0"/>
          <w:sz w:val="44"/>
          <w:szCs w:val="4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w:t>
      </w:r>
    </w:p>
    <w:p w14:paraId="682097C6">
      <w:pPr>
        <w:pStyle w:val="33"/>
        <w:rPr>
          <w:rFonts w:ascii="宋体" w:hAnsi="宋体" w:eastAsia="宋体"/>
          <w:color w:val="auto"/>
        </w:rPr>
        <w:sectPr>
          <w:pgSz w:w="11906" w:h="16838"/>
          <w:pgMar w:top="1440" w:right="1080" w:bottom="1440" w:left="1080" w:header="851" w:footer="992" w:gutter="0"/>
          <w:cols w:space="425" w:num="1"/>
          <w:docGrid w:type="lines" w:linePitch="312" w:charSpace="0"/>
        </w:sectPr>
      </w:pPr>
    </w:p>
    <w:p w14:paraId="5201F42F">
      <w:pPr>
        <w:jc w:val="center"/>
        <w:rPr>
          <w:rFonts w:ascii="宋体" w:hAnsi="宋体" w:eastAsia="宋体"/>
          <w:b/>
          <w:bCs/>
          <w:color w:val="auto"/>
          <w:sz w:val="32"/>
          <w:szCs w:val="32"/>
          <w:lang w:val="zh-CN"/>
        </w:rPr>
      </w:pPr>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七</w:t>
      </w:r>
      <w:r>
        <w:rPr>
          <w:rFonts w:hint="eastAsia" w:ascii="宋体" w:hAnsi="宋体" w:eastAsia="宋体"/>
          <w:b/>
          <w:bCs/>
          <w:color w:val="auto"/>
          <w:sz w:val="32"/>
          <w:szCs w:val="32"/>
          <w:lang w:val="zh-CN"/>
        </w:rPr>
        <w:t>、资格证明文件</w:t>
      </w:r>
    </w:p>
    <w:p w14:paraId="20FD5511">
      <w:pPr>
        <w:rPr>
          <w:rFonts w:ascii="宋体" w:hAnsi="宋体" w:eastAsia="宋体"/>
          <w:color w:val="auto"/>
        </w:rPr>
      </w:pPr>
    </w:p>
    <w:p w14:paraId="551D089F">
      <w:pPr>
        <w:rPr>
          <w:rFonts w:ascii="宋体" w:hAnsi="宋体" w:eastAsia="宋体"/>
          <w:color w:val="auto"/>
        </w:rPr>
      </w:pPr>
    </w:p>
    <w:p w14:paraId="11A8B67F">
      <w:pPr>
        <w:pStyle w:val="3"/>
        <w:rPr>
          <w:rFonts w:ascii="宋体" w:hAnsi="宋体"/>
          <w:color w:val="auto"/>
        </w:rPr>
      </w:pPr>
    </w:p>
    <w:p w14:paraId="12611033">
      <w:pPr>
        <w:autoSpaceDE w:val="0"/>
        <w:autoSpaceDN w:val="0"/>
        <w:adjustRightInd w:val="0"/>
        <w:snapToGrid w:val="0"/>
        <w:spacing w:line="360" w:lineRule="auto"/>
        <w:rPr>
          <w:rFonts w:ascii="宋体" w:hAnsi="宋体" w:eastAsia="宋体" w:cs="黑体"/>
          <w:bCs/>
          <w:color w:val="auto"/>
          <w:sz w:val="24"/>
          <w:szCs w:val="24"/>
          <w:lang w:val="zh-CN"/>
        </w:rPr>
        <w:sectPr>
          <w:pgSz w:w="11906" w:h="16838"/>
          <w:pgMar w:top="1440" w:right="1080" w:bottom="1440" w:left="1080" w:header="851" w:footer="992" w:gutter="0"/>
          <w:cols w:space="425" w:num="1"/>
          <w:docGrid w:type="lines" w:linePitch="312" w:charSpace="0"/>
        </w:sectPr>
      </w:pPr>
    </w:p>
    <w:p w14:paraId="0312EE98">
      <w:pPr>
        <w:jc w:val="center"/>
        <w:rPr>
          <w:rFonts w:ascii="宋体" w:hAnsi="宋体" w:eastAsia="宋体"/>
          <w:b/>
          <w:bCs/>
          <w:color w:val="auto"/>
          <w:sz w:val="32"/>
          <w:szCs w:val="32"/>
          <w:lang w:val="zh-CN"/>
        </w:rPr>
      </w:pPr>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八</w:t>
      </w:r>
      <w:r>
        <w:rPr>
          <w:rFonts w:hint="eastAsia" w:ascii="宋体" w:hAnsi="宋体" w:eastAsia="宋体"/>
          <w:b/>
          <w:bCs/>
          <w:color w:val="auto"/>
          <w:sz w:val="32"/>
          <w:szCs w:val="32"/>
          <w:lang w:val="zh-CN"/>
        </w:rPr>
        <w:t>、</w:t>
      </w:r>
      <w:r>
        <w:rPr>
          <w:rFonts w:hint="eastAsia" w:ascii="宋体" w:hAnsi="宋体" w:eastAsia="宋体"/>
          <w:b/>
          <w:bCs/>
          <w:color w:val="auto"/>
          <w:sz w:val="32"/>
          <w:szCs w:val="32"/>
          <w:lang w:val="en-US" w:eastAsia="zh-CN"/>
        </w:rPr>
        <w:t>商务</w:t>
      </w:r>
      <w:r>
        <w:rPr>
          <w:rFonts w:hint="eastAsia" w:ascii="宋体" w:hAnsi="宋体" w:eastAsia="宋体"/>
          <w:b/>
          <w:bCs/>
          <w:color w:val="auto"/>
          <w:sz w:val="32"/>
          <w:szCs w:val="32"/>
        </w:rPr>
        <w:t>条款</w:t>
      </w:r>
      <w:r>
        <w:rPr>
          <w:rFonts w:hint="eastAsia" w:ascii="宋体" w:hAnsi="宋体" w:eastAsia="宋体"/>
          <w:b/>
          <w:bCs/>
          <w:color w:val="auto"/>
          <w:sz w:val="32"/>
          <w:szCs w:val="32"/>
          <w:lang w:val="zh-CN"/>
        </w:rPr>
        <w:t>偏离表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8"/>
        <w:gridCol w:w="2748"/>
        <w:gridCol w:w="1717"/>
        <w:gridCol w:w="1717"/>
      </w:tblGrid>
      <w:tr w14:paraId="46FF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74E79438">
            <w:pPr>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379" w:type="pct"/>
            <w:vAlign w:val="center"/>
          </w:tcPr>
          <w:p w14:paraId="0B7A7909">
            <w:pPr>
              <w:jc w:val="center"/>
              <w:rPr>
                <w:rFonts w:ascii="Times New Roman" w:hAnsi="Times New Roman"/>
                <w:color w:val="auto"/>
                <w:sz w:val="24"/>
                <w:szCs w:val="24"/>
              </w:rPr>
            </w:pPr>
            <w:r>
              <w:rPr>
                <w:rFonts w:hint="eastAsia" w:ascii="Times New Roman" w:hAnsi="Times New Roman"/>
                <w:color w:val="auto"/>
                <w:sz w:val="24"/>
                <w:szCs w:val="24"/>
              </w:rPr>
              <w:t>磋商文件要求</w:t>
            </w:r>
          </w:p>
        </w:tc>
        <w:tc>
          <w:tcPr>
            <w:tcW w:w="1379" w:type="pct"/>
            <w:vAlign w:val="center"/>
          </w:tcPr>
          <w:p w14:paraId="3A62FA0A">
            <w:pPr>
              <w:jc w:val="center"/>
              <w:rPr>
                <w:rFonts w:ascii="Times New Roman" w:hAnsi="Times New Roman"/>
                <w:color w:val="auto"/>
                <w:sz w:val="24"/>
                <w:szCs w:val="24"/>
              </w:rPr>
            </w:pPr>
            <w:r>
              <w:rPr>
                <w:rFonts w:hint="eastAsia" w:ascii="Times New Roman" w:hAnsi="Times New Roman"/>
                <w:color w:val="auto"/>
                <w:sz w:val="24"/>
                <w:szCs w:val="24"/>
              </w:rPr>
              <w:t>投标响应</w:t>
            </w:r>
          </w:p>
        </w:tc>
        <w:tc>
          <w:tcPr>
            <w:tcW w:w="862" w:type="pct"/>
            <w:vAlign w:val="center"/>
          </w:tcPr>
          <w:p w14:paraId="05795323">
            <w:pPr>
              <w:jc w:val="center"/>
              <w:rPr>
                <w:rFonts w:ascii="Times New Roman" w:hAnsi="Times New Roman"/>
                <w:color w:val="auto"/>
                <w:sz w:val="24"/>
                <w:szCs w:val="24"/>
              </w:rPr>
            </w:pPr>
            <w:r>
              <w:rPr>
                <w:rFonts w:hint="eastAsia" w:ascii="Times New Roman" w:hAnsi="Times New Roman"/>
                <w:color w:val="auto"/>
                <w:sz w:val="24"/>
                <w:szCs w:val="24"/>
              </w:rPr>
              <w:t>偏离情况（正/负偏离/无偏离）</w:t>
            </w:r>
          </w:p>
        </w:tc>
        <w:tc>
          <w:tcPr>
            <w:tcW w:w="862" w:type="pct"/>
            <w:vAlign w:val="center"/>
          </w:tcPr>
          <w:p w14:paraId="4BE47664">
            <w:pPr>
              <w:jc w:val="center"/>
              <w:rPr>
                <w:rFonts w:ascii="Times New Roman" w:hAnsi="Times New Roman"/>
                <w:color w:val="auto"/>
                <w:sz w:val="24"/>
                <w:szCs w:val="24"/>
              </w:rPr>
            </w:pPr>
            <w:r>
              <w:rPr>
                <w:rFonts w:hint="eastAsia" w:ascii="Times New Roman" w:hAnsi="Times New Roman"/>
                <w:color w:val="auto"/>
                <w:sz w:val="24"/>
                <w:szCs w:val="24"/>
              </w:rPr>
              <w:t>说明</w:t>
            </w:r>
          </w:p>
        </w:tc>
      </w:tr>
      <w:tr w14:paraId="23C4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87F7318">
            <w:pPr>
              <w:rPr>
                <w:rFonts w:ascii="Times New Roman" w:hAnsi="Times New Roman"/>
                <w:color w:val="auto"/>
                <w:szCs w:val="24"/>
              </w:rPr>
            </w:pPr>
          </w:p>
        </w:tc>
        <w:tc>
          <w:tcPr>
            <w:tcW w:w="1379" w:type="pct"/>
          </w:tcPr>
          <w:p w14:paraId="14DDC2C9">
            <w:pPr>
              <w:rPr>
                <w:rFonts w:ascii="Times New Roman" w:hAnsi="Times New Roman"/>
                <w:color w:val="auto"/>
                <w:szCs w:val="24"/>
              </w:rPr>
            </w:pPr>
          </w:p>
        </w:tc>
        <w:tc>
          <w:tcPr>
            <w:tcW w:w="1379" w:type="pct"/>
          </w:tcPr>
          <w:p w14:paraId="1A43E8DE">
            <w:pPr>
              <w:rPr>
                <w:rFonts w:ascii="Times New Roman" w:hAnsi="Times New Roman"/>
                <w:color w:val="auto"/>
                <w:szCs w:val="24"/>
              </w:rPr>
            </w:pPr>
          </w:p>
        </w:tc>
        <w:tc>
          <w:tcPr>
            <w:tcW w:w="862" w:type="pct"/>
          </w:tcPr>
          <w:p w14:paraId="1C1DE82D">
            <w:pPr>
              <w:rPr>
                <w:rFonts w:ascii="Times New Roman" w:hAnsi="Times New Roman"/>
                <w:color w:val="auto"/>
                <w:szCs w:val="24"/>
              </w:rPr>
            </w:pPr>
          </w:p>
        </w:tc>
        <w:tc>
          <w:tcPr>
            <w:tcW w:w="862" w:type="pct"/>
          </w:tcPr>
          <w:p w14:paraId="05F109B3">
            <w:pPr>
              <w:rPr>
                <w:rFonts w:ascii="Times New Roman" w:hAnsi="Times New Roman"/>
                <w:color w:val="auto"/>
                <w:szCs w:val="24"/>
              </w:rPr>
            </w:pPr>
          </w:p>
        </w:tc>
      </w:tr>
      <w:tr w14:paraId="7E87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1AE76962">
            <w:pPr>
              <w:rPr>
                <w:rFonts w:ascii="Times New Roman" w:hAnsi="Times New Roman"/>
                <w:color w:val="auto"/>
                <w:szCs w:val="24"/>
              </w:rPr>
            </w:pPr>
          </w:p>
        </w:tc>
        <w:tc>
          <w:tcPr>
            <w:tcW w:w="1379" w:type="pct"/>
          </w:tcPr>
          <w:p w14:paraId="52BDEB17">
            <w:pPr>
              <w:rPr>
                <w:rFonts w:ascii="Times New Roman" w:hAnsi="Times New Roman"/>
                <w:color w:val="auto"/>
                <w:szCs w:val="24"/>
              </w:rPr>
            </w:pPr>
          </w:p>
        </w:tc>
        <w:tc>
          <w:tcPr>
            <w:tcW w:w="1379" w:type="pct"/>
          </w:tcPr>
          <w:p w14:paraId="1D2298D9">
            <w:pPr>
              <w:rPr>
                <w:rFonts w:ascii="Times New Roman" w:hAnsi="Times New Roman"/>
                <w:color w:val="auto"/>
                <w:szCs w:val="24"/>
              </w:rPr>
            </w:pPr>
          </w:p>
        </w:tc>
        <w:tc>
          <w:tcPr>
            <w:tcW w:w="862" w:type="pct"/>
          </w:tcPr>
          <w:p w14:paraId="395B05EF">
            <w:pPr>
              <w:rPr>
                <w:rFonts w:ascii="Times New Roman" w:hAnsi="Times New Roman"/>
                <w:color w:val="auto"/>
                <w:szCs w:val="24"/>
              </w:rPr>
            </w:pPr>
          </w:p>
        </w:tc>
        <w:tc>
          <w:tcPr>
            <w:tcW w:w="862" w:type="pct"/>
          </w:tcPr>
          <w:p w14:paraId="07BFA218">
            <w:pPr>
              <w:rPr>
                <w:rFonts w:ascii="Times New Roman" w:hAnsi="Times New Roman"/>
                <w:color w:val="auto"/>
                <w:szCs w:val="24"/>
              </w:rPr>
            </w:pPr>
          </w:p>
        </w:tc>
      </w:tr>
      <w:tr w14:paraId="18F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60D4D163">
            <w:pPr>
              <w:rPr>
                <w:rFonts w:ascii="Times New Roman" w:hAnsi="Times New Roman"/>
                <w:color w:val="auto"/>
                <w:szCs w:val="24"/>
              </w:rPr>
            </w:pPr>
          </w:p>
        </w:tc>
        <w:tc>
          <w:tcPr>
            <w:tcW w:w="1379" w:type="pct"/>
          </w:tcPr>
          <w:p w14:paraId="51878401">
            <w:pPr>
              <w:rPr>
                <w:rFonts w:ascii="Times New Roman" w:hAnsi="Times New Roman"/>
                <w:color w:val="auto"/>
                <w:szCs w:val="24"/>
              </w:rPr>
            </w:pPr>
          </w:p>
        </w:tc>
        <w:tc>
          <w:tcPr>
            <w:tcW w:w="1379" w:type="pct"/>
          </w:tcPr>
          <w:p w14:paraId="2F6F96B2">
            <w:pPr>
              <w:rPr>
                <w:rFonts w:ascii="Times New Roman" w:hAnsi="Times New Roman"/>
                <w:color w:val="auto"/>
                <w:szCs w:val="24"/>
              </w:rPr>
            </w:pPr>
          </w:p>
        </w:tc>
        <w:tc>
          <w:tcPr>
            <w:tcW w:w="862" w:type="pct"/>
          </w:tcPr>
          <w:p w14:paraId="5EEDA9E5">
            <w:pPr>
              <w:rPr>
                <w:rFonts w:ascii="Times New Roman" w:hAnsi="Times New Roman"/>
                <w:color w:val="auto"/>
                <w:szCs w:val="24"/>
              </w:rPr>
            </w:pPr>
          </w:p>
        </w:tc>
        <w:tc>
          <w:tcPr>
            <w:tcW w:w="862" w:type="pct"/>
          </w:tcPr>
          <w:p w14:paraId="13D91C2E">
            <w:pPr>
              <w:rPr>
                <w:rFonts w:ascii="Times New Roman" w:hAnsi="Times New Roman"/>
                <w:color w:val="auto"/>
                <w:szCs w:val="24"/>
              </w:rPr>
            </w:pPr>
          </w:p>
        </w:tc>
      </w:tr>
      <w:tr w14:paraId="3836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DE29559">
            <w:pPr>
              <w:rPr>
                <w:rFonts w:ascii="Times New Roman" w:hAnsi="Times New Roman"/>
                <w:color w:val="auto"/>
                <w:szCs w:val="24"/>
              </w:rPr>
            </w:pPr>
          </w:p>
        </w:tc>
        <w:tc>
          <w:tcPr>
            <w:tcW w:w="1379" w:type="pct"/>
          </w:tcPr>
          <w:p w14:paraId="1E2AE409">
            <w:pPr>
              <w:rPr>
                <w:rFonts w:ascii="Times New Roman" w:hAnsi="Times New Roman"/>
                <w:color w:val="auto"/>
                <w:szCs w:val="24"/>
              </w:rPr>
            </w:pPr>
          </w:p>
        </w:tc>
        <w:tc>
          <w:tcPr>
            <w:tcW w:w="1379" w:type="pct"/>
          </w:tcPr>
          <w:p w14:paraId="7C638C00">
            <w:pPr>
              <w:rPr>
                <w:rFonts w:ascii="Times New Roman" w:hAnsi="Times New Roman"/>
                <w:color w:val="auto"/>
                <w:szCs w:val="24"/>
              </w:rPr>
            </w:pPr>
          </w:p>
        </w:tc>
        <w:tc>
          <w:tcPr>
            <w:tcW w:w="862" w:type="pct"/>
          </w:tcPr>
          <w:p w14:paraId="1554E774">
            <w:pPr>
              <w:rPr>
                <w:rFonts w:ascii="Times New Roman" w:hAnsi="Times New Roman"/>
                <w:color w:val="auto"/>
                <w:szCs w:val="24"/>
              </w:rPr>
            </w:pPr>
          </w:p>
        </w:tc>
        <w:tc>
          <w:tcPr>
            <w:tcW w:w="862" w:type="pct"/>
          </w:tcPr>
          <w:p w14:paraId="1E9A392C">
            <w:pPr>
              <w:rPr>
                <w:rFonts w:ascii="Times New Roman" w:hAnsi="Times New Roman"/>
                <w:color w:val="auto"/>
                <w:szCs w:val="24"/>
              </w:rPr>
            </w:pPr>
          </w:p>
        </w:tc>
      </w:tr>
      <w:tr w14:paraId="0EA5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585ACE55">
            <w:pPr>
              <w:rPr>
                <w:rFonts w:ascii="Times New Roman" w:hAnsi="Times New Roman"/>
                <w:color w:val="auto"/>
                <w:szCs w:val="24"/>
              </w:rPr>
            </w:pPr>
          </w:p>
        </w:tc>
        <w:tc>
          <w:tcPr>
            <w:tcW w:w="1379" w:type="pct"/>
          </w:tcPr>
          <w:p w14:paraId="01F7E8F1">
            <w:pPr>
              <w:rPr>
                <w:rFonts w:ascii="Times New Roman" w:hAnsi="Times New Roman"/>
                <w:color w:val="auto"/>
                <w:szCs w:val="24"/>
              </w:rPr>
            </w:pPr>
          </w:p>
        </w:tc>
        <w:tc>
          <w:tcPr>
            <w:tcW w:w="1379" w:type="pct"/>
          </w:tcPr>
          <w:p w14:paraId="1B12944D">
            <w:pPr>
              <w:rPr>
                <w:rFonts w:ascii="Times New Roman" w:hAnsi="Times New Roman"/>
                <w:color w:val="auto"/>
                <w:szCs w:val="24"/>
              </w:rPr>
            </w:pPr>
          </w:p>
        </w:tc>
        <w:tc>
          <w:tcPr>
            <w:tcW w:w="862" w:type="pct"/>
          </w:tcPr>
          <w:p w14:paraId="13D5FC7E">
            <w:pPr>
              <w:rPr>
                <w:rFonts w:ascii="Times New Roman" w:hAnsi="Times New Roman"/>
                <w:color w:val="auto"/>
                <w:szCs w:val="24"/>
              </w:rPr>
            </w:pPr>
          </w:p>
        </w:tc>
        <w:tc>
          <w:tcPr>
            <w:tcW w:w="862" w:type="pct"/>
          </w:tcPr>
          <w:p w14:paraId="6FAF6D08">
            <w:pPr>
              <w:rPr>
                <w:rFonts w:ascii="Times New Roman" w:hAnsi="Times New Roman"/>
                <w:color w:val="auto"/>
                <w:szCs w:val="24"/>
              </w:rPr>
            </w:pPr>
          </w:p>
        </w:tc>
      </w:tr>
      <w:tr w14:paraId="59D7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1804274F">
            <w:pPr>
              <w:rPr>
                <w:rFonts w:ascii="Times New Roman" w:hAnsi="Times New Roman"/>
                <w:color w:val="auto"/>
                <w:szCs w:val="24"/>
              </w:rPr>
            </w:pPr>
          </w:p>
        </w:tc>
        <w:tc>
          <w:tcPr>
            <w:tcW w:w="1379" w:type="pct"/>
          </w:tcPr>
          <w:p w14:paraId="7739BEBC">
            <w:pPr>
              <w:rPr>
                <w:rFonts w:ascii="Times New Roman" w:hAnsi="Times New Roman"/>
                <w:color w:val="auto"/>
                <w:szCs w:val="24"/>
              </w:rPr>
            </w:pPr>
          </w:p>
        </w:tc>
        <w:tc>
          <w:tcPr>
            <w:tcW w:w="1379" w:type="pct"/>
          </w:tcPr>
          <w:p w14:paraId="664E98D4">
            <w:pPr>
              <w:rPr>
                <w:rFonts w:ascii="Times New Roman" w:hAnsi="Times New Roman"/>
                <w:color w:val="auto"/>
                <w:szCs w:val="24"/>
              </w:rPr>
            </w:pPr>
          </w:p>
        </w:tc>
        <w:tc>
          <w:tcPr>
            <w:tcW w:w="862" w:type="pct"/>
          </w:tcPr>
          <w:p w14:paraId="517FD1D0">
            <w:pPr>
              <w:rPr>
                <w:rFonts w:ascii="Times New Roman" w:hAnsi="Times New Roman"/>
                <w:color w:val="auto"/>
                <w:szCs w:val="24"/>
              </w:rPr>
            </w:pPr>
          </w:p>
        </w:tc>
        <w:tc>
          <w:tcPr>
            <w:tcW w:w="862" w:type="pct"/>
          </w:tcPr>
          <w:p w14:paraId="49058281">
            <w:pPr>
              <w:rPr>
                <w:rFonts w:ascii="Times New Roman" w:hAnsi="Times New Roman"/>
                <w:color w:val="auto"/>
                <w:szCs w:val="24"/>
              </w:rPr>
            </w:pPr>
          </w:p>
        </w:tc>
      </w:tr>
      <w:tr w14:paraId="50B4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73F9E3B6">
            <w:pPr>
              <w:rPr>
                <w:rFonts w:ascii="Times New Roman" w:hAnsi="Times New Roman"/>
                <w:color w:val="auto"/>
                <w:szCs w:val="24"/>
              </w:rPr>
            </w:pPr>
          </w:p>
        </w:tc>
        <w:tc>
          <w:tcPr>
            <w:tcW w:w="1379" w:type="pct"/>
          </w:tcPr>
          <w:p w14:paraId="796396EF">
            <w:pPr>
              <w:rPr>
                <w:rFonts w:ascii="Times New Roman" w:hAnsi="Times New Roman"/>
                <w:color w:val="auto"/>
                <w:szCs w:val="24"/>
              </w:rPr>
            </w:pPr>
          </w:p>
        </w:tc>
        <w:tc>
          <w:tcPr>
            <w:tcW w:w="1379" w:type="pct"/>
          </w:tcPr>
          <w:p w14:paraId="156A74E0">
            <w:pPr>
              <w:rPr>
                <w:rFonts w:ascii="Times New Roman" w:hAnsi="Times New Roman"/>
                <w:color w:val="auto"/>
                <w:szCs w:val="24"/>
              </w:rPr>
            </w:pPr>
          </w:p>
        </w:tc>
        <w:tc>
          <w:tcPr>
            <w:tcW w:w="862" w:type="pct"/>
          </w:tcPr>
          <w:p w14:paraId="0B8BCD4C">
            <w:pPr>
              <w:rPr>
                <w:rFonts w:ascii="Times New Roman" w:hAnsi="Times New Roman"/>
                <w:color w:val="auto"/>
                <w:szCs w:val="24"/>
              </w:rPr>
            </w:pPr>
          </w:p>
        </w:tc>
        <w:tc>
          <w:tcPr>
            <w:tcW w:w="862" w:type="pct"/>
          </w:tcPr>
          <w:p w14:paraId="02441E2C">
            <w:pPr>
              <w:rPr>
                <w:rFonts w:ascii="Times New Roman" w:hAnsi="Times New Roman"/>
                <w:color w:val="auto"/>
                <w:szCs w:val="24"/>
              </w:rPr>
            </w:pPr>
          </w:p>
        </w:tc>
      </w:tr>
      <w:tr w14:paraId="634D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69FEF659">
            <w:pPr>
              <w:rPr>
                <w:rFonts w:ascii="Times New Roman" w:hAnsi="Times New Roman"/>
                <w:color w:val="auto"/>
                <w:szCs w:val="24"/>
              </w:rPr>
            </w:pPr>
          </w:p>
        </w:tc>
        <w:tc>
          <w:tcPr>
            <w:tcW w:w="1379" w:type="pct"/>
          </w:tcPr>
          <w:p w14:paraId="4FF35F03">
            <w:pPr>
              <w:rPr>
                <w:rFonts w:ascii="Times New Roman" w:hAnsi="Times New Roman"/>
                <w:color w:val="auto"/>
                <w:szCs w:val="24"/>
              </w:rPr>
            </w:pPr>
          </w:p>
        </w:tc>
        <w:tc>
          <w:tcPr>
            <w:tcW w:w="1379" w:type="pct"/>
          </w:tcPr>
          <w:p w14:paraId="02FE1454">
            <w:pPr>
              <w:rPr>
                <w:rFonts w:ascii="Times New Roman" w:hAnsi="Times New Roman"/>
                <w:color w:val="auto"/>
                <w:szCs w:val="24"/>
              </w:rPr>
            </w:pPr>
          </w:p>
        </w:tc>
        <w:tc>
          <w:tcPr>
            <w:tcW w:w="862" w:type="pct"/>
          </w:tcPr>
          <w:p w14:paraId="3A43FA09">
            <w:pPr>
              <w:rPr>
                <w:rFonts w:ascii="Times New Roman" w:hAnsi="Times New Roman"/>
                <w:color w:val="auto"/>
                <w:szCs w:val="24"/>
              </w:rPr>
            </w:pPr>
          </w:p>
        </w:tc>
        <w:tc>
          <w:tcPr>
            <w:tcW w:w="862" w:type="pct"/>
          </w:tcPr>
          <w:p w14:paraId="0F15FB5A">
            <w:pPr>
              <w:rPr>
                <w:rFonts w:ascii="Times New Roman" w:hAnsi="Times New Roman"/>
                <w:color w:val="auto"/>
                <w:szCs w:val="24"/>
              </w:rPr>
            </w:pPr>
          </w:p>
        </w:tc>
      </w:tr>
      <w:tr w14:paraId="3327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6" w:type="pct"/>
          </w:tcPr>
          <w:p w14:paraId="6F40749B">
            <w:pPr>
              <w:rPr>
                <w:rFonts w:ascii="Times New Roman" w:hAnsi="Times New Roman"/>
                <w:color w:val="auto"/>
                <w:szCs w:val="24"/>
              </w:rPr>
            </w:pPr>
          </w:p>
        </w:tc>
        <w:tc>
          <w:tcPr>
            <w:tcW w:w="1379" w:type="pct"/>
          </w:tcPr>
          <w:p w14:paraId="0BB385A6">
            <w:pPr>
              <w:rPr>
                <w:rFonts w:ascii="Times New Roman" w:hAnsi="Times New Roman"/>
                <w:color w:val="auto"/>
                <w:szCs w:val="24"/>
              </w:rPr>
            </w:pPr>
          </w:p>
        </w:tc>
        <w:tc>
          <w:tcPr>
            <w:tcW w:w="1379" w:type="pct"/>
          </w:tcPr>
          <w:p w14:paraId="499BC29B">
            <w:pPr>
              <w:rPr>
                <w:rFonts w:ascii="Times New Roman" w:hAnsi="Times New Roman"/>
                <w:color w:val="auto"/>
                <w:szCs w:val="24"/>
              </w:rPr>
            </w:pPr>
          </w:p>
        </w:tc>
        <w:tc>
          <w:tcPr>
            <w:tcW w:w="862" w:type="pct"/>
          </w:tcPr>
          <w:p w14:paraId="688A4C71">
            <w:pPr>
              <w:rPr>
                <w:rFonts w:ascii="Times New Roman" w:hAnsi="Times New Roman"/>
                <w:color w:val="auto"/>
                <w:szCs w:val="24"/>
              </w:rPr>
            </w:pPr>
          </w:p>
        </w:tc>
        <w:tc>
          <w:tcPr>
            <w:tcW w:w="862" w:type="pct"/>
          </w:tcPr>
          <w:p w14:paraId="1FDC2B27">
            <w:pPr>
              <w:rPr>
                <w:rFonts w:ascii="Times New Roman" w:hAnsi="Times New Roman"/>
                <w:color w:val="auto"/>
                <w:szCs w:val="24"/>
              </w:rPr>
            </w:pPr>
          </w:p>
        </w:tc>
      </w:tr>
    </w:tbl>
    <w:p w14:paraId="5ED6D9F6">
      <w:pPr>
        <w:ind w:firstLine="1440" w:firstLineChars="600"/>
        <w:rPr>
          <w:rFonts w:ascii="宋体" w:hAnsi="Times New Roman"/>
          <w:color w:val="auto"/>
          <w:sz w:val="24"/>
          <w:szCs w:val="24"/>
        </w:rPr>
      </w:pPr>
    </w:p>
    <w:p w14:paraId="1D155B2F">
      <w:pPr>
        <w:pStyle w:val="33"/>
        <w:adjustRightInd w:val="0"/>
        <w:snapToGrid w:val="0"/>
        <w:spacing w:after="0" w:line="360" w:lineRule="auto"/>
        <w:ind w:left="0" w:leftChars="0"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注：须结合第五章《采购需求》</w:t>
      </w:r>
      <w:r>
        <w:rPr>
          <w:rFonts w:hint="eastAsia" w:ascii="宋体" w:hAnsi="宋体" w:eastAsia="宋体" w:cs="宋体"/>
          <w:b/>
          <w:bCs/>
          <w:color w:val="auto"/>
          <w:sz w:val="24"/>
          <w:szCs w:val="24"/>
          <w:lang w:val="en-US" w:eastAsia="zh-CN"/>
        </w:rPr>
        <w:t>商务要求</w:t>
      </w:r>
      <w:r>
        <w:rPr>
          <w:rFonts w:hint="eastAsia" w:ascii="宋体" w:hAnsi="宋体" w:eastAsia="宋体" w:cs="宋体"/>
          <w:b/>
          <w:bCs/>
          <w:color w:val="auto"/>
          <w:sz w:val="24"/>
          <w:szCs w:val="24"/>
        </w:rPr>
        <w:t>内容点对点应答。</w:t>
      </w:r>
    </w:p>
    <w:p w14:paraId="5CDE695E">
      <w:pPr>
        <w:spacing w:line="400" w:lineRule="exact"/>
        <w:rPr>
          <w:rFonts w:ascii="宋体" w:hAnsi="宋体" w:eastAsia="宋体"/>
          <w:color w:val="auto"/>
          <w:sz w:val="24"/>
        </w:rPr>
      </w:pPr>
      <w:r>
        <w:rPr>
          <w:rFonts w:hint="eastAsia" w:ascii="宋体" w:hAnsi="宋体" w:eastAsia="宋体"/>
          <w:color w:val="auto"/>
          <w:sz w:val="24"/>
        </w:rPr>
        <w:t xml:space="preserve">   </w:t>
      </w:r>
    </w:p>
    <w:p w14:paraId="561C6766">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宋体" w:hAnsi="Times New Roman"/>
          <w:color w:val="auto"/>
          <w:sz w:val="24"/>
          <w:szCs w:val="24"/>
          <w:u w:val="single"/>
        </w:rPr>
      </w:pP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Times New Roman"/>
          <w:color w:val="auto"/>
          <w:sz w:val="24"/>
          <w:szCs w:val="24"/>
        </w:rPr>
        <w:t>：</w:t>
      </w:r>
    </w:p>
    <w:p w14:paraId="014D8420">
      <w:pPr>
        <w:pStyle w:val="15"/>
        <w:rPr>
          <w:rFonts w:ascii="宋体" w:hAnsi="宋体" w:eastAsia="宋体"/>
          <w:color w:val="auto"/>
        </w:rPr>
        <w:sectPr>
          <w:pgSz w:w="11906" w:h="16838"/>
          <w:pgMar w:top="1440" w:right="1080" w:bottom="1440" w:left="1080" w:header="851" w:footer="992" w:gutter="0"/>
          <w:cols w:space="425" w:num="1"/>
          <w:docGrid w:type="lines" w:linePitch="312" w:charSpace="0"/>
        </w:sectPr>
      </w:pPr>
      <w:r>
        <w:rPr>
          <w:rFonts w:hint="eastAsia" w:ascii="宋体" w:hAnsi="Times New Roman"/>
          <w:color w:val="auto"/>
          <w:sz w:val="24"/>
          <w:szCs w:val="24"/>
        </w:rPr>
        <w:t xml:space="preserve">                                                 日期：</w:t>
      </w:r>
    </w:p>
    <w:p w14:paraId="56F740DF">
      <w:pPr>
        <w:widowControl/>
        <w:ind w:firstLine="643" w:firstLineChars="200"/>
        <w:jc w:val="left"/>
        <w:rPr>
          <w:rFonts w:ascii="宋体" w:hAnsi="宋体" w:eastAsia="宋体"/>
          <w:b/>
          <w:bCs/>
          <w:color w:val="auto"/>
          <w:sz w:val="32"/>
          <w:szCs w:val="32"/>
          <w:lang w:val="zh-CN"/>
        </w:rPr>
      </w:pPr>
      <w:bookmarkStart w:id="85" w:name="_Toc10238"/>
      <w:bookmarkStart w:id="86" w:name="_Toc12468"/>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九</w:t>
      </w:r>
      <w:r>
        <w:rPr>
          <w:rFonts w:hint="eastAsia" w:ascii="宋体" w:hAnsi="宋体" w:eastAsia="宋体"/>
          <w:b/>
          <w:bCs/>
          <w:color w:val="auto"/>
          <w:sz w:val="32"/>
          <w:szCs w:val="32"/>
          <w:lang w:val="zh-CN"/>
        </w:rPr>
        <w:t>、</w:t>
      </w:r>
      <w:bookmarkEnd w:id="85"/>
      <w:bookmarkEnd w:id="86"/>
      <w:r>
        <w:rPr>
          <w:rFonts w:hint="eastAsia" w:ascii="宋体" w:hAnsi="宋体" w:eastAsia="宋体"/>
          <w:b/>
          <w:bCs/>
          <w:color w:val="auto"/>
          <w:sz w:val="32"/>
          <w:szCs w:val="32"/>
          <w:lang w:val="zh-CN"/>
        </w:rPr>
        <w:t>竞争性磋商文件要求提供的其他商务文件资料</w:t>
      </w:r>
    </w:p>
    <w:p w14:paraId="5DE26673">
      <w:pPr>
        <w:pStyle w:val="15"/>
        <w:rPr>
          <w:rFonts w:ascii="宋体" w:hAnsi="宋体" w:eastAsia="宋体"/>
          <w:color w:val="auto"/>
        </w:rPr>
      </w:pPr>
    </w:p>
    <w:p w14:paraId="20046D9E">
      <w:pPr>
        <w:rPr>
          <w:rFonts w:ascii="宋体" w:hAnsi="宋体" w:eastAsia="宋体"/>
          <w:color w:val="auto"/>
        </w:rPr>
        <w:sectPr>
          <w:pgSz w:w="11906" w:h="16838"/>
          <w:pgMar w:top="1440" w:right="1080" w:bottom="1440" w:left="1080" w:header="851" w:footer="992" w:gutter="0"/>
          <w:cols w:space="425" w:num="1"/>
          <w:docGrid w:type="lines" w:linePitch="312" w:charSpace="0"/>
        </w:sectPr>
      </w:pPr>
    </w:p>
    <w:p w14:paraId="044875E7">
      <w:pPr>
        <w:spacing w:line="360" w:lineRule="auto"/>
        <w:jc w:val="center"/>
        <w:rPr>
          <w:rFonts w:ascii="宋体" w:hAnsi="宋体" w:eastAsia="宋体" w:cs="Times New Roman"/>
          <w:b/>
          <w:color w:val="auto"/>
          <w:kern w:val="44"/>
          <w:sz w:val="32"/>
          <w:lang w:val="zh-CN"/>
        </w:rPr>
      </w:pPr>
      <w:bookmarkStart w:id="87" w:name="_Toc8918"/>
      <w:bookmarkStart w:id="88" w:name="_Toc26464"/>
      <w:r>
        <w:rPr>
          <w:rFonts w:hint="eastAsia" w:ascii="宋体" w:hAnsi="宋体" w:eastAsia="宋体" w:cs="Times New Roman"/>
          <w:b/>
          <w:color w:val="auto"/>
          <w:kern w:val="44"/>
          <w:sz w:val="32"/>
          <w:lang w:val="zh-CN"/>
        </w:rPr>
        <w:t>第二部分</w:t>
      </w:r>
      <w:r>
        <w:rPr>
          <w:rFonts w:hint="eastAsia" w:ascii="宋体" w:hAnsi="宋体" w:eastAsia="宋体" w:cs="Times New Roman"/>
          <w:b/>
          <w:color w:val="auto"/>
          <w:kern w:val="44"/>
          <w:sz w:val="32"/>
        </w:rPr>
        <w:t xml:space="preserve"> </w:t>
      </w:r>
      <w:r>
        <w:rPr>
          <w:rFonts w:hint="eastAsia" w:ascii="宋体" w:hAnsi="宋体" w:eastAsia="宋体" w:cs="Times New Roman"/>
          <w:b/>
          <w:color w:val="auto"/>
          <w:kern w:val="44"/>
          <w:sz w:val="32"/>
          <w:lang w:val="zh-CN"/>
        </w:rPr>
        <w:t>技术文件</w:t>
      </w:r>
      <w:bookmarkEnd w:id="87"/>
      <w:bookmarkEnd w:id="88"/>
    </w:p>
    <w:p w14:paraId="6D071059">
      <w:pPr>
        <w:jc w:val="center"/>
        <w:rPr>
          <w:rFonts w:ascii="宋体" w:hAnsi="宋体" w:eastAsia="宋体"/>
          <w:b/>
          <w:bCs/>
          <w:color w:val="auto"/>
          <w:sz w:val="32"/>
          <w:szCs w:val="32"/>
          <w:lang w:val="zh-CN"/>
        </w:rPr>
      </w:pPr>
      <w:r>
        <w:rPr>
          <w:rFonts w:hint="eastAsia" w:ascii="宋体" w:hAnsi="宋体" w:eastAsia="宋体"/>
          <w:b/>
          <w:bCs/>
          <w:color w:val="auto"/>
          <w:sz w:val="32"/>
          <w:szCs w:val="32"/>
          <w:lang w:val="zh-CN"/>
        </w:rPr>
        <w:t>格式</w:t>
      </w:r>
      <w:r>
        <w:rPr>
          <w:rFonts w:hint="eastAsia" w:ascii="宋体" w:hAnsi="宋体" w:eastAsia="宋体"/>
          <w:b/>
          <w:bCs/>
          <w:color w:val="auto"/>
          <w:sz w:val="32"/>
          <w:szCs w:val="32"/>
          <w:lang w:val="en-US" w:eastAsia="zh-CN"/>
        </w:rPr>
        <w:t>一</w:t>
      </w:r>
      <w:r>
        <w:rPr>
          <w:rFonts w:hint="eastAsia" w:ascii="宋体" w:hAnsi="宋体" w:eastAsia="宋体"/>
          <w:b/>
          <w:bCs/>
          <w:color w:val="auto"/>
          <w:sz w:val="32"/>
          <w:szCs w:val="32"/>
          <w:lang w:val="zh-CN"/>
        </w:rPr>
        <w:t>、技术</w:t>
      </w:r>
      <w:r>
        <w:rPr>
          <w:rFonts w:hint="eastAsia" w:ascii="宋体" w:hAnsi="宋体" w:eastAsia="宋体"/>
          <w:b/>
          <w:bCs/>
          <w:color w:val="auto"/>
          <w:sz w:val="32"/>
          <w:szCs w:val="32"/>
        </w:rPr>
        <w:t>条款</w:t>
      </w:r>
      <w:r>
        <w:rPr>
          <w:rFonts w:hint="eastAsia" w:ascii="宋体" w:hAnsi="宋体" w:eastAsia="宋体"/>
          <w:b/>
          <w:bCs/>
          <w:color w:val="auto"/>
          <w:sz w:val="32"/>
          <w:szCs w:val="32"/>
          <w:lang w:val="zh-CN"/>
        </w:rPr>
        <w:t>偏离表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8"/>
        <w:gridCol w:w="2748"/>
        <w:gridCol w:w="1717"/>
        <w:gridCol w:w="1717"/>
      </w:tblGrid>
      <w:tr w14:paraId="2501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1C79ED15">
            <w:pPr>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379" w:type="pct"/>
            <w:vAlign w:val="center"/>
          </w:tcPr>
          <w:p w14:paraId="0EA211ED">
            <w:pPr>
              <w:jc w:val="center"/>
              <w:rPr>
                <w:rFonts w:ascii="Times New Roman" w:hAnsi="Times New Roman"/>
                <w:color w:val="auto"/>
                <w:sz w:val="24"/>
                <w:szCs w:val="24"/>
              </w:rPr>
            </w:pPr>
            <w:r>
              <w:rPr>
                <w:rFonts w:hint="eastAsia" w:ascii="Times New Roman" w:hAnsi="Times New Roman"/>
                <w:color w:val="auto"/>
                <w:sz w:val="24"/>
                <w:szCs w:val="24"/>
              </w:rPr>
              <w:t>磋商文件要求</w:t>
            </w:r>
          </w:p>
        </w:tc>
        <w:tc>
          <w:tcPr>
            <w:tcW w:w="1379" w:type="pct"/>
            <w:vAlign w:val="center"/>
          </w:tcPr>
          <w:p w14:paraId="778E465B">
            <w:pPr>
              <w:jc w:val="center"/>
              <w:rPr>
                <w:rFonts w:ascii="Times New Roman" w:hAnsi="Times New Roman"/>
                <w:color w:val="auto"/>
                <w:sz w:val="24"/>
                <w:szCs w:val="24"/>
              </w:rPr>
            </w:pPr>
            <w:r>
              <w:rPr>
                <w:rFonts w:hint="eastAsia" w:ascii="Times New Roman" w:hAnsi="Times New Roman"/>
                <w:color w:val="auto"/>
                <w:sz w:val="24"/>
                <w:szCs w:val="24"/>
              </w:rPr>
              <w:t>投标响应</w:t>
            </w:r>
          </w:p>
        </w:tc>
        <w:tc>
          <w:tcPr>
            <w:tcW w:w="862" w:type="pct"/>
            <w:vAlign w:val="center"/>
          </w:tcPr>
          <w:p w14:paraId="69BF2EFF">
            <w:pPr>
              <w:jc w:val="center"/>
              <w:rPr>
                <w:rFonts w:ascii="Times New Roman" w:hAnsi="Times New Roman"/>
                <w:color w:val="auto"/>
                <w:sz w:val="24"/>
                <w:szCs w:val="24"/>
              </w:rPr>
            </w:pPr>
            <w:r>
              <w:rPr>
                <w:rFonts w:hint="eastAsia" w:ascii="Times New Roman" w:hAnsi="Times New Roman"/>
                <w:color w:val="auto"/>
                <w:sz w:val="24"/>
                <w:szCs w:val="24"/>
              </w:rPr>
              <w:t>偏离情况（正/负偏离/无偏离）</w:t>
            </w:r>
          </w:p>
        </w:tc>
        <w:tc>
          <w:tcPr>
            <w:tcW w:w="862" w:type="pct"/>
            <w:vAlign w:val="center"/>
          </w:tcPr>
          <w:p w14:paraId="7E200582">
            <w:pPr>
              <w:jc w:val="center"/>
              <w:rPr>
                <w:rFonts w:ascii="Times New Roman" w:hAnsi="Times New Roman"/>
                <w:color w:val="auto"/>
                <w:sz w:val="24"/>
                <w:szCs w:val="24"/>
              </w:rPr>
            </w:pPr>
            <w:r>
              <w:rPr>
                <w:rFonts w:hint="eastAsia" w:ascii="Times New Roman" w:hAnsi="Times New Roman"/>
                <w:color w:val="auto"/>
                <w:sz w:val="24"/>
                <w:szCs w:val="24"/>
              </w:rPr>
              <w:t>说明</w:t>
            </w:r>
          </w:p>
        </w:tc>
      </w:tr>
      <w:tr w14:paraId="58AF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A0EB912">
            <w:pPr>
              <w:rPr>
                <w:rFonts w:ascii="Times New Roman" w:hAnsi="Times New Roman"/>
                <w:color w:val="auto"/>
                <w:szCs w:val="24"/>
              </w:rPr>
            </w:pPr>
          </w:p>
        </w:tc>
        <w:tc>
          <w:tcPr>
            <w:tcW w:w="1379" w:type="pct"/>
          </w:tcPr>
          <w:p w14:paraId="5EBAC3F1">
            <w:pPr>
              <w:rPr>
                <w:rFonts w:ascii="Times New Roman" w:hAnsi="Times New Roman"/>
                <w:color w:val="auto"/>
                <w:szCs w:val="24"/>
              </w:rPr>
            </w:pPr>
          </w:p>
        </w:tc>
        <w:tc>
          <w:tcPr>
            <w:tcW w:w="1379" w:type="pct"/>
          </w:tcPr>
          <w:p w14:paraId="27CA2852">
            <w:pPr>
              <w:rPr>
                <w:rFonts w:ascii="Times New Roman" w:hAnsi="Times New Roman"/>
                <w:color w:val="auto"/>
                <w:szCs w:val="24"/>
              </w:rPr>
            </w:pPr>
          </w:p>
        </w:tc>
        <w:tc>
          <w:tcPr>
            <w:tcW w:w="862" w:type="pct"/>
          </w:tcPr>
          <w:p w14:paraId="5631B9D3">
            <w:pPr>
              <w:rPr>
                <w:rFonts w:ascii="Times New Roman" w:hAnsi="Times New Roman"/>
                <w:color w:val="auto"/>
                <w:szCs w:val="24"/>
              </w:rPr>
            </w:pPr>
          </w:p>
        </w:tc>
        <w:tc>
          <w:tcPr>
            <w:tcW w:w="862" w:type="pct"/>
          </w:tcPr>
          <w:p w14:paraId="2C795AE6">
            <w:pPr>
              <w:rPr>
                <w:rFonts w:ascii="Times New Roman" w:hAnsi="Times New Roman"/>
                <w:color w:val="auto"/>
                <w:szCs w:val="24"/>
              </w:rPr>
            </w:pPr>
          </w:p>
        </w:tc>
      </w:tr>
      <w:tr w14:paraId="535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0D379423">
            <w:pPr>
              <w:rPr>
                <w:rFonts w:ascii="Times New Roman" w:hAnsi="Times New Roman"/>
                <w:color w:val="auto"/>
                <w:szCs w:val="24"/>
              </w:rPr>
            </w:pPr>
          </w:p>
        </w:tc>
        <w:tc>
          <w:tcPr>
            <w:tcW w:w="1379" w:type="pct"/>
          </w:tcPr>
          <w:p w14:paraId="3E0AECD7">
            <w:pPr>
              <w:rPr>
                <w:rFonts w:ascii="Times New Roman" w:hAnsi="Times New Roman"/>
                <w:color w:val="auto"/>
                <w:szCs w:val="24"/>
              </w:rPr>
            </w:pPr>
          </w:p>
        </w:tc>
        <w:tc>
          <w:tcPr>
            <w:tcW w:w="1379" w:type="pct"/>
          </w:tcPr>
          <w:p w14:paraId="43AEF7D2">
            <w:pPr>
              <w:rPr>
                <w:rFonts w:ascii="Times New Roman" w:hAnsi="Times New Roman"/>
                <w:color w:val="auto"/>
                <w:szCs w:val="24"/>
              </w:rPr>
            </w:pPr>
          </w:p>
        </w:tc>
        <w:tc>
          <w:tcPr>
            <w:tcW w:w="862" w:type="pct"/>
          </w:tcPr>
          <w:p w14:paraId="2A613657">
            <w:pPr>
              <w:rPr>
                <w:rFonts w:ascii="Times New Roman" w:hAnsi="Times New Roman"/>
                <w:color w:val="auto"/>
                <w:szCs w:val="24"/>
              </w:rPr>
            </w:pPr>
          </w:p>
        </w:tc>
        <w:tc>
          <w:tcPr>
            <w:tcW w:w="862" w:type="pct"/>
          </w:tcPr>
          <w:p w14:paraId="2400FE76">
            <w:pPr>
              <w:rPr>
                <w:rFonts w:ascii="Times New Roman" w:hAnsi="Times New Roman"/>
                <w:color w:val="auto"/>
                <w:szCs w:val="24"/>
              </w:rPr>
            </w:pPr>
          </w:p>
        </w:tc>
      </w:tr>
      <w:tr w14:paraId="0829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7B524AD4">
            <w:pPr>
              <w:rPr>
                <w:rFonts w:ascii="Times New Roman" w:hAnsi="Times New Roman"/>
                <w:color w:val="auto"/>
                <w:szCs w:val="24"/>
              </w:rPr>
            </w:pPr>
          </w:p>
        </w:tc>
        <w:tc>
          <w:tcPr>
            <w:tcW w:w="1379" w:type="pct"/>
          </w:tcPr>
          <w:p w14:paraId="061F9103">
            <w:pPr>
              <w:rPr>
                <w:rFonts w:ascii="Times New Roman" w:hAnsi="Times New Roman"/>
                <w:color w:val="auto"/>
                <w:szCs w:val="24"/>
              </w:rPr>
            </w:pPr>
          </w:p>
        </w:tc>
        <w:tc>
          <w:tcPr>
            <w:tcW w:w="1379" w:type="pct"/>
          </w:tcPr>
          <w:p w14:paraId="440118EB">
            <w:pPr>
              <w:rPr>
                <w:rFonts w:ascii="Times New Roman" w:hAnsi="Times New Roman"/>
                <w:color w:val="auto"/>
                <w:szCs w:val="24"/>
              </w:rPr>
            </w:pPr>
          </w:p>
        </w:tc>
        <w:tc>
          <w:tcPr>
            <w:tcW w:w="862" w:type="pct"/>
          </w:tcPr>
          <w:p w14:paraId="105D63FB">
            <w:pPr>
              <w:rPr>
                <w:rFonts w:ascii="Times New Roman" w:hAnsi="Times New Roman"/>
                <w:color w:val="auto"/>
                <w:szCs w:val="24"/>
              </w:rPr>
            </w:pPr>
          </w:p>
        </w:tc>
        <w:tc>
          <w:tcPr>
            <w:tcW w:w="862" w:type="pct"/>
          </w:tcPr>
          <w:p w14:paraId="340050DD">
            <w:pPr>
              <w:rPr>
                <w:rFonts w:ascii="Times New Roman" w:hAnsi="Times New Roman"/>
                <w:color w:val="auto"/>
                <w:szCs w:val="24"/>
              </w:rPr>
            </w:pPr>
          </w:p>
        </w:tc>
      </w:tr>
      <w:tr w14:paraId="7788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986C477">
            <w:pPr>
              <w:rPr>
                <w:rFonts w:ascii="Times New Roman" w:hAnsi="Times New Roman"/>
                <w:color w:val="auto"/>
                <w:szCs w:val="24"/>
              </w:rPr>
            </w:pPr>
          </w:p>
        </w:tc>
        <w:tc>
          <w:tcPr>
            <w:tcW w:w="1379" w:type="pct"/>
          </w:tcPr>
          <w:p w14:paraId="277517A9">
            <w:pPr>
              <w:rPr>
                <w:rFonts w:ascii="Times New Roman" w:hAnsi="Times New Roman"/>
                <w:color w:val="auto"/>
                <w:szCs w:val="24"/>
              </w:rPr>
            </w:pPr>
          </w:p>
        </w:tc>
        <w:tc>
          <w:tcPr>
            <w:tcW w:w="1379" w:type="pct"/>
          </w:tcPr>
          <w:p w14:paraId="6AF745FC">
            <w:pPr>
              <w:rPr>
                <w:rFonts w:ascii="Times New Roman" w:hAnsi="Times New Roman"/>
                <w:color w:val="auto"/>
                <w:szCs w:val="24"/>
              </w:rPr>
            </w:pPr>
          </w:p>
        </w:tc>
        <w:tc>
          <w:tcPr>
            <w:tcW w:w="862" w:type="pct"/>
          </w:tcPr>
          <w:p w14:paraId="3A7A75D0">
            <w:pPr>
              <w:rPr>
                <w:rFonts w:ascii="Times New Roman" w:hAnsi="Times New Roman"/>
                <w:color w:val="auto"/>
                <w:szCs w:val="24"/>
              </w:rPr>
            </w:pPr>
          </w:p>
        </w:tc>
        <w:tc>
          <w:tcPr>
            <w:tcW w:w="862" w:type="pct"/>
          </w:tcPr>
          <w:p w14:paraId="68A52835">
            <w:pPr>
              <w:rPr>
                <w:rFonts w:ascii="Times New Roman" w:hAnsi="Times New Roman"/>
                <w:color w:val="auto"/>
                <w:szCs w:val="24"/>
              </w:rPr>
            </w:pPr>
          </w:p>
        </w:tc>
      </w:tr>
      <w:tr w14:paraId="3561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32C34F9">
            <w:pPr>
              <w:rPr>
                <w:rFonts w:ascii="Times New Roman" w:hAnsi="Times New Roman"/>
                <w:color w:val="auto"/>
                <w:szCs w:val="24"/>
              </w:rPr>
            </w:pPr>
          </w:p>
        </w:tc>
        <w:tc>
          <w:tcPr>
            <w:tcW w:w="1379" w:type="pct"/>
          </w:tcPr>
          <w:p w14:paraId="35F89FE7">
            <w:pPr>
              <w:rPr>
                <w:rFonts w:ascii="Times New Roman" w:hAnsi="Times New Roman"/>
                <w:color w:val="auto"/>
                <w:szCs w:val="24"/>
              </w:rPr>
            </w:pPr>
          </w:p>
        </w:tc>
        <w:tc>
          <w:tcPr>
            <w:tcW w:w="1379" w:type="pct"/>
          </w:tcPr>
          <w:p w14:paraId="6CF1C93B">
            <w:pPr>
              <w:rPr>
                <w:rFonts w:ascii="Times New Roman" w:hAnsi="Times New Roman"/>
                <w:color w:val="auto"/>
                <w:szCs w:val="24"/>
              </w:rPr>
            </w:pPr>
          </w:p>
        </w:tc>
        <w:tc>
          <w:tcPr>
            <w:tcW w:w="862" w:type="pct"/>
          </w:tcPr>
          <w:p w14:paraId="14F1B6F3">
            <w:pPr>
              <w:rPr>
                <w:rFonts w:ascii="Times New Roman" w:hAnsi="Times New Roman"/>
                <w:color w:val="auto"/>
                <w:szCs w:val="24"/>
              </w:rPr>
            </w:pPr>
          </w:p>
        </w:tc>
        <w:tc>
          <w:tcPr>
            <w:tcW w:w="862" w:type="pct"/>
          </w:tcPr>
          <w:p w14:paraId="61574634">
            <w:pPr>
              <w:rPr>
                <w:rFonts w:ascii="Times New Roman" w:hAnsi="Times New Roman"/>
                <w:color w:val="auto"/>
                <w:szCs w:val="24"/>
              </w:rPr>
            </w:pPr>
          </w:p>
        </w:tc>
      </w:tr>
      <w:tr w14:paraId="3BD4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7C5187DA">
            <w:pPr>
              <w:rPr>
                <w:rFonts w:ascii="Times New Roman" w:hAnsi="Times New Roman"/>
                <w:color w:val="auto"/>
                <w:szCs w:val="24"/>
              </w:rPr>
            </w:pPr>
          </w:p>
        </w:tc>
        <w:tc>
          <w:tcPr>
            <w:tcW w:w="1379" w:type="pct"/>
          </w:tcPr>
          <w:p w14:paraId="5329A18E">
            <w:pPr>
              <w:rPr>
                <w:rFonts w:ascii="Times New Roman" w:hAnsi="Times New Roman"/>
                <w:color w:val="auto"/>
                <w:szCs w:val="24"/>
              </w:rPr>
            </w:pPr>
          </w:p>
        </w:tc>
        <w:tc>
          <w:tcPr>
            <w:tcW w:w="1379" w:type="pct"/>
          </w:tcPr>
          <w:p w14:paraId="4B39EF93">
            <w:pPr>
              <w:rPr>
                <w:rFonts w:ascii="Times New Roman" w:hAnsi="Times New Roman"/>
                <w:color w:val="auto"/>
                <w:szCs w:val="24"/>
              </w:rPr>
            </w:pPr>
          </w:p>
        </w:tc>
        <w:tc>
          <w:tcPr>
            <w:tcW w:w="862" w:type="pct"/>
          </w:tcPr>
          <w:p w14:paraId="4FD9A380">
            <w:pPr>
              <w:rPr>
                <w:rFonts w:ascii="Times New Roman" w:hAnsi="Times New Roman"/>
                <w:color w:val="auto"/>
                <w:szCs w:val="24"/>
              </w:rPr>
            </w:pPr>
          </w:p>
        </w:tc>
        <w:tc>
          <w:tcPr>
            <w:tcW w:w="862" w:type="pct"/>
          </w:tcPr>
          <w:p w14:paraId="023ECAA8">
            <w:pPr>
              <w:rPr>
                <w:rFonts w:ascii="Times New Roman" w:hAnsi="Times New Roman"/>
                <w:color w:val="auto"/>
                <w:szCs w:val="24"/>
              </w:rPr>
            </w:pPr>
          </w:p>
        </w:tc>
      </w:tr>
      <w:tr w14:paraId="3944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07E9B25A">
            <w:pPr>
              <w:rPr>
                <w:rFonts w:ascii="Times New Roman" w:hAnsi="Times New Roman"/>
                <w:color w:val="auto"/>
                <w:szCs w:val="24"/>
              </w:rPr>
            </w:pPr>
          </w:p>
        </w:tc>
        <w:tc>
          <w:tcPr>
            <w:tcW w:w="1379" w:type="pct"/>
          </w:tcPr>
          <w:p w14:paraId="2261AF79">
            <w:pPr>
              <w:rPr>
                <w:rFonts w:ascii="Times New Roman" w:hAnsi="Times New Roman"/>
                <w:color w:val="auto"/>
                <w:szCs w:val="24"/>
              </w:rPr>
            </w:pPr>
          </w:p>
        </w:tc>
        <w:tc>
          <w:tcPr>
            <w:tcW w:w="1379" w:type="pct"/>
          </w:tcPr>
          <w:p w14:paraId="09B51705">
            <w:pPr>
              <w:rPr>
                <w:rFonts w:ascii="Times New Roman" w:hAnsi="Times New Roman"/>
                <w:color w:val="auto"/>
                <w:szCs w:val="24"/>
              </w:rPr>
            </w:pPr>
          </w:p>
        </w:tc>
        <w:tc>
          <w:tcPr>
            <w:tcW w:w="862" w:type="pct"/>
          </w:tcPr>
          <w:p w14:paraId="76575019">
            <w:pPr>
              <w:rPr>
                <w:rFonts w:ascii="Times New Roman" w:hAnsi="Times New Roman"/>
                <w:color w:val="auto"/>
                <w:szCs w:val="24"/>
              </w:rPr>
            </w:pPr>
          </w:p>
        </w:tc>
        <w:tc>
          <w:tcPr>
            <w:tcW w:w="862" w:type="pct"/>
          </w:tcPr>
          <w:p w14:paraId="4BBDC4FD">
            <w:pPr>
              <w:rPr>
                <w:rFonts w:ascii="Times New Roman" w:hAnsi="Times New Roman"/>
                <w:color w:val="auto"/>
                <w:szCs w:val="24"/>
              </w:rPr>
            </w:pPr>
          </w:p>
        </w:tc>
      </w:tr>
      <w:tr w14:paraId="7AE2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9C3E4BC">
            <w:pPr>
              <w:rPr>
                <w:rFonts w:ascii="Times New Roman" w:hAnsi="Times New Roman"/>
                <w:color w:val="auto"/>
                <w:szCs w:val="24"/>
              </w:rPr>
            </w:pPr>
          </w:p>
        </w:tc>
        <w:tc>
          <w:tcPr>
            <w:tcW w:w="1379" w:type="pct"/>
          </w:tcPr>
          <w:p w14:paraId="5C69BFE1">
            <w:pPr>
              <w:rPr>
                <w:rFonts w:ascii="Times New Roman" w:hAnsi="Times New Roman"/>
                <w:color w:val="auto"/>
                <w:szCs w:val="24"/>
              </w:rPr>
            </w:pPr>
          </w:p>
        </w:tc>
        <w:tc>
          <w:tcPr>
            <w:tcW w:w="1379" w:type="pct"/>
          </w:tcPr>
          <w:p w14:paraId="504F4CB5">
            <w:pPr>
              <w:rPr>
                <w:rFonts w:ascii="Times New Roman" w:hAnsi="Times New Roman"/>
                <w:color w:val="auto"/>
                <w:szCs w:val="24"/>
              </w:rPr>
            </w:pPr>
          </w:p>
        </w:tc>
        <w:tc>
          <w:tcPr>
            <w:tcW w:w="862" w:type="pct"/>
          </w:tcPr>
          <w:p w14:paraId="38CDD146">
            <w:pPr>
              <w:rPr>
                <w:rFonts w:ascii="Times New Roman" w:hAnsi="Times New Roman"/>
                <w:color w:val="auto"/>
                <w:szCs w:val="24"/>
              </w:rPr>
            </w:pPr>
          </w:p>
        </w:tc>
        <w:tc>
          <w:tcPr>
            <w:tcW w:w="862" w:type="pct"/>
          </w:tcPr>
          <w:p w14:paraId="023ADA76">
            <w:pPr>
              <w:rPr>
                <w:rFonts w:ascii="Times New Roman" w:hAnsi="Times New Roman"/>
                <w:color w:val="auto"/>
                <w:szCs w:val="24"/>
              </w:rPr>
            </w:pPr>
          </w:p>
        </w:tc>
      </w:tr>
      <w:tr w14:paraId="5902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6" w:type="pct"/>
          </w:tcPr>
          <w:p w14:paraId="42F4E841">
            <w:pPr>
              <w:rPr>
                <w:rFonts w:ascii="Times New Roman" w:hAnsi="Times New Roman"/>
                <w:color w:val="auto"/>
                <w:szCs w:val="24"/>
              </w:rPr>
            </w:pPr>
          </w:p>
        </w:tc>
        <w:tc>
          <w:tcPr>
            <w:tcW w:w="1379" w:type="pct"/>
          </w:tcPr>
          <w:p w14:paraId="0D2B55BF">
            <w:pPr>
              <w:rPr>
                <w:rFonts w:ascii="Times New Roman" w:hAnsi="Times New Roman"/>
                <w:color w:val="auto"/>
                <w:szCs w:val="24"/>
              </w:rPr>
            </w:pPr>
          </w:p>
        </w:tc>
        <w:tc>
          <w:tcPr>
            <w:tcW w:w="1379" w:type="pct"/>
          </w:tcPr>
          <w:p w14:paraId="12C278F7">
            <w:pPr>
              <w:rPr>
                <w:rFonts w:ascii="Times New Roman" w:hAnsi="Times New Roman"/>
                <w:color w:val="auto"/>
                <w:szCs w:val="24"/>
              </w:rPr>
            </w:pPr>
          </w:p>
        </w:tc>
        <w:tc>
          <w:tcPr>
            <w:tcW w:w="862" w:type="pct"/>
          </w:tcPr>
          <w:p w14:paraId="270C2684">
            <w:pPr>
              <w:rPr>
                <w:rFonts w:ascii="Times New Roman" w:hAnsi="Times New Roman"/>
                <w:color w:val="auto"/>
                <w:szCs w:val="24"/>
              </w:rPr>
            </w:pPr>
          </w:p>
        </w:tc>
        <w:tc>
          <w:tcPr>
            <w:tcW w:w="862" w:type="pct"/>
          </w:tcPr>
          <w:p w14:paraId="324EEF29">
            <w:pPr>
              <w:rPr>
                <w:rFonts w:ascii="Times New Roman" w:hAnsi="Times New Roman"/>
                <w:color w:val="auto"/>
                <w:szCs w:val="24"/>
              </w:rPr>
            </w:pPr>
          </w:p>
        </w:tc>
      </w:tr>
    </w:tbl>
    <w:p w14:paraId="55CCFF62">
      <w:pPr>
        <w:ind w:firstLine="1440" w:firstLineChars="600"/>
        <w:rPr>
          <w:rFonts w:ascii="宋体" w:hAnsi="Times New Roman"/>
          <w:color w:val="auto"/>
          <w:sz w:val="24"/>
          <w:szCs w:val="24"/>
        </w:rPr>
      </w:pPr>
    </w:p>
    <w:p w14:paraId="3B86BE7F">
      <w:pPr>
        <w:pStyle w:val="33"/>
        <w:adjustRightInd w:val="0"/>
        <w:snapToGrid w:val="0"/>
        <w:spacing w:after="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14:paraId="7B2783D1">
      <w:pPr>
        <w:pStyle w:val="33"/>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firstLine="482"/>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须结合第五章《采购需求》内容点对点应答，对于《采购需求》内容中实质性条款要求，如有任何一条负偏离或不满足则导致投标无效。</w:t>
      </w:r>
    </w:p>
    <w:p w14:paraId="4F4A0626">
      <w:pPr>
        <w:numPr>
          <w:ilvl w:val="0"/>
          <w:numId w:val="4"/>
        </w:numPr>
        <w:ind w:left="420" w:leftChars="20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如磋商文件技术要求内容中有明确要求的证明资料时，供应商则必须提供所要求的证明资料，才可证明该项内容为“无偏离或正偏离”，否则视相应技术参数响应不符合招标要求；针对磋商文件技术要求内容中未明确要求提供相关证明资料内容的，供应商需尽可能地提供所投产品的官网截图或有效的彩页或产品性能技术参数介绍资料或相应技术参数的厂家使用说明书或质量认可材料等作为技术证明文件，且上述技术证明文件须符合磋商文件要求，否则磋商小组有权视相应技术参数响应不符合招标要求； </w:t>
      </w:r>
    </w:p>
    <w:p w14:paraId="061CD02A">
      <w:pPr>
        <w:ind w:firstLine="4560" w:firstLineChars="1900"/>
        <w:rPr>
          <w:rFonts w:ascii="宋体" w:hAnsi="宋体" w:eastAsia="宋体" w:cs="宋体"/>
          <w:color w:val="auto"/>
          <w:sz w:val="24"/>
          <w:szCs w:val="24"/>
          <w:lang w:val="zh-CN"/>
        </w:rPr>
      </w:pPr>
    </w:p>
    <w:p w14:paraId="34831806">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ascii="宋体" w:hAnsi="Times New Roman"/>
          <w:color w:val="auto"/>
          <w:sz w:val="24"/>
          <w:szCs w:val="24"/>
          <w:u w:val="single"/>
        </w:rPr>
      </w:pP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Times New Roman"/>
          <w:color w:val="auto"/>
          <w:sz w:val="24"/>
          <w:szCs w:val="24"/>
        </w:rPr>
        <w:t>：</w:t>
      </w:r>
    </w:p>
    <w:p w14:paraId="46A57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黑体"/>
          <w:b/>
          <w:color w:val="auto"/>
          <w:szCs w:val="24"/>
        </w:rPr>
      </w:pPr>
      <w:r>
        <w:rPr>
          <w:rFonts w:hint="eastAsia" w:ascii="宋体" w:hAnsi="Times New Roman"/>
          <w:color w:val="auto"/>
          <w:sz w:val="24"/>
          <w:szCs w:val="24"/>
        </w:rPr>
        <w:t xml:space="preserve">                                                 日期：</w:t>
      </w:r>
    </w:p>
    <w:p w14:paraId="7FA6C525">
      <w:pPr>
        <w:adjustRightInd w:val="0"/>
        <w:snapToGrid w:val="0"/>
        <w:spacing w:line="360" w:lineRule="auto"/>
        <w:outlineLvl w:val="0"/>
        <w:rPr>
          <w:rFonts w:ascii="宋体" w:hAnsi="宋体" w:eastAsia="宋体"/>
          <w:color w:val="auto"/>
          <w:sz w:val="24"/>
          <w:szCs w:val="24"/>
        </w:rPr>
        <w:sectPr>
          <w:pgSz w:w="11906" w:h="16838"/>
          <w:pgMar w:top="1440" w:right="1080" w:bottom="1440" w:left="1080" w:header="851" w:footer="992" w:gutter="0"/>
          <w:cols w:space="425" w:num="1"/>
          <w:docGrid w:type="lines" w:linePitch="312" w:charSpace="0"/>
        </w:sectPr>
      </w:pPr>
    </w:p>
    <w:p w14:paraId="582FF9AC">
      <w:pPr>
        <w:spacing w:line="360" w:lineRule="auto"/>
        <w:jc w:val="center"/>
        <w:rPr>
          <w:rFonts w:hint="eastAsia" w:ascii="宋体" w:hAnsi="宋体" w:eastAsia="宋体" w:cs="Times New Roman"/>
          <w:b/>
          <w:color w:val="auto"/>
          <w:kern w:val="44"/>
          <w:sz w:val="32"/>
          <w:lang w:val="en-US" w:eastAsia="zh-CN"/>
        </w:rPr>
      </w:pPr>
      <w:r>
        <w:rPr>
          <w:rFonts w:hint="eastAsia" w:ascii="宋体" w:hAnsi="宋体" w:eastAsia="宋体" w:cs="Times New Roman"/>
          <w:b/>
          <w:color w:val="auto"/>
          <w:kern w:val="44"/>
          <w:sz w:val="32"/>
        </w:rPr>
        <w:t>格式</w:t>
      </w:r>
      <w:r>
        <w:rPr>
          <w:rFonts w:hint="eastAsia" w:ascii="宋体" w:hAnsi="宋体" w:eastAsia="宋体" w:cs="Times New Roman"/>
          <w:b/>
          <w:color w:val="auto"/>
          <w:kern w:val="44"/>
          <w:sz w:val="32"/>
          <w:lang w:val="en-US" w:eastAsia="zh-CN"/>
        </w:rPr>
        <w:t>二</w:t>
      </w:r>
      <w:r>
        <w:rPr>
          <w:rFonts w:hint="eastAsia" w:ascii="宋体" w:hAnsi="宋体" w:eastAsia="宋体" w:cs="Times New Roman"/>
          <w:b/>
          <w:color w:val="auto"/>
          <w:kern w:val="44"/>
          <w:sz w:val="32"/>
        </w:rPr>
        <w:t>、</w:t>
      </w:r>
      <w:r>
        <w:rPr>
          <w:rFonts w:hint="eastAsia" w:ascii="宋体" w:hAnsi="宋体" w:eastAsia="宋体" w:cs="Times New Roman"/>
          <w:b/>
          <w:color w:val="auto"/>
          <w:kern w:val="44"/>
          <w:sz w:val="32"/>
          <w:lang w:val="en-US" w:eastAsia="zh-CN"/>
        </w:rPr>
        <w:t>实施方案</w:t>
      </w:r>
    </w:p>
    <w:p w14:paraId="2CA40BA3">
      <w:pPr>
        <w:rPr>
          <w:rFonts w:hint="eastAsia" w:ascii="宋体" w:hAnsi="宋体" w:eastAsia="宋体" w:cs="Times New Roman"/>
          <w:b/>
          <w:color w:val="auto"/>
          <w:kern w:val="44"/>
          <w:sz w:val="32"/>
        </w:rPr>
      </w:pPr>
      <w:r>
        <w:rPr>
          <w:rFonts w:hint="eastAsia" w:ascii="宋体" w:hAnsi="宋体" w:eastAsia="宋体" w:cs="Times New Roman"/>
          <w:b/>
          <w:color w:val="auto"/>
          <w:kern w:val="44"/>
          <w:sz w:val="32"/>
        </w:rPr>
        <w:br w:type="page"/>
      </w:r>
    </w:p>
    <w:p w14:paraId="0EF286BF">
      <w:pPr>
        <w:spacing w:line="360" w:lineRule="auto"/>
        <w:jc w:val="center"/>
        <w:rPr>
          <w:rFonts w:hint="default" w:ascii="宋体" w:hAnsi="宋体" w:eastAsia="宋体" w:cs="Times New Roman"/>
          <w:b/>
          <w:color w:val="auto"/>
          <w:kern w:val="44"/>
          <w:sz w:val="32"/>
          <w:lang w:val="en-US" w:eastAsia="zh-CN"/>
        </w:rPr>
      </w:pPr>
      <w:r>
        <w:rPr>
          <w:rFonts w:hint="eastAsia" w:ascii="宋体" w:hAnsi="宋体" w:eastAsia="宋体" w:cs="Times New Roman"/>
          <w:b/>
          <w:color w:val="auto"/>
          <w:kern w:val="44"/>
          <w:sz w:val="32"/>
          <w:lang w:val="en-US" w:eastAsia="zh-CN"/>
        </w:rPr>
        <w:t>格式三、售后服务方案</w:t>
      </w:r>
    </w:p>
    <w:p w14:paraId="0DFAD72D">
      <w:pPr>
        <w:rPr>
          <w:rFonts w:hint="eastAsia" w:ascii="宋体" w:hAnsi="宋体" w:eastAsia="宋体" w:cs="Times New Roman"/>
          <w:b/>
          <w:color w:val="auto"/>
          <w:kern w:val="44"/>
          <w:sz w:val="32"/>
          <w:lang w:val="en-US" w:eastAsia="zh-CN"/>
        </w:rPr>
      </w:pPr>
      <w:r>
        <w:rPr>
          <w:rFonts w:hint="eastAsia" w:ascii="宋体" w:hAnsi="宋体" w:eastAsia="宋体" w:cs="Times New Roman"/>
          <w:b/>
          <w:color w:val="auto"/>
          <w:kern w:val="44"/>
          <w:sz w:val="32"/>
          <w:lang w:val="en-US" w:eastAsia="zh-CN"/>
        </w:rPr>
        <w:br w:type="page"/>
      </w:r>
    </w:p>
    <w:p w14:paraId="0E1F111C">
      <w:pPr>
        <w:spacing w:line="360" w:lineRule="auto"/>
        <w:jc w:val="center"/>
        <w:rPr>
          <w:rFonts w:ascii="宋体" w:hAnsi="宋体" w:eastAsia="宋体" w:cs="Times New Roman"/>
          <w:b/>
          <w:color w:val="auto"/>
          <w:kern w:val="44"/>
          <w:sz w:val="32"/>
        </w:rPr>
      </w:pPr>
      <w:r>
        <w:rPr>
          <w:rFonts w:hint="eastAsia" w:ascii="宋体" w:hAnsi="宋体" w:eastAsia="宋体" w:cs="Times New Roman"/>
          <w:b/>
          <w:color w:val="auto"/>
          <w:kern w:val="44"/>
          <w:sz w:val="32"/>
          <w:lang w:val="en-US" w:eastAsia="zh-CN"/>
        </w:rPr>
        <w:t>格式四、</w:t>
      </w:r>
      <w:r>
        <w:rPr>
          <w:rFonts w:hint="eastAsia" w:ascii="宋体" w:hAnsi="宋体" w:eastAsia="宋体" w:cs="Times New Roman"/>
          <w:b/>
          <w:color w:val="auto"/>
          <w:kern w:val="44"/>
          <w:sz w:val="32"/>
        </w:rPr>
        <w:t>竞争性磋商文件要求提供的其他技术文件资料</w:t>
      </w:r>
    </w:p>
    <w:p w14:paraId="08897B59">
      <w:pPr>
        <w:spacing w:line="360" w:lineRule="auto"/>
        <w:rPr>
          <w:rFonts w:hint="eastAsia" w:ascii="宋体" w:hAnsi="宋体" w:eastAsia="宋体"/>
          <w:b/>
          <w:color w:val="auto"/>
          <w:sz w:val="36"/>
          <w:szCs w:val="36"/>
        </w:rPr>
        <w:sectPr>
          <w:pgSz w:w="11906" w:h="16838"/>
          <w:pgMar w:top="1440" w:right="1080" w:bottom="1440" w:left="1080" w:header="851" w:footer="992" w:gutter="0"/>
          <w:cols w:space="425" w:num="1"/>
          <w:docGrid w:type="lines" w:linePitch="312" w:charSpace="0"/>
        </w:sectPr>
      </w:pPr>
    </w:p>
    <w:p w14:paraId="1E67E845">
      <w:pPr>
        <w:rPr>
          <w:rFonts w:hint="eastAsia" w:ascii="宋体" w:hAnsi="宋体" w:eastAsia="宋体"/>
          <w:color w:val="auto"/>
          <w:sz w:val="24"/>
          <w:szCs w:val="24"/>
        </w:rPr>
      </w:pPr>
    </w:p>
    <w:p w14:paraId="08ECC2E0">
      <w:pPr>
        <w:pStyle w:val="2"/>
        <w:rPr>
          <w:rFonts w:ascii="宋体" w:hAnsi="宋体"/>
          <w:color w:val="auto"/>
          <w:lang w:val="zh-CN"/>
        </w:rPr>
      </w:pPr>
      <w:bookmarkStart w:id="89" w:name="_Toc24770"/>
      <w:r>
        <w:rPr>
          <w:rFonts w:hint="eastAsia" w:ascii="宋体" w:hAnsi="宋体"/>
          <w:color w:val="auto"/>
          <w:lang w:val="zh-CN"/>
        </w:rPr>
        <w:t>第七章</w:t>
      </w:r>
      <w:r>
        <w:rPr>
          <w:rFonts w:hint="eastAsia" w:ascii="宋体" w:hAnsi="宋体"/>
          <w:color w:val="auto"/>
          <w:lang w:val="en-US" w:eastAsia="zh-CN"/>
        </w:rPr>
        <w:t xml:space="preserve"> </w:t>
      </w:r>
      <w:r>
        <w:rPr>
          <w:rFonts w:hint="eastAsia" w:ascii="宋体" w:hAnsi="宋体"/>
          <w:color w:val="auto"/>
          <w:lang w:val="zh-CN"/>
        </w:rPr>
        <w:t>附件</w:t>
      </w:r>
      <w:bookmarkEnd w:id="89"/>
    </w:p>
    <w:p w14:paraId="567D2A2F">
      <w:pPr>
        <w:spacing w:line="588" w:lineRule="exact"/>
        <w:rPr>
          <w:rFonts w:ascii="宋体" w:hAnsi="宋体" w:eastAsia="宋体"/>
          <w:color w:val="auto"/>
          <w:spacing w:val="6"/>
          <w:sz w:val="30"/>
          <w:szCs w:val="30"/>
        </w:rPr>
      </w:pPr>
      <w:r>
        <w:rPr>
          <w:rFonts w:hint="eastAsia" w:ascii="宋体" w:hAnsi="宋体" w:eastAsia="宋体"/>
          <w:color w:val="auto"/>
          <w:spacing w:val="6"/>
          <w:sz w:val="30"/>
          <w:szCs w:val="30"/>
        </w:rPr>
        <w:t>附件一：</w:t>
      </w:r>
    </w:p>
    <w:p w14:paraId="132CE962">
      <w:pPr>
        <w:pStyle w:val="71"/>
        <w:spacing w:before="240"/>
        <w:ind w:right="96"/>
        <w:jc w:val="center"/>
        <w:rPr>
          <w:rFonts w:hint="default" w:eastAsia="宋体"/>
          <w:color w:val="auto"/>
          <w:lang w:val="en-US" w:eastAsia="zh-CN"/>
        </w:rPr>
      </w:pPr>
      <w:r>
        <w:rPr>
          <w:rFonts w:hint="eastAsia" w:ascii="宋体" w:hAnsi="宋体" w:eastAsia="宋体"/>
          <w:b/>
          <w:bCs/>
          <w:color w:val="auto"/>
          <w:sz w:val="30"/>
          <w:szCs w:val="30"/>
        </w:rPr>
        <w:t>中小企业声明函</w:t>
      </w:r>
      <w:r>
        <w:rPr>
          <w:rFonts w:hint="eastAsia" w:ascii="宋体" w:hAnsi="宋体" w:eastAsia="宋体"/>
          <w:b/>
          <w:bCs/>
          <w:color w:val="auto"/>
          <w:sz w:val="30"/>
          <w:szCs w:val="30"/>
          <w:lang w:eastAsia="zh-CN"/>
        </w:rPr>
        <w:t>（</w:t>
      </w:r>
      <w:r>
        <w:rPr>
          <w:rFonts w:hint="eastAsia" w:ascii="宋体" w:hAnsi="宋体" w:eastAsia="宋体"/>
          <w:b/>
          <w:bCs/>
          <w:color w:val="auto"/>
          <w:sz w:val="30"/>
          <w:szCs w:val="30"/>
          <w:lang w:val="en-US" w:eastAsia="zh-CN"/>
        </w:rPr>
        <w:t>如有）</w:t>
      </w:r>
    </w:p>
    <w:p w14:paraId="3BA231DF">
      <w:pPr>
        <w:pStyle w:val="57"/>
        <w:spacing w:line="521" w:lineRule="exact"/>
        <w:ind w:firstLine="680"/>
        <w:rPr>
          <w:color w:val="auto"/>
          <w:sz w:val="24"/>
          <w:szCs w:val="24"/>
        </w:rPr>
      </w:pPr>
      <w:r>
        <w:rPr>
          <w:rFonts w:hint="eastAsia"/>
          <w:color w:val="auto"/>
          <w:sz w:val="24"/>
          <w:szCs w:val="24"/>
        </w:rPr>
        <w:t>本公司（联合体）郑重声明，根据《政府采购促进中小企业发展管理办法》（财库〔</w:t>
      </w:r>
      <w:r>
        <w:rPr>
          <w:rFonts w:hint="eastAsia"/>
          <w:b/>
          <w:bCs/>
          <w:color w:val="auto"/>
          <w:sz w:val="24"/>
          <w:szCs w:val="24"/>
        </w:rPr>
        <w:t>2020</w:t>
      </w:r>
      <w:r>
        <w:rPr>
          <w:rFonts w:hint="eastAsia"/>
          <w:color w:val="auto"/>
          <w:sz w:val="24"/>
          <w:szCs w:val="24"/>
        </w:rPr>
        <w:t>〕</w:t>
      </w:r>
      <w:r>
        <w:rPr>
          <w:rFonts w:hint="eastAsia"/>
          <w:b/>
          <w:bCs/>
          <w:color w:val="auto"/>
          <w:sz w:val="24"/>
          <w:szCs w:val="24"/>
        </w:rPr>
        <w:t>46</w:t>
      </w:r>
      <w:r>
        <w:rPr>
          <w:rFonts w:hint="eastAsia"/>
          <w:color w:val="auto"/>
          <w:sz w:val="24"/>
          <w:szCs w:val="24"/>
        </w:rPr>
        <w:t>号）的规定，本公司 （联合体）参加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6EEC7CA">
      <w:pPr>
        <w:pStyle w:val="57"/>
        <w:numPr>
          <w:ilvl w:val="0"/>
          <w:numId w:val="5"/>
        </w:numPr>
        <w:tabs>
          <w:tab w:val="left" w:pos="1291"/>
          <w:tab w:val="left" w:pos="2434"/>
          <w:tab w:val="left" w:pos="7699"/>
        </w:tabs>
        <w:spacing w:line="512" w:lineRule="exact"/>
        <w:ind w:firstLine="680"/>
        <w:rPr>
          <w:color w:val="auto"/>
          <w:sz w:val="24"/>
          <w:szCs w:val="24"/>
        </w:rPr>
      </w:pPr>
      <w:bookmarkStart w:id="90" w:name="bookmark38"/>
      <w:bookmarkEnd w:id="90"/>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 xml:space="preserve">（磋商文件中明确的所属行业） </w:t>
      </w:r>
      <w:r>
        <w:rPr>
          <w:rFonts w:hint="eastAsia"/>
          <w:color w:val="auto"/>
          <w:sz w:val="24"/>
          <w:szCs w:val="24"/>
        </w:rPr>
        <w:t>行业；承建（承接）企业为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ab/>
      </w:r>
      <w:r>
        <w:rPr>
          <w:rFonts w:hint="eastAsia"/>
          <w:color w:val="auto"/>
          <w:sz w:val="24"/>
          <w:szCs w:val="24"/>
        </w:rPr>
        <w:t>人， 营业收入为</w:t>
      </w:r>
      <w:r>
        <w:rPr>
          <w:rFonts w:hint="eastAsia"/>
          <w:color w:val="auto"/>
          <w:sz w:val="24"/>
          <w:szCs w:val="24"/>
          <w:u w:val="single"/>
        </w:rPr>
        <w:tab/>
      </w:r>
      <w:r>
        <w:rPr>
          <w:rFonts w:hint="eastAsia"/>
          <w:color w:val="auto"/>
          <w:sz w:val="24"/>
          <w:szCs w:val="24"/>
        </w:rPr>
        <w:t>万元，资产总额为万元</w:t>
      </w:r>
      <w:r>
        <w:rPr>
          <w:rFonts w:hint="eastAsia"/>
          <w:color w:val="auto"/>
          <w:sz w:val="24"/>
          <w:szCs w:val="24"/>
          <w:lang w:eastAsia="zh-CN"/>
        </w:rPr>
        <w:t>，</w:t>
      </w:r>
      <w:r>
        <w:rPr>
          <w:rFonts w:hint="eastAsia"/>
          <w:color w:val="auto"/>
          <w:sz w:val="24"/>
          <w:szCs w:val="24"/>
        </w:rPr>
        <w:t>属于</w:t>
      </w:r>
      <w:r>
        <w:rPr>
          <w:rFonts w:hint="eastAsia"/>
          <w:color w:val="auto"/>
          <w:sz w:val="24"/>
          <w:szCs w:val="24"/>
          <w:u w:val="single"/>
        </w:rPr>
        <w:t>（中型企业、小型企业、微型企业）</w:t>
      </w:r>
      <w:r>
        <w:rPr>
          <w:rFonts w:hint="eastAsia"/>
          <w:color w:val="auto"/>
          <w:sz w:val="24"/>
          <w:szCs w:val="24"/>
        </w:rPr>
        <w:t>，</w:t>
      </w:r>
    </w:p>
    <w:p w14:paraId="074DF23D">
      <w:pPr>
        <w:pStyle w:val="57"/>
        <w:numPr>
          <w:ilvl w:val="0"/>
          <w:numId w:val="5"/>
        </w:numPr>
        <w:tabs>
          <w:tab w:val="left" w:pos="1291"/>
          <w:tab w:val="left" w:pos="2458"/>
          <w:tab w:val="left" w:pos="5736"/>
        </w:tabs>
        <w:spacing w:line="518" w:lineRule="exact"/>
        <w:ind w:firstLine="680"/>
        <w:rPr>
          <w:color w:val="auto"/>
          <w:sz w:val="24"/>
          <w:szCs w:val="24"/>
        </w:rPr>
      </w:pPr>
      <w:bookmarkStart w:id="91" w:name="bookmark39"/>
      <w:bookmarkEnd w:id="91"/>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 xml:space="preserve">（磋商文件中明确的所属行业） </w:t>
      </w:r>
      <w:r>
        <w:rPr>
          <w:rFonts w:hint="eastAsia"/>
          <w:color w:val="auto"/>
          <w:sz w:val="24"/>
          <w:szCs w:val="24"/>
        </w:rPr>
        <w:t>行业；承建（承接）企业为</w:t>
      </w:r>
      <w:r>
        <w:rPr>
          <w:rFonts w:hint="eastAsia"/>
          <w:color w:val="auto"/>
          <w:sz w:val="24"/>
          <w:szCs w:val="24"/>
          <w:u w:val="single"/>
        </w:rPr>
        <w:t>（企业名称）</w:t>
      </w:r>
      <w:r>
        <w:rPr>
          <w:rFonts w:hint="eastAsia"/>
          <w:color w:val="auto"/>
          <w:sz w:val="24"/>
          <w:szCs w:val="24"/>
        </w:rPr>
        <w:t>,从业人员人， 营业收入为</w:t>
      </w:r>
      <w:r>
        <w:rPr>
          <w:rFonts w:hint="eastAsia"/>
          <w:color w:val="auto"/>
          <w:sz w:val="24"/>
          <w:szCs w:val="24"/>
          <w:u w:val="single"/>
        </w:rPr>
        <w:tab/>
      </w:r>
      <w:r>
        <w:rPr>
          <w:rFonts w:hint="eastAsia"/>
          <w:color w:val="auto"/>
          <w:sz w:val="24"/>
          <w:szCs w:val="24"/>
        </w:rPr>
        <w:t>万元，资产总额为</w:t>
      </w:r>
      <w:r>
        <w:rPr>
          <w:rFonts w:hint="eastAsia"/>
          <w:color w:val="auto"/>
          <w:sz w:val="24"/>
          <w:szCs w:val="24"/>
          <w:u w:val="single"/>
        </w:rPr>
        <w:tab/>
      </w:r>
      <w:r>
        <w:rPr>
          <w:rFonts w:hint="eastAsia"/>
          <w:color w:val="auto"/>
          <w:sz w:val="24"/>
          <w:szCs w:val="24"/>
        </w:rPr>
        <w:t xml:space="preserve">万元，属于 </w:t>
      </w:r>
      <w:r>
        <w:rPr>
          <w:rFonts w:hint="eastAsia"/>
          <w:color w:val="auto"/>
          <w:sz w:val="24"/>
          <w:szCs w:val="24"/>
          <w:u w:val="single"/>
        </w:rPr>
        <w:t>（中型企业、小型企业、微型企业）</w:t>
      </w:r>
    </w:p>
    <w:p w14:paraId="04B98287">
      <w:pPr>
        <w:pStyle w:val="57"/>
        <w:tabs>
          <w:tab w:val="left" w:leader="dot" w:pos="-1602"/>
        </w:tabs>
        <w:spacing w:line="530" w:lineRule="exact"/>
        <w:ind w:hanging="2140"/>
        <w:rPr>
          <w:color w:val="auto"/>
          <w:sz w:val="24"/>
          <w:szCs w:val="24"/>
        </w:rPr>
      </w:pPr>
      <w:r>
        <w:rPr>
          <w:rFonts w:hint="eastAsia"/>
          <w:color w:val="auto"/>
          <w:sz w:val="24"/>
          <w:szCs w:val="24"/>
          <w:lang w:val="en-US" w:eastAsia="zh-CN" w:bidi="en-US"/>
        </w:rPr>
        <w:tab/>
      </w:r>
      <w:r>
        <w:rPr>
          <w:rFonts w:hint="eastAsia"/>
          <w:color w:val="auto"/>
          <w:sz w:val="24"/>
          <w:szCs w:val="24"/>
          <w:lang w:val="en-US" w:eastAsia="zh-CN" w:bidi="en-US"/>
        </w:rPr>
        <w:t>······</w:t>
      </w:r>
    </w:p>
    <w:p w14:paraId="5E7286B2">
      <w:pPr>
        <w:pStyle w:val="57"/>
        <w:spacing w:line="530" w:lineRule="exact"/>
        <w:ind w:firstLine="68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318BCB13">
      <w:pPr>
        <w:pStyle w:val="57"/>
        <w:spacing w:line="514" w:lineRule="exact"/>
        <w:ind w:firstLine="680"/>
        <w:rPr>
          <w:color w:val="auto"/>
          <w:sz w:val="24"/>
          <w:szCs w:val="24"/>
        </w:rPr>
      </w:pPr>
      <w:r>
        <w:rPr>
          <w:rFonts w:hint="eastAsia"/>
          <w:color w:val="auto"/>
          <w:sz w:val="24"/>
          <w:szCs w:val="24"/>
        </w:rPr>
        <w:t>本企业对上述声明内容的真实性负责。如有虚假，将依法承担相应责任。</w:t>
      </w:r>
    </w:p>
    <w:p w14:paraId="727127FD">
      <w:pPr>
        <w:pStyle w:val="57"/>
        <w:spacing w:line="530" w:lineRule="exact"/>
        <w:ind w:left="4240" w:firstLine="0"/>
        <w:jc w:val="left"/>
        <w:rPr>
          <w:rFonts w:hint="eastAsia"/>
          <w:color w:val="auto"/>
          <w:sz w:val="24"/>
          <w:szCs w:val="24"/>
        </w:rPr>
      </w:pPr>
    </w:p>
    <w:p w14:paraId="352B9B9B">
      <w:pPr>
        <w:pStyle w:val="57"/>
        <w:spacing w:line="530" w:lineRule="exact"/>
        <w:ind w:left="4240" w:firstLine="0"/>
        <w:jc w:val="left"/>
        <w:rPr>
          <w:color w:val="auto"/>
          <w:sz w:val="24"/>
          <w:szCs w:val="24"/>
        </w:rPr>
      </w:pPr>
      <w:r>
        <w:rPr>
          <w:rFonts w:hint="eastAsia"/>
          <w:color w:val="auto"/>
          <w:sz w:val="24"/>
          <w:szCs w:val="24"/>
        </w:rPr>
        <w:t>企业名称（盖章）:</w:t>
      </w:r>
    </w:p>
    <w:p w14:paraId="6F041AED">
      <w:pPr>
        <w:pStyle w:val="57"/>
        <w:spacing w:line="530" w:lineRule="exact"/>
        <w:ind w:firstLine="0"/>
        <w:jc w:val="center"/>
        <w:rPr>
          <w:color w:val="auto"/>
          <w:sz w:val="24"/>
          <w:szCs w:val="24"/>
        </w:rPr>
      </w:pPr>
      <w:r>
        <w:rPr>
          <w:rFonts w:hint="eastAsia"/>
          <w:color w:val="auto"/>
          <w:sz w:val="24"/>
          <w:szCs w:val="24"/>
        </w:rPr>
        <w:t>日期：</w:t>
      </w:r>
    </w:p>
    <w:p w14:paraId="5791A84A">
      <w:pPr>
        <w:pStyle w:val="14"/>
        <w:rPr>
          <w:rFonts w:hint="eastAsia" w:ascii="宋体" w:hAnsi="宋体" w:eastAsia="宋体" w:cs="宋体"/>
          <w:color w:val="auto"/>
          <w:sz w:val="24"/>
          <w:szCs w:val="24"/>
          <w:lang w:eastAsia="zh-CN"/>
        </w:rPr>
      </w:pPr>
    </w:p>
    <w:p w14:paraId="2A7453F8">
      <w:pPr>
        <w:pStyle w:val="14"/>
        <w:spacing w:before="10"/>
        <w:rPr>
          <w:rFonts w:hint="eastAsia" w:ascii="宋体" w:hAnsi="宋体" w:eastAsia="宋体" w:cs="宋体"/>
          <w:color w:val="auto"/>
          <w:sz w:val="24"/>
          <w:szCs w:val="24"/>
          <w:lang w:eastAsia="zh-CN"/>
        </w:rPr>
      </w:pPr>
    </w:p>
    <w:p w14:paraId="4072F440">
      <w:pPr>
        <w:tabs>
          <w:tab w:val="left" w:pos="3157"/>
        </w:tabs>
        <w:jc w:val="left"/>
        <w:rPr>
          <w:rFonts w:hint="eastAsia" w:ascii="宋体" w:hAnsi="宋体" w:eastAsia="宋体" w:cs="宋体"/>
          <w:color w:val="auto"/>
          <w:sz w:val="24"/>
          <w:szCs w:val="24"/>
          <w:vertAlign w:val="superscript"/>
        </w:rPr>
      </w:pPr>
    </w:p>
    <w:p w14:paraId="1FD001CF">
      <w:pPr>
        <w:pStyle w:val="3"/>
        <w:rPr>
          <w:rFonts w:hint="eastAsia" w:ascii="宋体" w:hAnsi="宋体" w:eastAsia="宋体" w:cs="宋体"/>
          <w:color w:val="auto"/>
          <w:sz w:val="24"/>
          <w:szCs w:val="24"/>
          <w:vertAlign w:val="superscript"/>
        </w:rPr>
      </w:pPr>
    </w:p>
    <w:p w14:paraId="593F2405">
      <w:pPr>
        <w:rPr>
          <w:rFonts w:hint="eastAsia"/>
          <w:color w:val="auto"/>
        </w:rPr>
      </w:pPr>
    </w:p>
    <w:p w14:paraId="273EC962">
      <w:pPr>
        <w:tabs>
          <w:tab w:val="left" w:pos="3157"/>
        </w:tabs>
        <w:jc w:val="left"/>
        <w:rPr>
          <w:rFonts w:hint="eastAsia" w:ascii="宋体" w:hAnsi="宋体" w:eastAsia="宋体" w:cs="宋体"/>
          <w:color w:val="auto"/>
          <w:sz w:val="24"/>
          <w:szCs w:val="24"/>
          <w:vertAlign w:val="superscript"/>
        </w:rPr>
      </w:pPr>
    </w:p>
    <w:p w14:paraId="52F8C62E">
      <w:pPr>
        <w:tabs>
          <w:tab w:val="left" w:pos="3157"/>
        </w:tabs>
        <w:jc w:val="left"/>
        <w:rPr>
          <w:rFonts w:hint="eastAsia" w:ascii="宋体" w:hAnsi="宋体" w:eastAsia="宋体" w:cs="宋体"/>
          <w:color w:val="auto"/>
          <w:sz w:val="24"/>
          <w:szCs w:val="24"/>
          <w:vertAlign w:val="superscript"/>
        </w:rPr>
      </w:pPr>
    </w:p>
    <w:p w14:paraId="42EFEBBA">
      <w:pPr>
        <w:tabs>
          <w:tab w:val="left" w:pos="3157"/>
        </w:tabs>
        <w:jc w:val="left"/>
        <w:rPr>
          <w:rFonts w:ascii="宋体" w:hAnsi="宋体" w:eastAsia="宋体"/>
          <w:color w:val="auto"/>
        </w:rPr>
      </w:pP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从业人员、营业收入、资产总额填报上一年度数据，无上一年度数据的新成立企业可不填报。</w:t>
      </w:r>
    </w:p>
    <w:p w14:paraId="659AC3F3">
      <w:pPr>
        <w:pStyle w:val="57"/>
        <w:spacing w:line="530" w:lineRule="exact"/>
        <w:ind w:firstLine="0"/>
        <w:jc w:val="center"/>
        <w:rPr>
          <w:color w:val="auto"/>
        </w:rPr>
        <w:sectPr>
          <w:headerReference r:id="rId13" w:type="first"/>
          <w:footerReference r:id="rId16" w:type="first"/>
          <w:headerReference r:id="rId11" w:type="default"/>
          <w:footerReference r:id="rId14" w:type="default"/>
          <w:headerReference r:id="rId12" w:type="even"/>
          <w:footerReference r:id="rId15" w:type="even"/>
          <w:pgSz w:w="11900" w:h="16840"/>
          <w:pgMar w:top="1395" w:right="1037" w:bottom="1667" w:left="1179" w:header="0" w:footer="3" w:gutter="0"/>
          <w:cols w:space="720" w:num="1"/>
          <w:titlePg/>
          <w:docGrid w:linePitch="360" w:charSpace="0"/>
        </w:sectPr>
      </w:pPr>
    </w:p>
    <w:p w14:paraId="58F21B2D">
      <w:pPr>
        <w:pStyle w:val="30"/>
        <w:adjustRightInd w:val="0"/>
        <w:snapToGrid w:val="0"/>
        <w:spacing w:beforeAutospacing="0" w:afterAutospacing="0" w:line="360" w:lineRule="auto"/>
        <w:rPr>
          <w:rFonts w:hint="default" w:eastAsia="宋体"/>
          <w:bCs/>
          <w:color w:val="auto"/>
          <w:szCs w:val="24"/>
        </w:rPr>
      </w:pPr>
      <w:r>
        <w:rPr>
          <w:rFonts w:eastAsia="宋体"/>
          <w:bCs/>
          <w:color w:val="auto"/>
          <w:szCs w:val="24"/>
        </w:rPr>
        <w:t>附：中小企业划型标准规定</w:t>
      </w:r>
    </w:p>
    <w:p w14:paraId="10BFAC32">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一、根据《中华人民共和国中小企业促进法》和《国务院关于进一步促进中小企业发展的若干意见》(国发〔2009〕36号)，制定本规定。</w:t>
      </w:r>
    </w:p>
    <w:p w14:paraId="27C9CF93">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二、中小企业划分为中型、小型、微型三种类型，具体标准根据企业从业人员、营业收入、资产总额等指标，结合行业特点制定。</w:t>
      </w:r>
    </w:p>
    <w:p w14:paraId="112DC858">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87B6AF">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四、各行业划型标准为：</w:t>
      </w:r>
    </w:p>
    <w:p w14:paraId="1ECD9F44">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（一）农、林、牧、渔业。营业收入20000万元以下的为中小微型企业。其中，营业收入500万元及以上的为中型企业，营业收入50万元及以上的为小型企业，营业收入50万元以下的为微型企业。</w:t>
      </w:r>
    </w:p>
    <w:p w14:paraId="4B20B97E">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FC200D">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23C467">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69D251">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5B670F">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5259BF">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3F420E">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AD5913">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6560A9">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0F1876">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349D74">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7D14E5">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9F3E62">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E56F80">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32A1E8">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（十六）其他未列明行业。从业人员300人以下的为中小微型企业。其中，从业人员100人及以上的为中型企业；从业人员10人及以上的为小型企业；从业人员10人以下的为微型企业。</w:t>
      </w:r>
    </w:p>
    <w:p w14:paraId="0F726AC7">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五、企业类型的划分以统计部门的统计数据为依据。</w:t>
      </w:r>
    </w:p>
    <w:p w14:paraId="4EFBFBDD">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六、本规定适用于在中华人民共和国境内依法设立的各类所有制和各种组织形式的企业。个体工商户和本规定以外的行业，参照本规定进行划型。</w:t>
      </w:r>
    </w:p>
    <w:p w14:paraId="3CBD80CB">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0F5FB63">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八、本规定由工业和信息化部、国家统计局会同有关部门根据《国民经济行业分类》修订情况和企业发展变化情况适时修订。</w:t>
      </w:r>
    </w:p>
    <w:p w14:paraId="06245A9B">
      <w:pPr>
        <w:pStyle w:val="30"/>
        <w:adjustRightInd w:val="0"/>
        <w:snapToGrid w:val="0"/>
        <w:spacing w:beforeAutospacing="0" w:afterAutospacing="0" w:line="360" w:lineRule="auto"/>
        <w:ind w:firstLine="480" w:firstLineChars="200"/>
        <w:rPr>
          <w:rFonts w:hint="default" w:eastAsia="宋体"/>
          <w:bCs/>
          <w:color w:val="auto"/>
          <w:szCs w:val="24"/>
        </w:rPr>
      </w:pPr>
      <w:r>
        <w:rPr>
          <w:rFonts w:eastAsia="宋体"/>
          <w:bCs/>
          <w:color w:val="auto"/>
          <w:szCs w:val="24"/>
        </w:rPr>
        <w:t>九、本规定由工业和信息化部、国家统计局会同有关部门负责解释。</w:t>
      </w:r>
    </w:p>
    <w:p w14:paraId="4E73DEE5">
      <w:pPr>
        <w:autoSpaceDE w:val="0"/>
        <w:autoSpaceDN w:val="0"/>
        <w:adjustRightInd w:val="0"/>
        <w:snapToGrid w:val="0"/>
        <w:spacing w:line="360" w:lineRule="auto"/>
        <w:ind w:firstLine="482"/>
        <w:jc w:val="left"/>
        <w:rPr>
          <w:rFonts w:ascii="宋体" w:hAnsi="宋体" w:eastAsia="宋体" w:cs="宋体"/>
          <w:bCs/>
          <w:color w:val="auto"/>
          <w:sz w:val="28"/>
          <w:szCs w:val="28"/>
        </w:rPr>
        <w:sectPr>
          <w:footerReference r:id="rId18" w:type="first"/>
          <w:footerReference r:id="rId17" w:type="default"/>
          <w:pgSz w:w="11906" w:h="16838"/>
          <w:pgMar w:top="1440" w:right="1080" w:bottom="1440" w:left="1080" w:header="850" w:footer="992" w:gutter="0"/>
          <w:pgNumType w:fmt="decimal" w:start="55"/>
          <w:cols w:space="720" w:num="1"/>
          <w:titlePg/>
          <w:docGrid w:type="lines" w:linePitch="490" w:charSpace="0"/>
        </w:sectPr>
      </w:pPr>
      <w:r>
        <w:rPr>
          <w:rFonts w:hint="eastAsia" w:ascii="宋体" w:hAnsi="宋体" w:eastAsia="宋体" w:cs="宋体"/>
          <w:bCs/>
          <w:color w:val="auto"/>
          <w:sz w:val="24"/>
          <w:szCs w:val="24"/>
        </w:rPr>
        <w:t>十、本规定自发布之日起执行，原国家经贸委、原国家计委、财政部和国家统计局2003年颁布的《中小企业标准暂行规定》同时废止</w:t>
      </w:r>
      <w:r>
        <w:rPr>
          <w:rFonts w:hint="eastAsia" w:ascii="宋体" w:hAnsi="宋体" w:eastAsia="宋体" w:cs="宋体"/>
          <w:bCs/>
          <w:color w:val="auto"/>
          <w:sz w:val="28"/>
          <w:szCs w:val="28"/>
        </w:rPr>
        <w:t>。</w:t>
      </w:r>
    </w:p>
    <w:p w14:paraId="43CAF605">
      <w:pPr>
        <w:spacing w:line="588" w:lineRule="exact"/>
        <w:rPr>
          <w:rFonts w:ascii="宋体" w:hAnsi="宋体" w:eastAsia="宋体"/>
          <w:color w:val="auto"/>
          <w:spacing w:val="6"/>
          <w:sz w:val="30"/>
          <w:szCs w:val="30"/>
        </w:rPr>
      </w:pPr>
      <w:r>
        <w:rPr>
          <w:rFonts w:hint="eastAsia" w:ascii="宋体" w:hAnsi="宋体" w:eastAsia="宋体"/>
          <w:color w:val="auto"/>
          <w:spacing w:val="6"/>
          <w:sz w:val="30"/>
          <w:szCs w:val="30"/>
        </w:rPr>
        <w:t>附件二：</w:t>
      </w:r>
    </w:p>
    <w:p w14:paraId="2D8B4B9A">
      <w:pPr>
        <w:jc w:val="center"/>
        <w:rPr>
          <w:rFonts w:hint="default" w:ascii="宋体" w:hAnsi="宋体" w:eastAsia="宋体"/>
          <w:b/>
          <w:bCs/>
          <w:color w:val="auto"/>
          <w:sz w:val="30"/>
          <w:szCs w:val="30"/>
          <w:lang w:val="en-US" w:eastAsia="zh-CN"/>
        </w:rPr>
      </w:pPr>
      <w:bookmarkStart w:id="92" w:name="OLE_LINK13"/>
      <w:bookmarkStart w:id="93" w:name="OLE_LINK14"/>
      <w:r>
        <w:rPr>
          <w:rFonts w:hint="eastAsia" w:ascii="宋体" w:hAnsi="宋体" w:eastAsia="宋体"/>
          <w:b/>
          <w:bCs/>
          <w:color w:val="auto"/>
          <w:sz w:val="30"/>
          <w:szCs w:val="30"/>
        </w:rPr>
        <w:t>残疾人福利性单位声明函</w:t>
      </w:r>
      <w:r>
        <w:rPr>
          <w:rFonts w:hint="eastAsia" w:ascii="宋体" w:hAnsi="宋体" w:eastAsia="宋体"/>
          <w:b/>
          <w:bCs/>
          <w:color w:val="auto"/>
          <w:sz w:val="30"/>
          <w:szCs w:val="30"/>
          <w:lang w:eastAsia="zh-CN"/>
        </w:rPr>
        <w:t>（</w:t>
      </w:r>
      <w:r>
        <w:rPr>
          <w:rFonts w:hint="eastAsia" w:ascii="宋体" w:hAnsi="宋体" w:eastAsia="宋体"/>
          <w:b/>
          <w:bCs/>
          <w:color w:val="auto"/>
          <w:sz w:val="30"/>
          <w:szCs w:val="30"/>
          <w:lang w:val="en-US" w:eastAsia="zh-CN"/>
        </w:rPr>
        <w:t>如有）</w:t>
      </w:r>
    </w:p>
    <w:bookmarkEnd w:id="92"/>
    <w:bookmarkEnd w:id="93"/>
    <w:p w14:paraId="2E641637">
      <w:pPr>
        <w:spacing w:line="588" w:lineRule="exact"/>
        <w:ind w:firstLine="504" w:firstLineChars="200"/>
        <w:rPr>
          <w:rFonts w:ascii="宋体" w:hAnsi="宋体" w:eastAsia="宋体"/>
          <w:color w:val="auto"/>
          <w:spacing w:val="6"/>
          <w:sz w:val="24"/>
          <w:szCs w:val="24"/>
        </w:rPr>
      </w:pPr>
      <w:r>
        <w:rPr>
          <w:rFonts w:hint="eastAsia" w:ascii="宋体" w:hAnsi="宋体" w:eastAsia="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olor w:val="auto"/>
          <w:sz w:val="24"/>
          <w:szCs w:val="24"/>
        </w:rPr>
        <w:t>〔2017〕 141</w:t>
      </w:r>
      <w:r>
        <w:rPr>
          <w:rFonts w:hint="eastAsia" w:ascii="宋体" w:hAnsi="宋体" w:eastAsia="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D115B">
      <w:pPr>
        <w:spacing w:line="588" w:lineRule="exact"/>
        <w:ind w:firstLine="504" w:firstLineChars="200"/>
        <w:rPr>
          <w:rFonts w:ascii="宋体" w:hAnsi="宋体" w:eastAsia="宋体"/>
          <w:color w:val="auto"/>
          <w:spacing w:val="6"/>
          <w:sz w:val="24"/>
          <w:szCs w:val="24"/>
        </w:rPr>
      </w:pPr>
      <w:r>
        <w:rPr>
          <w:rFonts w:hint="eastAsia" w:ascii="宋体" w:hAnsi="宋体" w:eastAsia="宋体"/>
          <w:color w:val="auto"/>
          <w:spacing w:val="6"/>
          <w:sz w:val="24"/>
          <w:szCs w:val="24"/>
        </w:rPr>
        <w:t>本单位对上述声明的真实性负责。如有虚假，将依法承担相应责任。</w:t>
      </w:r>
    </w:p>
    <w:p w14:paraId="3B5BEC24">
      <w:pPr>
        <w:spacing w:line="588" w:lineRule="exact"/>
        <w:ind w:firstLine="504" w:firstLineChars="200"/>
        <w:rPr>
          <w:rFonts w:ascii="宋体" w:hAnsi="宋体" w:eastAsia="宋体"/>
          <w:color w:val="auto"/>
          <w:spacing w:val="6"/>
          <w:sz w:val="24"/>
          <w:szCs w:val="24"/>
        </w:rPr>
      </w:pPr>
    </w:p>
    <w:p w14:paraId="3B8F2E9E">
      <w:pPr>
        <w:spacing w:line="588" w:lineRule="exact"/>
        <w:ind w:firstLine="504" w:firstLineChars="200"/>
        <w:rPr>
          <w:rFonts w:ascii="宋体" w:hAnsi="宋体" w:eastAsia="宋体"/>
          <w:color w:val="auto"/>
          <w:spacing w:val="6"/>
          <w:sz w:val="24"/>
          <w:szCs w:val="24"/>
        </w:rPr>
      </w:pPr>
    </w:p>
    <w:p w14:paraId="13FBE637">
      <w:pPr>
        <w:tabs>
          <w:tab w:val="left" w:pos="4860"/>
        </w:tabs>
        <w:spacing w:line="588" w:lineRule="exact"/>
        <w:ind w:right="1560" w:firstLine="504" w:firstLineChars="200"/>
        <w:jc w:val="center"/>
        <w:rPr>
          <w:rFonts w:ascii="宋体" w:hAnsi="宋体" w:eastAsia="宋体"/>
          <w:color w:val="auto"/>
          <w:spacing w:val="6"/>
          <w:sz w:val="24"/>
          <w:szCs w:val="24"/>
        </w:rPr>
      </w:pPr>
      <w:r>
        <w:rPr>
          <w:rFonts w:hint="eastAsia" w:ascii="宋体" w:hAnsi="宋体" w:eastAsia="宋体"/>
          <w:color w:val="auto"/>
          <w:spacing w:val="6"/>
          <w:sz w:val="24"/>
          <w:szCs w:val="24"/>
        </w:rPr>
        <w:t>单位名称（盖章）：</w:t>
      </w:r>
    </w:p>
    <w:p w14:paraId="059DA395">
      <w:pPr>
        <w:tabs>
          <w:tab w:val="left" w:pos="4860"/>
        </w:tabs>
        <w:spacing w:line="588" w:lineRule="exact"/>
        <w:ind w:right="1560" w:firstLine="504" w:firstLineChars="200"/>
        <w:jc w:val="center"/>
        <w:rPr>
          <w:rFonts w:hint="eastAsia" w:ascii="宋体" w:hAnsi="宋体" w:eastAsia="宋体"/>
          <w:color w:val="auto"/>
          <w:spacing w:val="6"/>
          <w:sz w:val="24"/>
          <w:szCs w:val="24"/>
        </w:rPr>
      </w:pPr>
      <w:r>
        <w:rPr>
          <w:rFonts w:hint="eastAsia" w:ascii="宋体" w:hAnsi="宋体" w:eastAsia="宋体"/>
          <w:color w:val="auto"/>
          <w:spacing w:val="6"/>
          <w:sz w:val="24"/>
          <w:szCs w:val="24"/>
        </w:rPr>
        <w:t>日  期：</w:t>
      </w:r>
    </w:p>
    <w:p w14:paraId="0C947CFE">
      <w:pPr>
        <w:rPr>
          <w:rFonts w:hint="eastAsia" w:ascii="宋体" w:hAnsi="宋体" w:eastAsia="宋体"/>
          <w:color w:val="auto"/>
          <w:spacing w:val="6"/>
          <w:sz w:val="24"/>
          <w:szCs w:val="24"/>
        </w:rPr>
      </w:pPr>
      <w:r>
        <w:rPr>
          <w:rFonts w:hint="eastAsia" w:ascii="宋体" w:hAnsi="宋体" w:eastAsia="宋体"/>
          <w:color w:val="auto"/>
          <w:spacing w:val="6"/>
          <w:sz w:val="24"/>
          <w:szCs w:val="24"/>
        </w:rPr>
        <w:br w:type="page"/>
      </w:r>
    </w:p>
    <w:p w14:paraId="0F15B860">
      <w:pPr>
        <w:spacing w:line="588" w:lineRule="exact"/>
        <w:rPr>
          <w:rFonts w:hint="eastAsia" w:ascii="宋体" w:hAnsi="宋体" w:eastAsia="宋体"/>
          <w:color w:val="auto"/>
          <w:spacing w:val="6"/>
          <w:sz w:val="30"/>
          <w:szCs w:val="30"/>
          <w:lang w:val="en-US" w:eastAsia="zh-CN"/>
        </w:rPr>
      </w:pPr>
      <w:r>
        <w:rPr>
          <w:rFonts w:hint="eastAsia" w:ascii="宋体" w:hAnsi="宋体" w:eastAsia="宋体"/>
          <w:color w:val="auto"/>
          <w:spacing w:val="6"/>
          <w:sz w:val="30"/>
          <w:szCs w:val="30"/>
          <w:lang w:val="en-US" w:eastAsia="zh-CN"/>
        </w:rPr>
        <w:t>附件三：</w:t>
      </w:r>
    </w:p>
    <w:p w14:paraId="3E4A09D0">
      <w:pPr>
        <w:pStyle w:val="71"/>
        <w:spacing w:before="35"/>
        <w:ind w:left="3357"/>
        <w:rPr>
          <w:color w:val="auto"/>
          <w:lang w:eastAsia="zh-CN"/>
        </w:rPr>
      </w:pPr>
      <w:r>
        <w:rPr>
          <w:color w:val="auto"/>
          <w:lang w:eastAsia="zh-CN"/>
        </w:rPr>
        <w:t>监狱企业的证明文件（如有）</w:t>
      </w:r>
    </w:p>
    <w:p w14:paraId="530B122B">
      <w:pPr>
        <w:pStyle w:val="14"/>
        <w:spacing w:line="465" w:lineRule="auto"/>
        <w:ind w:left="120" w:right="213" w:firstLine="316"/>
        <w:rPr>
          <w:rFonts w:hint="eastAsia" w:ascii="宋体" w:hAnsi="宋体" w:eastAsia="宋体" w:cstheme="minorBidi"/>
          <w:color w:val="auto"/>
          <w:spacing w:val="6"/>
          <w:kern w:val="2"/>
          <w:sz w:val="24"/>
          <w:szCs w:val="24"/>
          <w:lang w:val="en-US" w:eastAsia="zh-CN" w:bidi="ar-SA"/>
        </w:rPr>
      </w:pPr>
      <w:r>
        <w:rPr>
          <w:rFonts w:hint="eastAsia" w:ascii="宋体" w:hAnsi="宋体" w:eastAsia="宋体" w:cstheme="minorBidi"/>
          <w:color w:val="auto"/>
          <w:spacing w:val="6"/>
          <w:kern w:val="2"/>
          <w:sz w:val="24"/>
          <w:szCs w:val="24"/>
          <w:lang w:val="en-US" w:eastAsia="zh-CN" w:bidi="ar-SA"/>
        </w:rPr>
        <w:t>说明：监狱企业参加政府采购活动时，应当提供由省级以上监狱管理局、戒毒管理局（含新疆生产建设兵团） 出具的属于监狱企业的证明文件，并加盖投标单位公章。</w:t>
      </w:r>
    </w:p>
    <w:p w14:paraId="21D088CA">
      <w:pPr>
        <w:pStyle w:val="50"/>
        <w:rPr>
          <w:rFonts w:ascii="宋体" w:hAnsi="宋体"/>
          <w:color w:val="auto"/>
        </w:rPr>
      </w:pPr>
    </w:p>
    <w:p w14:paraId="3D130BF6">
      <w:pPr>
        <w:widowControl/>
        <w:jc w:val="left"/>
        <w:rPr>
          <w:rFonts w:ascii="宋体" w:hAnsi="宋体" w:eastAsia="宋体" w:cs="Times New Roman"/>
          <w:color w:val="auto"/>
          <w:szCs w:val="24"/>
          <w:lang w:val="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11E3">
    <w:pPr>
      <w:pStyle w:val="21"/>
      <w:framePr w:wrap="around" w:vAnchor="text" w:hAnchor="margin" w:xAlign="center" w:y="1"/>
      <w:rPr>
        <w:rStyle w:val="38"/>
      </w:rPr>
    </w:pPr>
    <w:r>
      <w:fldChar w:fldCharType="begin"/>
    </w:r>
    <w:r>
      <w:rPr>
        <w:rStyle w:val="38"/>
      </w:rPr>
      <w:instrText xml:space="preserve">PAGE  </w:instrText>
    </w:r>
    <w:r>
      <w:fldChar w:fldCharType="separate"/>
    </w:r>
    <w:r>
      <w:rPr>
        <w:rStyle w:val="38"/>
      </w:rPr>
      <w:t>52</w:t>
    </w:r>
    <w:r>
      <w:fldChar w:fldCharType="end"/>
    </w:r>
  </w:p>
  <w:p w14:paraId="01B084B6">
    <w:pPr>
      <w:pStyle w:val="2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5FAC">
    <w:pPr>
      <w:pStyle w:val="21"/>
      <w:jc w:val="center"/>
      <w:rPr>
        <w:rFonts w:eastAsia="宋体"/>
      </w:rPr>
    </w:pPr>
    <w:r>
      <w:rPr>
        <w:sz w:val="18"/>
      </w:rPr>
      <w:pict>
        <v:shape id="_x0000_s1037" o:spid="_x0000_s103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3B45F4FA">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BBBA">
    <w:pPr>
      <w:pStyle w:val="21"/>
      <w:framePr w:wrap="around" w:vAnchor="text" w:hAnchor="margin" w:xAlign="center" w:yAlign="top"/>
    </w:pPr>
    <w:r>
      <w:fldChar w:fldCharType="begin"/>
    </w:r>
    <w:r>
      <w:rPr>
        <w:rStyle w:val="38"/>
      </w:rPr>
      <w:instrText xml:space="preserve"> PAGE  </w:instrText>
    </w:r>
    <w:r>
      <w:fldChar w:fldCharType="separate"/>
    </w:r>
    <w:r>
      <w:rPr>
        <w:rStyle w:val="38"/>
      </w:rPr>
      <w:t>25</w:t>
    </w:r>
    <w:r>
      <w:fldChar w:fldCharType="end"/>
    </w:r>
  </w:p>
  <w:p w14:paraId="783F1C6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9EA5">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3603">
    <w:pPr>
      <w:pStyle w:val="21"/>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1725E5F2">
                <w:pPr>
                  <w:pStyle w:val="21"/>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3C2C">
    <w:pPr>
      <w:pStyle w:val="21"/>
    </w:pPr>
    <w: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6DF39714">
                <w:pPr>
                  <w:pStyle w:val="21"/>
                  <w:rPr>
                    <w:rFonts w:eastAsia="宋体"/>
                  </w:rPr>
                </w:pPr>
                <w:r>
                  <w:fldChar w:fldCharType="begin"/>
                </w:r>
                <w:r>
                  <w:instrText xml:space="preserve"> PAGE  \* MERGEFORMAT </w:instrText>
                </w:r>
                <w:r>
                  <w:fldChar w:fldCharType="separate"/>
                </w:r>
                <w: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85E3">
    <w:pPr>
      <w:spacing w:line="1" w:lineRule="exact"/>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1AF84CB">
                <w:pPr>
                  <w:pStyle w:val="21"/>
                </w:pPr>
                <w:r>
                  <w:fldChar w:fldCharType="begin"/>
                </w:r>
                <w:r>
                  <w:instrText xml:space="preserve"> PAGE  \* MERGEFORMAT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E98A">
    <w:pPr>
      <w:spacing w:line="1" w:lineRule="exact"/>
    </w:pPr>
    <w:r>
      <w:pict>
        <v:shape id="Shape 28" o:spid="_x0000_s1028" o:spt="202" type="#_x0000_t202" style="position:absolute;left:0pt;margin-left:99.3pt;margin-top:729.65pt;height:25.9pt;width:372pt;mso-position-horizontal-relative:page;mso-position-vertical-relative:page;mso-wrap-style:none;z-index:-251655168;mso-width-relative:page;mso-height-relative:page;" filled="f" stroked="f" coordsize="21600,21600" o:gfxdata="UEsDBAoAAAAAAIdO4kAAAAAAAAAAAAAAAAAEAAAAZHJzL1BLAwQUAAAACACHTuJARgqjvNgAAAAN&#10;AQAADwAAAGRycy9kb3ducmV2LnhtbE2PzU7DMBCE70i8g7VI3Kjj0pYkxOmhEhduFITEzY23cYR/&#10;IttNk7dnOcFtZ3Y0+22zn51lE8Y0BC9BrApg6LugB99L+Hh/eSiBpay8VjZ4lLBggn17e9OoWoer&#10;f8PpmHtGJT7VSoLJeaw5T51Bp9IqjOhpdw7RqUwy9lxHdaVyZ/m6KHbcqcHTBaNGPBjsvo8XJ+Fp&#10;/gw4Jjzg13nqohmW0r4uUt7fieIZWMY5/4XhF5/QoSWmU7h4nZglXZU7itKw2VaPwChSbdZkncja&#10;CiGAtw3//0X7A1BLAwQUAAAACACHTuJAoodJUrwBAACYAwAADgAAAGRycy9lMm9Eb2MueG1srVPB&#10;btswDL0P2D8Iui923WDrjDjFhqDDgGEb0O4DFFmKBUiiICqx8/ejZCfduksPu8gUST3yPdKb+8lZ&#10;dlIRDfiO36xqzpSX0Bt/6Pivp4d3d5xhEr4XFrzq+Fkhv9++fbMZQ6saGMD2KjIC8diOoeNDSqGt&#10;KpSDcgJXEJSnoIboRKJrPFR9FCOhO1s1df2+GiH2IYJUiOTdzUG+IMbXAILWRqodyKNTPs2oUVmR&#10;iBIOJiDflm61VjL90BpVYrbjxDSVk4qQvc9ntd2I9hBFGIxcWhCvaeEFJyeMp6JXqJ1Igh2j+QfK&#10;GRkBQaeVBFfNRIoixOKmfqHN4yCCKlxIagxX0fH/wcrvp5+Rmb7jDc3dC0cTL2UZ3UmcMWBLOY+B&#10;stL0GSZamYsfyZk5Tzq6/CU2jOIk7fkqrZoSk+Rcf2jW65pCkmK3zd3H26J99fw6RExfFDiWjY5H&#10;Gl1RVJy+YaJOKPWSkot5eDDWlvFZ/5eDEmePKvNfXmcic8PZStN+WtjtoT8TuZF2oOOeVp4z+9WT&#10;xHldLka8GPvFyBUxfDomaqN0l1FnKGo1X2hgpellufJG/HkvWc8/1P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gqjvNgAAAANAQAADwAAAAAAAAABACAAAAAiAAAAZHJzL2Rvd25yZXYueG1sUEsB&#10;AhQAFAAAAAgAh07iQKKHSVK8AQAAmAMAAA4AAAAAAAAAAQAgAAAAJwEAAGRycy9lMm9Eb2MueG1s&#10;UEsFBgAAAAAGAAYAWQEAAFUFAAAAAA==&#10;">
          <v:path/>
          <v:fill on="f" focussize="0,0"/>
          <v:stroke on="f" joinstyle="miter"/>
          <v:imagedata o:title=""/>
          <o:lock v:ext="edit"/>
          <v:textbox inset="0mm,0mm,0mm,0mm" style="mso-fit-shape-to-text:t;">
            <w:txbxContent>
              <w:p w14:paraId="31037AEB">
                <w:pPr>
                  <w:pStyle w:val="58"/>
                  <w:jc w:val="left"/>
                  <w:rPr>
                    <w:sz w:val="18"/>
                    <w:szCs w:val="18"/>
                  </w:rPr>
                </w:pPr>
              </w:p>
              <w:p w14:paraId="6874487B">
                <w:pPr>
                  <w:pStyle w:val="58"/>
                  <w:jc w:val="left"/>
                  <w:rPr>
                    <w:sz w:val="18"/>
                    <w:szCs w:val="18"/>
                  </w:rPr>
                </w:pPr>
                <w:r>
                  <w:fldChar w:fldCharType="begin"/>
                </w:r>
                <w:r>
                  <w:instrText xml:space="preserve"> PAGE \* MERGEFORMAT </w:instrText>
                </w:r>
                <w:r>
                  <w:fldChar w:fldCharType="separate"/>
                </w:r>
                <w:r>
                  <w:rPr>
                    <w:rFonts w:ascii="宋体" w:hAnsi="宋体" w:eastAsia="宋体" w:cs="宋体"/>
                    <w:color w:val="000000"/>
                    <w:sz w:val="18"/>
                    <w:szCs w:val="18"/>
                    <w:vertAlign w:val="superscript"/>
                  </w:rPr>
                  <w:t>#</w:t>
                </w:r>
                <w:r>
                  <w:rPr>
                    <w:rFonts w:ascii="宋体" w:hAnsi="宋体" w:eastAsia="宋体" w:cs="宋体"/>
                    <w:color w:val="000000"/>
                    <w:sz w:val="18"/>
                    <w:szCs w:val="18"/>
                    <w:vertAlign w:val="superscript"/>
                  </w:rPr>
                  <w:fldChar w:fldCharType="end"/>
                </w:r>
                <w:r>
                  <w:rPr>
                    <w:rFonts w:ascii="宋体" w:hAnsi="宋体" w:eastAsia="宋体" w:cs="宋体"/>
                    <w:color w:val="000000"/>
                    <w:sz w:val="18"/>
                    <w:szCs w:val="18"/>
                  </w:rPr>
                  <w:t>从业人员、营业收入、资产总额填报上一年度数据，无上一年度数据的新成立企业可不填报。</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99E2">
    <w:pPr>
      <w:spacing w:line="240" w:lineRule="auto"/>
    </w:pPr>
    <w:r>
      <w:pict>
        <v:shape id="_x0000_s1032" o:spid="_x0000_s1032" o:spt="202" type="#_x0000_t202" style="position:absolute;left:0pt;margin-left:236.8pt;margin-top:-62.25pt;height:144pt;width:144p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14:paraId="195DD910">
                <w:pPr>
                  <w:pStyle w:val="21"/>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E5DE">
    <w:pPr>
      <w:spacing w:line="1" w:lineRule="exact"/>
    </w:pPr>
    <w:r>
      <w:rPr>
        <w:sz w:val="21"/>
      </w:rPr>
      <w:pict>
        <v:shape id="_x0000_s1036" o:spid="_x0000_s103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3965D70">
                <w:pPr>
                  <w:pStyle w:val="21"/>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69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94E4">
    <w:pPr>
      <w:pStyle w:val="22"/>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60288"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rPr>
      <w:t xml:space="preserve">国际项目管理有限公司--招标文件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17DF">
    <w:pPr>
      <w:pStyle w:val="22"/>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6438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581469243" name="图片 581469243"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69243" name="图片 581469243"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rPr>
      <w:t xml:space="preserve">国际项目管理有限公司--招标文件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85FD">
    <w:pPr>
      <w:spacing w:line="1" w:lineRule="exact"/>
    </w:pPr>
    <w:r>
      <w:pict>
        <v:shape id="Shape 22" o:spid="_x0000_s1031" o:spt="202" type="#_x0000_t202" style="position:absolute;left:0pt;margin-left:177.05pt;margin-top:77.85pt;height:18.25pt;width:244.8pt;mso-position-horizontal-relative:page;mso-position-vertical-relative:page;mso-wrap-style:none;z-index:-251656192;mso-width-relative:page;mso-height-relative:page;" filled="f" stroked="f" coordsize="21600,21600" o:gfxdata="UEsDBAoAAAAAAIdO4kAAAAAAAAAAAAAAAAAEAAAAZHJzL1BLAwQUAAAACACHTuJAAbMMtNgAAAAL&#10;AQAADwAAAGRycy9kb3ducmV2LnhtbE2PzU7DMBCE70i8g7VI3KiTtKEhxOmhEhduLQiJmxtv4wj/&#10;RLabJm/f5QS33Z3R7DfNbraGTRji4J2AfJUBQ9d5NbhewOfH21MFLCbplDTeoYAFI+za+7tG1spf&#10;3QGnY+oZhbhYSwE6pbHmPHYarYwrP6Ij7eyDlYnW0HMV5JXCreFFlj1zKwdHH7Qcca+x+zlerIDt&#10;/OVxjLjH7/PUBT0slXlfhHh8yLNXYAnn9GeGX3xCh5aYTv7iVGRGwLrc5GQloSy3wMhRbdY0nOjy&#10;UhTA24b/79DeAFBLAwQUAAAACACHTuJAVqWIhrsBAACYAwAADgAAAGRycy9lMm9Eb2MueG1srVNN&#10;b9swDL0P2H8QdF/suFjbGXGKDUGHAcM2oNsPUGQqFqAviErs/PtRspNu3aWHXWSKpB75HunNw2QN&#10;O0FE7V3H16uaM3DS99odOv7r5+O7e84wCdcL4x10/AzIH7Zv32zG0ELjB296iIxAHLZj6PiQUmir&#10;CuUAVuDKB3AUVD5akegaD1UfxUjo1lRNXd9Wo499iF4CInl3c5AviPE1gF4pLWHn5dGCSzNqBCMS&#10;UcJBB+Tb0q1SINN3pRASMx0npqmcVITsfT6r7Ua0hyjCoOXSgnhNCy84WaEdFb1C7UQS7Bj1P1BW&#10;y+jRq7SS3lYzkaIIsVjXL7R5GkSAwoWkxnAVHf8frPx2+hGZ7jveNJw5YWnipSyjO4kzBmwp5ylQ&#10;Vpo++YlW5uJHcmbOk4o2f4kNozhJe75KC1Nikpw36/r+wy2FJMWam/Xd3fsMUz2/DhHTZ/CWZaPj&#10;kUZXFBWnr5jm1EtKLub8ozamjM+4vxyEOXugzH95nYnMDWcrTftpYbf3/ZnIjbQDHXe08pyZL44k&#10;zutyMeLF2C9Grojh4zFRG6W7jDpDEat8oYEVfsty5Y34816ynn+o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swy02AAAAAsBAAAPAAAAAAAAAAEAIAAAACIAAABkcnMvZG93bnJldi54bWxQSwEC&#10;FAAUAAAACACHTuJAVqWIhrsBAACYAwAADgAAAAAAAAABACAAAAAnAQAAZHJzL2Uyb0RvYy54bWxQ&#10;SwUGAAAAAAYABgBZAQAAVAUAAAAA&#10;">
          <v:path/>
          <v:fill on="f" focussize="0,0"/>
          <v:stroke on="f" joinstyle="miter"/>
          <v:imagedata o:title=""/>
          <o:lock v:ext="edit"/>
          <v:textbox inset="0mm,0mm,0mm,0mm" style="mso-fit-shape-to-text:t;">
            <w:txbxContent>
              <w:p w14:paraId="6D971DBC">
                <w:pPr>
                  <w:pStyle w:val="58"/>
                  <w:jc w:val="left"/>
                  <w:rPr>
                    <w:sz w:val="36"/>
                    <w:szCs w:val="36"/>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1844">
    <w:pPr>
      <w:spacing w:line="1" w:lineRule="exact"/>
    </w:pPr>
    <w:r>
      <w:pict>
        <v:shape id="Shape 26" o:spid="_x0000_s1029" o:spt="202" type="#_x0000_t202" style="position:absolute;left:0pt;margin-left:177.05pt;margin-top:77.85pt;height:18.25pt;width:244.8pt;mso-position-horizontal-relative:page;mso-position-vertical-relative:page;mso-wrap-style:none;z-index:-251657216;mso-width-relative:page;mso-height-relative:page;" filled="f" stroked="f" coordsize="21600,21600" o:gfxdata="UEsDBAoAAAAAAIdO4kAAAAAAAAAAAAAAAAAEAAAAZHJzL1BLAwQUAAAACACHTuJAAbMMtNgAAAAL&#10;AQAADwAAAGRycy9kb3ducmV2LnhtbE2PzU7DMBCE70i8g7VI3KiTtKEhxOmhEhduLQiJmxtv4wj/&#10;RLabJm/f5QS33Z3R7DfNbraGTRji4J2AfJUBQ9d5NbhewOfH21MFLCbplDTeoYAFI+za+7tG1spf&#10;3QGnY+oZhbhYSwE6pbHmPHYarYwrP6Ij7eyDlYnW0HMV5JXCreFFlj1zKwdHH7Qcca+x+zlerIDt&#10;/OVxjLjH7/PUBT0slXlfhHh8yLNXYAnn9GeGX3xCh5aYTv7iVGRGwLrc5GQloSy3wMhRbdY0nOjy&#10;UhTA24b/79DeAFBLAwQUAAAACACHTuJAjo9EzbwBAACYAwAADgAAAGRycy9lMm9Eb2MueG1srVPB&#10;btswDL0P2D8Iui92UiztjDhFh6DDgGEb0O0DFFmKBUiiICqx8/ejZCfduksPvcgUST3yPdKb+9FZ&#10;dlIRDfiWLxc1Z8pL6Iw/tPz3r8cPd5xhEr4TFrxq+Vkhv9++f7cZQqNW0IPtVGQE4rEZQsv7lEJT&#10;VSh75QQuIChPQQ3RiUTXeKi6KAZCd7Za1fW6GiB2IYJUiOTdTUE+I8bXAILWRqodyKNTPk2oUVmR&#10;iBL2JiDflm61VjL90BpVYrblxDSVk4qQvc9ntd2I5hBF6I2cWxCvaeEFJyeMp6JXqJ1Igh2j+Q/K&#10;GRkBQaeFBFdNRIoixGJZv9DmqRdBFS4kNYar6Ph2sPL76Wdkpmv5as2ZF44mXsoyupM4Q8CGcp4C&#10;ZaXxM4y0Mhc/kjNzHnV0+UtsGMVJ2vNVWjUmJsl5s6zvPq0pJCm2ulne3n7MMNXz6xAxfVHgWDZa&#10;Hml0RVFx+oZpSr2k5GIeHo21ZXzW/+MgzMmjyvzn15nI1HC20rgfZ3Z76M5EbqAdaLmnlefMfvUk&#10;cV6XixEvxn42ckUMD8dEbZTuMuoERazyhQZW+M3LlTfi73vJev6h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bMMtNgAAAALAQAADwAAAAAAAAABACAAAAAiAAAAZHJzL2Rvd25yZXYueG1sUEsB&#10;AhQAFAAAAAgAh07iQI6PRM28AQAAmAMAAA4AAAAAAAAAAQAgAAAAJwEAAGRycy9lMm9Eb2MueG1s&#10;UEsFBgAAAAAGAAYAWQEAAFUFAAAAAA==&#10;">
          <v:path/>
          <v:fill on="f" focussize="0,0"/>
          <v:stroke on="f" joinstyle="miter"/>
          <v:imagedata o:title=""/>
          <o:lock v:ext="edit"/>
          <v:textbox inset="0mm,0mm,0mm,0mm" style="mso-fit-shape-to-text:t;">
            <w:txbxContent>
              <w:p w14:paraId="6B80FF04"/>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74A6">
    <w:pPr>
      <w:spacing w:line="1" w:lineRule="exact"/>
    </w:pPr>
    <w:r>
      <w:pict>
        <v:shape id="Shape 30" o:spid="_x0000_s1033" o:spt="202" type="#_x0000_t202" style="position:absolute;left:0pt;margin-left:103.5pt;margin-top:75.45pt;height:15.1pt;width:48pt;mso-position-horizontal-relative:page;mso-position-vertical-relative:page;mso-wrap-style:none;z-index:-251654144;mso-width-relative:page;mso-height-relative:page;" filled="f" stroked="f" coordsize="21600,21600" o:gfxdata="UEsDBAoAAAAAAIdO4kAAAAAAAAAAAAAAAAAEAAAAZHJzL1BLAwQUAAAACACHTuJA4N6EiNYAAAAL&#10;AQAADwAAAGRycy9kb3ducmV2LnhtbE2PwU7DMBBE70j8g7VI3KidVtAQ4vRQiQs3CqrEzY23cYS9&#10;jmI3Tf6e5QTHnRnNvql3c/BiwjH1kTQUKwUCqY22p07D58frQwkiZUPW+EioYcEEu+b2pjaVjVd6&#10;x+mQO8EllCqjweU8VFKm1mEwaRUHJPbOcQwm8zl20o7myuXBy7VSTzKYnviDMwPuHbbfh0vQsJ2P&#10;EYeEe/w6T+3o+qX0b4vW93eFegGRcc5/YfjFZ3RomOkUL2ST8BrWastbMhuP6hkEJzZqw8qJlbIo&#10;QDa1/L+h+QFQSwMEFAAAAAgAh07iQKZCer+6AQAAlwMAAA4AAABkcnMvZTJvRG9jLnhtbK1TTW/b&#10;MAy9D9h/EHRf7LRAugZxihVBhwHDNqDbD1BkORagL4hK7Pz7PclOunWXHnaRKZJ6fI+kNw+jNeyk&#10;ImnvGr5c1JwpJ32r3aHhv34+ffjIGSXhWmG8Uw0/K+IP2/fvNkNYqxvfe9OqyADiaD2EhvcphXVV&#10;keyVFbTwQTkEOx+tSLjGQ9VGMQDdmuqmrlfV4GMbopeKCN7dFOQzYnwLoO86LdXOy6NVLk2oURmR&#10;IIl6HYhvC9uuUzJ97zpSiZmGQ2kqJ4rA3uez2m7E+hBF6LWcKYi3UHilyQrtUPQKtRNJsGPU/0BZ&#10;LaMn36WF9LaahJSOQMWyftWb514EVbSg1RSuTaf/Byu/nX5EptuG36IlTlhMvJRluKM5Q6A1cp4D&#10;stL46EeszMVPcGbNYxdt/kINQxw452tr1ZiYhHNV369qRCRCy/vl3V1Br14eh0jps/KWZaPhEZMr&#10;DRWnr5RABKmXlFzL+SdtTJmecX85kDh5VBn//DrrmPhmK437cRa39+0Z2gasQMMdNp4z88WhwyCb&#10;Lka8GPvZyBUpfDom0CjsMuoEBar5gnkV0vNu5YX4816yXv6n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3oSI1gAAAAsBAAAPAAAAAAAAAAEAIAAAACIAAABkcnMvZG93bnJldi54bWxQSwECFAAU&#10;AAAACACHTuJApkJ6v7oBAACXAwAADgAAAAAAAAABACAAAAAlAQAAZHJzL2Uyb0RvYy54bWxQSwUG&#10;AAAAAAYABgBZAQAAUQUAAAAA&#10;">
          <v:path/>
          <v:fill on="f" focussize="0,0"/>
          <v:stroke on="f" joinstyle="miter"/>
          <v:imagedata o:title=""/>
          <o:lock v:ext="edit"/>
          <v:textbox inset="0mm,0mm,0mm,0mm" style="mso-fit-shape-to-text:t;">
            <w:txbxContent>
              <w:p w14:paraId="76B381A3">
                <w:pPr>
                  <w:pStyle w:val="58"/>
                  <w:jc w:val="left"/>
                  <w:rPr>
                    <w:sz w:val="32"/>
                    <w:szCs w:val="32"/>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2"/>
        <w:szCs w:val="32"/>
        <w:u w:val="none"/>
        <w:shd w:val="clear" w:color="auto" w:fill="auto"/>
        <w:lang w:val="en-US" w:eastAsia="en-US" w:bidi="en-US"/>
      </w:rPr>
    </w:lvl>
  </w:abstractNum>
  <w:abstractNum w:abstractNumId="1">
    <w:nsid w:val="0EE4C123"/>
    <w:multiLevelType w:val="singleLevel"/>
    <w:tmpl w:val="0EE4C123"/>
    <w:lvl w:ilvl="0" w:tentative="0">
      <w:start w:val="1"/>
      <w:numFmt w:val="decimal"/>
      <w:suff w:val="nothing"/>
      <w:lvlText w:val="%1、"/>
      <w:lvlJc w:val="left"/>
    </w:lvl>
  </w:abstractNum>
  <w:abstractNum w:abstractNumId="2">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3">
    <w:nsid w:val="60D389B8"/>
    <w:multiLevelType w:val="singleLevel"/>
    <w:tmpl w:val="60D389B8"/>
    <w:lvl w:ilvl="0" w:tentative="0">
      <w:start w:val="2"/>
      <w:numFmt w:val="decimal"/>
      <w:lvlText w:val="%1."/>
      <w:lvlJc w:val="left"/>
      <w:pPr>
        <w:tabs>
          <w:tab w:val="left" w:pos="312"/>
        </w:tabs>
      </w:pPr>
    </w:lvl>
  </w:abstractNum>
  <w:abstractNum w:abstractNumId="4">
    <w:nsid w:val="6DC12C0F"/>
    <w:multiLevelType w:val="singleLevel"/>
    <w:tmpl w:val="6DC12C0F"/>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mODU3MmU1NzczMGMxZTA5MjYxMTQ4MGYzYjVlYWYifQ=="/>
  </w:docVars>
  <w:rsids>
    <w:rsidRoot w:val="5D3C1C25"/>
    <w:rsid w:val="00007E1E"/>
    <w:rsid w:val="00020CEF"/>
    <w:rsid w:val="00024AB9"/>
    <w:rsid w:val="00027798"/>
    <w:rsid w:val="00032642"/>
    <w:rsid w:val="000378C8"/>
    <w:rsid w:val="00053B53"/>
    <w:rsid w:val="00054183"/>
    <w:rsid w:val="000574F9"/>
    <w:rsid w:val="00080A7A"/>
    <w:rsid w:val="00090755"/>
    <w:rsid w:val="000920D4"/>
    <w:rsid w:val="000975DB"/>
    <w:rsid w:val="000A3489"/>
    <w:rsid w:val="000A4C05"/>
    <w:rsid w:val="000D556F"/>
    <w:rsid w:val="000D61AB"/>
    <w:rsid w:val="000F0114"/>
    <w:rsid w:val="000F2D6E"/>
    <w:rsid w:val="00106BEE"/>
    <w:rsid w:val="00113FE6"/>
    <w:rsid w:val="0012168E"/>
    <w:rsid w:val="001307E5"/>
    <w:rsid w:val="00130F3F"/>
    <w:rsid w:val="00143135"/>
    <w:rsid w:val="001459E5"/>
    <w:rsid w:val="00146B30"/>
    <w:rsid w:val="00152F7C"/>
    <w:rsid w:val="0015370B"/>
    <w:rsid w:val="00155EF7"/>
    <w:rsid w:val="00172DC0"/>
    <w:rsid w:val="00181DA4"/>
    <w:rsid w:val="00183BBB"/>
    <w:rsid w:val="00191AC7"/>
    <w:rsid w:val="00197039"/>
    <w:rsid w:val="001B4EE2"/>
    <w:rsid w:val="001C2727"/>
    <w:rsid w:val="001E1548"/>
    <w:rsid w:val="001E4074"/>
    <w:rsid w:val="001E4595"/>
    <w:rsid w:val="001E59A0"/>
    <w:rsid w:val="00202310"/>
    <w:rsid w:val="002105CB"/>
    <w:rsid w:val="0021260C"/>
    <w:rsid w:val="002268AD"/>
    <w:rsid w:val="00240E48"/>
    <w:rsid w:val="002445BC"/>
    <w:rsid w:val="00255D63"/>
    <w:rsid w:val="00256DEA"/>
    <w:rsid w:val="002736D4"/>
    <w:rsid w:val="00281E51"/>
    <w:rsid w:val="00284AE3"/>
    <w:rsid w:val="002A6C0D"/>
    <w:rsid w:val="002B0092"/>
    <w:rsid w:val="002B35C0"/>
    <w:rsid w:val="002B7356"/>
    <w:rsid w:val="002C297F"/>
    <w:rsid w:val="002C7846"/>
    <w:rsid w:val="002D1F3F"/>
    <w:rsid w:val="003000DB"/>
    <w:rsid w:val="00310318"/>
    <w:rsid w:val="00310904"/>
    <w:rsid w:val="00315396"/>
    <w:rsid w:val="00316827"/>
    <w:rsid w:val="00327360"/>
    <w:rsid w:val="00327692"/>
    <w:rsid w:val="00333657"/>
    <w:rsid w:val="003356F5"/>
    <w:rsid w:val="00335CA7"/>
    <w:rsid w:val="003402DF"/>
    <w:rsid w:val="00340DC4"/>
    <w:rsid w:val="0034498E"/>
    <w:rsid w:val="00347E00"/>
    <w:rsid w:val="00370012"/>
    <w:rsid w:val="00370C9D"/>
    <w:rsid w:val="00381543"/>
    <w:rsid w:val="0039028D"/>
    <w:rsid w:val="003B1BE9"/>
    <w:rsid w:val="003B569B"/>
    <w:rsid w:val="003C5C07"/>
    <w:rsid w:val="003D5F36"/>
    <w:rsid w:val="003E5DBB"/>
    <w:rsid w:val="003E6C00"/>
    <w:rsid w:val="004057CA"/>
    <w:rsid w:val="00415F9E"/>
    <w:rsid w:val="00443B78"/>
    <w:rsid w:val="0045012D"/>
    <w:rsid w:val="00482E36"/>
    <w:rsid w:val="004910A8"/>
    <w:rsid w:val="004B2CC7"/>
    <w:rsid w:val="004B6AA2"/>
    <w:rsid w:val="004C4862"/>
    <w:rsid w:val="004D79F5"/>
    <w:rsid w:val="004E2489"/>
    <w:rsid w:val="004E68A7"/>
    <w:rsid w:val="00512B12"/>
    <w:rsid w:val="00523905"/>
    <w:rsid w:val="005264A4"/>
    <w:rsid w:val="00527361"/>
    <w:rsid w:val="00527BFC"/>
    <w:rsid w:val="00535599"/>
    <w:rsid w:val="005365EC"/>
    <w:rsid w:val="005568BF"/>
    <w:rsid w:val="005610C6"/>
    <w:rsid w:val="00564200"/>
    <w:rsid w:val="005A1B50"/>
    <w:rsid w:val="005B03E8"/>
    <w:rsid w:val="005B2BB1"/>
    <w:rsid w:val="005B6D54"/>
    <w:rsid w:val="005C5F2B"/>
    <w:rsid w:val="005E0A32"/>
    <w:rsid w:val="005E3190"/>
    <w:rsid w:val="005E5A33"/>
    <w:rsid w:val="005F0B8E"/>
    <w:rsid w:val="005F108B"/>
    <w:rsid w:val="005F536F"/>
    <w:rsid w:val="00605E9A"/>
    <w:rsid w:val="0061200A"/>
    <w:rsid w:val="0063219A"/>
    <w:rsid w:val="00634FF4"/>
    <w:rsid w:val="006631B5"/>
    <w:rsid w:val="00671999"/>
    <w:rsid w:val="00682CF1"/>
    <w:rsid w:val="00690FDA"/>
    <w:rsid w:val="00691794"/>
    <w:rsid w:val="00692EB1"/>
    <w:rsid w:val="00696C15"/>
    <w:rsid w:val="006B05D5"/>
    <w:rsid w:val="006B2AD8"/>
    <w:rsid w:val="006B4FA3"/>
    <w:rsid w:val="006C2A9D"/>
    <w:rsid w:val="006C6C7B"/>
    <w:rsid w:val="006D2D8B"/>
    <w:rsid w:val="006F0C04"/>
    <w:rsid w:val="00704041"/>
    <w:rsid w:val="00732865"/>
    <w:rsid w:val="00741128"/>
    <w:rsid w:val="00741B65"/>
    <w:rsid w:val="0074265C"/>
    <w:rsid w:val="00743BBE"/>
    <w:rsid w:val="00762542"/>
    <w:rsid w:val="00773773"/>
    <w:rsid w:val="00781808"/>
    <w:rsid w:val="00783DA0"/>
    <w:rsid w:val="00784D7B"/>
    <w:rsid w:val="00786344"/>
    <w:rsid w:val="007970B1"/>
    <w:rsid w:val="007A76B5"/>
    <w:rsid w:val="007B174B"/>
    <w:rsid w:val="007B17C3"/>
    <w:rsid w:val="007C102D"/>
    <w:rsid w:val="007C3973"/>
    <w:rsid w:val="007D4C7A"/>
    <w:rsid w:val="007F2579"/>
    <w:rsid w:val="00807775"/>
    <w:rsid w:val="008128A8"/>
    <w:rsid w:val="00827DF4"/>
    <w:rsid w:val="0085155C"/>
    <w:rsid w:val="0086637A"/>
    <w:rsid w:val="00867D8C"/>
    <w:rsid w:val="00872555"/>
    <w:rsid w:val="008753AD"/>
    <w:rsid w:val="0087590D"/>
    <w:rsid w:val="00876738"/>
    <w:rsid w:val="008813B1"/>
    <w:rsid w:val="00884DB7"/>
    <w:rsid w:val="00894656"/>
    <w:rsid w:val="008A07F8"/>
    <w:rsid w:val="008A2271"/>
    <w:rsid w:val="008A328B"/>
    <w:rsid w:val="008B0162"/>
    <w:rsid w:val="008B7321"/>
    <w:rsid w:val="008C1A68"/>
    <w:rsid w:val="008C41FE"/>
    <w:rsid w:val="008D1446"/>
    <w:rsid w:val="008D5267"/>
    <w:rsid w:val="008F3B74"/>
    <w:rsid w:val="009174D0"/>
    <w:rsid w:val="009257C6"/>
    <w:rsid w:val="00932BD5"/>
    <w:rsid w:val="00947A31"/>
    <w:rsid w:val="009521D6"/>
    <w:rsid w:val="00966B51"/>
    <w:rsid w:val="00972B73"/>
    <w:rsid w:val="00974B3C"/>
    <w:rsid w:val="009750E8"/>
    <w:rsid w:val="00976AD0"/>
    <w:rsid w:val="00981456"/>
    <w:rsid w:val="009876DF"/>
    <w:rsid w:val="009B6E57"/>
    <w:rsid w:val="009C1754"/>
    <w:rsid w:val="009E0C8B"/>
    <w:rsid w:val="009F7880"/>
    <w:rsid w:val="00A14486"/>
    <w:rsid w:val="00A16CFB"/>
    <w:rsid w:val="00A171F0"/>
    <w:rsid w:val="00A3415B"/>
    <w:rsid w:val="00A413AE"/>
    <w:rsid w:val="00A42D02"/>
    <w:rsid w:val="00A53B18"/>
    <w:rsid w:val="00A57C84"/>
    <w:rsid w:val="00A66D8F"/>
    <w:rsid w:val="00A73C6E"/>
    <w:rsid w:val="00A914E9"/>
    <w:rsid w:val="00AA0746"/>
    <w:rsid w:val="00AA7CD1"/>
    <w:rsid w:val="00AB2098"/>
    <w:rsid w:val="00AB7272"/>
    <w:rsid w:val="00AC32F7"/>
    <w:rsid w:val="00AC4E91"/>
    <w:rsid w:val="00AC6C07"/>
    <w:rsid w:val="00AC7399"/>
    <w:rsid w:val="00AD1762"/>
    <w:rsid w:val="00AE5391"/>
    <w:rsid w:val="00AF32D2"/>
    <w:rsid w:val="00B014C2"/>
    <w:rsid w:val="00B05C9A"/>
    <w:rsid w:val="00B10A14"/>
    <w:rsid w:val="00B140C3"/>
    <w:rsid w:val="00B21B9F"/>
    <w:rsid w:val="00B30828"/>
    <w:rsid w:val="00B31C97"/>
    <w:rsid w:val="00B36E5F"/>
    <w:rsid w:val="00B61F64"/>
    <w:rsid w:val="00B80B40"/>
    <w:rsid w:val="00B813B1"/>
    <w:rsid w:val="00B93050"/>
    <w:rsid w:val="00B95060"/>
    <w:rsid w:val="00B957AF"/>
    <w:rsid w:val="00BA55D8"/>
    <w:rsid w:val="00BA72CA"/>
    <w:rsid w:val="00BB5DE6"/>
    <w:rsid w:val="00BC156D"/>
    <w:rsid w:val="00BC1F53"/>
    <w:rsid w:val="00BC2427"/>
    <w:rsid w:val="00BF1427"/>
    <w:rsid w:val="00C037BA"/>
    <w:rsid w:val="00C13318"/>
    <w:rsid w:val="00C211BE"/>
    <w:rsid w:val="00C226CB"/>
    <w:rsid w:val="00C26C30"/>
    <w:rsid w:val="00C300FA"/>
    <w:rsid w:val="00C4054A"/>
    <w:rsid w:val="00C62E74"/>
    <w:rsid w:val="00C83A61"/>
    <w:rsid w:val="00C84BAB"/>
    <w:rsid w:val="00CA015F"/>
    <w:rsid w:val="00CA2E5B"/>
    <w:rsid w:val="00CA3E04"/>
    <w:rsid w:val="00CA5D59"/>
    <w:rsid w:val="00CB0E01"/>
    <w:rsid w:val="00CB4533"/>
    <w:rsid w:val="00CB48C8"/>
    <w:rsid w:val="00CC2A40"/>
    <w:rsid w:val="00CC2BF7"/>
    <w:rsid w:val="00CD1F28"/>
    <w:rsid w:val="00CE0E26"/>
    <w:rsid w:val="00CE1EB2"/>
    <w:rsid w:val="00CF3C8B"/>
    <w:rsid w:val="00CF54B4"/>
    <w:rsid w:val="00D10589"/>
    <w:rsid w:val="00D153D5"/>
    <w:rsid w:val="00D2089D"/>
    <w:rsid w:val="00D20ABB"/>
    <w:rsid w:val="00D227D5"/>
    <w:rsid w:val="00D26731"/>
    <w:rsid w:val="00D31132"/>
    <w:rsid w:val="00D45757"/>
    <w:rsid w:val="00D72BFD"/>
    <w:rsid w:val="00D8397D"/>
    <w:rsid w:val="00D90B28"/>
    <w:rsid w:val="00D9770E"/>
    <w:rsid w:val="00DB08E8"/>
    <w:rsid w:val="00DB3974"/>
    <w:rsid w:val="00DB782A"/>
    <w:rsid w:val="00DC6A4E"/>
    <w:rsid w:val="00DD6C7F"/>
    <w:rsid w:val="00DE360C"/>
    <w:rsid w:val="00DF50E4"/>
    <w:rsid w:val="00DF5288"/>
    <w:rsid w:val="00E01D6D"/>
    <w:rsid w:val="00E04E69"/>
    <w:rsid w:val="00E101EB"/>
    <w:rsid w:val="00E11ED9"/>
    <w:rsid w:val="00E30FAD"/>
    <w:rsid w:val="00E3156C"/>
    <w:rsid w:val="00E460C5"/>
    <w:rsid w:val="00E5122F"/>
    <w:rsid w:val="00E52E67"/>
    <w:rsid w:val="00E553E4"/>
    <w:rsid w:val="00E558EF"/>
    <w:rsid w:val="00E56813"/>
    <w:rsid w:val="00E62775"/>
    <w:rsid w:val="00E719AC"/>
    <w:rsid w:val="00E72409"/>
    <w:rsid w:val="00E8214D"/>
    <w:rsid w:val="00E86DE5"/>
    <w:rsid w:val="00EA2707"/>
    <w:rsid w:val="00EA49C7"/>
    <w:rsid w:val="00EA55E6"/>
    <w:rsid w:val="00EC0DBD"/>
    <w:rsid w:val="00EC419B"/>
    <w:rsid w:val="00EC5A96"/>
    <w:rsid w:val="00EF2E10"/>
    <w:rsid w:val="00EF7312"/>
    <w:rsid w:val="00F06CA9"/>
    <w:rsid w:val="00F1488B"/>
    <w:rsid w:val="00F3396D"/>
    <w:rsid w:val="00F40161"/>
    <w:rsid w:val="00F464C5"/>
    <w:rsid w:val="00F65E93"/>
    <w:rsid w:val="00F74354"/>
    <w:rsid w:val="00F77187"/>
    <w:rsid w:val="00F87B5A"/>
    <w:rsid w:val="00F91184"/>
    <w:rsid w:val="00F91EFC"/>
    <w:rsid w:val="00F942C6"/>
    <w:rsid w:val="00FC324C"/>
    <w:rsid w:val="00FD469E"/>
    <w:rsid w:val="00FF1C56"/>
    <w:rsid w:val="016D2D5B"/>
    <w:rsid w:val="018B0DAC"/>
    <w:rsid w:val="01BD0BB6"/>
    <w:rsid w:val="01FF183F"/>
    <w:rsid w:val="022B2D01"/>
    <w:rsid w:val="028C6E59"/>
    <w:rsid w:val="02980E4E"/>
    <w:rsid w:val="02DD2F85"/>
    <w:rsid w:val="03675662"/>
    <w:rsid w:val="03A72764"/>
    <w:rsid w:val="03B46B0A"/>
    <w:rsid w:val="04617E4D"/>
    <w:rsid w:val="047123FF"/>
    <w:rsid w:val="047949CB"/>
    <w:rsid w:val="049F4DF8"/>
    <w:rsid w:val="04AB46C9"/>
    <w:rsid w:val="04D03790"/>
    <w:rsid w:val="04D368FA"/>
    <w:rsid w:val="05637B1C"/>
    <w:rsid w:val="05816239"/>
    <w:rsid w:val="05B04764"/>
    <w:rsid w:val="065B5C4B"/>
    <w:rsid w:val="066B24DD"/>
    <w:rsid w:val="0693165F"/>
    <w:rsid w:val="06BC017A"/>
    <w:rsid w:val="06C70B10"/>
    <w:rsid w:val="06CC603E"/>
    <w:rsid w:val="07031A83"/>
    <w:rsid w:val="07623DAB"/>
    <w:rsid w:val="077F7ED4"/>
    <w:rsid w:val="07860322"/>
    <w:rsid w:val="07A70F85"/>
    <w:rsid w:val="07AF4BDF"/>
    <w:rsid w:val="07BE1E2B"/>
    <w:rsid w:val="07C63DF9"/>
    <w:rsid w:val="07E07FF3"/>
    <w:rsid w:val="07EA70C4"/>
    <w:rsid w:val="081B3D75"/>
    <w:rsid w:val="085133EF"/>
    <w:rsid w:val="08687BA9"/>
    <w:rsid w:val="08931CE3"/>
    <w:rsid w:val="08D95D15"/>
    <w:rsid w:val="08DE2E9D"/>
    <w:rsid w:val="090E0B90"/>
    <w:rsid w:val="09414AC1"/>
    <w:rsid w:val="098A1B2B"/>
    <w:rsid w:val="09B16017"/>
    <w:rsid w:val="09CC6586"/>
    <w:rsid w:val="09D73678"/>
    <w:rsid w:val="09FE7206"/>
    <w:rsid w:val="0A6A6C22"/>
    <w:rsid w:val="0A80786B"/>
    <w:rsid w:val="0AD06965"/>
    <w:rsid w:val="0AE67429"/>
    <w:rsid w:val="0AF97E9C"/>
    <w:rsid w:val="0B372D1F"/>
    <w:rsid w:val="0BE9062E"/>
    <w:rsid w:val="0C0F0EA7"/>
    <w:rsid w:val="0C12479D"/>
    <w:rsid w:val="0C191078"/>
    <w:rsid w:val="0C683EF5"/>
    <w:rsid w:val="0C7602E0"/>
    <w:rsid w:val="0D4E16B9"/>
    <w:rsid w:val="0D4F1075"/>
    <w:rsid w:val="0D6F3932"/>
    <w:rsid w:val="0DC9777B"/>
    <w:rsid w:val="0DED128D"/>
    <w:rsid w:val="0E002722"/>
    <w:rsid w:val="0E057E8B"/>
    <w:rsid w:val="0E1E1875"/>
    <w:rsid w:val="0E2D4A2B"/>
    <w:rsid w:val="0E411D97"/>
    <w:rsid w:val="0EBF70A2"/>
    <w:rsid w:val="0F0142C0"/>
    <w:rsid w:val="0F1D1E40"/>
    <w:rsid w:val="0F4A28B7"/>
    <w:rsid w:val="0F6E2388"/>
    <w:rsid w:val="0F8B4CE8"/>
    <w:rsid w:val="0FBE1423"/>
    <w:rsid w:val="0FE03B0E"/>
    <w:rsid w:val="102D6EF8"/>
    <w:rsid w:val="103271DE"/>
    <w:rsid w:val="108035FE"/>
    <w:rsid w:val="10AE220A"/>
    <w:rsid w:val="10C55789"/>
    <w:rsid w:val="10E341AD"/>
    <w:rsid w:val="11020FDA"/>
    <w:rsid w:val="113118BF"/>
    <w:rsid w:val="117238B3"/>
    <w:rsid w:val="11BD7880"/>
    <w:rsid w:val="11C85B74"/>
    <w:rsid w:val="11E60E84"/>
    <w:rsid w:val="11F23DC1"/>
    <w:rsid w:val="121A72D7"/>
    <w:rsid w:val="129A0B48"/>
    <w:rsid w:val="13272F7A"/>
    <w:rsid w:val="135D2E40"/>
    <w:rsid w:val="136D7446"/>
    <w:rsid w:val="13C5585C"/>
    <w:rsid w:val="140F1BAC"/>
    <w:rsid w:val="146752B8"/>
    <w:rsid w:val="14887A48"/>
    <w:rsid w:val="14CD18FF"/>
    <w:rsid w:val="14E135FC"/>
    <w:rsid w:val="15676478"/>
    <w:rsid w:val="15714D67"/>
    <w:rsid w:val="15BD7FFD"/>
    <w:rsid w:val="15C21175"/>
    <w:rsid w:val="15C90318"/>
    <w:rsid w:val="16096967"/>
    <w:rsid w:val="16111CBF"/>
    <w:rsid w:val="166640D8"/>
    <w:rsid w:val="169B0371"/>
    <w:rsid w:val="16A56315"/>
    <w:rsid w:val="16AB3714"/>
    <w:rsid w:val="16CB2E15"/>
    <w:rsid w:val="171A75CD"/>
    <w:rsid w:val="176C072C"/>
    <w:rsid w:val="1796444C"/>
    <w:rsid w:val="179F3C57"/>
    <w:rsid w:val="17BD5C5B"/>
    <w:rsid w:val="17C23271"/>
    <w:rsid w:val="17D11706"/>
    <w:rsid w:val="181B1700"/>
    <w:rsid w:val="18413ED4"/>
    <w:rsid w:val="18BB11DB"/>
    <w:rsid w:val="18F27B86"/>
    <w:rsid w:val="192955CB"/>
    <w:rsid w:val="19341571"/>
    <w:rsid w:val="1A174755"/>
    <w:rsid w:val="1AA541B9"/>
    <w:rsid w:val="1AB35A78"/>
    <w:rsid w:val="1B125322"/>
    <w:rsid w:val="1B1D26B2"/>
    <w:rsid w:val="1B3B735E"/>
    <w:rsid w:val="1B453F95"/>
    <w:rsid w:val="1B610821"/>
    <w:rsid w:val="1B943177"/>
    <w:rsid w:val="1B9F53C0"/>
    <w:rsid w:val="1BC26A36"/>
    <w:rsid w:val="1C001FD3"/>
    <w:rsid w:val="1C1549BE"/>
    <w:rsid w:val="1C3130D1"/>
    <w:rsid w:val="1C4E5645"/>
    <w:rsid w:val="1C594221"/>
    <w:rsid w:val="1C7D00AF"/>
    <w:rsid w:val="1CBD494F"/>
    <w:rsid w:val="1CC9658C"/>
    <w:rsid w:val="1D233890"/>
    <w:rsid w:val="1D3102EB"/>
    <w:rsid w:val="1D603D0E"/>
    <w:rsid w:val="1E062EF9"/>
    <w:rsid w:val="1E5B0BFD"/>
    <w:rsid w:val="1E6576A3"/>
    <w:rsid w:val="1E7E516C"/>
    <w:rsid w:val="1E9319E5"/>
    <w:rsid w:val="1EE41797"/>
    <w:rsid w:val="1EE63F52"/>
    <w:rsid w:val="1F036097"/>
    <w:rsid w:val="1F3E5657"/>
    <w:rsid w:val="1FA4400A"/>
    <w:rsid w:val="1FAD4807"/>
    <w:rsid w:val="200B13BD"/>
    <w:rsid w:val="204430CA"/>
    <w:rsid w:val="20824A79"/>
    <w:rsid w:val="20AC7AD5"/>
    <w:rsid w:val="20E5145A"/>
    <w:rsid w:val="20F12E19"/>
    <w:rsid w:val="21221A61"/>
    <w:rsid w:val="21A8797C"/>
    <w:rsid w:val="21C81DCC"/>
    <w:rsid w:val="21CF315A"/>
    <w:rsid w:val="21E84BFD"/>
    <w:rsid w:val="21E86BE4"/>
    <w:rsid w:val="2201708C"/>
    <w:rsid w:val="22241ED3"/>
    <w:rsid w:val="224325F7"/>
    <w:rsid w:val="226106A5"/>
    <w:rsid w:val="228578C0"/>
    <w:rsid w:val="22D41B5C"/>
    <w:rsid w:val="22EC5646"/>
    <w:rsid w:val="230B3E0D"/>
    <w:rsid w:val="234B638F"/>
    <w:rsid w:val="235B7B07"/>
    <w:rsid w:val="235C0A1E"/>
    <w:rsid w:val="236279FF"/>
    <w:rsid w:val="23653CED"/>
    <w:rsid w:val="23B01D8A"/>
    <w:rsid w:val="23B1063E"/>
    <w:rsid w:val="23ED78C8"/>
    <w:rsid w:val="24077429"/>
    <w:rsid w:val="24CB5380"/>
    <w:rsid w:val="25072815"/>
    <w:rsid w:val="255A7165"/>
    <w:rsid w:val="25BC5F90"/>
    <w:rsid w:val="25D97BAB"/>
    <w:rsid w:val="2657371E"/>
    <w:rsid w:val="26890738"/>
    <w:rsid w:val="26A10E3D"/>
    <w:rsid w:val="26B92AF4"/>
    <w:rsid w:val="26FC1A9D"/>
    <w:rsid w:val="27003979"/>
    <w:rsid w:val="2702368A"/>
    <w:rsid w:val="27633403"/>
    <w:rsid w:val="27D510E9"/>
    <w:rsid w:val="2805217F"/>
    <w:rsid w:val="28717277"/>
    <w:rsid w:val="288F53F1"/>
    <w:rsid w:val="289A102A"/>
    <w:rsid w:val="28C1391A"/>
    <w:rsid w:val="29144A30"/>
    <w:rsid w:val="29290405"/>
    <w:rsid w:val="295D729E"/>
    <w:rsid w:val="29683A91"/>
    <w:rsid w:val="296A3366"/>
    <w:rsid w:val="296E59F0"/>
    <w:rsid w:val="297E7AAC"/>
    <w:rsid w:val="29EB0427"/>
    <w:rsid w:val="2A077209"/>
    <w:rsid w:val="2A17015C"/>
    <w:rsid w:val="2A2F792E"/>
    <w:rsid w:val="2A48459B"/>
    <w:rsid w:val="2A8F290F"/>
    <w:rsid w:val="2AB57BBD"/>
    <w:rsid w:val="2ABB2A08"/>
    <w:rsid w:val="2AFF4034"/>
    <w:rsid w:val="2B1B25CC"/>
    <w:rsid w:val="2B232D3C"/>
    <w:rsid w:val="2B2364CB"/>
    <w:rsid w:val="2B370ECB"/>
    <w:rsid w:val="2B3B08D7"/>
    <w:rsid w:val="2B3E05E0"/>
    <w:rsid w:val="2B76236B"/>
    <w:rsid w:val="2B895FC1"/>
    <w:rsid w:val="2BA83950"/>
    <w:rsid w:val="2BD4136D"/>
    <w:rsid w:val="2C213A3D"/>
    <w:rsid w:val="2C4C04FD"/>
    <w:rsid w:val="2C7B59AA"/>
    <w:rsid w:val="2CB87EE7"/>
    <w:rsid w:val="2CBD5E20"/>
    <w:rsid w:val="2CC06903"/>
    <w:rsid w:val="2CDA1593"/>
    <w:rsid w:val="2CF750C7"/>
    <w:rsid w:val="2D0B0E2E"/>
    <w:rsid w:val="2D656112"/>
    <w:rsid w:val="2D664FE8"/>
    <w:rsid w:val="2DA9494B"/>
    <w:rsid w:val="2DD438A6"/>
    <w:rsid w:val="2DE1603E"/>
    <w:rsid w:val="2E163EBF"/>
    <w:rsid w:val="2E8C65BF"/>
    <w:rsid w:val="2E8F7F79"/>
    <w:rsid w:val="2EB07E70"/>
    <w:rsid w:val="2EBF6DB8"/>
    <w:rsid w:val="2EDD58B7"/>
    <w:rsid w:val="2EE37D28"/>
    <w:rsid w:val="2EEE392F"/>
    <w:rsid w:val="2F357489"/>
    <w:rsid w:val="2F361E92"/>
    <w:rsid w:val="2F4B5DEA"/>
    <w:rsid w:val="2F786AA3"/>
    <w:rsid w:val="2FD467C6"/>
    <w:rsid w:val="30391114"/>
    <w:rsid w:val="30420F9B"/>
    <w:rsid w:val="30715AC5"/>
    <w:rsid w:val="30B25AE6"/>
    <w:rsid w:val="30DD2B3D"/>
    <w:rsid w:val="30E97745"/>
    <w:rsid w:val="30FE03AA"/>
    <w:rsid w:val="312206F4"/>
    <w:rsid w:val="3160596F"/>
    <w:rsid w:val="31B43E34"/>
    <w:rsid w:val="31BF71AF"/>
    <w:rsid w:val="31F35861"/>
    <w:rsid w:val="324301B4"/>
    <w:rsid w:val="329A7195"/>
    <w:rsid w:val="32AB5D01"/>
    <w:rsid w:val="331777ED"/>
    <w:rsid w:val="33323692"/>
    <w:rsid w:val="33332E1D"/>
    <w:rsid w:val="3338615B"/>
    <w:rsid w:val="334115B0"/>
    <w:rsid w:val="3341553A"/>
    <w:rsid w:val="33787382"/>
    <w:rsid w:val="33794D7E"/>
    <w:rsid w:val="33C36751"/>
    <w:rsid w:val="33C37322"/>
    <w:rsid w:val="34484BF8"/>
    <w:rsid w:val="350902DA"/>
    <w:rsid w:val="351419CA"/>
    <w:rsid w:val="351E1E3C"/>
    <w:rsid w:val="35276885"/>
    <w:rsid w:val="35482E6F"/>
    <w:rsid w:val="35BD3387"/>
    <w:rsid w:val="365B2DB7"/>
    <w:rsid w:val="36E001D7"/>
    <w:rsid w:val="372C02AF"/>
    <w:rsid w:val="3799679C"/>
    <w:rsid w:val="38A918E0"/>
    <w:rsid w:val="38C8225A"/>
    <w:rsid w:val="38CC3F24"/>
    <w:rsid w:val="38D40BFF"/>
    <w:rsid w:val="3915290F"/>
    <w:rsid w:val="391865E4"/>
    <w:rsid w:val="39367CA0"/>
    <w:rsid w:val="399565E0"/>
    <w:rsid w:val="399D7242"/>
    <w:rsid w:val="39B623FE"/>
    <w:rsid w:val="39C77E36"/>
    <w:rsid w:val="3A3B7187"/>
    <w:rsid w:val="3A5B5BB7"/>
    <w:rsid w:val="3A875CB4"/>
    <w:rsid w:val="3AA8495F"/>
    <w:rsid w:val="3AC707FC"/>
    <w:rsid w:val="3ADE63A5"/>
    <w:rsid w:val="3B0F3CFF"/>
    <w:rsid w:val="3B167A46"/>
    <w:rsid w:val="3B2342DB"/>
    <w:rsid w:val="3B530501"/>
    <w:rsid w:val="3B6633E2"/>
    <w:rsid w:val="3B694A1D"/>
    <w:rsid w:val="3B6E0E96"/>
    <w:rsid w:val="3B9A3A13"/>
    <w:rsid w:val="3BC42FA1"/>
    <w:rsid w:val="3BD97B87"/>
    <w:rsid w:val="3BEB4F70"/>
    <w:rsid w:val="3C261771"/>
    <w:rsid w:val="3C634F70"/>
    <w:rsid w:val="3D713BAE"/>
    <w:rsid w:val="3D752E8E"/>
    <w:rsid w:val="3D8E5820"/>
    <w:rsid w:val="3DC900EC"/>
    <w:rsid w:val="3E3378D1"/>
    <w:rsid w:val="3E7D2D2B"/>
    <w:rsid w:val="3EBC63BD"/>
    <w:rsid w:val="3EBF33E7"/>
    <w:rsid w:val="3EFE1347"/>
    <w:rsid w:val="3F1D444F"/>
    <w:rsid w:val="3F426F99"/>
    <w:rsid w:val="3F4C6361"/>
    <w:rsid w:val="3F746048"/>
    <w:rsid w:val="3F760D1C"/>
    <w:rsid w:val="3F927552"/>
    <w:rsid w:val="3FAE1176"/>
    <w:rsid w:val="40310822"/>
    <w:rsid w:val="40346545"/>
    <w:rsid w:val="404F6179"/>
    <w:rsid w:val="406921C6"/>
    <w:rsid w:val="40987BC8"/>
    <w:rsid w:val="40994C08"/>
    <w:rsid w:val="40AF442B"/>
    <w:rsid w:val="40E165A0"/>
    <w:rsid w:val="410F42F1"/>
    <w:rsid w:val="412E33F1"/>
    <w:rsid w:val="41411CA2"/>
    <w:rsid w:val="416D49C7"/>
    <w:rsid w:val="41D86CD3"/>
    <w:rsid w:val="422449A5"/>
    <w:rsid w:val="42AD499A"/>
    <w:rsid w:val="42DC36E1"/>
    <w:rsid w:val="43090F2A"/>
    <w:rsid w:val="432F5C4D"/>
    <w:rsid w:val="436C648D"/>
    <w:rsid w:val="43AA7417"/>
    <w:rsid w:val="43CC4DA1"/>
    <w:rsid w:val="44031453"/>
    <w:rsid w:val="44564BBE"/>
    <w:rsid w:val="44AF0DD3"/>
    <w:rsid w:val="44B71B00"/>
    <w:rsid w:val="453273D9"/>
    <w:rsid w:val="456357E4"/>
    <w:rsid w:val="4574784C"/>
    <w:rsid w:val="457B7BEE"/>
    <w:rsid w:val="4588524B"/>
    <w:rsid w:val="45A100BA"/>
    <w:rsid w:val="45F53630"/>
    <w:rsid w:val="468679DC"/>
    <w:rsid w:val="46C73F51"/>
    <w:rsid w:val="47290367"/>
    <w:rsid w:val="47543636"/>
    <w:rsid w:val="478F28C0"/>
    <w:rsid w:val="47C85DD2"/>
    <w:rsid w:val="47F01CA2"/>
    <w:rsid w:val="481D5A9C"/>
    <w:rsid w:val="48535CA9"/>
    <w:rsid w:val="485633DE"/>
    <w:rsid w:val="48774D07"/>
    <w:rsid w:val="48962379"/>
    <w:rsid w:val="48C560CE"/>
    <w:rsid w:val="48CE7418"/>
    <w:rsid w:val="48FA6D11"/>
    <w:rsid w:val="496D6C89"/>
    <w:rsid w:val="49836818"/>
    <w:rsid w:val="4A2477B5"/>
    <w:rsid w:val="4A62202B"/>
    <w:rsid w:val="4A8943E7"/>
    <w:rsid w:val="4ABD7744"/>
    <w:rsid w:val="4ABE6A00"/>
    <w:rsid w:val="4ADD405F"/>
    <w:rsid w:val="4B0502F5"/>
    <w:rsid w:val="4B223576"/>
    <w:rsid w:val="4B2A13CB"/>
    <w:rsid w:val="4B642CA7"/>
    <w:rsid w:val="4C3222A5"/>
    <w:rsid w:val="4C5D03DC"/>
    <w:rsid w:val="4C8872C9"/>
    <w:rsid w:val="4CC12DA8"/>
    <w:rsid w:val="4CCE79E7"/>
    <w:rsid w:val="4D13189E"/>
    <w:rsid w:val="4D203FBB"/>
    <w:rsid w:val="4D26771A"/>
    <w:rsid w:val="4D3B645B"/>
    <w:rsid w:val="4D695718"/>
    <w:rsid w:val="4D944DB0"/>
    <w:rsid w:val="4DED1332"/>
    <w:rsid w:val="4E1D3A41"/>
    <w:rsid w:val="4E362315"/>
    <w:rsid w:val="4E3F1E70"/>
    <w:rsid w:val="4E4C1829"/>
    <w:rsid w:val="4E8F6650"/>
    <w:rsid w:val="4EAC1FAA"/>
    <w:rsid w:val="4F001632"/>
    <w:rsid w:val="4F3014F0"/>
    <w:rsid w:val="4F4A18CA"/>
    <w:rsid w:val="4F4D3766"/>
    <w:rsid w:val="4F7B372A"/>
    <w:rsid w:val="4FE05C03"/>
    <w:rsid w:val="4FFA4F97"/>
    <w:rsid w:val="502A6275"/>
    <w:rsid w:val="504344F0"/>
    <w:rsid w:val="50510305"/>
    <w:rsid w:val="50A151A7"/>
    <w:rsid w:val="50A62A29"/>
    <w:rsid w:val="50D2081E"/>
    <w:rsid w:val="50F66141"/>
    <w:rsid w:val="510B56EB"/>
    <w:rsid w:val="5119769F"/>
    <w:rsid w:val="523F3135"/>
    <w:rsid w:val="526E4D03"/>
    <w:rsid w:val="52DD3021"/>
    <w:rsid w:val="52F12B07"/>
    <w:rsid w:val="5339476F"/>
    <w:rsid w:val="539636EE"/>
    <w:rsid w:val="53A2642F"/>
    <w:rsid w:val="53C91175"/>
    <w:rsid w:val="53D14F4E"/>
    <w:rsid w:val="5415657A"/>
    <w:rsid w:val="54D67D81"/>
    <w:rsid w:val="54E5006E"/>
    <w:rsid w:val="551A3527"/>
    <w:rsid w:val="551F5819"/>
    <w:rsid w:val="55265AD1"/>
    <w:rsid w:val="55313209"/>
    <w:rsid w:val="558420CD"/>
    <w:rsid w:val="55DA7C45"/>
    <w:rsid w:val="55E572F2"/>
    <w:rsid w:val="560950E0"/>
    <w:rsid w:val="564C4DC1"/>
    <w:rsid w:val="56595538"/>
    <w:rsid w:val="56667593"/>
    <w:rsid w:val="56E33AC2"/>
    <w:rsid w:val="57086E27"/>
    <w:rsid w:val="57193F55"/>
    <w:rsid w:val="574E1328"/>
    <w:rsid w:val="57553F52"/>
    <w:rsid w:val="57677350"/>
    <w:rsid w:val="577C2B2A"/>
    <w:rsid w:val="579A5482"/>
    <w:rsid w:val="57CF68C8"/>
    <w:rsid w:val="58287F4C"/>
    <w:rsid w:val="582B03E3"/>
    <w:rsid w:val="585F008D"/>
    <w:rsid w:val="588D2487"/>
    <w:rsid w:val="58E6255C"/>
    <w:rsid w:val="58EB2CD9"/>
    <w:rsid w:val="598633F7"/>
    <w:rsid w:val="59BD0F30"/>
    <w:rsid w:val="5A2C37AF"/>
    <w:rsid w:val="5AAE05F2"/>
    <w:rsid w:val="5AF00352"/>
    <w:rsid w:val="5AF90BB1"/>
    <w:rsid w:val="5B0A0A26"/>
    <w:rsid w:val="5B353327"/>
    <w:rsid w:val="5B6449A1"/>
    <w:rsid w:val="5C327C53"/>
    <w:rsid w:val="5C4C6B7A"/>
    <w:rsid w:val="5C6E0D96"/>
    <w:rsid w:val="5C715DC7"/>
    <w:rsid w:val="5C9127DF"/>
    <w:rsid w:val="5CFC28FC"/>
    <w:rsid w:val="5D1242C1"/>
    <w:rsid w:val="5D2D6CA6"/>
    <w:rsid w:val="5D3C1C25"/>
    <w:rsid w:val="5D44798B"/>
    <w:rsid w:val="5E190CDE"/>
    <w:rsid w:val="5E59732C"/>
    <w:rsid w:val="5E69018E"/>
    <w:rsid w:val="5E720F33"/>
    <w:rsid w:val="5E8C14B0"/>
    <w:rsid w:val="5EB12A83"/>
    <w:rsid w:val="5EC11774"/>
    <w:rsid w:val="5F16521D"/>
    <w:rsid w:val="5F683B67"/>
    <w:rsid w:val="5F6C47D8"/>
    <w:rsid w:val="5F772160"/>
    <w:rsid w:val="600767E9"/>
    <w:rsid w:val="6028345A"/>
    <w:rsid w:val="60591866"/>
    <w:rsid w:val="608C42BB"/>
    <w:rsid w:val="608D5D6B"/>
    <w:rsid w:val="609133E5"/>
    <w:rsid w:val="60A56859"/>
    <w:rsid w:val="60B07E57"/>
    <w:rsid w:val="60B67A03"/>
    <w:rsid w:val="60CA62C0"/>
    <w:rsid w:val="60E92BEA"/>
    <w:rsid w:val="60F26373"/>
    <w:rsid w:val="611B5F9E"/>
    <w:rsid w:val="61340923"/>
    <w:rsid w:val="616436A0"/>
    <w:rsid w:val="617169D6"/>
    <w:rsid w:val="639754D9"/>
    <w:rsid w:val="63AD1FEB"/>
    <w:rsid w:val="63C30CF3"/>
    <w:rsid w:val="63CA644B"/>
    <w:rsid w:val="64194A1E"/>
    <w:rsid w:val="642026D0"/>
    <w:rsid w:val="64324EF7"/>
    <w:rsid w:val="645C36D2"/>
    <w:rsid w:val="64A24A06"/>
    <w:rsid w:val="64C7624D"/>
    <w:rsid w:val="64CC32C3"/>
    <w:rsid w:val="64E255B3"/>
    <w:rsid w:val="64E95B15"/>
    <w:rsid w:val="65B25B84"/>
    <w:rsid w:val="65BD1637"/>
    <w:rsid w:val="65F76AA7"/>
    <w:rsid w:val="66137AD4"/>
    <w:rsid w:val="664D09C1"/>
    <w:rsid w:val="666F3B91"/>
    <w:rsid w:val="66AA7BE4"/>
    <w:rsid w:val="66CC17E6"/>
    <w:rsid w:val="66D25CFD"/>
    <w:rsid w:val="67A220D0"/>
    <w:rsid w:val="67B112C8"/>
    <w:rsid w:val="6827345C"/>
    <w:rsid w:val="684D7CB5"/>
    <w:rsid w:val="685829DA"/>
    <w:rsid w:val="68752A81"/>
    <w:rsid w:val="68855B2E"/>
    <w:rsid w:val="688B1E3F"/>
    <w:rsid w:val="68916A84"/>
    <w:rsid w:val="68C57CD5"/>
    <w:rsid w:val="68CB31A6"/>
    <w:rsid w:val="6922313D"/>
    <w:rsid w:val="69470DF5"/>
    <w:rsid w:val="699F4A74"/>
    <w:rsid w:val="69A73642"/>
    <w:rsid w:val="6A654A5B"/>
    <w:rsid w:val="6A986857"/>
    <w:rsid w:val="6AC20675"/>
    <w:rsid w:val="6AE263A9"/>
    <w:rsid w:val="6AEA5EDC"/>
    <w:rsid w:val="6AF24D91"/>
    <w:rsid w:val="6B5C045C"/>
    <w:rsid w:val="6BFF2B19"/>
    <w:rsid w:val="6C136D6D"/>
    <w:rsid w:val="6C2912B1"/>
    <w:rsid w:val="6C3E50CB"/>
    <w:rsid w:val="6C7310DF"/>
    <w:rsid w:val="6CC77E10"/>
    <w:rsid w:val="6D360F25"/>
    <w:rsid w:val="6D602485"/>
    <w:rsid w:val="6DD66473"/>
    <w:rsid w:val="6E027099"/>
    <w:rsid w:val="6E2B3BC6"/>
    <w:rsid w:val="6E8126B3"/>
    <w:rsid w:val="6E8201DA"/>
    <w:rsid w:val="6EA713DC"/>
    <w:rsid w:val="6EDB66F9"/>
    <w:rsid w:val="6EF61341"/>
    <w:rsid w:val="6F133636"/>
    <w:rsid w:val="6FAD463B"/>
    <w:rsid w:val="6FCF56A0"/>
    <w:rsid w:val="6FF9789D"/>
    <w:rsid w:val="70003A96"/>
    <w:rsid w:val="700B06D0"/>
    <w:rsid w:val="70137154"/>
    <w:rsid w:val="704D3385"/>
    <w:rsid w:val="70CC5136"/>
    <w:rsid w:val="71053301"/>
    <w:rsid w:val="71137F3B"/>
    <w:rsid w:val="711B488C"/>
    <w:rsid w:val="711D1CAB"/>
    <w:rsid w:val="71211F2C"/>
    <w:rsid w:val="712D4484"/>
    <w:rsid w:val="71597917"/>
    <w:rsid w:val="719755A3"/>
    <w:rsid w:val="71B4725F"/>
    <w:rsid w:val="71E03B95"/>
    <w:rsid w:val="722E6457"/>
    <w:rsid w:val="72920E11"/>
    <w:rsid w:val="72FA6ED8"/>
    <w:rsid w:val="739C0DC4"/>
    <w:rsid w:val="739D4BFA"/>
    <w:rsid w:val="73B607C0"/>
    <w:rsid w:val="740009F2"/>
    <w:rsid w:val="74065015"/>
    <w:rsid w:val="74171503"/>
    <w:rsid w:val="74C54FE2"/>
    <w:rsid w:val="74CF1C9F"/>
    <w:rsid w:val="74DC333B"/>
    <w:rsid w:val="75720782"/>
    <w:rsid w:val="75817C14"/>
    <w:rsid w:val="76200A04"/>
    <w:rsid w:val="762C0CD0"/>
    <w:rsid w:val="767204CB"/>
    <w:rsid w:val="76B4114C"/>
    <w:rsid w:val="76B80C3C"/>
    <w:rsid w:val="77404A94"/>
    <w:rsid w:val="774424D0"/>
    <w:rsid w:val="77C71549"/>
    <w:rsid w:val="77DB5334"/>
    <w:rsid w:val="77F04406"/>
    <w:rsid w:val="77F47FCB"/>
    <w:rsid w:val="788117C5"/>
    <w:rsid w:val="78BD078C"/>
    <w:rsid w:val="78EC2E1F"/>
    <w:rsid w:val="790B7F92"/>
    <w:rsid w:val="791A234F"/>
    <w:rsid w:val="79547F39"/>
    <w:rsid w:val="795A080C"/>
    <w:rsid w:val="797D172C"/>
    <w:rsid w:val="79876FAE"/>
    <w:rsid w:val="79BF7246"/>
    <w:rsid w:val="79C253FF"/>
    <w:rsid w:val="79D1089E"/>
    <w:rsid w:val="79EE766A"/>
    <w:rsid w:val="7A2227B6"/>
    <w:rsid w:val="7A344A7E"/>
    <w:rsid w:val="7A6510DB"/>
    <w:rsid w:val="7AA20232"/>
    <w:rsid w:val="7AE61325"/>
    <w:rsid w:val="7AFB559C"/>
    <w:rsid w:val="7B0E11EF"/>
    <w:rsid w:val="7B300C84"/>
    <w:rsid w:val="7B3A32E1"/>
    <w:rsid w:val="7B6C46EB"/>
    <w:rsid w:val="7B7C1134"/>
    <w:rsid w:val="7BDD3A11"/>
    <w:rsid w:val="7C232FFC"/>
    <w:rsid w:val="7C3B0F6A"/>
    <w:rsid w:val="7C4B4C94"/>
    <w:rsid w:val="7C52568F"/>
    <w:rsid w:val="7C5D7378"/>
    <w:rsid w:val="7CE621D7"/>
    <w:rsid w:val="7CF97C1F"/>
    <w:rsid w:val="7D1F7C67"/>
    <w:rsid w:val="7D2126F4"/>
    <w:rsid w:val="7D3D1E9B"/>
    <w:rsid w:val="7D3E79C1"/>
    <w:rsid w:val="7D7F7FF2"/>
    <w:rsid w:val="7DB776D4"/>
    <w:rsid w:val="7DE65F06"/>
    <w:rsid w:val="7E3E5366"/>
    <w:rsid w:val="7E5504AB"/>
    <w:rsid w:val="7E586012"/>
    <w:rsid w:val="7E5F7AE4"/>
    <w:rsid w:val="7E7B1D6D"/>
    <w:rsid w:val="7E8345C7"/>
    <w:rsid w:val="7E8A391C"/>
    <w:rsid w:val="7EC631ED"/>
    <w:rsid w:val="7EE56A07"/>
    <w:rsid w:val="7F187F7F"/>
    <w:rsid w:val="7F2174D8"/>
    <w:rsid w:val="7F921EA0"/>
    <w:rsid w:val="7FD44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54"/>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1"/>
    <w:link w:val="53"/>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5">
    <w:name w:val="heading 4"/>
    <w:basedOn w:val="1"/>
    <w:next w:val="1"/>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6">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8">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style>
  <w:style w:type="paragraph" w:styleId="11">
    <w:name w:val="Normal Indent"/>
    <w:basedOn w:val="1"/>
    <w:qFormat/>
    <w:uiPriority w:val="0"/>
    <w:pPr>
      <w:ind w:firstLine="420" w:firstLineChars="200"/>
    </w:pPr>
  </w:style>
  <w:style w:type="paragraph" w:styleId="12">
    <w:name w:val="index 5"/>
    <w:basedOn w:val="1"/>
    <w:next w:val="1"/>
    <w:qFormat/>
    <w:uiPriority w:val="0"/>
    <w:pPr>
      <w:adjustRightInd w:val="0"/>
      <w:snapToGrid w:val="0"/>
      <w:spacing w:line="360" w:lineRule="auto"/>
      <w:jc w:val="center"/>
    </w:pPr>
    <w:rPr>
      <w:rFonts w:ascii="宋体" w:hAnsi="宋体" w:eastAsia="宋体" w:cs="宋体"/>
      <w:bCs/>
      <w:kern w:val="0"/>
      <w:szCs w:val="21"/>
    </w:rPr>
  </w:style>
  <w:style w:type="paragraph" w:styleId="13">
    <w:name w:val="annotation text"/>
    <w:basedOn w:val="1"/>
    <w:qFormat/>
    <w:uiPriority w:val="0"/>
    <w:pPr>
      <w:jc w:val="left"/>
    </w:pPr>
  </w:style>
  <w:style w:type="paragraph" w:styleId="14">
    <w:name w:val="Body Text"/>
    <w:basedOn w:val="1"/>
    <w:next w:val="15"/>
    <w:qFormat/>
    <w:uiPriority w:val="99"/>
    <w:rPr>
      <w:rFonts w:eastAsia="楷体_GB2312"/>
      <w:sz w:val="30"/>
      <w:szCs w:val="30"/>
    </w:rPr>
  </w:style>
  <w:style w:type="paragraph" w:styleId="15">
    <w:name w:val="Date"/>
    <w:basedOn w:val="1"/>
    <w:next w:val="1"/>
    <w:qFormat/>
    <w:uiPriority w:val="99"/>
    <w:rPr>
      <w:sz w:val="24"/>
      <w:szCs w:val="20"/>
    </w:rPr>
  </w:style>
  <w:style w:type="paragraph" w:styleId="16">
    <w:name w:val="Body Text Indent"/>
    <w:basedOn w:val="1"/>
    <w:qFormat/>
    <w:uiPriority w:val="0"/>
    <w:pPr>
      <w:spacing w:after="120"/>
      <w:ind w:left="420" w:leftChars="200"/>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qFormat/>
    <w:uiPriority w:val="0"/>
    <w:rPr>
      <w:rFonts w:ascii="宋体" w:hAnsi="Courier New"/>
    </w:rPr>
  </w:style>
  <w:style w:type="paragraph" w:styleId="20">
    <w:name w:val="toc 8"/>
    <w:basedOn w:val="1"/>
    <w:next w:val="1"/>
    <w:unhideWhenUsed/>
    <w:qFormat/>
    <w:uiPriority w:val="39"/>
    <w:pPr>
      <w:ind w:left="2940" w:leftChars="14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style>
  <w:style w:type="paragraph" w:styleId="25">
    <w:name w:val="Subtitle"/>
    <w:basedOn w:val="1"/>
    <w:next w:val="1"/>
    <w:link w:val="64"/>
    <w:qFormat/>
    <w:uiPriority w:val="0"/>
    <w:pPr>
      <w:spacing w:before="240" w:after="60" w:line="312" w:lineRule="auto"/>
      <w:outlineLvl w:val="1"/>
    </w:pPr>
    <w:rPr>
      <w:rFonts w:ascii="Cambria" w:hAnsi="Cambria"/>
      <w:bCs/>
      <w:kern w:val="28"/>
      <w:sz w:val="32"/>
      <w:szCs w:val="32"/>
    </w:rPr>
  </w:style>
  <w:style w:type="paragraph" w:styleId="26">
    <w:name w:val="toc 6"/>
    <w:basedOn w:val="1"/>
    <w:next w:val="1"/>
    <w:unhideWhenUsed/>
    <w:qFormat/>
    <w:uiPriority w:val="39"/>
    <w:pPr>
      <w:ind w:left="2100" w:leftChars="1000"/>
    </w:p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ind w:left="3360" w:leftChars="1600"/>
    </w:pPr>
  </w:style>
  <w:style w:type="paragraph" w:styleId="29">
    <w:name w:val="Body Text 2"/>
    <w:basedOn w:val="1"/>
    <w:qFormat/>
    <w:uiPriority w:val="0"/>
    <w:pPr>
      <w:spacing w:line="340" w:lineRule="exact"/>
      <w:jc w:val="center"/>
    </w:pPr>
    <w:rPr>
      <w:rFonts w:ascii="宋体" w:hAnsi="宋体"/>
      <w:bCs/>
      <w:color w:val="000000"/>
      <w:sz w:val="28"/>
    </w:rPr>
  </w:style>
  <w:style w:type="paragraph" w:styleId="30">
    <w:name w:val="Normal (Web)"/>
    <w:basedOn w:val="1"/>
    <w:qFormat/>
    <w:uiPriority w:val="0"/>
    <w:pPr>
      <w:widowControl/>
      <w:spacing w:beforeAutospacing="1" w:afterAutospacing="1"/>
      <w:jc w:val="left"/>
    </w:pPr>
    <w:rPr>
      <w:rFonts w:hint="eastAsia" w:ascii="宋体" w:hAnsi="宋体"/>
      <w:kern w:val="0"/>
      <w:sz w:val="24"/>
    </w:rPr>
  </w:style>
  <w:style w:type="paragraph" w:styleId="31">
    <w:name w:val="Title"/>
    <w:basedOn w:val="1"/>
    <w:next w:val="1"/>
    <w:link w:val="63"/>
    <w:qFormat/>
    <w:uiPriority w:val="0"/>
    <w:pPr>
      <w:spacing w:before="240" w:after="60"/>
      <w:jc w:val="center"/>
      <w:outlineLvl w:val="0"/>
    </w:pPr>
    <w:rPr>
      <w:rFonts w:ascii="Cambria" w:hAnsi="Cambria" w:cs="Times New Roman"/>
      <w:b/>
      <w:sz w:val="32"/>
      <w:szCs w:val="20"/>
    </w:rPr>
  </w:style>
  <w:style w:type="paragraph" w:styleId="32">
    <w:name w:val="Body Text First Indent"/>
    <w:basedOn w:val="14"/>
    <w:qFormat/>
    <w:uiPriority w:val="0"/>
    <w:pPr>
      <w:spacing w:line="312" w:lineRule="auto"/>
      <w:ind w:firstLine="420"/>
    </w:pPr>
  </w:style>
  <w:style w:type="paragraph" w:styleId="33">
    <w:name w:val="Body Text First Indent 2"/>
    <w:basedOn w:val="16"/>
    <w:next w:val="1"/>
    <w:qFormat/>
    <w:uiPriority w:val="0"/>
    <w:pPr>
      <w:ind w:firstLine="420" w:firstLineChars="200"/>
    </w:pPr>
  </w:style>
  <w:style w:type="table" w:styleId="3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none"/>
    </w:rPr>
  </w:style>
  <w:style w:type="character" w:styleId="40">
    <w:name w:val="Emphasis"/>
    <w:basedOn w:val="36"/>
    <w:qFormat/>
    <w:uiPriority w:val="0"/>
    <w:rPr>
      <w:b/>
    </w:rPr>
  </w:style>
  <w:style w:type="character" w:styleId="41">
    <w:name w:val="HTML Definition"/>
    <w:basedOn w:val="36"/>
    <w:qFormat/>
    <w:uiPriority w:val="0"/>
  </w:style>
  <w:style w:type="character" w:styleId="42">
    <w:name w:val="HTML Typewriter"/>
    <w:basedOn w:val="36"/>
    <w:qFormat/>
    <w:uiPriority w:val="0"/>
    <w:rPr>
      <w:rFonts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99"/>
    <w:rPr>
      <w:color w:val="0000FF"/>
      <w:u w:val="none"/>
    </w:rPr>
  </w:style>
  <w:style w:type="character" w:styleId="46">
    <w:name w:val="HTML Code"/>
    <w:basedOn w:val="36"/>
    <w:qFormat/>
    <w:uiPriority w:val="0"/>
    <w:rPr>
      <w:rFonts w:hint="default" w:ascii="monospace" w:hAnsi="monospace" w:eastAsia="monospace" w:cs="monospace"/>
      <w:sz w:val="20"/>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paragraph" w:customStyle="1" w:styleId="50">
    <w:name w:val="样式 10 磅3111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character" w:customStyle="1" w:styleId="52">
    <w:name w:val="标题 1 字符"/>
    <w:basedOn w:val="36"/>
    <w:link w:val="2"/>
    <w:qFormat/>
    <w:uiPriority w:val="9"/>
    <w:rPr>
      <w:rFonts w:ascii="Calibri" w:hAnsi="Calibri" w:eastAsia="宋体" w:cs="Times New Roman"/>
      <w:b/>
      <w:bCs/>
      <w:kern w:val="44"/>
      <w:sz w:val="32"/>
      <w:szCs w:val="22"/>
      <w:lang w:eastAsia="en-US"/>
    </w:rPr>
  </w:style>
  <w:style w:type="character" w:customStyle="1" w:styleId="53">
    <w:name w:val="标题 3 字符"/>
    <w:link w:val="4"/>
    <w:qFormat/>
    <w:uiPriority w:val="0"/>
    <w:rPr>
      <w:rFonts w:ascii="宋体" w:hAnsi="宋体" w:eastAsia="宋体" w:cs="宋体"/>
      <w:b/>
      <w:bCs/>
      <w:kern w:val="0"/>
      <w:sz w:val="28"/>
      <w:szCs w:val="22"/>
      <w:lang w:eastAsia="en-US"/>
    </w:rPr>
  </w:style>
  <w:style w:type="character" w:customStyle="1" w:styleId="54">
    <w:name w:val="标题 2 字符"/>
    <w:basedOn w:val="36"/>
    <w:link w:val="3"/>
    <w:semiHidden/>
    <w:qFormat/>
    <w:uiPriority w:val="9"/>
    <w:rPr>
      <w:rFonts w:ascii="Arial" w:hAnsi="Arial" w:eastAsia="宋体" w:cs="Times New Roman"/>
      <w:b/>
      <w:bCs/>
      <w:sz w:val="28"/>
      <w:szCs w:val="22"/>
      <w:lang w:val="zh-CN" w:eastAsia="en-US" w:bidi="zh-CN"/>
    </w:rPr>
  </w:style>
  <w:style w:type="paragraph" w:styleId="55">
    <w:name w:val="List Paragraph"/>
    <w:basedOn w:val="1"/>
    <w:qFormat/>
    <w:uiPriority w:val="34"/>
    <w:pPr>
      <w:ind w:firstLine="420" w:firstLineChars="200"/>
    </w:pPr>
    <w:rPr>
      <w:rFonts w:ascii="Calibri" w:hAnsi="Calibri" w:eastAsia="宋体" w:cs="Times New Roman"/>
    </w:rPr>
  </w:style>
  <w:style w:type="paragraph" w:customStyle="1" w:styleId="56">
    <w:name w:val="正文_16"/>
    <w:basedOn w:val="1"/>
    <w:qFormat/>
    <w:uiPriority w:val="0"/>
    <w:pPr>
      <w:widowControl/>
      <w:jc w:val="left"/>
    </w:pPr>
    <w:rPr>
      <w:kern w:val="0"/>
      <w:szCs w:val="21"/>
    </w:rPr>
  </w:style>
  <w:style w:type="paragraph" w:customStyle="1" w:styleId="57">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58">
    <w:name w:val="Header or footer|1"/>
    <w:basedOn w:val="1"/>
    <w:qFormat/>
    <w:uiPriority w:val="0"/>
    <w:rPr>
      <w:sz w:val="28"/>
      <w:szCs w:val="28"/>
      <w:lang w:val="zh-TW" w:eastAsia="zh-TW" w:bidi="zh-TW"/>
    </w:rPr>
  </w:style>
  <w:style w:type="paragraph" w:customStyle="1" w:styleId="59">
    <w:name w:val="zhang"/>
    <w:basedOn w:val="1"/>
    <w:qFormat/>
    <w:uiPriority w:val="0"/>
    <w:pPr>
      <w:spacing w:beforeAutospacing="1" w:afterAutospacing="1"/>
    </w:pPr>
    <w:rPr>
      <w:bCs/>
      <w:smallCaps/>
      <w:color w:val="000000"/>
      <w:sz w:val="20"/>
      <w:szCs w:val="20"/>
    </w:rPr>
  </w:style>
  <w:style w:type="paragraph" w:customStyle="1" w:styleId="60">
    <w:name w:val="目录标题"/>
    <w:basedOn w:val="2"/>
    <w:next w:val="1"/>
    <w:qFormat/>
    <w:uiPriority w:val="0"/>
    <w:pPr>
      <w:tabs>
        <w:tab w:val="left" w:pos="432"/>
      </w:tabs>
      <w:spacing w:line="576" w:lineRule="auto"/>
      <w:jc w:val="both"/>
      <w:outlineLvl w:val="9"/>
    </w:pPr>
  </w:style>
  <w:style w:type="paragraph" w:customStyle="1" w:styleId="61">
    <w:name w:val="p0"/>
    <w:basedOn w:val="1"/>
    <w:qFormat/>
    <w:uiPriority w:val="0"/>
  </w:style>
  <w:style w:type="character" w:customStyle="1" w:styleId="62">
    <w:name w:val="15"/>
    <w:qFormat/>
    <w:uiPriority w:val="0"/>
    <w:rPr>
      <w:rFonts w:hint="default" w:ascii="Times New Roman" w:hAnsi="Times New Roman" w:cs="Times New Roman"/>
      <w:color w:val="464445"/>
      <w:u w:val="none"/>
    </w:rPr>
  </w:style>
  <w:style w:type="character" w:customStyle="1" w:styleId="63">
    <w:name w:val="标题 字符"/>
    <w:link w:val="31"/>
    <w:qFormat/>
    <w:uiPriority w:val="0"/>
    <w:rPr>
      <w:rFonts w:ascii="Cambria" w:hAnsi="Cambria" w:cs="Times New Roman"/>
      <w:b/>
      <w:sz w:val="32"/>
      <w:szCs w:val="20"/>
    </w:rPr>
  </w:style>
  <w:style w:type="character" w:customStyle="1" w:styleId="64">
    <w:name w:val="副标题 字符"/>
    <w:link w:val="25"/>
    <w:qFormat/>
    <w:uiPriority w:val="0"/>
    <w:rPr>
      <w:rFonts w:ascii="Cambria" w:hAnsi="Cambria"/>
      <w:bCs/>
      <w:kern w:val="28"/>
      <w:sz w:val="32"/>
      <w:szCs w:val="32"/>
    </w:rPr>
  </w:style>
  <w:style w:type="paragraph" w:customStyle="1" w:styleId="65">
    <w:name w:val="彩色列表 - 强调文字颜色 11"/>
    <w:basedOn w:val="1"/>
    <w:qFormat/>
    <w:uiPriority w:val="34"/>
    <w:pPr>
      <w:ind w:firstLine="420" w:firstLineChars="200"/>
    </w:pPr>
    <w:rPr>
      <w:rFonts w:ascii="Calibri" w:hAnsi="Calibri" w:eastAsia="宋体" w:cs="Times New Roman"/>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7">
    <w:name w:val="fontstrikethrough"/>
    <w:basedOn w:val="36"/>
    <w:qFormat/>
    <w:uiPriority w:val="0"/>
    <w:rPr>
      <w:strike/>
    </w:rPr>
  </w:style>
  <w:style w:type="character" w:customStyle="1" w:styleId="68">
    <w:name w:val="fontborder"/>
    <w:basedOn w:val="36"/>
    <w:qFormat/>
    <w:uiPriority w:val="0"/>
    <w:rPr>
      <w:bdr w:val="single" w:color="000000" w:sz="6" w:space="0"/>
    </w:rPr>
  </w:style>
  <w:style w:type="paragraph" w:customStyle="1" w:styleId="69">
    <w:name w:val="Table Paragraph"/>
    <w:basedOn w:val="1"/>
    <w:qFormat/>
    <w:uiPriority w:val="1"/>
  </w:style>
  <w:style w:type="table" w:customStyle="1" w:styleId="70">
    <w:name w:val="Table Normal"/>
    <w:semiHidden/>
    <w:unhideWhenUsed/>
    <w:qFormat/>
    <w:uiPriority w:val="2"/>
    <w:tblPr>
      <w:tblCellMar>
        <w:top w:w="0" w:type="dxa"/>
        <w:left w:w="0" w:type="dxa"/>
        <w:bottom w:w="0" w:type="dxa"/>
        <w:right w:w="0" w:type="dxa"/>
      </w:tblCellMar>
    </w:tblPr>
  </w:style>
  <w:style w:type="paragraph" w:customStyle="1" w:styleId="71">
    <w:name w:val="标题 31"/>
    <w:basedOn w:val="1"/>
    <w:qFormat/>
    <w:uiPriority w:val="1"/>
    <w:pPr>
      <w:spacing w:before="58"/>
      <w:outlineLvl w:val="3"/>
    </w:pPr>
    <w:rPr>
      <w:b/>
      <w:bCs/>
      <w:sz w:val="30"/>
      <w:szCs w:val="30"/>
    </w:rPr>
  </w:style>
  <w:style w:type="paragraph" w:customStyle="1" w:styleId="7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3">
    <w:name w:val="首行缩进"/>
    <w:basedOn w:val="1"/>
    <w:qFormat/>
    <w:uiPriority w:val="0"/>
    <w:pPr>
      <w:spacing w:line="360" w:lineRule="auto"/>
      <w:ind w:firstLine="480" w:firstLineChars="200"/>
    </w:pPr>
    <w:rPr>
      <w:rFonts w:ascii="Calibri" w:hAnsi="Calibri" w:eastAsia="宋体" w:cs="Times New Roman"/>
      <w:sz w:val="24"/>
      <w:lang w:val="zh-CN"/>
    </w:rPr>
  </w:style>
  <w:style w:type="paragraph" w:customStyle="1" w:styleId="74">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75">
    <w:name w:val="font21"/>
    <w:basedOn w:val="36"/>
    <w:qFormat/>
    <w:uiPriority w:val="0"/>
    <w:rPr>
      <w:rFonts w:hint="eastAsia" w:ascii="宋体" w:hAnsi="宋体" w:eastAsia="宋体" w:cs="宋体"/>
      <w:color w:val="000000"/>
      <w:sz w:val="24"/>
      <w:szCs w:val="24"/>
      <w:u w:val="none"/>
    </w:rPr>
  </w:style>
  <w:style w:type="character" w:customStyle="1" w:styleId="76">
    <w:name w:val="font31"/>
    <w:basedOn w:val="36"/>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4"/>
    <customShpInfo spid="_x0000_s1031"/>
    <customShpInfo spid="_x0000_s1029"/>
    <customShpInfo spid="_x0000_s1033"/>
    <customShpInfo spid="_x0000_s1030"/>
    <customShpInfo spid="_x0000_s1028"/>
    <customShpInfo spid="_x0000_s1032"/>
    <customShpInfo spid="_x0000_s1036" textRotate="1"/>
    <customShpInfo spid="_x0000_s1037" textRotate="1"/>
    <customShpInfo spid="_x0000_s2054"/>
    <customShpInfo spid="_x0000_s2053"/>
    <customShpInfo spid="_x0000_s2052"/>
    <customShpInfo spid="_x0000_s2051"/>
    <customShpInfo spid="_x0000_s205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2725</Words>
  <Characters>3083</Characters>
  <Lines>226</Lines>
  <Paragraphs>63</Paragraphs>
  <TotalTime>93</TotalTime>
  <ScaleCrop>false</ScaleCrop>
  <LinksUpToDate>false</LinksUpToDate>
  <CharactersWithSpaces>3120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2020-11-05T01:10:00Z</dcterms:created>
  <dc:creator></dc:creator>
  <cp:lastModifiedBy>白小白</cp:lastModifiedBy>
  <cp:lastPrinted>2023-03-20T06:57:00Z</cp:lastPrinted>
  <dcterms:modified xsi:type="dcterms:W3CDTF">2025-01-09T02:01:43Z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EBB854595DCF41F7B89182902E6859AB</vt:lpwstr>
  </property>
  <property fmtid="{D5CDD505-2E9C-101B-9397-08002B2CF9AE}" pid="4" name="KSOTemplateDocerSaveRecord">
    <vt:lpwstr>eyJoZGlkIjoiYmRhZTY2OTg0ZDhhMmNmODRhMWFiYjk2NWUwNjEzMWMiLCJ1c2VySWQiOiIzNDQxNTk5NjAifQ==</vt:lpwstr>
  </property>
</Properties>
</file>