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141"/>
        <w:jc w:val="center"/>
        <w:rPr>
          <w:rFonts w:hAnsi="宋体"/>
          <w:b/>
          <w:bCs/>
          <w:color w:val="auto"/>
          <w:sz w:val="72"/>
          <w:szCs w:val="72"/>
          <w:highlight w:val="none"/>
        </w:rPr>
      </w:pPr>
      <w:bookmarkStart w:id="0" w:name="_Toc12144"/>
      <w:bookmarkStart w:id="1" w:name="_Toc17774"/>
      <w:bookmarkStart w:id="2" w:name="_Toc14534"/>
      <w:bookmarkStart w:id="3" w:name="_Toc22604"/>
      <w:bookmarkStart w:id="90" w:name="_GoBack"/>
    </w:p>
    <w:p>
      <w:pPr>
        <w:pStyle w:val="141"/>
        <w:jc w:val="center"/>
        <w:rPr>
          <w:rFonts w:hint="eastAsia" w:hAnsi="宋体"/>
          <w:b/>
          <w:bCs/>
          <w:color w:val="auto"/>
          <w:sz w:val="48"/>
          <w:szCs w:val="48"/>
          <w:highlight w:val="none"/>
          <w:lang w:val="en-US" w:eastAsia="zh-CN"/>
        </w:rPr>
      </w:pPr>
      <w:r>
        <w:rPr>
          <w:rFonts w:hint="eastAsia" w:hAnsi="宋体"/>
          <w:b/>
          <w:bCs/>
          <w:color w:val="auto"/>
          <w:sz w:val="48"/>
          <w:szCs w:val="48"/>
          <w:highlight w:val="none"/>
          <w:lang w:val="en-US" w:eastAsia="zh-CN"/>
        </w:rPr>
        <w:t>2024长春消夏艺术节开幕式主场系列活动</w:t>
      </w:r>
    </w:p>
    <w:p>
      <w:pPr>
        <w:pStyle w:val="141"/>
        <w:jc w:val="center"/>
        <w:rPr>
          <w:rFonts w:hAnsi="宋体"/>
          <w:color w:val="auto"/>
          <w:highlight w:val="none"/>
        </w:rPr>
      </w:pPr>
    </w:p>
    <w:p>
      <w:pPr>
        <w:pStyle w:val="141"/>
        <w:jc w:val="both"/>
        <w:rPr>
          <w:rFonts w:hAnsi="宋体"/>
          <w:color w:val="auto"/>
          <w:highlight w:val="none"/>
        </w:rPr>
      </w:pPr>
    </w:p>
    <w:p>
      <w:pPr>
        <w:pStyle w:val="141"/>
        <w:jc w:val="center"/>
        <w:rPr>
          <w:rFonts w:hAnsi="宋体"/>
          <w:color w:val="auto"/>
          <w:highlight w:val="none"/>
        </w:rPr>
      </w:pPr>
    </w:p>
    <w:p>
      <w:pPr>
        <w:pStyle w:val="141"/>
        <w:jc w:val="center"/>
        <w:rPr>
          <w:rFonts w:hAnsi="宋体"/>
          <w:b/>
          <w:bCs/>
          <w:color w:val="auto"/>
          <w:sz w:val="72"/>
          <w:szCs w:val="72"/>
          <w:highlight w:val="none"/>
        </w:rPr>
      </w:pPr>
    </w:p>
    <w:p>
      <w:pPr>
        <w:pStyle w:val="141"/>
        <w:jc w:val="center"/>
        <w:rPr>
          <w:rFonts w:hAnsi="宋体"/>
          <w:b/>
          <w:bCs/>
          <w:color w:val="auto"/>
          <w:sz w:val="72"/>
          <w:szCs w:val="72"/>
          <w:highlight w:val="none"/>
        </w:rPr>
      </w:pPr>
    </w:p>
    <w:p>
      <w:pPr>
        <w:pStyle w:val="141"/>
        <w:jc w:val="center"/>
        <w:rPr>
          <w:rFonts w:hAnsi="宋体"/>
          <w:b/>
          <w:bCs/>
          <w:color w:val="auto"/>
          <w:sz w:val="96"/>
          <w:szCs w:val="96"/>
          <w:highlight w:val="none"/>
        </w:rPr>
      </w:pPr>
      <w:r>
        <w:rPr>
          <w:rFonts w:hint="eastAsia" w:hAnsi="宋体"/>
          <w:b/>
          <w:bCs/>
          <w:color w:val="auto"/>
          <w:sz w:val="72"/>
          <w:szCs w:val="72"/>
          <w:highlight w:val="none"/>
        </w:rPr>
        <w:t>竞争性磋商文件</w:t>
      </w:r>
    </w:p>
    <w:p>
      <w:pPr>
        <w:pStyle w:val="141"/>
        <w:jc w:val="both"/>
        <w:rPr>
          <w:rFonts w:hAnsi="宋体"/>
          <w:color w:val="auto"/>
          <w:sz w:val="18"/>
          <w:szCs w:val="18"/>
          <w:highlight w:val="none"/>
        </w:rPr>
      </w:pPr>
    </w:p>
    <w:p>
      <w:pPr>
        <w:pStyle w:val="141"/>
        <w:jc w:val="center"/>
        <w:rPr>
          <w:rFonts w:hAnsi="宋体"/>
          <w:color w:val="auto"/>
          <w:sz w:val="40"/>
          <w:szCs w:val="40"/>
          <w:highlight w:val="none"/>
        </w:rPr>
      </w:pPr>
    </w:p>
    <w:p>
      <w:pPr>
        <w:pStyle w:val="141"/>
        <w:jc w:val="center"/>
        <w:rPr>
          <w:rFonts w:hint="default"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采购</w:t>
      </w:r>
      <w:r>
        <w:rPr>
          <w:rFonts w:hint="eastAsia" w:ascii="宋体" w:hAnsi="宋体" w:eastAsia="宋体" w:cs="宋体"/>
          <w:b/>
          <w:bCs/>
          <w:color w:val="auto"/>
          <w:sz w:val="28"/>
          <w:szCs w:val="28"/>
          <w:highlight w:val="none"/>
          <w:lang w:val="zh-CN" w:eastAsia="zh-CN"/>
        </w:rPr>
        <w:t>项目编号</w:t>
      </w:r>
      <w:r>
        <w:rPr>
          <w:rFonts w:hint="eastAsia" w:ascii="宋体" w:hAnsi="宋体" w:eastAsia="宋体" w:cs="宋体"/>
          <w:b/>
          <w:bCs/>
          <w:color w:val="auto"/>
          <w:sz w:val="28"/>
          <w:szCs w:val="28"/>
          <w:highlight w:val="none"/>
          <w:lang w:val="en-US" w:eastAsia="zh-CN"/>
        </w:rPr>
        <w:t>：JM-2024-06-00661（CCZR2024-007）</w:t>
      </w:r>
    </w:p>
    <w:p>
      <w:pPr>
        <w:pStyle w:val="141"/>
        <w:jc w:val="center"/>
        <w:rPr>
          <w:rFonts w:hAnsi="宋体"/>
          <w:color w:val="auto"/>
          <w:sz w:val="20"/>
          <w:highlight w:val="none"/>
        </w:rPr>
      </w:pPr>
    </w:p>
    <w:p>
      <w:pPr>
        <w:pStyle w:val="141"/>
        <w:jc w:val="center"/>
        <w:rPr>
          <w:rFonts w:hAnsi="宋体"/>
          <w:color w:val="auto"/>
          <w:sz w:val="20"/>
          <w:highlight w:val="none"/>
        </w:rPr>
      </w:pPr>
    </w:p>
    <w:p>
      <w:pPr>
        <w:pStyle w:val="141"/>
        <w:jc w:val="center"/>
        <w:rPr>
          <w:rFonts w:hAnsi="宋体"/>
          <w:color w:val="auto"/>
          <w:sz w:val="20"/>
          <w:highlight w:val="none"/>
        </w:rPr>
      </w:pPr>
    </w:p>
    <w:p>
      <w:pPr>
        <w:pStyle w:val="141"/>
        <w:jc w:val="center"/>
        <w:rPr>
          <w:rFonts w:hAnsi="宋体"/>
          <w:color w:val="auto"/>
          <w:sz w:val="20"/>
          <w:highlight w:val="none"/>
        </w:rPr>
      </w:pPr>
    </w:p>
    <w:p>
      <w:pPr>
        <w:pStyle w:val="141"/>
        <w:jc w:val="center"/>
        <w:rPr>
          <w:rFonts w:hAnsi="宋体"/>
          <w:color w:val="auto"/>
          <w:sz w:val="20"/>
          <w:highlight w:val="none"/>
        </w:rPr>
      </w:pPr>
    </w:p>
    <w:p>
      <w:pPr>
        <w:pStyle w:val="141"/>
        <w:jc w:val="both"/>
        <w:rPr>
          <w:rFonts w:hAnsi="宋体"/>
          <w:color w:val="auto"/>
          <w:sz w:val="20"/>
          <w:highlight w:val="none"/>
        </w:rPr>
      </w:pPr>
    </w:p>
    <w:p>
      <w:pPr>
        <w:pStyle w:val="141"/>
        <w:jc w:val="center"/>
        <w:rPr>
          <w:rFonts w:hAnsi="宋体"/>
          <w:color w:val="auto"/>
          <w:sz w:val="20"/>
          <w:highlight w:val="none"/>
        </w:rPr>
      </w:pPr>
    </w:p>
    <w:p>
      <w:pPr>
        <w:pStyle w:val="141"/>
        <w:jc w:val="center"/>
        <w:rPr>
          <w:rFonts w:hAnsi="宋体"/>
          <w:color w:val="auto"/>
          <w:sz w:val="20"/>
          <w:highlight w:val="none"/>
        </w:rPr>
      </w:pPr>
    </w:p>
    <w:p>
      <w:pPr>
        <w:pStyle w:val="141"/>
        <w:jc w:val="center"/>
        <w:rPr>
          <w:rFonts w:hAnsi="宋体"/>
          <w:color w:val="auto"/>
          <w:sz w:val="20"/>
          <w:highlight w:val="none"/>
        </w:rPr>
      </w:pPr>
    </w:p>
    <w:p>
      <w:pPr>
        <w:pStyle w:val="141"/>
        <w:jc w:val="both"/>
        <w:rPr>
          <w:rFonts w:hAnsi="宋体"/>
          <w:color w:val="auto"/>
          <w:sz w:val="20"/>
          <w:highlight w:val="none"/>
        </w:rPr>
      </w:pPr>
    </w:p>
    <w:p>
      <w:pPr>
        <w:pStyle w:val="141"/>
        <w:jc w:val="center"/>
        <w:rPr>
          <w:rFonts w:hAnsi="宋体"/>
          <w:color w:val="auto"/>
          <w:sz w:val="20"/>
          <w:highlight w:val="none"/>
        </w:rPr>
      </w:pPr>
    </w:p>
    <w:p>
      <w:pPr>
        <w:pStyle w:val="141"/>
        <w:jc w:val="both"/>
        <w:rPr>
          <w:rFonts w:hAnsi="宋体"/>
          <w:color w:val="auto"/>
          <w:sz w:val="20"/>
          <w:highlight w:val="none"/>
        </w:rPr>
      </w:pPr>
    </w:p>
    <w:p>
      <w:pPr>
        <w:pStyle w:val="141"/>
        <w:jc w:val="center"/>
        <w:rPr>
          <w:rFonts w:hAnsi="宋体"/>
          <w:color w:val="auto"/>
          <w:sz w:val="20"/>
          <w:highlight w:val="none"/>
        </w:rPr>
      </w:pPr>
    </w:p>
    <w:p>
      <w:pPr>
        <w:pStyle w:val="141"/>
        <w:ind w:firstLine="904" w:firstLineChars="300"/>
        <w:jc w:val="both"/>
        <w:rPr>
          <w:rFonts w:hint="eastAsia" w:hAnsi="宋体" w:eastAsia="宋体"/>
          <w:b/>
          <w:color w:val="auto"/>
          <w:sz w:val="30"/>
          <w:szCs w:val="30"/>
          <w:highlight w:val="none"/>
          <w:lang w:eastAsia="zh-CN"/>
        </w:rPr>
      </w:pPr>
      <w:r>
        <w:rPr>
          <w:rFonts w:hint="eastAsia" w:hAnsi="宋体"/>
          <w:b/>
          <w:color w:val="auto"/>
          <w:sz w:val="30"/>
          <w:szCs w:val="30"/>
          <w:highlight w:val="none"/>
        </w:rPr>
        <w:t>采    购   人：</w:t>
      </w:r>
      <w:r>
        <w:rPr>
          <w:rFonts w:hint="eastAsia" w:hAnsi="宋体"/>
          <w:b/>
          <w:color w:val="auto"/>
          <w:sz w:val="30"/>
          <w:szCs w:val="30"/>
          <w:highlight w:val="none"/>
          <w:lang w:eastAsia="zh-CN"/>
        </w:rPr>
        <w:t>长春市文化广播电视和旅游局（长春市文物局）</w:t>
      </w:r>
    </w:p>
    <w:p>
      <w:pPr>
        <w:pStyle w:val="141"/>
        <w:jc w:val="center"/>
        <w:rPr>
          <w:rFonts w:hAnsi="宋体"/>
          <w:b/>
          <w:bCs/>
          <w:color w:val="auto"/>
          <w:sz w:val="32"/>
          <w:szCs w:val="44"/>
          <w:highlight w:val="none"/>
        </w:rPr>
      </w:pPr>
    </w:p>
    <w:p>
      <w:pPr>
        <w:pStyle w:val="141"/>
        <w:ind w:firstLine="964" w:firstLineChars="300"/>
        <w:jc w:val="both"/>
        <w:rPr>
          <w:rFonts w:hAnsi="宋体"/>
          <w:b/>
          <w:bCs/>
          <w:color w:val="auto"/>
          <w:sz w:val="32"/>
          <w:szCs w:val="44"/>
          <w:highlight w:val="none"/>
        </w:rPr>
      </w:pPr>
      <w:r>
        <w:rPr>
          <w:rFonts w:hint="eastAsia" w:hAnsi="宋体"/>
          <w:b/>
          <w:bCs/>
          <w:color w:val="auto"/>
          <w:sz w:val="32"/>
          <w:szCs w:val="44"/>
          <w:highlight w:val="none"/>
        </w:rPr>
        <w:t>采购代理机构：</w:t>
      </w:r>
      <w:r>
        <w:rPr>
          <w:rFonts w:hint="eastAsia" w:hAnsi="宋体"/>
          <w:b/>
          <w:bCs/>
          <w:color w:val="auto"/>
          <w:sz w:val="32"/>
          <w:szCs w:val="44"/>
          <w:highlight w:val="none"/>
          <w:lang w:val="en-US" w:eastAsia="zh-CN"/>
        </w:rPr>
        <w:t>长春中融工程项目管理咨询有限公司</w:t>
      </w:r>
    </w:p>
    <w:p>
      <w:pPr>
        <w:pStyle w:val="141"/>
        <w:jc w:val="center"/>
        <w:rPr>
          <w:rFonts w:hAnsi="宋体"/>
          <w:b/>
          <w:bCs/>
          <w:color w:val="auto"/>
          <w:sz w:val="32"/>
          <w:szCs w:val="44"/>
          <w:highlight w:val="none"/>
        </w:rPr>
      </w:pPr>
    </w:p>
    <w:p>
      <w:pPr>
        <w:pStyle w:val="141"/>
        <w:jc w:val="center"/>
        <w:rPr>
          <w:rFonts w:hAnsi="宋体"/>
          <w:b/>
          <w:bCs/>
          <w:color w:val="auto"/>
          <w:sz w:val="32"/>
          <w:szCs w:val="44"/>
          <w:highlight w:val="none"/>
        </w:rPr>
      </w:pPr>
      <w:r>
        <w:rPr>
          <w:rFonts w:hint="eastAsia" w:hAnsi="宋体"/>
          <w:b/>
          <w:bCs/>
          <w:color w:val="auto"/>
          <w:spacing w:val="40"/>
          <w:sz w:val="32"/>
          <w:szCs w:val="44"/>
          <w:highlight w:val="none"/>
        </w:rPr>
        <w:t>202</w:t>
      </w:r>
      <w:r>
        <w:rPr>
          <w:rFonts w:hint="eastAsia" w:hAnsi="宋体"/>
          <w:b/>
          <w:bCs/>
          <w:color w:val="auto"/>
          <w:spacing w:val="40"/>
          <w:sz w:val="32"/>
          <w:szCs w:val="44"/>
          <w:highlight w:val="none"/>
          <w:lang w:val="en-US" w:eastAsia="zh-CN"/>
        </w:rPr>
        <w:t>4</w:t>
      </w:r>
      <w:r>
        <w:rPr>
          <w:rFonts w:hint="eastAsia" w:hAnsi="宋体"/>
          <w:b/>
          <w:bCs/>
          <w:color w:val="auto"/>
          <w:spacing w:val="40"/>
          <w:sz w:val="32"/>
          <w:szCs w:val="44"/>
          <w:highlight w:val="none"/>
        </w:rPr>
        <w:t>年</w:t>
      </w:r>
      <w:r>
        <w:rPr>
          <w:rFonts w:hint="eastAsia" w:hAnsi="宋体"/>
          <w:b/>
          <w:bCs/>
          <w:color w:val="auto"/>
          <w:spacing w:val="40"/>
          <w:sz w:val="32"/>
          <w:szCs w:val="44"/>
          <w:highlight w:val="none"/>
          <w:lang w:val="en-US" w:eastAsia="zh-CN"/>
        </w:rPr>
        <w:t>06</w:t>
      </w:r>
      <w:r>
        <w:rPr>
          <w:rFonts w:hint="eastAsia" w:hAnsi="宋体"/>
          <w:b/>
          <w:bCs/>
          <w:color w:val="auto"/>
          <w:spacing w:val="40"/>
          <w:sz w:val="32"/>
          <w:szCs w:val="44"/>
          <w:highlight w:val="none"/>
        </w:rPr>
        <w:t>月</w:t>
      </w:r>
    </w:p>
    <w:p>
      <w:pPr>
        <w:pStyle w:val="141"/>
        <w:jc w:val="both"/>
        <w:rPr>
          <w:rFonts w:hAnsi="宋体"/>
          <w:color w:val="auto"/>
          <w:highlight w:val="none"/>
        </w:rPr>
      </w:pPr>
    </w:p>
    <w:p>
      <w:pPr>
        <w:spacing w:line="480" w:lineRule="auto"/>
        <w:rPr>
          <w:rFonts w:ascii="宋体" w:hAnsi="宋体" w:cs="宋体"/>
          <w:b/>
          <w:bCs/>
          <w:color w:val="auto"/>
          <w:sz w:val="32"/>
          <w:szCs w:val="32"/>
          <w:highlight w:val="none"/>
        </w:rPr>
        <w:sectPr>
          <w:footerReference r:id="rId5" w:type="first"/>
          <w:headerReference r:id="rId3" w:type="default"/>
          <w:footerReference r:id="rId4" w:type="default"/>
          <w:pgSz w:w="11905" w:h="16838"/>
          <w:pgMar w:top="1417" w:right="1417" w:bottom="1417" w:left="1417" w:header="850" w:footer="737" w:gutter="0"/>
          <w:pgNumType w:start="1"/>
          <w:cols w:space="720" w:num="1"/>
          <w:docGrid w:linePitch="490" w:charSpace="0"/>
        </w:sectPr>
      </w:pPr>
    </w:p>
    <w:p>
      <w:pPr>
        <w:spacing w:line="480" w:lineRule="auto"/>
        <w:jc w:val="center"/>
        <w:rPr>
          <w:rFonts w:ascii="宋体" w:hAnsi="宋体" w:cs="宋体"/>
          <w:b/>
          <w:bCs/>
          <w:color w:val="auto"/>
          <w:sz w:val="40"/>
          <w:szCs w:val="40"/>
          <w:highlight w:val="none"/>
        </w:rPr>
      </w:pPr>
      <w:r>
        <w:rPr>
          <w:rFonts w:hint="eastAsia" w:ascii="宋体" w:hAnsi="宋体" w:cs="宋体"/>
          <w:b/>
          <w:bCs/>
          <w:color w:val="auto"/>
          <w:sz w:val="40"/>
          <w:szCs w:val="40"/>
          <w:highlight w:val="none"/>
        </w:rPr>
        <w:t>目录</w:t>
      </w:r>
    </w:p>
    <w:p>
      <w:pPr>
        <w:pStyle w:val="32"/>
        <w:keepNext w:val="0"/>
        <w:keepLines w:val="0"/>
        <w:pageBreakBefore w:val="0"/>
        <w:widowControl w:val="0"/>
        <w:tabs>
          <w:tab w:val="right" w:leader="dot" w:pos="9071"/>
        </w:tabs>
        <w:kinsoku/>
        <w:wordWrap/>
        <w:overflowPunct/>
        <w:topLinePunct w:val="0"/>
        <w:bidi w:val="0"/>
        <w:snapToGrid/>
        <w:spacing w:line="480" w:lineRule="auto"/>
        <w:textAlignment w:val="auto"/>
        <w:rPr>
          <w:b/>
          <w:bCs/>
          <w:color w:val="auto"/>
          <w:sz w:val="28"/>
          <w:szCs w:val="24"/>
        </w:rPr>
      </w:pPr>
      <w:r>
        <w:rPr>
          <w:rFonts w:hint="eastAsia" w:ascii="宋体" w:hAnsi="宋体" w:cs="宋体"/>
          <w:b/>
          <w:bCs/>
          <w:color w:val="auto"/>
          <w:sz w:val="28"/>
          <w:szCs w:val="24"/>
          <w:highlight w:val="none"/>
        </w:rPr>
        <w:fldChar w:fldCharType="begin"/>
      </w:r>
      <w:r>
        <w:rPr>
          <w:rFonts w:hint="eastAsia" w:ascii="宋体" w:hAnsi="宋体" w:cs="宋体"/>
          <w:b/>
          <w:bCs/>
          <w:color w:val="auto"/>
          <w:sz w:val="28"/>
          <w:szCs w:val="24"/>
          <w:highlight w:val="none"/>
        </w:rPr>
        <w:instrText xml:space="preserve">TOC \o "1-1" \h \u </w:instrText>
      </w:r>
      <w:r>
        <w:rPr>
          <w:rFonts w:hint="eastAsia" w:ascii="宋体" w:hAnsi="宋体" w:cs="宋体"/>
          <w:b/>
          <w:bCs/>
          <w:color w:val="auto"/>
          <w:sz w:val="28"/>
          <w:szCs w:val="24"/>
          <w:highlight w:val="none"/>
        </w:rPr>
        <w:fldChar w:fldCharType="separate"/>
      </w:r>
      <w:r>
        <w:rPr>
          <w:rFonts w:hint="eastAsia" w:ascii="宋体" w:hAnsi="宋体" w:cs="宋体"/>
          <w:b/>
          <w:bCs/>
          <w:color w:val="auto"/>
          <w:sz w:val="28"/>
          <w:szCs w:val="24"/>
          <w:highlight w:val="none"/>
        </w:rPr>
        <w:fldChar w:fldCharType="begin"/>
      </w:r>
      <w:r>
        <w:rPr>
          <w:rFonts w:hint="eastAsia" w:ascii="宋体" w:hAnsi="宋体" w:cs="宋体"/>
          <w:b/>
          <w:bCs/>
          <w:color w:val="auto"/>
          <w:sz w:val="28"/>
          <w:szCs w:val="24"/>
          <w:highlight w:val="none"/>
        </w:rPr>
        <w:instrText xml:space="preserve"> HYPERLINK \l _Toc9960 </w:instrText>
      </w:r>
      <w:r>
        <w:rPr>
          <w:rFonts w:hint="eastAsia" w:ascii="宋体" w:hAnsi="宋体" w:cs="宋体"/>
          <w:b/>
          <w:bCs/>
          <w:color w:val="auto"/>
          <w:sz w:val="28"/>
          <w:szCs w:val="24"/>
          <w:highlight w:val="none"/>
        </w:rPr>
        <w:fldChar w:fldCharType="separate"/>
      </w:r>
      <w:r>
        <w:rPr>
          <w:rFonts w:hint="eastAsia" w:ascii="宋体" w:hAnsi="宋体" w:cs="宋体"/>
          <w:b/>
          <w:bCs/>
          <w:color w:val="auto"/>
          <w:sz w:val="28"/>
          <w:szCs w:val="52"/>
        </w:rPr>
        <w:t xml:space="preserve">第一章 </w:t>
      </w:r>
      <w:r>
        <w:rPr>
          <w:rFonts w:hint="eastAsia" w:ascii="宋体" w:hAnsi="宋体" w:cs="宋体"/>
          <w:b/>
          <w:bCs/>
          <w:color w:val="auto"/>
          <w:sz w:val="28"/>
          <w:szCs w:val="52"/>
          <w:highlight w:val="none"/>
        </w:rPr>
        <w:t>竞争性磋商公告</w:t>
      </w:r>
      <w:r>
        <w:rPr>
          <w:b/>
          <w:bCs/>
          <w:color w:val="auto"/>
          <w:sz w:val="28"/>
          <w:szCs w:val="24"/>
        </w:rPr>
        <w:tab/>
      </w:r>
      <w:r>
        <w:rPr>
          <w:b/>
          <w:bCs/>
          <w:color w:val="auto"/>
          <w:sz w:val="28"/>
          <w:szCs w:val="24"/>
        </w:rPr>
        <w:fldChar w:fldCharType="begin"/>
      </w:r>
      <w:r>
        <w:rPr>
          <w:b/>
          <w:bCs/>
          <w:color w:val="auto"/>
          <w:sz w:val="28"/>
          <w:szCs w:val="24"/>
        </w:rPr>
        <w:instrText xml:space="preserve"> PAGEREF _Toc9960 \h </w:instrText>
      </w:r>
      <w:r>
        <w:rPr>
          <w:b/>
          <w:bCs/>
          <w:color w:val="auto"/>
          <w:sz w:val="28"/>
          <w:szCs w:val="24"/>
        </w:rPr>
        <w:fldChar w:fldCharType="separate"/>
      </w:r>
      <w:r>
        <w:rPr>
          <w:b/>
          <w:bCs/>
          <w:color w:val="auto"/>
          <w:sz w:val="28"/>
          <w:szCs w:val="24"/>
        </w:rPr>
        <w:t>2</w:t>
      </w:r>
      <w:r>
        <w:rPr>
          <w:b/>
          <w:bCs/>
          <w:color w:val="auto"/>
          <w:sz w:val="28"/>
          <w:szCs w:val="24"/>
        </w:rPr>
        <w:fldChar w:fldCharType="end"/>
      </w:r>
      <w:r>
        <w:rPr>
          <w:rFonts w:hint="eastAsia" w:ascii="宋体" w:hAnsi="宋体" w:cs="宋体"/>
          <w:b/>
          <w:bCs/>
          <w:color w:val="auto"/>
          <w:sz w:val="28"/>
          <w:szCs w:val="24"/>
          <w:highlight w:val="none"/>
        </w:rPr>
        <w:fldChar w:fldCharType="end"/>
      </w:r>
    </w:p>
    <w:p>
      <w:pPr>
        <w:pStyle w:val="32"/>
        <w:keepNext w:val="0"/>
        <w:keepLines w:val="0"/>
        <w:pageBreakBefore w:val="0"/>
        <w:widowControl w:val="0"/>
        <w:tabs>
          <w:tab w:val="right" w:leader="dot" w:pos="9071"/>
        </w:tabs>
        <w:kinsoku/>
        <w:wordWrap/>
        <w:overflowPunct/>
        <w:topLinePunct w:val="0"/>
        <w:bidi w:val="0"/>
        <w:snapToGrid/>
        <w:spacing w:line="480" w:lineRule="auto"/>
        <w:textAlignment w:val="auto"/>
        <w:rPr>
          <w:b/>
          <w:bCs/>
          <w:color w:val="auto"/>
          <w:sz w:val="28"/>
          <w:szCs w:val="24"/>
        </w:rPr>
      </w:pPr>
      <w:r>
        <w:rPr>
          <w:rFonts w:hint="eastAsia" w:hAnsi="宋体"/>
          <w:b/>
          <w:bCs/>
          <w:color w:val="auto"/>
          <w:sz w:val="28"/>
          <w:szCs w:val="24"/>
          <w:highlight w:val="none"/>
        </w:rPr>
        <w:fldChar w:fldCharType="begin"/>
      </w:r>
      <w:r>
        <w:rPr>
          <w:rFonts w:hint="eastAsia" w:hAnsi="宋体"/>
          <w:b/>
          <w:bCs/>
          <w:color w:val="auto"/>
          <w:sz w:val="28"/>
          <w:szCs w:val="24"/>
          <w:highlight w:val="none"/>
        </w:rPr>
        <w:instrText xml:space="preserve"> HYPERLINK \l _Toc20425 </w:instrText>
      </w:r>
      <w:r>
        <w:rPr>
          <w:rFonts w:hint="eastAsia" w:hAnsi="宋体"/>
          <w:b/>
          <w:bCs/>
          <w:color w:val="auto"/>
          <w:sz w:val="28"/>
          <w:szCs w:val="24"/>
          <w:highlight w:val="none"/>
        </w:rPr>
        <w:fldChar w:fldCharType="separate"/>
      </w:r>
      <w:r>
        <w:rPr>
          <w:rFonts w:hint="eastAsia" w:ascii="宋体" w:hAnsi="宋体" w:cs="宋体"/>
          <w:b/>
          <w:bCs/>
          <w:color w:val="auto"/>
          <w:sz w:val="28"/>
          <w:szCs w:val="24"/>
          <w:highlight w:val="none"/>
          <w:lang w:val="zh-CN"/>
        </w:rPr>
        <w:t>第二章 供应商须知</w:t>
      </w:r>
      <w:r>
        <w:rPr>
          <w:b/>
          <w:bCs/>
          <w:color w:val="auto"/>
          <w:sz w:val="28"/>
          <w:szCs w:val="24"/>
        </w:rPr>
        <w:tab/>
      </w:r>
      <w:r>
        <w:rPr>
          <w:b/>
          <w:bCs/>
          <w:color w:val="auto"/>
          <w:sz w:val="28"/>
          <w:szCs w:val="24"/>
        </w:rPr>
        <w:fldChar w:fldCharType="begin"/>
      </w:r>
      <w:r>
        <w:rPr>
          <w:b/>
          <w:bCs/>
          <w:color w:val="auto"/>
          <w:sz w:val="28"/>
          <w:szCs w:val="24"/>
        </w:rPr>
        <w:instrText xml:space="preserve"> PAGEREF _Toc20425 \h </w:instrText>
      </w:r>
      <w:r>
        <w:rPr>
          <w:b/>
          <w:bCs/>
          <w:color w:val="auto"/>
          <w:sz w:val="28"/>
          <w:szCs w:val="24"/>
        </w:rPr>
        <w:fldChar w:fldCharType="separate"/>
      </w:r>
      <w:r>
        <w:rPr>
          <w:b/>
          <w:bCs/>
          <w:color w:val="auto"/>
          <w:sz w:val="28"/>
          <w:szCs w:val="24"/>
        </w:rPr>
        <w:t>5</w:t>
      </w:r>
      <w:r>
        <w:rPr>
          <w:b/>
          <w:bCs/>
          <w:color w:val="auto"/>
          <w:sz w:val="28"/>
          <w:szCs w:val="24"/>
        </w:rPr>
        <w:fldChar w:fldCharType="end"/>
      </w:r>
      <w:r>
        <w:rPr>
          <w:rFonts w:hint="eastAsia" w:hAnsi="宋体"/>
          <w:b/>
          <w:bCs/>
          <w:color w:val="auto"/>
          <w:sz w:val="28"/>
          <w:szCs w:val="24"/>
          <w:highlight w:val="none"/>
        </w:rPr>
        <w:fldChar w:fldCharType="end"/>
      </w:r>
    </w:p>
    <w:p>
      <w:pPr>
        <w:pStyle w:val="32"/>
        <w:keepNext w:val="0"/>
        <w:keepLines w:val="0"/>
        <w:pageBreakBefore w:val="0"/>
        <w:widowControl w:val="0"/>
        <w:tabs>
          <w:tab w:val="right" w:leader="dot" w:pos="9071"/>
        </w:tabs>
        <w:kinsoku/>
        <w:wordWrap/>
        <w:overflowPunct/>
        <w:topLinePunct w:val="0"/>
        <w:bidi w:val="0"/>
        <w:snapToGrid/>
        <w:spacing w:line="480" w:lineRule="auto"/>
        <w:textAlignment w:val="auto"/>
        <w:rPr>
          <w:b/>
          <w:bCs/>
          <w:color w:val="auto"/>
          <w:sz w:val="28"/>
          <w:szCs w:val="24"/>
        </w:rPr>
      </w:pPr>
      <w:r>
        <w:rPr>
          <w:rFonts w:hint="eastAsia" w:hAnsi="宋体"/>
          <w:b/>
          <w:bCs/>
          <w:color w:val="auto"/>
          <w:sz w:val="28"/>
          <w:szCs w:val="24"/>
          <w:highlight w:val="none"/>
        </w:rPr>
        <w:fldChar w:fldCharType="begin"/>
      </w:r>
      <w:r>
        <w:rPr>
          <w:rFonts w:hint="eastAsia" w:hAnsi="宋体"/>
          <w:b/>
          <w:bCs/>
          <w:color w:val="auto"/>
          <w:sz w:val="28"/>
          <w:szCs w:val="24"/>
          <w:highlight w:val="none"/>
        </w:rPr>
        <w:instrText xml:space="preserve"> HYPERLINK \l _Toc30455 </w:instrText>
      </w:r>
      <w:r>
        <w:rPr>
          <w:rFonts w:hint="eastAsia" w:hAnsi="宋体"/>
          <w:b/>
          <w:bCs/>
          <w:color w:val="auto"/>
          <w:sz w:val="28"/>
          <w:szCs w:val="24"/>
          <w:highlight w:val="none"/>
        </w:rPr>
        <w:fldChar w:fldCharType="separate"/>
      </w:r>
      <w:r>
        <w:rPr>
          <w:rFonts w:hint="eastAsia" w:ascii="宋体" w:hAnsi="宋体" w:cs="宋体"/>
          <w:b/>
          <w:bCs/>
          <w:color w:val="auto"/>
          <w:sz w:val="28"/>
          <w:szCs w:val="24"/>
          <w:highlight w:val="none"/>
          <w:lang w:val="zh-CN"/>
        </w:rPr>
        <w:t>第三章 评审办法</w:t>
      </w:r>
      <w:r>
        <w:rPr>
          <w:b/>
          <w:bCs/>
          <w:color w:val="auto"/>
          <w:sz w:val="28"/>
          <w:szCs w:val="24"/>
        </w:rPr>
        <w:tab/>
      </w:r>
      <w:r>
        <w:rPr>
          <w:b/>
          <w:bCs/>
          <w:color w:val="auto"/>
          <w:sz w:val="28"/>
          <w:szCs w:val="24"/>
        </w:rPr>
        <w:fldChar w:fldCharType="begin"/>
      </w:r>
      <w:r>
        <w:rPr>
          <w:b/>
          <w:bCs/>
          <w:color w:val="auto"/>
          <w:sz w:val="28"/>
          <w:szCs w:val="24"/>
        </w:rPr>
        <w:instrText xml:space="preserve"> PAGEREF _Toc30455 \h </w:instrText>
      </w:r>
      <w:r>
        <w:rPr>
          <w:b/>
          <w:bCs/>
          <w:color w:val="auto"/>
          <w:sz w:val="28"/>
          <w:szCs w:val="24"/>
        </w:rPr>
        <w:fldChar w:fldCharType="separate"/>
      </w:r>
      <w:r>
        <w:rPr>
          <w:b/>
          <w:bCs/>
          <w:color w:val="auto"/>
          <w:sz w:val="28"/>
          <w:szCs w:val="24"/>
        </w:rPr>
        <w:t>16</w:t>
      </w:r>
      <w:r>
        <w:rPr>
          <w:b/>
          <w:bCs/>
          <w:color w:val="auto"/>
          <w:sz w:val="28"/>
          <w:szCs w:val="24"/>
        </w:rPr>
        <w:fldChar w:fldCharType="end"/>
      </w:r>
      <w:r>
        <w:rPr>
          <w:rFonts w:hint="eastAsia" w:hAnsi="宋体"/>
          <w:b/>
          <w:bCs/>
          <w:color w:val="auto"/>
          <w:sz w:val="28"/>
          <w:szCs w:val="24"/>
          <w:highlight w:val="none"/>
        </w:rPr>
        <w:fldChar w:fldCharType="end"/>
      </w:r>
    </w:p>
    <w:p>
      <w:pPr>
        <w:pStyle w:val="32"/>
        <w:keepNext w:val="0"/>
        <w:keepLines w:val="0"/>
        <w:pageBreakBefore w:val="0"/>
        <w:widowControl w:val="0"/>
        <w:tabs>
          <w:tab w:val="right" w:leader="dot" w:pos="9071"/>
        </w:tabs>
        <w:kinsoku/>
        <w:wordWrap/>
        <w:overflowPunct/>
        <w:topLinePunct w:val="0"/>
        <w:bidi w:val="0"/>
        <w:snapToGrid/>
        <w:spacing w:line="480" w:lineRule="auto"/>
        <w:textAlignment w:val="auto"/>
        <w:rPr>
          <w:b/>
          <w:bCs/>
          <w:color w:val="auto"/>
          <w:sz w:val="28"/>
          <w:szCs w:val="24"/>
        </w:rPr>
      </w:pPr>
      <w:r>
        <w:rPr>
          <w:rFonts w:hint="eastAsia" w:hAnsi="宋体"/>
          <w:b/>
          <w:bCs/>
          <w:color w:val="auto"/>
          <w:sz w:val="28"/>
          <w:szCs w:val="24"/>
          <w:highlight w:val="none"/>
        </w:rPr>
        <w:fldChar w:fldCharType="begin"/>
      </w:r>
      <w:r>
        <w:rPr>
          <w:rFonts w:hint="eastAsia" w:hAnsi="宋体"/>
          <w:b/>
          <w:bCs/>
          <w:color w:val="auto"/>
          <w:sz w:val="28"/>
          <w:szCs w:val="24"/>
          <w:highlight w:val="none"/>
        </w:rPr>
        <w:instrText xml:space="preserve"> HYPERLINK \l _Toc25240 </w:instrText>
      </w:r>
      <w:r>
        <w:rPr>
          <w:rFonts w:hint="eastAsia" w:hAnsi="宋体"/>
          <w:b/>
          <w:bCs/>
          <w:color w:val="auto"/>
          <w:sz w:val="28"/>
          <w:szCs w:val="24"/>
          <w:highlight w:val="none"/>
        </w:rPr>
        <w:fldChar w:fldCharType="separate"/>
      </w:r>
      <w:r>
        <w:rPr>
          <w:rFonts w:hint="eastAsia" w:ascii="宋体" w:hAnsi="宋体" w:cs="宋体"/>
          <w:b/>
          <w:bCs/>
          <w:color w:val="auto"/>
          <w:kern w:val="2"/>
          <w:sz w:val="28"/>
          <w:szCs w:val="48"/>
        </w:rPr>
        <w:t xml:space="preserve">第四章 </w:t>
      </w:r>
      <w:r>
        <w:rPr>
          <w:rFonts w:hint="eastAsia" w:ascii="宋体" w:hAnsi="宋体" w:cs="宋体"/>
          <w:b/>
          <w:bCs/>
          <w:color w:val="auto"/>
          <w:kern w:val="2"/>
          <w:sz w:val="28"/>
          <w:szCs w:val="48"/>
          <w:highlight w:val="none"/>
        </w:rPr>
        <w:t>合同条款及格式</w:t>
      </w:r>
      <w:r>
        <w:rPr>
          <w:b/>
          <w:bCs/>
          <w:color w:val="auto"/>
          <w:sz w:val="28"/>
          <w:szCs w:val="24"/>
        </w:rPr>
        <w:tab/>
      </w:r>
      <w:r>
        <w:rPr>
          <w:b/>
          <w:bCs/>
          <w:color w:val="auto"/>
          <w:sz w:val="28"/>
          <w:szCs w:val="24"/>
        </w:rPr>
        <w:fldChar w:fldCharType="begin"/>
      </w:r>
      <w:r>
        <w:rPr>
          <w:b/>
          <w:bCs/>
          <w:color w:val="auto"/>
          <w:sz w:val="28"/>
          <w:szCs w:val="24"/>
        </w:rPr>
        <w:instrText xml:space="preserve"> PAGEREF _Toc25240 \h </w:instrText>
      </w:r>
      <w:r>
        <w:rPr>
          <w:b/>
          <w:bCs/>
          <w:color w:val="auto"/>
          <w:sz w:val="28"/>
          <w:szCs w:val="24"/>
        </w:rPr>
        <w:fldChar w:fldCharType="separate"/>
      </w:r>
      <w:r>
        <w:rPr>
          <w:b/>
          <w:bCs/>
          <w:color w:val="auto"/>
          <w:sz w:val="28"/>
          <w:szCs w:val="24"/>
        </w:rPr>
        <w:t>24</w:t>
      </w:r>
      <w:r>
        <w:rPr>
          <w:b/>
          <w:bCs/>
          <w:color w:val="auto"/>
          <w:sz w:val="28"/>
          <w:szCs w:val="24"/>
        </w:rPr>
        <w:fldChar w:fldCharType="end"/>
      </w:r>
      <w:r>
        <w:rPr>
          <w:rFonts w:hint="eastAsia" w:hAnsi="宋体"/>
          <w:b/>
          <w:bCs/>
          <w:color w:val="auto"/>
          <w:sz w:val="28"/>
          <w:szCs w:val="24"/>
          <w:highlight w:val="none"/>
        </w:rPr>
        <w:fldChar w:fldCharType="end"/>
      </w:r>
    </w:p>
    <w:p>
      <w:pPr>
        <w:pStyle w:val="32"/>
        <w:keepNext w:val="0"/>
        <w:keepLines w:val="0"/>
        <w:pageBreakBefore w:val="0"/>
        <w:widowControl w:val="0"/>
        <w:tabs>
          <w:tab w:val="right" w:leader="dot" w:pos="9071"/>
        </w:tabs>
        <w:kinsoku/>
        <w:wordWrap/>
        <w:overflowPunct/>
        <w:topLinePunct w:val="0"/>
        <w:bidi w:val="0"/>
        <w:snapToGrid/>
        <w:spacing w:line="480" w:lineRule="auto"/>
        <w:textAlignment w:val="auto"/>
        <w:rPr>
          <w:b/>
          <w:bCs/>
          <w:color w:val="auto"/>
          <w:sz w:val="28"/>
          <w:szCs w:val="24"/>
        </w:rPr>
      </w:pPr>
      <w:r>
        <w:rPr>
          <w:rFonts w:hint="eastAsia" w:hAnsi="宋体"/>
          <w:b/>
          <w:bCs/>
          <w:color w:val="auto"/>
          <w:sz w:val="28"/>
          <w:szCs w:val="24"/>
          <w:highlight w:val="none"/>
        </w:rPr>
        <w:fldChar w:fldCharType="begin"/>
      </w:r>
      <w:r>
        <w:rPr>
          <w:rFonts w:hint="eastAsia" w:hAnsi="宋体"/>
          <w:b/>
          <w:bCs/>
          <w:color w:val="auto"/>
          <w:sz w:val="28"/>
          <w:szCs w:val="24"/>
          <w:highlight w:val="none"/>
        </w:rPr>
        <w:instrText xml:space="preserve"> HYPERLINK \l _Toc31817 </w:instrText>
      </w:r>
      <w:r>
        <w:rPr>
          <w:rFonts w:hint="eastAsia" w:hAnsi="宋体"/>
          <w:b/>
          <w:bCs/>
          <w:color w:val="auto"/>
          <w:sz w:val="28"/>
          <w:szCs w:val="24"/>
          <w:highlight w:val="none"/>
        </w:rPr>
        <w:fldChar w:fldCharType="separate"/>
      </w:r>
      <w:r>
        <w:rPr>
          <w:rFonts w:hint="eastAsia" w:ascii="宋体" w:hAnsi="宋体" w:cs="宋体"/>
          <w:b/>
          <w:bCs/>
          <w:color w:val="auto"/>
          <w:kern w:val="2"/>
          <w:sz w:val="28"/>
          <w:szCs w:val="48"/>
        </w:rPr>
        <w:t xml:space="preserve">第五章 </w:t>
      </w:r>
      <w:r>
        <w:rPr>
          <w:rFonts w:hint="eastAsia" w:ascii="宋体" w:hAnsi="宋体" w:cs="宋体"/>
          <w:b/>
          <w:bCs/>
          <w:color w:val="auto"/>
          <w:kern w:val="2"/>
          <w:sz w:val="28"/>
          <w:szCs w:val="48"/>
          <w:highlight w:val="none"/>
        </w:rPr>
        <w:t>技术标准及服务需求</w:t>
      </w:r>
      <w:r>
        <w:rPr>
          <w:b/>
          <w:bCs/>
          <w:color w:val="auto"/>
          <w:sz w:val="28"/>
          <w:szCs w:val="24"/>
        </w:rPr>
        <w:tab/>
      </w:r>
      <w:r>
        <w:rPr>
          <w:b/>
          <w:bCs/>
          <w:color w:val="auto"/>
          <w:sz w:val="28"/>
          <w:szCs w:val="24"/>
        </w:rPr>
        <w:fldChar w:fldCharType="begin"/>
      </w:r>
      <w:r>
        <w:rPr>
          <w:b/>
          <w:bCs/>
          <w:color w:val="auto"/>
          <w:sz w:val="28"/>
          <w:szCs w:val="24"/>
        </w:rPr>
        <w:instrText xml:space="preserve"> PAGEREF _Toc31817 \h </w:instrText>
      </w:r>
      <w:r>
        <w:rPr>
          <w:b/>
          <w:bCs/>
          <w:color w:val="auto"/>
          <w:sz w:val="28"/>
          <w:szCs w:val="24"/>
        </w:rPr>
        <w:fldChar w:fldCharType="separate"/>
      </w:r>
      <w:r>
        <w:rPr>
          <w:b/>
          <w:bCs/>
          <w:color w:val="auto"/>
          <w:sz w:val="28"/>
          <w:szCs w:val="24"/>
        </w:rPr>
        <w:t>25</w:t>
      </w:r>
      <w:r>
        <w:rPr>
          <w:b/>
          <w:bCs/>
          <w:color w:val="auto"/>
          <w:sz w:val="28"/>
          <w:szCs w:val="24"/>
        </w:rPr>
        <w:fldChar w:fldCharType="end"/>
      </w:r>
      <w:r>
        <w:rPr>
          <w:rFonts w:hint="eastAsia" w:hAnsi="宋体"/>
          <w:b/>
          <w:bCs/>
          <w:color w:val="auto"/>
          <w:sz w:val="28"/>
          <w:szCs w:val="24"/>
          <w:highlight w:val="none"/>
        </w:rPr>
        <w:fldChar w:fldCharType="end"/>
      </w:r>
    </w:p>
    <w:p>
      <w:pPr>
        <w:pStyle w:val="32"/>
        <w:keepNext w:val="0"/>
        <w:keepLines w:val="0"/>
        <w:pageBreakBefore w:val="0"/>
        <w:widowControl w:val="0"/>
        <w:tabs>
          <w:tab w:val="right" w:leader="dot" w:pos="9071"/>
        </w:tabs>
        <w:kinsoku/>
        <w:wordWrap/>
        <w:overflowPunct/>
        <w:topLinePunct w:val="0"/>
        <w:bidi w:val="0"/>
        <w:snapToGrid/>
        <w:spacing w:line="480" w:lineRule="auto"/>
        <w:textAlignment w:val="auto"/>
        <w:rPr>
          <w:b/>
          <w:bCs/>
          <w:color w:val="auto"/>
          <w:sz w:val="28"/>
          <w:szCs w:val="24"/>
        </w:rPr>
      </w:pPr>
      <w:r>
        <w:rPr>
          <w:rFonts w:hint="eastAsia" w:hAnsi="宋体"/>
          <w:b/>
          <w:bCs/>
          <w:color w:val="auto"/>
          <w:sz w:val="28"/>
          <w:szCs w:val="24"/>
          <w:highlight w:val="none"/>
        </w:rPr>
        <w:fldChar w:fldCharType="begin"/>
      </w:r>
      <w:r>
        <w:rPr>
          <w:rFonts w:hint="eastAsia" w:hAnsi="宋体"/>
          <w:b/>
          <w:bCs/>
          <w:color w:val="auto"/>
          <w:sz w:val="28"/>
          <w:szCs w:val="24"/>
          <w:highlight w:val="none"/>
        </w:rPr>
        <w:instrText xml:space="preserve"> HYPERLINK \l _Toc31498 </w:instrText>
      </w:r>
      <w:r>
        <w:rPr>
          <w:rFonts w:hint="eastAsia" w:hAnsi="宋体"/>
          <w:b/>
          <w:bCs/>
          <w:color w:val="auto"/>
          <w:sz w:val="28"/>
          <w:szCs w:val="24"/>
          <w:highlight w:val="none"/>
        </w:rPr>
        <w:fldChar w:fldCharType="separate"/>
      </w:r>
      <w:r>
        <w:rPr>
          <w:rFonts w:hint="eastAsia" w:ascii="宋体" w:hAnsi="宋体" w:cs="宋体"/>
          <w:b/>
          <w:bCs/>
          <w:color w:val="auto"/>
          <w:sz w:val="28"/>
          <w:szCs w:val="32"/>
          <w:highlight w:val="none"/>
          <w:lang w:val="zh-CN"/>
        </w:rPr>
        <w:t>第六章</w:t>
      </w:r>
      <w:r>
        <w:rPr>
          <w:rFonts w:hint="eastAsia" w:ascii="宋体" w:hAnsi="宋体" w:cs="宋体"/>
          <w:b/>
          <w:bCs/>
          <w:color w:val="auto"/>
          <w:sz w:val="28"/>
          <w:szCs w:val="32"/>
          <w:highlight w:val="none"/>
        </w:rPr>
        <w:t xml:space="preserve"> </w:t>
      </w:r>
      <w:r>
        <w:rPr>
          <w:rFonts w:hint="eastAsia" w:ascii="宋体" w:hAnsi="宋体" w:cs="宋体"/>
          <w:b/>
          <w:bCs/>
          <w:color w:val="auto"/>
          <w:sz w:val="28"/>
          <w:szCs w:val="32"/>
          <w:highlight w:val="none"/>
          <w:lang w:val="zh-CN"/>
        </w:rPr>
        <w:t>响应文件构成、要求及格式</w:t>
      </w:r>
      <w:r>
        <w:rPr>
          <w:b/>
          <w:bCs/>
          <w:color w:val="auto"/>
          <w:sz w:val="28"/>
          <w:szCs w:val="24"/>
        </w:rPr>
        <w:tab/>
      </w:r>
      <w:r>
        <w:rPr>
          <w:b/>
          <w:bCs/>
          <w:color w:val="auto"/>
          <w:sz w:val="28"/>
          <w:szCs w:val="24"/>
        </w:rPr>
        <w:fldChar w:fldCharType="begin"/>
      </w:r>
      <w:r>
        <w:rPr>
          <w:b/>
          <w:bCs/>
          <w:color w:val="auto"/>
          <w:sz w:val="28"/>
          <w:szCs w:val="24"/>
        </w:rPr>
        <w:instrText xml:space="preserve"> PAGEREF _Toc31498 \h </w:instrText>
      </w:r>
      <w:r>
        <w:rPr>
          <w:b/>
          <w:bCs/>
          <w:color w:val="auto"/>
          <w:sz w:val="28"/>
          <w:szCs w:val="24"/>
        </w:rPr>
        <w:fldChar w:fldCharType="separate"/>
      </w:r>
      <w:r>
        <w:rPr>
          <w:b/>
          <w:bCs/>
          <w:color w:val="auto"/>
          <w:sz w:val="28"/>
          <w:szCs w:val="24"/>
        </w:rPr>
        <w:t>29</w:t>
      </w:r>
      <w:r>
        <w:rPr>
          <w:b/>
          <w:bCs/>
          <w:color w:val="auto"/>
          <w:sz w:val="28"/>
          <w:szCs w:val="24"/>
        </w:rPr>
        <w:fldChar w:fldCharType="end"/>
      </w:r>
      <w:r>
        <w:rPr>
          <w:rFonts w:hint="eastAsia" w:hAnsi="宋体"/>
          <w:b/>
          <w:bCs/>
          <w:color w:val="auto"/>
          <w:sz w:val="28"/>
          <w:szCs w:val="24"/>
          <w:highlight w:val="none"/>
        </w:rPr>
        <w:fldChar w:fldCharType="end"/>
      </w:r>
    </w:p>
    <w:p>
      <w:pPr>
        <w:pStyle w:val="141"/>
        <w:keepNext w:val="0"/>
        <w:keepLines w:val="0"/>
        <w:pageBreakBefore w:val="0"/>
        <w:widowControl w:val="0"/>
        <w:kinsoku/>
        <w:wordWrap/>
        <w:overflowPunct/>
        <w:topLinePunct w:val="0"/>
        <w:bidi w:val="0"/>
        <w:snapToGrid/>
        <w:spacing w:line="480" w:lineRule="auto"/>
        <w:textAlignment w:val="auto"/>
        <w:rPr>
          <w:rFonts w:hAnsi="宋体"/>
          <w:color w:val="auto"/>
          <w:highlight w:val="none"/>
        </w:rPr>
      </w:pPr>
      <w:r>
        <w:rPr>
          <w:rFonts w:hint="eastAsia" w:hAnsi="宋体"/>
          <w:b/>
          <w:bCs/>
          <w:color w:val="auto"/>
          <w:sz w:val="36"/>
          <w:szCs w:val="36"/>
          <w:highlight w:val="none"/>
        </w:rPr>
        <w:fldChar w:fldCharType="end"/>
      </w:r>
    </w:p>
    <w:p>
      <w:pPr>
        <w:pStyle w:val="2"/>
        <w:spacing w:after="120" w:line="500" w:lineRule="exact"/>
        <w:rPr>
          <w:rFonts w:ascii="宋体" w:hAnsi="宋体" w:cs="宋体"/>
          <w:color w:val="auto"/>
          <w:highlight w:val="none"/>
        </w:rPr>
        <w:sectPr>
          <w:footerReference r:id="rId6" w:type="default"/>
          <w:pgSz w:w="11905" w:h="16838"/>
          <w:pgMar w:top="1417" w:right="1417" w:bottom="1417" w:left="1417" w:header="850" w:footer="737" w:gutter="0"/>
          <w:pgNumType w:start="1"/>
          <w:cols w:space="720" w:num="1"/>
          <w:docGrid w:linePitch="490" w:charSpace="0"/>
        </w:sectPr>
      </w:pPr>
      <w:bookmarkStart w:id="4" w:name="_Toc29744"/>
    </w:p>
    <w:p>
      <w:pPr>
        <w:pStyle w:val="2"/>
        <w:numPr>
          <w:ilvl w:val="0"/>
          <w:numId w:val="3"/>
        </w:numPr>
        <w:snapToGrid w:val="0"/>
        <w:spacing w:before="0" w:after="0" w:line="360" w:lineRule="auto"/>
        <w:ind w:firstLine="420"/>
        <w:rPr>
          <w:rFonts w:hint="eastAsia" w:ascii="宋体" w:hAnsi="宋体" w:cs="宋体"/>
          <w:color w:val="auto"/>
          <w:sz w:val="40"/>
          <w:szCs w:val="40"/>
          <w:highlight w:val="none"/>
        </w:rPr>
      </w:pPr>
      <w:bookmarkStart w:id="5" w:name="_Toc29475"/>
      <w:bookmarkStart w:id="6" w:name="_Toc13391"/>
      <w:bookmarkStart w:id="7" w:name="_Toc18919"/>
      <w:bookmarkStart w:id="8" w:name="_Toc9960"/>
      <w:r>
        <w:rPr>
          <w:rFonts w:hint="eastAsia" w:ascii="宋体" w:hAnsi="宋体" w:cs="宋体"/>
          <w:color w:val="auto"/>
          <w:sz w:val="40"/>
          <w:szCs w:val="40"/>
          <w:highlight w:val="none"/>
        </w:rPr>
        <w:t>竞争性磋商公告</w:t>
      </w:r>
      <w:bookmarkEnd w:id="0"/>
      <w:bookmarkEnd w:id="1"/>
      <w:bookmarkEnd w:id="2"/>
      <w:bookmarkEnd w:id="3"/>
      <w:bookmarkEnd w:id="4"/>
      <w:bookmarkEnd w:id="5"/>
      <w:bookmarkEnd w:id="6"/>
      <w:bookmarkEnd w:id="7"/>
      <w:bookmarkEnd w:id="8"/>
    </w:p>
    <w:p>
      <w:pPr>
        <w:spacing w:line="360" w:lineRule="auto"/>
        <w:ind w:firstLine="220" w:firstLineChars="1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项目概况</w:t>
      </w:r>
    </w:p>
    <w:p>
      <w:pPr>
        <w:spacing w:line="360" w:lineRule="auto"/>
        <w:ind w:firstLine="660" w:firstLineChars="300"/>
        <w:rPr>
          <w:rFonts w:hAnsi="宋体"/>
          <w:color w:val="auto"/>
          <w:kern w:val="2"/>
          <w:sz w:val="22"/>
          <w:szCs w:val="22"/>
          <w:highlight w:val="none"/>
          <w:lang w:val="en-US"/>
        </w:rPr>
      </w:pPr>
      <w:r>
        <w:rPr>
          <w:rFonts w:hint="eastAsia" w:ascii="宋体" w:hAnsi="宋体" w:cs="宋体"/>
          <w:color w:val="auto"/>
          <w:sz w:val="22"/>
          <w:szCs w:val="22"/>
          <w:highlight w:val="none"/>
        </w:rPr>
        <w:t>2024长春消夏艺术节开幕式主场系列活动的潜在供应商应自行登录政府采购云平台（网址：https://www.zcygov.cn/）网上注册并下载竞争性磋商文件</w:t>
      </w:r>
      <w:r>
        <w:rPr>
          <w:rFonts w:hint="eastAsia" w:ascii="宋体" w:hAnsi="宋体" w:eastAsia="宋体" w:cs="宋体"/>
          <w:color w:val="auto"/>
          <w:sz w:val="22"/>
          <w:szCs w:val="22"/>
          <w:highlight w:val="none"/>
          <w:lang w:val="en-US" w:eastAsia="zh-CN"/>
        </w:rPr>
        <w:t>，并于</w:t>
      </w:r>
      <w:r>
        <w:rPr>
          <w:rFonts w:hint="eastAsia" w:ascii="宋体" w:hAnsi="宋体" w:cs="宋体"/>
          <w:color w:val="auto"/>
          <w:sz w:val="22"/>
          <w:szCs w:val="22"/>
          <w:highlight w:val="none"/>
          <w:lang w:val="en-US" w:eastAsia="zh-CN"/>
        </w:rPr>
        <w:t>2024年07月01日15时00分</w:t>
      </w:r>
      <w:r>
        <w:rPr>
          <w:rFonts w:hint="eastAsia" w:ascii="宋体" w:hAnsi="宋体" w:eastAsia="宋体" w:cs="宋体"/>
          <w:color w:val="auto"/>
          <w:sz w:val="22"/>
          <w:szCs w:val="22"/>
          <w:highlight w:val="none"/>
          <w:lang w:val="en-US" w:eastAsia="zh-CN"/>
        </w:rPr>
        <w:t>（北京时间）前提交响应文件。</w:t>
      </w:r>
    </w:p>
    <w:p>
      <w:pPr>
        <w:pStyle w:val="141"/>
        <w:spacing w:line="400" w:lineRule="exact"/>
        <w:rPr>
          <w:rFonts w:hAnsi="宋体"/>
          <w:b/>
          <w:bCs/>
          <w:color w:val="auto"/>
          <w:kern w:val="2"/>
          <w:sz w:val="22"/>
          <w:szCs w:val="22"/>
          <w:highlight w:val="none"/>
          <w:lang w:val="en-US"/>
        </w:rPr>
      </w:pPr>
      <w:r>
        <w:rPr>
          <w:rFonts w:hint="eastAsia" w:hAnsi="宋体"/>
          <w:b/>
          <w:bCs/>
          <w:color w:val="auto"/>
          <w:kern w:val="2"/>
          <w:sz w:val="22"/>
          <w:szCs w:val="22"/>
          <w:highlight w:val="none"/>
          <w:lang w:eastAsia="zh-CN"/>
        </w:rPr>
        <w:t>一、采购项目基本信息</w:t>
      </w:r>
    </w:p>
    <w:p>
      <w:pPr>
        <w:pStyle w:val="141"/>
        <w:spacing w:line="400" w:lineRule="exact"/>
        <w:ind w:firstLine="440" w:firstLineChars="200"/>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1.采购项目编号：JM-2024-06-00661（CCZR2024-007）</w:t>
      </w:r>
    </w:p>
    <w:p>
      <w:pPr>
        <w:pStyle w:val="141"/>
        <w:spacing w:line="400" w:lineRule="exact"/>
        <w:ind w:firstLine="440" w:firstLineChars="200"/>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2.采购项目名称：2024长春消夏艺术节开幕式主场系列活动</w:t>
      </w:r>
    </w:p>
    <w:p>
      <w:pPr>
        <w:pStyle w:val="141"/>
        <w:spacing w:line="400" w:lineRule="exact"/>
        <w:ind w:firstLine="440" w:firstLineChars="200"/>
        <w:rPr>
          <w:rFonts w:hint="default"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3.项目预算及最高限价：</w:t>
      </w:r>
      <w:r>
        <w:rPr>
          <w:rFonts w:hint="eastAsia" w:hAnsi="宋体" w:cs="宋体"/>
          <w:color w:val="auto"/>
          <w:kern w:val="2"/>
          <w:sz w:val="22"/>
          <w:szCs w:val="22"/>
          <w:highlight w:val="none"/>
          <w:lang w:val="en-US" w:eastAsia="zh-CN" w:bidi="ar-SA"/>
        </w:rPr>
        <w:t>60万</w:t>
      </w:r>
    </w:p>
    <w:p>
      <w:pPr>
        <w:pStyle w:val="141"/>
        <w:spacing w:line="400" w:lineRule="exact"/>
        <w:ind w:firstLine="440" w:firstLineChars="200"/>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4.采购方式：竞争性磋商</w:t>
      </w:r>
    </w:p>
    <w:p>
      <w:pPr>
        <w:pStyle w:val="141"/>
        <w:spacing w:line="400" w:lineRule="exact"/>
        <w:ind w:firstLine="440" w:firstLineChars="200"/>
        <w:rPr>
          <w:rFonts w:hint="eastAsia" w:ascii="宋体" w:hAnsi="宋体" w:eastAsia="宋体" w:cs="宋体"/>
          <w:color w:val="auto"/>
          <w:kern w:val="2"/>
          <w:sz w:val="22"/>
          <w:szCs w:val="22"/>
          <w:highlight w:val="none"/>
          <w:lang w:val="zh-CN" w:eastAsia="zh-CN"/>
        </w:rPr>
      </w:pPr>
      <w:r>
        <w:rPr>
          <w:rFonts w:hint="eastAsia" w:hAnsi="宋体" w:cs="宋体"/>
          <w:color w:val="auto"/>
          <w:sz w:val="22"/>
          <w:szCs w:val="22"/>
          <w:highlight w:val="none"/>
          <w:lang w:val="en-US" w:eastAsia="zh-CN"/>
        </w:rPr>
        <w:t>5</w:t>
      </w:r>
      <w:r>
        <w:rPr>
          <w:rFonts w:hint="eastAsia" w:ascii="宋体" w:hAnsi="宋体" w:eastAsia="宋体" w:cs="宋体"/>
          <w:color w:val="auto"/>
          <w:sz w:val="22"/>
          <w:szCs w:val="22"/>
          <w:highlight w:val="none"/>
          <w:lang w:val="en-US" w:eastAsia="zh-CN"/>
        </w:rPr>
        <w:t>.合同履行期限：</w:t>
      </w:r>
      <w:r>
        <w:rPr>
          <w:rFonts w:hint="eastAsia" w:hAnsi="宋体" w:cs="宋体"/>
          <w:color w:val="auto"/>
          <w:kern w:val="2"/>
          <w:sz w:val="22"/>
          <w:szCs w:val="22"/>
          <w:highlight w:val="none"/>
          <w:lang w:val="zh-CN" w:eastAsia="zh-CN"/>
        </w:rPr>
        <w:t>自合同签订之日起至项目结束止</w:t>
      </w:r>
    </w:p>
    <w:p>
      <w:pPr>
        <w:pStyle w:val="141"/>
        <w:spacing w:line="400" w:lineRule="exact"/>
        <w:ind w:firstLine="440" w:firstLineChars="200"/>
        <w:rPr>
          <w:rFonts w:hint="eastAsia" w:ascii="宋体" w:hAnsi="宋体" w:eastAsia="宋体" w:cs="宋体"/>
          <w:b/>
          <w:bCs/>
          <w:color w:val="auto"/>
          <w:sz w:val="22"/>
          <w:szCs w:val="22"/>
          <w:highlight w:val="none"/>
          <w:lang w:val="en-US" w:eastAsia="zh-CN"/>
        </w:rPr>
      </w:pPr>
      <w:r>
        <w:rPr>
          <w:rFonts w:hint="eastAsia" w:hAnsi="宋体"/>
          <w:color w:val="auto"/>
          <w:kern w:val="2"/>
          <w:sz w:val="22"/>
          <w:szCs w:val="22"/>
          <w:highlight w:val="none"/>
          <w:lang w:val="en-US" w:eastAsia="zh-CN"/>
        </w:rPr>
        <w:t>6.采购需求</w:t>
      </w:r>
      <w:r>
        <w:rPr>
          <w:rFonts w:hint="eastAsia" w:ascii="宋体" w:hAnsi="宋体" w:eastAsia="宋体" w:cs="宋体"/>
          <w:color w:val="auto"/>
          <w:kern w:val="2"/>
          <w:sz w:val="22"/>
          <w:szCs w:val="22"/>
          <w:highlight w:val="none"/>
          <w:lang w:val="en-US" w:eastAsia="zh-CN" w:bidi="ar-SA"/>
        </w:rPr>
        <w:t>：为贯彻习近平总书记关于旅游工作重要指示精神，全面落实全国、全省旅游发展大会精神，助力长春国家文化和旅游产业高地建设，依托我市“22℃的夏天”全域温润清爽的气候资源，立足“亲近大自然，体验新生活”的发展理念，推动文旅深度融合高质量发展，以品质供给满足人民需求，以规模流量促进城市消费，以休闲度假赋能城市美好，实现长春消夏艺术节再破圈、再升级，为长春避暑休闲文旅产业高质量发展注入新活力，经认真谋划，拟于2024年7月初至8月末在中铁长春博览城潮玩公园开展2024长春消夏艺术节开幕式主场系列活动</w:t>
      </w:r>
      <w:r>
        <w:rPr>
          <w:rFonts w:hint="eastAsia" w:hAnsi="宋体" w:cs="宋体"/>
          <w:color w:val="auto"/>
          <w:kern w:val="2"/>
          <w:sz w:val="22"/>
          <w:szCs w:val="22"/>
          <w:highlight w:val="none"/>
          <w:lang w:val="en-US" w:eastAsia="zh-CN" w:bidi="ar-SA"/>
        </w:rPr>
        <w:t>。</w:t>
      </w:r>
      <w:r>
        <w:rPr>
          <w:rFonts w:hint="eastAsia" w:ascii="宋体" w:hAnsi="宋体" w:eastAsia="宋体" w:cs="宋体"/>
          <w:color w:val="auto"/>
          <w:kern w:val="2"/>
          <w:sz w:val="22"/>
          <w:szCs w:val="22"/>
          <w:highlight w:val="none"/>
          <w:lang w:val="en-US" w:eastAsia="zh-CN" w:bidi="ar-SA"/>
        </w:rPr>
        <w:t>（</w:t>
      </w:r>
      <w:r>
        <w:rPr>
          <w:rFonts w:hint="eastAsia" w:hAnsi="宋体" w:cs="宋体"/>
          <w:color w:val="auto"/>
          <w:kern w:val="2"/>
          <w:sz w:val="22"/>
          <w:szCs w:val="22"/>
          <w:highlight w:val="none"/>
          <w:lang w:val="en-US" w:eastAsia="zh-CN" w:bidi="ar-SA"/>
        </w:rPr>
        <w:t>具体详见“技术标准及服务需求”</w:t>
      </w:r>
      <w:r>
        <w:rPr>
          <w:rFonts w:hint="eastAsia" w:ascii="宋体" w:hAnsi="宋体" w:eastAsia="宋体" w:cs="宋体"/>
          <w:color w:val="auto"/>
          <w:kern w:val="2"/>
          <w:sz w:val="22"/>
          <w:szCs w:val="22"/>
          <w:highlight w:val="none"/>
          <w:lang w:val="en-US" w:eastAsia="zh-CN" w:bidi="ar-SA"/>
        </w:rPr>
        <w:t xml:space="preserve">） </w:t>
      </w:r>
    </w:p>
    <w:p>
      <w:pPr>
        <w:pStyle w:val="141"/>
        <w:spacing w:line="400" w:lineRule="exact"/>
        <w:rPr>
          <w:rFonts w:hint="eastAsia" w:ascii="宋体" w:hAnsi="宋体" w:eastAsia="宋体" w:cs="宋体"/>
          <w:b/>
          <w:bCs/>
          <w:color w:val="auto"/>
          <w:kern w:val="2"/>
          <w:sz w:val="22"/>
          <w:szCs w:val="22"/>
          <w:highlight w:val="none"/>
          <w:lang w:val="en-US" w:eastAsia="zh-CN"/>
        </w:rPr>
      </w:pPr>
      <w:r>
        <w:rPr>
          <w:rFonts w:hint="eastAsia" w:ascii="宋体" w:hAnsi="宋体" w:eastAsia="宋体" w:cs="宋体"/>
          <w:b/>
          <w:bCs/>
          <w:color w:val="auto"/>
          <w:kern w:val="2"/>
          <w:sz w:val="22"/>
          <w:szCs w:val="22"/>
          <w:highlight w:val="none"/>
          <w:lang w:val="en-US" w:eastAsia="zh-CN"/>
        </w:rPr>
        <w:t>二、申请人的资格要求</w:t>
      </w:r>
    </w:p>
    <w:p>
      <w:pPr>
        <w:pStyle w:val="141"/>
        <w:spacing w:line="400" w:lineRule="exact"/>
        <w:ind w:firstLine="440" w:firstLineChars="200"/>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1.满足《中华人民共和国政府采购法》第二十二条规定。</w:t>
      </w:r>
    </w:p>
    <w:p>
      <w:pPr>
        <w:pStyle w:val="141"/>
        <w:spacing w:line="400" w:lineRule="exact"/>
        <w:ind w:firstLine="440" w:firstLineChars="200"/>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2.落实政府采购政策需满足的资格要求：本项目为专门面向中小企业采购项目。</w:t>
      </w:r>
    </w:p>
    <w:p>
      <w:pPr>
        <w:pStyle w:val="141"/>
        <w:spacing w:line="400" w:lineRule="exact"/>
        <w:ind w:firstLine="440" w:firstLineChars="200"/>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 xml:space="preserve">政府采购强制、优先采购节能产品政策；政府采购优先采购环保产品政策；政府采购促进中小企业发展（监狱企业、残疾人福利性单位视同小微企业）政策。 </w:t>
      </w:r>
    </w:p>
    <w:p>
      <w:pPr>
        <w:pStyle w:val="141"/>
        <w:spacing w:line="400" w:lineRule="exact"/>
        <w:ind w:firstLine="442" w:firstLineChars="200"/>
        <w:rPr>
          <w:rFonts w:hint="default" w:ascii="宋体" w:hAnsi="宋体" w:eastAsia="宋体" w:cs="宋体"/>
          <w:b/>
          <w:bCs/>
          <w:color w:val="auto"/>
          <w:kern w:val="2"/>
          <w:sz w:val="22"/>
          <w:szCs w:val="22"/>
          <w:highlight w:val="none"/>
          <w:lang w:val="en-US" w:eastAsia="zh-CN" w:bidi="ar-SA"/>
        </w:rPr>
      </w:pPr>
      <w:r>
        <w:rPr>
          <w:rFonts w:hint="eastAsia" w:ascii="宋体" w:hAnsi="宋体" w:eastAsia="宋体" w:cs="宋体"/>
          <w:b/>
          <w:bCs/>
          <w:color w:val="auto"/>
          <w:kern w:val="2"/>
          <w:sz w:val="22"/>
          <w:szCs w:val="22"/>
          <w:highlight w:val="none"/>
          <w:lang w:val="en-US" w:eastAsia="zh-CN" w:bidi="ar-SA"/>
        </w:rPr>
        <w:t>3.本项目的特定资格要求：</w:t>
      </w:r>
    </w:p>
    <w:p>
      <w:pPr>
        <w:pStyle w:val="141"/>
        <w:spacing w:line="400" w:lineRule="exact"/>
        <w:ind w:firstLine="440" w:firstLineChars="200"/>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（1）投标人应在中华人民共和国注册具有独立法人资格或其他组织，具有有效的营业执照且具有独立承担民事责任和履行合同所必需的设备和专业技术能力。</w:t>
      </w:r>
    </w:p>
    <w:p>
      <w:pPr>
        <w:pStyle w:val="141"/>
        <w:spacing w:line="400" w:lineRule="exact"/>
        <w:ind w:firstLine="440" w:firstLineChars="200"/>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w:t>
      </w:r>
      <w:r>
        <w:rPr>
          <w:rFonts w:hint="eastAsia" w:hAnsi="宋体" w:cs="宋体"/>
          <w:color w:val="auto"/>
          <w:kern w:val="2"/>
          <w:sz w:val="22"/>
          <w:szCs w:val="22"/>
          <w:highlight w:val="none"/>
          <w:lang w:val="en-US" w:eastAsia="zh-CN" w:bidi="ar-SA"/>
        </w:rPr>
        <w:t>2</w:t>
      </w:r>
      <w:r>
        <w:rPr>
          <w:rFonts w:hint="eastAsia" w:ascii="宋体" w:hAnsi="宋体" w:eastAsia="宋体" w:cs="宋体"/>
          <w:color w:val="auto"/>
          <w:kern w:val="2"/>
          <w:sz w:val="22"/>
          <w:szCs w:val="22"/>
          <w:highlight w:val="none"/>
          <w:lang w:val="en-US" w:eastAsia="zh-CN" w:bidi="ar-SA"/>
        </w:rPr>
        <w:t>）</w:t>
      </w:r>
      <w:r>
        <w:rPr>
          <w:rFonts w:hint="eastAsia" w:hAnsi="宋体" w:cs="宋体"/>
          <w:color w:val="auto"/>
          <w:sz w:val="22"/>
          <w:szCs w:val="22"/>
          <w:highlight w:val="none"/>
          <w:lang w:val="en-US" w:eastAsia="zh-CN"/>
        </w:rPr>
        <w:t>具有良好的商业信誉和健全的财务会计制度，依法缴纳税收和社会保障资金的良好记录，根据[长财采购[2022]2066号文件]关于加强政府采购信用体系建设简化供应商资格条件有关事项的通知提供资格条件承诺函</w:t>
      </w:r>
      <w:r>
        <w:rPr>
          <w:rFonts w:hint="eastAsia" w:ascii="宋体" w:hAnsi="宋体" w:eastAsia="宋体" w:cs="宋体"/>
          <w:color w:val="auto"/>
          <w:sz w:val="22"/>
          <w:szCs w:val="22"/>
          <w:highlight w:val="none"/>
          <w:lang w:val="en-US" w:eastAsia="zh-CN"/>
        </w:rPr>
        <w:t>(长财采购[2022]2066号)文件要求执行，</w:t>
      </w:r>
      <w:r>
        <w:rPr>
          <w:rFonts w:hint="eastAsia" w:ascii="宋体" w:hAnsi="宋体" w:eastAsia="宋体" w:cs="宋体"/>
          <w:color w:val="auto"/>
          <w:sz w:val="22"/>
          <w:szCs w:val="22"/>
          <w:highlight w:val="none"/>
        </w:rPr>
        <w:t>提供资格条件承诺函</w:t>
      </w:r>
      <w:r>
        <w:rPr>
          <w:rFonts w:hint="eastAsia" w:ascii="宋体" w:hAnsi="宋体" w:eastAsia="宋体" w:cs="宋体"/>
          <w:color w:val="auto"/>
          <w:sz w:val="22"/>
          <w:szCs w:val="22"/>
          <w:highlight w:val="none"/>
          <w:lang w:val="en-US" w:eastAsia="zh-CN"/>
        </w:rPr>
        <w:t>。</w:t>
      </w:r>
    </w:p>
    <w:p>
      <w:pPr>
        <w:pStyle w:val="141"/>
        <w:spacing w:line="400" w:lineRule="exact"/>
        <w:ind w:firstLine="440" w:firstLineChars="200"/>
        <w:rPr>
          <w:rFonts w:hint="default"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w:t>
      </w:r>
      <w:r>
        <w:rPr>
          <w:rFonts w:hint="eastAsia" w:hAnsi="宋体" w:cs="宋体"/>
          <w:color w:val="auto"/>
          <w:kern w:val="2"/>
          <w:sz w:val="22"/>
          <w:szCs w:val="22"/>
          <w:highlight w:val="none"/>
          <w:lang w:val="en-US" w:eastAsia="zh-CN" w:bidi="ar-SA"/>
        </w:rPr>
        <w:t>3</w:t>
      </w:r>
      <w:r>
        <w:rPr>
          <w:rFonts w:hint="eastAsia" w:ascii="宋体" w:hAnsi="宋体" w:eastAsia="宋体" w:cs="宋体"/>
          <w:color w:val="auto"/>
          <w:kern w:val="2"/>
          <w:sz w:val="22"/>
          <w:szCs w:val="22"/>
          <w:highlight w:val="none"/>
          <w:lang w:val="en-US" w:eastAsia="zh-CN" w:bidi="ar-SA"/>
        </w:rPr>
        <w:t>）</w:t>
      </w:r>
      <w:r>
        <w:rPr>
          <w:rFonts w:hint="eastAsia" w:ascii="宋体" w:hAnsi="宋体" w:cs="宋体"/>
          <w:color w:val="auto"/>
          <w:sz w:val="22"/>
          <w:szCs w:val="22"/>
          <w:highlight w:val="none"/>
        </w:rPr>
        <w:t>信誉要求：</w:t>
      </w:r>
      <w:r>
        <w:rPr>
          <w:rFonts w:hint="eastAsia" w:hAnsi="宋体" w:cs="宋体"/>
          <w:color w:val="auto"/>
          <w:sz w:val="22"/>
          <w:szCs w:val="22"/>
          <w:highlight w:val="none"/>
          <w:lang w:eastAsia="zh-CN"/>
        </w:rPr>
        <w:t>2021年1月1日</w:t>
      </w:r>
      <w:r>
        <w:rPr>
          <w:rFonts w:hint="eastAsia" w:ascii="宋体" w:hAnsi="宋体" w:cs="宋体"/>
          <w:color w:val="auto"/>
          <w:sz w:val="22"/>
          <w:szCs w:val="22"/>
          <w:highlight w:val="none"/>
        </w:rPr>
        <w:t>至今无行贿犯罪及不良行为记录；“中国裁判文书网”网站（https://wenshu.court.gov.cn/）上无行贿犯罪记录；“信用中国”网站（www.creditchina.gov.cn）未列入①失信被执行人及②重大税收违法失信主体名单；国家企业信用信息公示系统（http://www.gsxt.gov.cn/index.html）未列入严重违法失信企业名单及中国政府采购网（http://www.ccgp.gov.cn/search/cr/）未列入政府采购严重违法失信行为记录名单</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以上均须提供截图。</w:t>
      </w:r>
    </w:p>
    <w:p>
      <w:pPr>
        <w:pStyle w:val="141"/>
        <w:spacing w:line="400" w:lineRule="exact"/>
        <w:ind w:firstLine="440" w:firstLineChars="200"/>
        <w:rPr>
          <w:rFonts w:hint="default"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w:t>
      </w:r>
      <w:r>
        <w:rPr>
          <w:rFonts w:hint="eastAsia" w:hAnsi="宋体" w:cs="宋体"/>
          <w:color w:val="auto"/>
          <w:kern w:val="2"/>
          <w:sz w:val="22"/>
          <w:szCs w:val="22"/>
          <w:highlight w:val="none"/>
          <w:lang w:val="en-US" w:eastAsia="zh-CN" w:bidi="ar-SA"/>
        </w:rPr>
        <w:t>4</w:t>
      </w:r>
      <w:r>
        <w:rPr>
          <w:rFonts w:hint="eastAsia" w:ascii="宋体" w:hAnsi="宋体" w:eastAsia="宋体" w:cs="宋体"/>
          <w:color w:val="auto"/>
          <w:kern w:val="2"/>
          <w:sz w:val="22"/>
          <w:szCs w:val="22"/>
          <w:highlight w:val="none"/>
          <w:lang w:val="en-US" w:eastAsia="zh-CN" w:bidi="ar-SA"/>
        </w:rPr>
        <w:t>）</w:t>
      </w:r>
      <w:r>
        <w:rPr>
          <w:rFonts w:hint="eastAsia" w:ascii="宋体" w:hAnsi="宋体" w:cs="宋体"/>
          <w:color w:val="auto"/>
          <w:sz w:val="22"/>
          <w:szCs w:val="22"/>
          <w:highlight w:val="none"/>
        </w:rPr>
        <w:t>与采购人存在利害关系可能影响招标公正性的法人、其他组织或者个人，不得参加投标；企业名称不同但法定代表人为同一个自然人的两个或者两个以上的供应商不得参加同一采购项目的投标；如果出现上述情况，相关供应商的投标均将被拒绝。</w:t>
      </w:r>
      <w:r>
        <w:rPr>
          <w:rFonts w:hint="eastAsia" w:hAnsi="宋体" w:cs="宋体"/>
          <w:color w:val="auto"/>
          <w:sz w:val="22"/>
          <w:szCs w:val="22"/>
          <w:highlight w:val="none"/>
          <w:lang w:val="en-US" w:eastAsia="zh-CN"/>
        </w:rPr>
        <w:t>提供企业承诺书。</w:t>
      </w:r>
    </w:p>
    <w:p>
      <w:pPr>
        <w:pStyle w:val="141"/>
        <w:spacing w:line="400" w:lineRule="exact"/>
        <w:ind w:firstLine="440" w:firstLineChars="200"/>
        <w:rPr>
          <w:rFonts w:hint="default"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w:t>
      </w:r>
      <w:r>
        <w:rPr>
          <w:rFonts w:hint="eastAsia" w:hAnsi="宋体" w:cs="宋体"/>
          <w:color w:val="auto"/>
          <w:kern w:val="2"/>
          <w:sz w:val="22"/>
          <w:szCs w:val="22"/>
          <w:highlight w:val="none"/>
          <w:lang w:val="en-US" w:eastAsia="zh-CN" w:bidi="ar-SA"/>
        </w:rPr>
        <w:t>5</w:t>
      </w:r>
      <w:r>
        <w:rPr>
          <w:rFonts w:hint="eastAsia" w:ascii="宋体" w:hAnsi="宋体" w:eastAsia="宋体" w:cs="宋体"/>
          <w:color w:val="auto"/>
          <w:kern w:val="2"/>
          <w:sz w:val="22"/>
          <w:szCs w:val="22"/>
          <w:highlight w:val="none"/>
          <w:lang w:val="en-US" w:eastAsia="zh-CN" w:bidi="ar-SA"/>
        </w:rPr>
        <w:t>）本项目不接受联合体。</w:t>
      </w:r>
    </w:p>
    <w:p>
      <w:pPr>
        <w:spacing w:line="360" w:lineRule="auto"/>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三、获取磋商文件</w:t>
      </w:r>
    </w:p>
    <w:p>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1.时间：</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lang w:val="en-US" w:eastAsia="zh-CN"/>
        </w:rPr>
        <w:t>02</w:t>
      </w:r>
      <w:r>
        <w:rPr>
          <w:rFonts w:hint="eastAsia" w:ascii="宋体" w:hAnsi="宋体" w:cs="宋体"/>
          <w:color w:val="auto"/>
          <w:sz w:val="22"/>
          <w:szCs w:val="22"/>
          <w:highlight w:val="none"/>
          <w:lang w:val="en-US" w:eastAsia="zh-CN"/>
        </w:rPr>
        <w:t>4</w:t>
      </w:r>
      <w:r>
        <w:rPr>
          <w:rFonts w:hint="eastAsia" w:ascii="宋体" w:hAnsi="宋体" w:eastAsia="宋体" w:cs="宋体"/>
          <w:color w:val="auto"/>
          <w:sz w:val="22"/>
          <w:szCs w:val="22"/>
          <w:highlight w:val="none"/>
          <w:lang w:val="en-US" w:eastAsia="zh-CN"/>
        </w:rPr>
        <w:t>年</w:t>
      </w:r>
      <w:r>
        <w:rPr>
          <w:rFonts w:hint="eastAsia" w:ascii="宋体" w:hAnsi="宋体" w:cs="宋体"/>
          <w:color w:val="auto"/>
          <w:sz w:val="22"/>
          <w:szCs w:val="22"/>
          <w:highlight w:val="none"/>
          <w:lang w:val="en-US" w:eastAsia="zh-CN"/>
        </w:rPr>
        <w:t>06</w:t>
      </w:r>
      <w:r>
        <w:rPr>
          <w:rFonts w:hint="eastAsia" w:ascii="宋体" w:hAnsi="宋体" w:eastAsia="宋体" w:cs="宋体"/>
          <w:color w:val="auto"/>
          <w:sz w:val="22"/>
          <w:szCs w:val="22"/>
          <w:highlight w:val="none"/>
          <w:lang w:val="en-US" w:eastAsia="zh-CN"/>
        </w:rPr>
        <w:t>月</w:t>
      </w:r>
      <w:r>
        <w:rPr>
          <w:rFonts w:hint="eastAsia" w:ascii="宋体" w:hAnsi="宋体" w:cs="宋体"/>
          <w:color w:val="auto"/>
          <w:sz w:val="22"/>
          <w:szCs w:val="22"/>
          <w:highlight w:val="none"/>
          <w:lang w:val="en-US" w:eastAsia="zh-CN"/>
        </w:rPr>
        <w:t>21</w:t>
      </w:r>
      <w:r>
        <w:rPr>
          <w:rFonts w:hint="eastAsia" w:ascii="宋体" w:hAnsi="宋体" w:eastAsia="宋体" w:cs="宋体"/>
          <w:color w:val="auto"/>
          <w:sz w:val="22"/>
          <w:szCs w:val="22"/>
          <w:highlight w:val="none"/>
          <w:lang w:val="en-US" w:eastAsia="zh-CN"/>
        </w:rPr>
        <w:t>日上午8：30起至202</w:t>
      </w:r>
      <w:r>
        <w:rPr>
          <w:rFonts w:hint="eastAsia" w:ascii="宋体" w:hAnsi="宋体" w:cs="宋体"/>
          <w:color w:val="auto"/>
          <w:sz w:val="22"/>
          <w:szCs w:val="22"/>
          <w:highlight w:val="none"/>
          <w:lang w:val="en-US" w:eastAsia="zh-CN"/>
        </w:rPr>
        <w:t>4</w:t>
      </w:r>
      <w:r>
        <w:rPr>
          <w:rFonts w:hint="eastAsia" w:ascii="宋体" w:hAnsi="宋体" w:eastAsia="宋体" w:cs="宋体"/>
          <w:color w:val="auto"/>
          <w:sz w:val="22"/>
          <w:szCs w:val="22"/>
          <w:highlight w:val="none"/>
          <w:lang w:val="en-US" w:eastAsia="zh-CN"/>
        </w:rPr>
        <w:t>年</w:t>
      </w:r>
      <w:r>
        <w:rPr>
          <w:rFonts w:hint="eastAsia" w:ascii="宋体" w:hAnsi="宋体" w:cs="宋体"/>
          <w:color w:val="auto"/>
          <w:sz w:val="22"/>
          <w:szCs w:val="22"/>
          <w:highlight w:val="none"/>
          <w:lang w:val="en-US" w:eastAsia="zh-CN"/>
        </w:rPr>
        <w:t>06</w:t>
      </w:r>
      <w:r>
        <w:rPr>
          <w:rFonts w:hint="eastAsia" w:ascii="宋体" w:hAnsi="宋体" w:eastAsia="宋体" w:cs="宋体"/>
          <w:color w:val="auto"/>
          <w:sz w:val="22"/>
          <w:szCs w:val="22"/>
          <w:highlight w:val="none"/>
          <w:lang w:val="en-US" w:eastAsia="zh-CN"/>
        </w:rPr>
        <w:t>月</w:t>
      </w:r>
      <w:r>
        <w:rPr>
          <w:rFonts w:hint="eastAsia" w:ascii="宋体" w:hAnsi="宋体" w:cs="宋体"/>
          <w:color w:val="auto"/>
          <w:sz w:val="22"/>
          <w:szCs w:val="22"/>
          <w:highlight w:val="none"/>
          <w:lang w:val="en-US" w:eastAsia="zh-CN"/>
        </w:rPr>
        <w:t>28</w:t>
      </w:r>
      <w:r>
        <w:rPr>
          <w:rFonts w:hint="eastAsia" w:ascii="宋体" w:hAnsi="宋体" w:eastAsia="宋体" w:cs="宋体"/>
          <w:color w:val="auto"/>
          <w:sz w:val="22"/>
          <w:szCs w:val="22"/>
          <w:highlight w:val="none"/>
          <w:lang w:val="en-US" w:eastAsia="zh-CN"/>
        </w:rPr>
        <w:t>日下</w:t>
      </w:r>
      <w:r>
        <w:rPr>
          <w:rFonts w:hint="eastAsia" w:ascii="宋体" w:hAnsi="宋体" w:eastAsia="宋体" w:cs="宋体"/>
          <w:color w:val="auto"/>
          <w:sz w:val="22"/>
          <w:szCs w:val="22"/>
          <w:highlight w:val="none"/>
          <w:lang w:val="en-US" w:eastAsia="zh-CN"/>
        </w:rPr>
        <w:t>午16：00止</w:t>
      </w:r>
      <w:r>
        <w:rPr>
          <w:rFonts w:hint="eastAsia" w:ascii="宋体" w:hAnsi="宋体" w:eastAsia="宋体" w:cs="宋体"/>
          <w:color w:val="auto"/>
          <w:sz w:val="22"/>
          <w:szCs w:val="22"/>
          <w:highlight w:val="none"/>
        </w:rPr>
        <w:t>。</w:t>
      </w:r>
    </w:p>
    <w:p>
      <w:pPr>
        <w:spacing w:line="360" w:lineRule="auto"/>
        <w:ind w:firstLine="440" w:firstLineChars="200"/>
        <w:rPr>
          <w:rFonts w:hint="eastAsia" w:ascii="宋体" w:hAnsi="宋体" w:cs="宋体"/>
          <w:color w:val="auto"/>
          <w:sz w:val="22"/>
          <w:szCs w:val="22"/>
          <w:highlight w:val="none"/>
        </w:rPr>
      </w:pPr>
      <w:r>
        <w:rPr>
          <w:rFonts w:hint="eastAsia" w:ascii="宋体" w:hAnsi="宋体" w:eastAsia="宋体" w:cs="宋体"/>
          <w:color w:val="auto"/>
          <w:sz w:val="22"/>
          <w:szCs w:val="22"/>
          <w:highlight w:val="none"/>
        </w:rPr>
        <w:t>2.方式：</w:t>
      </w:r>
      <w:r>
        <w:rPr>
          <w:rFonts w:hint="eastAsia" w:ascii="宋体" w:hAnsi="宋体" w:cs="宋体"/>
          <w:color w:val="auto"/>
          <w:sz w:val="22"/>
          <w:szCs w:val="22"/>
          <w:highlight w:val="none"/>
        </w:rPr>
        <w:t>政采云平台线上获取。供应商自行登录政府采购云平台（网址：http://www.zcygov.cn）注册（https://middle.zcygov.cn/v-settle-front/registry）并下载竞争性磋商文件，其他途径获取的竞争性磋商文件开标时一律按无效投标处理。</w:t>
      </w:r>
    </w:p>
    <w:p>
      <w:pPr>
        <w:spacing w:line="360" w:lineRule="auto"/>
        <w:ind w:firstLine="440" w:firstLineChars="200"/>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3.</w:t>
      </w:r>
      <w:r>
        <w:rPr>
          <w:rFonts w:hint="eastAsia" w:ascii="宋体" w:hAnsi="宋体" w:cs="宋体"/>
          <w:color w:val="auto"/>
          <w:sz w:val="22"/>
          <w:szCs w:val="22"/>
          <w:highlight w:val="none"/>
        </w:rPr>
        <w:t>线上获取</w:t>
      </w:r>
      <w:r>
        <w:rPr>
          <w:rFonts w:hint="eastAsia" w:ascii="宋体" w:hAnsi="宋体" w:cs="宋体"/>
          <w:color w:val="auto"/>
          <w:sz w:val="22"/>
          <w:szCs w:val="22"/>
          <w:highlight w:val="none"/>
          <w:lang w:val="en-US" w:eastAsia="zh-CN"/>
        </w:rPr>
        <w:t>须将以下材料扫描PDF上传至</w:t>
      </w:r>
      <w:r>
        <w:rPr>
          <w:rFonts w:hint="eastAsia" w:ascii="宋体" w:hAnsi="宋体" w:cs="宋体"/>
          <w:color w:val="auto"/>
          <w:sz w:val="22"/>
          <w:szCs w:val="22"/>
          <w:highlight w:val="none"/>
        </w:rPr>
        <w:t>政采云平台</w:t>
      </w:r>
      <w:r>
        <w:rPr>
          <w:rFonts w:hint="eastAsia" w:ascii="宋体" w:hAnsi="宋体" w:cs="宋体"/>
          <w:color w:val="auto"/>
          <w:sz w:val="22"/>
          <w:szCs w:val="22"/>
          <w:highlight w:val="none"/>
          <w:lang w:val="en-US" w:eastAsia="zh-CN"/>
        </w:rPr>
        <w:t>审核：</w:t>
      </w:r>
    </w:p>
    <w:p>
      <w:pPr>
        <w:spacing w:line="360" w:lineRule="auto"/>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（1）企业营业执照副本原件及复印件加盖公章；</w:t>
      </w:r>
    </w:p>
    <w:p>
      <w:pPr>
        <w:spacing w:line="360" w:lineRule="auto"/>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（2）法人授权委托书原件加盖公章（附法人及被授权人身份证）；</w:t>
      </w:r>
    </w:p>
    <w:p>
      <w:pPr>
        <w:spacing w:line="360" w:lineRule="auto"/>
        <w:ind w:firstLine="440" w:firstLineChars="200"/>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（3）提供本公告</w:t>
      </w:r>
      <w:r>
        <w:rPr>
          <w:rFonts w:hint="eastAsia" w:ascii="宋体" w:hAnsi="宋体" w:eastAsia="宋体" w:cs="宋体"/>
          <w:b/>
          <w:bCs/>
          <w:color w:val="auto"/>
          <w:sz w:val="22"/>
          <w:szCs w:val="22"/>
          <w:highlight w:val="none"/>
          <w:lang w:val="en-US" w:eastAsia="zh-CN"/>
        </w:rPr>
        <w:t>3.本项目的特定资格要求：</w:t>
      </w:r>
      <w:r>
        <w:rPr>
          <w:rFonts w:hint="eastAsia" w:ascii="宋体" w:hAnsi="宋体" w:eastAsia="宋体" w:cs="宋体"/>
          <w:color w:val="auto"/>
          <w:sz w:val="22"/>
          <w:szCs w:val="22"/>
          <w:highlight w:val="none"/>
          <w:lang w:val="en-US" w:eastAsia="zh-CN"/>
        </w:rPr>
        <w:t>（</w:t>
      </w:r>
      <w:r>
        <w:rPr>
          <w:rFonts w:hint="eastAsia" w:ascii="宋体" w:hAnsi="宋体" w:cs="宋体"/>
          <w:color w:val="auto"/>
          <w:sz w:val="22"/>
          <w:szCs w:val="22"/>
          <w:highlight w:val="none"/>
          <w:lang w:val="en-US" w:eastAsia="zh-CN"/>
        </w:rPr>
        <w:t>2</w:t>
      </w:r>
      <w:r>
        <w:rPr>
          <w:rFonts w:hint="eastAsia" w:ascii="宋体" w:hAnsi="宋体" w:eastAsia="宋体" w:cs="宋体"/>
          <w:color w:val="auto"/>
          <w:sz w:val="22"/>
          <w:szCs w:val="22"/>
          <w:highlight w:val="none"/>
          <w:lang w:val="en-US" w:eastAsia="zh-CN"/>
        </w:rPr>
        <w:t>）</w:t>
      </w:r>
      <w:r>
        <w:rPr>
          <w:rFonts w:hint="eastAsia" w:ascii="宋体" w:hAnsi="宋体" w:cs="宋体"/>
          <w:color w:val="auto"/>
          <w:sz w:val="22"/>
          <w:szCs w:val="22"/>
          <w:highlight w:val="none"/>
          <w:lang w:val="en-US" w:eastAsia="zh-CN"/>
        </w:rPr>
        <w:t>、（3）、</w:t>
      </w:r>
      <w:r>
        <w:rPr>
          <w:rFonts w:hint="eastAsia" w:ascii="宋体" w:hAnsi="宋体" w:eastAsia="宋体" w:cs="宋体"/>
          <w:color w:val="auto"/>
          <w:sz w:val="22"/>
          <w:szCs w:val="22"/>
          <w:highlight w:val="none"/>
          <w:lang w:val="en-US" w:eastAsia="zh-CN"/>
        </w:rPr>
        <w:t>（</w:t>
      </w:r>
      <w:r>
        <w:rPr>
          <w:rFonts w:hint="eastAsia" w:ascii="宋体" w:hAnsi="宋体" w:cs="宋体"/>
          <w:color w:val="auto"/>
          <w:sz w:val="22"/>
          <w:szCs w:val="22"/>
          <w:highlight w:val="none"/>
          <w:lang w:val="en-US" w:eastAsia="zh-CN"/>
        </w:rPr>
        <w:t>4</w:t>
      </w:r>
      <w:r>
        <w:rPr>
          <w:rFonts w:hint="eastAsia" w:ascii="宋体" w:hAnsi="宋体" w:eastAsia="宋体" w:cs="宋体"/>
          <w:color w:val="auto"/>
          <w:sz w:val="22"/>
          <w:szCs w:val="22"/>
          <w:highlight w:val="none"/>
          <w:lang w:val="en-US" w:eastAsia="zh-CN"/>
        </w:rPr>
        <w:t>）证明材料并加盖公章。</w:t>
      </w:r>
    </w:p>
    <w:p>
      <w:pPr>
        <w:spacing w:line="360" w:lineRule="auto"/>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四、响应文件的递交</w:t>
      </w:r>
    </w:p>
    <w:p>
      <w:pPr>
        <w:spacing w:line="360" w:lineRule="auto"/>
        <w:ind w:firstLine="440" w:firstLineChars="200"/>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1.截止时间：</w:t>
      </w:r>
      <w:r>
        <w:rPr>
          <w:rFonts w:hint="eastAsia" w:ascii="宋体" w:hAnsi="宋体" w:cs="宋体"/>
          <w:color w:val="auto"/>
          <w:sz w:val="22"/>
          <w:szCs w:val="22"/>
          <w:highlight w:val="none"/>
          <w:lang w:val="en-US" w:eastAsia="zh-CN"/>
        </w:rPr>
        <w:t>2024年07月01日15时00分</w:t>
      </w:r>
      <w:r>
        <w:rPr>
          <w:rFonts w:hint="eastAsia" w:ascii="宋体" w:hAnsi="宋体" w:eastAsia="宋体" w:cs="宋体"/>
          <w:color w:val="auto"/>
          <w:kern w:val="2"/>
          <w:sz w:val="22"/>
          <w:szCs w:val="22"/>
          <w:highlight w:val="none"/>
          <w:lang w:val="en-US" w:eastAsia="zh-CN" w:bidi="ar-SA"/>
        </w:rPr>
        <w:t>（北京时间）</w:t>
      </w:r>
    </w:p>
    <w:p>
      <w:pPr>
        <w:spacing w:line="360" w:lineRule="auto"/>
        <w:ind w:firstLine="440" w:firstLineChars="200"/>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2.地点：长春市二道区洋浦大街6999号凯利中心AB栋</w:t>
      </w:r>
      <w:r>
        <w:rPr>
          <w:rFonts w:hint="eastAsia" w:ascii="宋体" w:hAnsi="宋体" w:cs="宋体"/>
          <w:color w:val="auto"/>
          <w:kern w:val="2"/>
          <w:sz w:val="22"/>
          <w:szCs w:val="22"/>
          <w:highlight w:val="none"/>
          <w:lang w:val="en-US" w:eastAsia="zh-CN" w:bidi="ar-SA"/>
        </w:rPr>
        <w:t>开标四室</w:t>
      </w:r>
    </w:p>
    <w:p>
      <w:pPr>
        <w:spacing w:line="360" w:lineRule="auto"/>
        <w:ind w:firstLine="440" w:firstLineChars="200"/>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3.响应文件提交方式：本项目为全流程电子化项目，通过“政采云”平台</w:t>
      </w:r>
    </w:p>
    <w:p>
      <w:pPr>
        <w:spacing w:line="360" w:lineRule="auto"/>
        <w:ind w:firstLine="440" w:firstLineChars="200"/>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http：//www.zcygov.cn）实行在线电子投标，供应商应先安装“政采云投标客户端”（请自行前往“政采云”平台进行下载），并按照本项目磋商文件和“政采云”平台的要求编制、加密后在响应文件截止时间前通过网络上传至“政采云”平台，供应商在“政采云”平台提交电子版响应文件时，请填写参加采购活动经办人联系方式。</w:t>
      </w:r>
    </w:p>
    <w:p>
      <w:pPr>
        <w:spacing w:line="360" w:lineRule="auto"/>
        <w:ind w:firstLine="440" w:firstLineChars="200"/>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4.电子响应文件解密期限及方式：开启时间后30分钟内，由供应商持制作该电子响应文件的同一数字证书（CA锁）及电脑自行进行远程解密。</w:t>
      </w:r>
    </w:p>
    <w:p>
      <w:pPr>
        <w:spacing w:line="360" w:lineRule="auto"/>
        <w:ind w:firstLine="440" w:firstLineChars="200"/>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5..CA锁办理网址：请供应商自行办理CA锁，网址链接http://www.anxinca.com/kehu/zcy/kh-zcy-zsshenqing.html；办理联系方式：95763。</w:t>
      </w:r>
    </w:p>
    <w:p>
      <w:pPr>
        <w:spacing w:line="360" w:lineRule="auto"/>
        <w:ind w:firstLine="440" w:firstLineChars="200"/>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6.收到CA锁以后在“政采云”登陆界面，点击 CA 登录-CA 驱动下载-下载并安装政采云投标客户端和安信CA驱动，账号绑定CA后才能进行报价文件制作。</w:t>
      </w:r>
    </w:p>
    <w:p>
      <w:pPr>
        <w:spacing w:line="360" w:lineRule="auto"/>
        <w:ind w:firstLine="440" w:firstLineChars="200"/>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7.未进行网上注册并办理 CA 认证的响应人将无法参与本次采购活动。数字证书办理时限为3-5个工作日，响应人须自行考虑办理时间，由于响应人自身原因在开启前无法完成办理，后果自负。</w:t>
      </w:r>
    </w:p>
    <w:p>
      <w:pPr>
        <w:spacing w:line="360" w:lineRule="auto"/>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五、开启</w:t>
      </w:r>
    </w:p>
    <w:p>
      <w:pPr>
        <w:spacing w:line="360" w:lineRule="auto"/>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1.时间：</w:t>
      </w:r>
      <w:r>
        <w:rPr>
          <w:rFonts w:hint="eastAsia" w:ascii="宋体" w:hAnsi="宋体" w:cs="宋体"/>
          <w:color w:val="auto"/>
          <w:sz w:val="22"/>
          <w:szCs w:val="22"/>
          <w:highlight w:val="none"/>
          <w:lang w:val="en-US" w:eastAsia="zh-CN"/>
        </w:rPr>
        <w:t>2024年07月01日15时00分</w:t>
      </w:r>
      <w:r>
        <w:rPr>
          <w:rFonts w:hint="eastAsia" w:ascii="宋体" w:hAnsi="宋体" w:eastAsia="宋体" w:cs="宋体"/>
          <w:color w:val="auto"/>
          <w:sz w:val="22"/>
          <w:szCs w:val="22"/>
          <w:highlight w:val="none"/>
          <w:lang w:val="en-US" w:eastAsia="zh-CN"/>
        </w:rPr>
        <w:t>（北京时间）</w:t>
      </w:r>
    </w:p>
    <w:p>
      <w:pPr>
        <w:spacing w:line="360" w:lineRule="auto"/>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kern w:val="2"/>
          <w:sz w:val="22"/>
          <w:szCs w:val="22"/>
          <w:highlight w:val="none"/>
          <w:lang w:val="en-US" w:eastAsia="zh-CN" w:bidi="ar-SA"/>
        </w:rPr>
        <w:t>地点：</w:t>
      </w:r>
      <w:r>
        <w:rPr>
          <w:rFonts w:hint="eastAsia" w:ascii="宋体" w:hAnsi="宋体" w:cs="宋体"/>
          <w:color w:val="auto"/>
          <w:kern w:val="2"/>
          <w:sz w:val="22"/>
          <w:szCs w:val="22"/>
          <w:highlight w:val="none"/>
          <w:lang w:val="en-US" w:eastAsia="zh-CN" w:bidi="ar-SA"/>
        </w:rPr>
        <w:t>长春市二道区洋浦大街6999号凯利中</w:t>
      </w:r>
      <w:r>
        <w:rPr>
          <w:rFonts w:hint="eastAsia" w:ascii="宋体" w:hAnsi="宋体" w:cs="宋体"/>
          <w:color w:val="auto"/>
          <w:kern w:val="2"/>
          <w:sz w:val="22"/>
          <w:szCs w:val="22"/>
          <w:highlight w:val="none"/>
          <w:lang w:val="en-US" w:eastAsia="zh-CN" w:bidi="ar-SA"/>
        </w:rPr>
        <w:t>心AB栋开标四室</w:t>
      </w:r>
      <w:r>
        <w:rPr>
          <w:rFonts w:hint="eastAsia" w:ascii="宋体" w:hAnsi="宋体" w:eastAsia="宋体" w:cs="宋体"/>
          <w:color w:val="auto"/>
          <w:sz w:val="22"/>
          <w:szCs w:val="22"/>
          <w:highlight w:val="none"/>
          <w:lang w:val="en-US" w:eastAsia="zh-CN"/>
        </w:rPr>
        <w:t>。</w:t>
      </w:r>
    </w:p>
    <w:p>
      <w:pPr>
        <w:spacing w:line="360" w:lineRule="auto"/>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六、公告期限</w:t>
      </w:r>
    </w:p>
    <w:p>
      <w:pPr>
        <w:spacing w:line="360" w:lineRule="auto"/>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自本公告发布之日起5个工作日。</w:t>
      </w:r>
    </w:p>
    <w:p>
      <w:pPr>
        <w:spacing w:line="360" w:lineRule="auto"/>
        <w:rPr>
          <w:rFonts w:hint="eastAsia" w:ascii="宋体" w:hAnsi="宋体" w:eastAsia="宋体" w:cs="宋体"/>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七、其他补充事宜</w:t>
      </w:r>
    </w:p>
    <w:p>
      <w:pPr>
        <w:spacing w:line="360" w:lineRule="auto"/>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本次招标公告同时在长春市公共资源交易网、</w:t>
      </w:r>
      <w:r>
        <w:rPr>
          <w:rFonts w:hint="eastAsia" w:ascii="宋体" w:hAnsi="宋体" w:cs="宋体"/>
          <w:color w:val="auto"/>
          <w:sz w:val="22"/>
          <w:szCs w:val="22"/>
          <w:highlight w:val="none"/>
          <w:lang w:val="en-US" w:eastAsia="zh-CN"/>
        </w:rPr>
        <w:t>中国</w:t>
      </w:r>
      <w:r>
        <w:rPr>
          <w:rFonts w:hint="eastAsia" w:ascii="宋体" w:hAnsi="宋体" w:eastAsia="宋体" w:cs="宋体"/>
          <w:color w:val="auto"/>
          <w:sz w:val="22"/>
          <w:szCs w:val="22"/>
          <w:highlight w:val="none"/>
          <w:lang w:val="en-US" w:eastAsia="zh-CN"/>
        </w:rPr>
        <w:t>政府采购网上发布</w:t>
      </w:r>
    </w:p>
    <w:p>
      <w:pPr>
        <w:spacing w:line="360" w:lineRule="auto"/>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八、凡对本次采购提出询问，请按以下方式联系。</w:t>
      </w:r>
    </w:p>
    <w:p>
      <w:pPr>
        <w:pStyle w:val="141"/>
        <w:spacing w:line="400" w:lineRule="exact"/>
        <w:ind w:firstLine="440" w:firstLineChars="200"/>
        <w:rPr>
          <w:rFonts w:hint="eastAsia" w:hAnsi="宋体"/>
          <w:color w:val="auto"/>
          <w:kern w:val="2"/>
          <w:sz w:val="22"/>
          <w:szCs w:val="22"/>
          <w:highlight w:val="none"/>
          <w:lang w:val="en-US"/>
        </w:rPr>
      </w:pPr>
      <w:r>
        <w:rPr>
          <w:rFonts w:hint="eastAsia" w:hAnsi="宋体"/>
          <w:color w:val="auto"/>
          <w:kern w:val="2"/>
          <w:sz w:val="22"/>
          <w:szCs w:val="22"/>
          <w:highlight w:val="none"/>
          <w:lang w:val="en-US"/>
        </w:rPr>
        <w:t>1.</w:t>
      </w:r>
      <w:r>
        <w:rPr>
          <w:rFonts w:hint="eastAsia" w:hAnsi="宋体"/>
          <w:color w:val="auto"/>
          <w:kern w:val="2"/>
          <w:sz w:val="22"/>
          <w:szCs w:val="22"/>
          <w:highlight w:val="none"/>
          <w:lang w:eastAsia="zh-CN"/>
        </w:rPr>
        <w:t xml:space="preserve">采购人：长春市文化广播电视和旅游局（长春市文物局） </w:t>
      </w:r>
    </w:p>
    <w:p>
      <w:pPr>
        <w:pStyle w:val="141"/>
        <w:spacing w:line="400" w:lineRule="exact"/>
        <w:ind w:firstLine="440" w:firstLineChars="200"/>
        <w:rPr>
          <w:rFonts w:hint="eastAsia" w:hAnsi="宋体" w:eastAsia="宋体"/>
          <w:color w:val="auto"/>
          <w:kern w:val="2"/>
          <w:sz w:val="22"/>
          <w:szCs w:val="22"/>
          <w:highlight w:val="none"/>
          <w:lang w:val="en-US" w:eastAsia="zh-CN"/>
        </w:rPr>
      </w:pPr>
      <w:r>
        <w:rPr>
          <w:rFonts w:hint="eastAsia" w:hAnsi="宋体"/>
          <w:color w:val="auto"/>
          <w:kern w:val="2"/>
          <w:sz w:val="22"/>
          <w:szCs w:val="22"/>
          <w:highlight w:val="none"/>
          <w:lang w:eastAsia="zh-CN"/>
        </w:rPr>
        <w:t>统一</w:t>
      </w:r>
      <w:r>
        <w:rPr>
          <w:rFonts w:hint="eastAsia" w:hAnsi="宋体"/>
          <w:color w:val="auto"/>
          <w:kern w:val="2"/>
          <w:sz w:val="22"/>
          <w:szCs w:val="22"/>
          <w:highlight w:val="none"/>
          <w:lang w:val="en-US" w:eastAsia="zh-CN"/>
        </w:rPr>
        <w:t>社会信用</w:t>
      </w:r>
      <w:r>
        <w:rPr>
          <w:rFonts w:hint="eastAsia" w:hAnsi="宋体"/>
          <w:color w:val="auto"/>
          <w:kern w:val="2"/>
          <w:sz w:val="22"/>
          <w:szCs w:val="22"/>
          <w:highlight w:val="none"/>
          <w:lang w:eastAsia="zh-CN"/>
        </w:rPr>
        <w:t>代码：</w:t>
      </w:r>
      <w:r>
        <w:rPr>
          <w:rFonts w:hint="eastAsia" w:hAnsi="宋体"/>
          <w:color w:val="auto"/>
          <w:kern w:val="2"/>
          <w:sz w:val="22"/>
          <w:szCs w:val="22"/>
          <w:highlight w:val="none"/>
          <w:lang w:val="en-US" w:eastAsia="zh-CN"/>
        </w:rPr>
        <w:t>11220100MB1975969Q</w:t>
      </w:r>
    </w:p>
    <w:p>
      <w:pPr>
        <w:pStyle w:val="141"/>
        <w:spacing w:line="400" w:lineRule="exact"/>
        <w:ind w:firstLine="440" w:firstLineChars="200"/>
        <w:rPr>
          <w:rFonts w:hint="eastAsia" w:hAnsi="宋体"/>
          <w:color w:val="auto"/>
          <w:kern w:val="2"/>
          <w:sz w:val="22"/>
          <w:szCs w:val="22"/>
          <w:highlight w:val="none"/>
          <w:lang w:eastAsia="zh-CN"/>
        </w:rPr>
      </w:pPr>
      <w:r>
        <w:rPr>
          <w:rFonts w:hint="eastAsia" w:hAnsi="宋体"/>
          <w:color w:val="auto"/>
          <w:kern w:val="2"/>
          <w:sz w:val="22"/>
          <w:szCs w:val="22"/>
          <w:highlight w:val="none"/>
          <w:lang w:eastAsia="zh-CN"/>
        </w:rPr>
        <w:t>联系人：</w:t>
      </w:r>
      <w:r>
        <w:rPr>
          <w:rFonts w:hint="eastAsia" w:hAnsi="宋体"/>
          <w:color w:val="auto"/>
          <w:kern w:val="2"/>
          <w:sz w:val="22"/>
          <w:szCs w:val="22"/>
          <w:highlight w:val="none"/>
          <w:lang w:val="en-US" w:eastAsia="zh-CN"/>
        </w:rPr>
        <w:t>孙宏宇</w:t>
      </w:r>
    </w:p>
    <w:p>
      <w:pPr>
        <w:pStyle w:val="141"/>
        <w:spacing w:line="400" w:lineRule="exact"/>
        <w:ind w:firstLine="440" w:firstLineChars="200"/>
        <w:rPr>
          <w:rFonts w:hint="default" w:hAnsi="宋体"/>
          <w:color w:val="auto"/>
          <w:kern w:val="2"/>
          <w:sz w:val="22"/>
          <w:szCs w:val="22"/>
          <w:highlight w:val="none"/>
          <w:lang w:val="en-US" w:eastAsia="zh-CN"/>
        </w:rPr>
      </w:pPr>
      <w:r>
        <w:rPr>
          <w:rFonts w:hint="eastAsia" w:hAnsi="宋体"/>
          <w:color w:val="auto"/>
          <w:kern w:val="2"/>
          <w:sz w:val="22"/>
          <w:szCs w:val="22"/>
          <w:highlight w:val="none"/>
          <w:lang w:eastAsia="zh-CN"/>
        </w:rPr>
        <w:t>联系方式：</w:t>
      </w:r>
      <w:r>
        <w:rPr>
          <w:rFonts w:hint="eastAsia" w:hAnsi="宋体"/>
          <w:color w:val="auto"/>
          <w:kern w:val="2"/>
          <w:sz w:val="22"/>
          <w:szCs w:val="22"/>
          <w:highlight w:val="none"/>
          <w:lang w:val="en-US" w:eastAsia="zh-CN"/>
        </w:rPr>
        <w:t>13943077127</w:t>
      </w:r>
    </w:p>
    <w:p>
      <w:pPr>
        <w:pStyle w:val="141"/>
        <w:spacing w:line="400" w:lineRule="exact"/>
        <w:ind w:firstLine="440" w:firstLineChars="200"/>
        <w:rPr>
          <w:rFonts w:hint="eastAsia" w:hAnsi="宋体"/>
          <w:color w:val="auto"/>
          <w:kern w:val="2"/>
          <w:sz w:val="22"/>
          <w:szCs w:val="22"/>
          <w:highlight w:val="none"/>
          <w:lang w:val="en-US" w:eastAsia="zh-CN"/>
        </w:rPr>
      </w:pPr>
      <w:r>
        <w:rPr>
          <w:rFonts w:hint="eastAsia" w:hAnsi="宋体"/>
          <w:color w:val="auto"/>
          <w:kern w:val="2"/>
          <w:sz w:val="22"/>
          <w:szCs w:val="22"/>
          <w:highlight w:val="none"/>
          <w:lang w:eastAsia="zh-CN"/>
        </w:rPr>
        <w:t>地址：</w:t>
      </w:r>
      <w:r>
        <w:rPr>
          <w:rFonts w:hint="eastAsia" w:hAnsi="宋体"/>
          <w:color w:val="auto"/>
          <w:kern w:val="2"/>
          <w:sz w:val="22"/>
          <w:szCs w:val="22"/>
          <w:highlight w:val="none"/>
          <w:lang w:val="en-US" w:eastAsia="zh-CN"/>
        </w:rPr>
        <w:t>长春市</w:t>
      </w:r>
      <w:r>
        <w:rPr>
          <w:rFonts w:hint="eastAsia" w:hAnsi="宋体"/>
          <w:color w:val="auto"/>
          <w:kern w:val="2"/>
          <w:sz w:val="22"/>
          <w:szCs w:val="22"/>
          <w:highlight w:val="none"/>
          <w:lang w:eastAsia="zh-CN"/>
        </w:rPr>
        <w:t>南关区谊民路</w:t>
      </w:r>
      <w:r>
        <w:rPr>
          <w:rFonts w:hint="eastAsia" w:hAnsi="宋体"/>
          <w:color w:val="auto"/>
          <w:kern w:val="2"/>
          <w:sz w:val="22"/>
          <w:szCs w:val="22"/>
          <w:highlight w:val="none"/>
          <w:lang w:val="en-US" w:eastAsia="zh-CN"/>
        </w:rPr>
        <w:t>966</w:t>
      </w:r>
      <w:r>
        <w:rPr>
          <w:rFonts w:hint="eastAsia" w:hAnsi="宋体"/>
          <w:color w:val="auto"/>
          <w:kern w:val="2"/>
          <w:sz w:val="22"/>
          <w:szCs w:val="22"/>
          <w:highlight w:val="none"/>
          <w:lang w:eastAsia="zh-CN"/>
        </w:rPr>
        <w:t>号</w:t>
      </w:r>
    </w:p>
    <w:p>
      <w:pPr>
        <w:pStyle w:val="141"/>
        <w:spacing w:line="400" w:lineRule="exact"/>
        <w:ind w:firstLine="440" w:firstLineChars="200"/>
        <w:rPr>
          <w:rFonts w:hint="eastAsia" w:hAnsi="宋体"/>
          <w:color w:val="auto"/>
          <w:kern w:val="2"/>
          <w:sz w:val="22"/>
          <w:szCs w:val="22"/>
          <w:highlight w:val="none"/>
          <w:lang w:val="en-US" w:eastAsia="zh-CN"/>
        </w:rPr>
      </w:pPr>
      <w:r>
        <w:rPr>
          <w:rFonts w:hint="eastAsia" w:hAnsi="宋体"/>
          <w:color w:val="auto"/>
          <w:kern w:val="2"/>
          <w:sz w:val="22"/>
          <w:szCs w:val="22"/>
          <w:highlight w:val="none"/>
          <w:lang w:val="en-US" w:eastAsia="zh-CN"/>
        </w:rPr>
        <w:t>2.采购</w:t>
      </w:r>
      <w:r>
        <w:rPr>
          <w:rFonts w:hint="eastAsia" w:hAnsi="宋体"/>
          <w:color w:val="auto"/>
          <w:kern w:val="2"/>
          <w:sz w:val="22"/>
          <w:szCs w:val="22"/>
          <w:highlight w:val="none"/>
          <w:lang w:eastAsia="zh-CN"/>
        </w:rPr>
        <w:t>代理机构：长春中融工程项目管理咨询有限公司</w:t>
      </w:r>
    </w:p>
    <w:p>
      <w:pPr>
        <w:pStyle w:val="141"/>
        <w:spacing w:line="400" w:lineRule="exact"/>
        <w:ind w:firstLine="440" w:firstLineChars="200"/>
        <w:rPr>
          <w:rFonts w:hint="eastAsia" w:hAnsi="宋体"/>
          <w:color w:val="auto"/>
          <w:kern w:val="2"/>
          <w:sz w:val="22"/>
          <w:szCs w:val="22"/>
          <w:highlight w:val="none"/>
          <w:lang w:val="en-US" w:eastAsia="zh-CN"/>
        </w:rPr>
      </w:pPr>
      <w:r>
        <w:rPr>
          <w:rFonts w:hint="eastAsia" w:hAnsi="宋体"/>
          <w:color w:val="auto"/>
          <w:kern w:val="2"/>
          <w:sz w:val="22"/>
          <w:szCs w:val="22"/>
          <w:highlight w:val="none"/>
          <w:lang w:eastAsia="zh-CN"/>
        </w:rPr>
        <w:t>统一</w:t>
      </w:r>
      <w:r>
        <w:rPr>
          <w:rFonts w:hint="eastAsia" w:hAnsi="宋体"/>
          <w:color w:val="auto"/>
          <w:kern w:val="2"/>
          <w:sz w:val="22"/>
          <w:szCs w:val="22"/>
          <w:highlight w:val="none"/>
          <w:lang w:val="en-US" w:eastAsia="zh-CN"/>
        </w:rPr>
        <w:t>社会信用</w:t>
      </w:r>
      <w:r>
        <w:rPr>
          <w:rFonts w:hint="eastAsia" w:hAnsi="宋体"/>
          <w:color w:val="auto"/>
          <w:kern w:val="2"/>
          <w:sz w:val="22"/>
          <w:szCs w:val="22"/>
          <w:highlight w:val="none"/>
          <w:lang w:eastAsia="zh-CN"/>
        </w:rPr>
        <w:t>代码：91220103MA17F67X83</w:t>
      </w:r>
    </w:p>
    <w:p>
      <w:pPr>
        <w:pStyle w:val="141"/>
        <w:spacing w:line="400" w:lineRule="exact"/>
        <w:ind w:firstLine="440" w:firstLineChars="200"/>
        <w:rPr>
          <w:rFonts w:hint="eastAsia" w:hAnsi="宋体"/>
          <w:color w:val="auto"/>
          <w:kern w:val="2"/>
          <w:sz w:val="22"/>
          <w:szCs w:val="22"/>
          <w:highlight w:val="none"/>
          <w:lang w:val="en-US" w:eastAsia="zh-CN"/>
        </w:rPr>
      </w:pPr>
      <w:r>
        <w:rPr>
          <w:rFonts w:hint="eastAsia" w:hAnsi="宋体"/>
          <w:color w:val="auto"/>
          <w:kern w:val="2"/>
          <w:sz w:val="22"/>
          <w:szCs w:val="22"/>
          <w:highlight w:val="none"/>
          <w:lang w:eastAsia="zh-CN"/>
        </w:rPr>
        <w:t>地 址：长春市宽城区上台新村花园小区(二期)C14号楼409号</w:t>
      </w:r>
    </w:p>
    <w:p>
      <w:pPr>
        <w:pStyle w:val="141"/>
        <w:spacing w:line="400" w:lineRule="exact"/>
        <w:ind w:firstLine="440" w:firstLineChars="200"/>
        <w:rPr>
          <w:rFonts w:hint="default" w:ascii="宋体" w:hAnsi="宋体" w:eastAsia="宋体" w:cs="宋体"/>
          <w:color w:val="auto"/>
          <w:kern w:val="2"/>
          <w:sz w:val="22"/>
          <w:szCs w:val="22"/>
          <w:highlight w:val="none"/>
          <w:lang w:val="en-US" w:eastAsia="zh-CN"/>
        </w:rPr>
      </w:pPr>
      <w:r>
        <w:rPr>
          <w:rFonts w:hint="eastAsia" w:ascii="宋体" w:hAnsi="宋体" w:eastAsia="宋体" w:cs="宋体"/>
          <w:color w:val="auto"/>
          <w:kern w:val="2"/>
          <w:sz w:val="22"/>
          <w:szCs w:val="22"/>
          <w:highlight w:val="none"/>
          <w:lang w:val="en-US" w:eastAsia="zh-CN"/>
        </w:rPr>
        <w:t>联系人：</w:t>
      </w:r>
      <w:r>
        <w:rPr>
          <w:rFonts w:hint="eastAsia" w:hAnsi="宋体" w:cs="宋体"/>
          <w:color w:val="auto"/>
          <w:kern w:val="2"/>
          <w:sz w:val="22"/>
          <w:szCs w:val="22"/>
          <w:highlight w:val="none"/>
          <w:lang w:val="en-US" w:eastAsia="zh-CN"/>
        </w:rPr>
        <w:t>丁禄</w:t>
      </w:r>
    </w:p>
    <w:p>
      <w:pPr>
        <w:pStyle w:val="141"/>
        <w:spacing w:line="400" w:lineRule="exact"/>
        <w:ind w:firstLine="440" w:firstLineChars="200"/>
        <w:rPr>
          <w:rFonts w:hint="default" w:ascii="宋体" w:hAnsi="宋体" w:eastAsia="宋体" w:cs="宋体"/>
          <w:color w:val="auto"/>
          <w:kern w:val="2"/>
          <w:sz w:val="22"/>
          <w:szCs w:val="22"/>
          <w:highlight w:val="none"/>
          <w:lang w:val="en-US" w:eastAsia="zh-CN"/>
        </w:rPr>
      </w:pPr>
      <w:r>
        <w:rPr>
          <w:rFonts w:hint="eastAsia" w:hAnsi="宋体"/>
          <w:color w:val="auto"/>
          <w:kern w:val="2"/>
          <w:sz w:val="22"/>
          <w:szCs w:val="22"/>
          <w:highlight w:val="none"/>
          <w:lang w:eastAsia="zh-CN"/>
        </w:rPr>
        <w:t>联系方式</w:t>
      </w:r>
      <w:r>
        <w:rPr>
          <w:rFonts w:hint="eastAsia" w:ascii="宋体" w:hAnsi="宋体" w:eastAsia="宋体" w:cs="宋体"/>
          <w:color w:val="auto"/>
          <w:kern w:val="2"/>
          <w:sz w:val="22"/>
          <w:szCs w:val="22"/>
          <w:highlight w:val="none"/>
          <w:lang w:val="en-US" w:eastAsia="zh-CN"/>
        </w:rPr>
        <w:t>：</w:t>
      </w:r>
      <w:r>
        <w:rPr>
          <w:rFonts w:hint="eastAsia" w:hAnsi="宋体" w:cs="宋体"/>
          <w:color w:val="auto"/>
          <w:kern w:val="2"/>
          <w:sz w:val="22"/>
          <w:szCs w:val="22"/>
          <w:highlight w:val="none"/>
          <w:lang w:val="en-US" w:eastAsia="zh-CN"/>
        </w:rPr>
        <w:t>13331762865</w:t>
      </w:r>
    </w:p>
    <w:p>
      <w:pPr>
        <w:pStyle w:val="141"/>
        <w:spacing w:line="400" w:lineRule="exact"/>
        <w:ind w:firstLine="440" w:firstLineChars="200"/>
        <w:rPr>
          <w:rFonts w:hint="eastAsia" w:hAnsi="宋体"/>
          <w:color w:val="auto"/>
          <w:kern w:val="2"/>
          <w:sz w:val="22"/>
          <w:szCs w:val="22"/>
          <w:highlight w:val="none"/>
          <w:lang w:val="en-US"/>
        </w:rPr>
      </w:pPr>
      <w:r>
        <w:rPr>
          <w:rFonts w:hint="eastAsia" w:hAnsi="宋体"/>
          <w:color w:val="auto"/>
          <w:kern w:val="2"/>
          <w:sz w:val="22"/>
          <w:szCs w:val="22"/>
          <w:highlight w:val="none"/>
          <w:lang w:val="en-US"/>
        </w:rPr>
        <w:t>3.</w:t>
      </w:r>
      <w:r>
        <w:rPr>
          <w:rFonts w:hint="eastAsia" w:hAnsi="宋体"/>
          <w:color w:val="auto"/>
          <w:kern w:val="2"/>
          <w:sz w:val="22"/>
          <w:szCs w:val="22"/>
          <w:highlight w:val="none"/>
          <w:lang w:eastAsia="zh-CN"/>
        </w:rPr>
        <w:t>监督部门：长春市财政局政府采</w:t>
      </w:r>
      <w:r>
        <w:rPr>
          <w:rFonts w:hint="eastAsia" w:hAnsi="宋体"/>
          <w:color w:val="auto"/>
          <w:kern w:val="2"/>
          <w:sz w:val="22"/>
          <w:szCs w:val="22"/>
          <w:highlight w:val="none"/>
          <w:lang w:val="en-US" w:eastAsia="zh-CN"/>
        </w:rPr>
        <w:t>购管理工作办</w:t>
      </w:r>
      <w:r>
        <w:rPr>
          <w:rFonts w:hint="eastAsia" w:hAnsi="宋体"/>
          <w:color w:val="auto"/>
          <w:kern w:val="2"/>
          <w:sz w:val="22"/>
          <w:szCs w:val="22"/>
          <w:highlight w:val="none"/>
          <w:lang w:eastAsia="zh-CN"/>
        </w:rPr>
        <w:t>公室</w:t>
      </w:r>
    </w:p>
    <w:p>
      <w:pPr>
        <w:pStyle w:val="141"/>
        <w:spacing w:line="400" w:lineRule="exact"/>
        <w:ind w:firstLine="440" w:firstLineChars="200"/>
        <w:rPr>
          <w:rFonts w:hint="eastAsia" w:hAnsi="宋体"/>
          <w:color w:val="auto"/>
          <w:kern w:val="2"/>
          <w:sz w:val="22"/>
          <w:szCs w:val="22"/>
          <w:highlight w:val="none"/>
          <w:lang w:val="en-US"/>
        </w:rPr>
      </w:pPr>
      <w:r>
        <w:rPr>
          <w:rFonts w:hint="eastAsia" w:hAnsi="宋体"/>
          <w:color w:val="auto"/>
          <w:kern w:val="2"/>
          <w:sz w:val="22"/>
          <w:szCs w:val="22"/>
          <w:highlight w:val="none"/>
          <w:lang w:eastAsia="zh-CN"/>
        </w:rPr>
        <w:t>联系方式</w:t>
      </w:r>
      <w:r>
        <w:rPr>
          <w:rFonts w:hint="eastAsia" w:hAnsi="宋体"/>
          <w:color w:val="auto"/>
          <w:kern w:val="2"/>
          <w:sz w:val="22"/>
          <w:szCs w:val="22"/>
          <w:highlight w:val="none"/>
          <w:lang w:val="en-US"/>
        </w:rPr>
        <w:t>:0431-89865653</w:t>
      </w:r>
    </w:p>
    <w:p>
      <w:pPr>
        <w:pStyle w:val="141"/>
        <w:spacing w:line="400" w:lineRule="exact"/>
        <w:ind w:firstLine="440" w:firstLineChars="200"/>
        <w:rPr>
          <w:rFonts w:hAnsi="宋体"/>
          <w:color w:val="auto"/>
          <w:kern w:val="2"/>
          <w:sz w:val="22"/>
          <w:szCs w:val="22"/>
          <w:highlight w:val="none"/>
          <w:lang w:val="en-US"/>
        </w:rPr>
      </w:pPr>
      <w:r>
        <w:rPr>
          <w:rFonts w:hint="eastAsia" w:hAnsi="宋体"/>
          <w:color w:val="auto"/>
          <w:kern w:val="2"/>
          <w:sz w:val="22"/>
          <w:szCs w:val="22"/>
          <w:highlight w:val="none"/>
          <w:lang w:val="en-US" w:eastAsia="zh-CN"/>
        </w:rPr>
        <w:t>注： 本招标公告内容有不一致之处，以最新发布的招标公告内容为准；本招标公告与招标文件内容有不一致之处，以招标文件内容为准。</w:t>
      </w:r>
    </w:p>
    <w:p>
      <w:pPr>
        <w:pStyle w:val="141"/>
        <w:spacing w:line="400" w:lineRule="exact"/>
        <w:rPr>
          <w:rFonts w:hAnsi="宋体"/>
          <w:color w:val="auto"/>
          <w:kern w:val="2"/>
          <w:highlight w:val="none"/>
        </w:rPr>
      </w:pPr>
    </w:p>
    <w:p>
      <w:pPr>
        <w:spacing w:line="500" w:lineRule="exact"/>
        <w:jc w:val="center"/>
        <w:rPr>
          <w:rFonts w:ascii="宋体" w:hAnsi="宋体" w:cs="宋体"/>
          <w:color w:val="auto"/>
          <w:sz w:val="32"/>
          <w:szCs w:val="32"/>
          <w:highlight w:val="none"/>
          <w:lang w:val="zh-CN"/>
        </w:rPr>
      </w:pPr>
      <w:r>
        <w:rPr>
          <w:rFonts w:hint="eastAsia" w:ascii="宋体" w:hAnsi="宋体" w:cs="宋体"/>
          <w:color w:val="auto"/>
          <w:sz w:val="24"/>
          <w:szCs w:val="24"/>
          <w:highlight w:val="none"/>
        </w:rPr>
        <w:br w:type="page"/>
      </w:r>
      <w:bookmarkStart w:id="9" w:name="_Toc24053"/>
      <w:bookmarkStart w:id="10" w:name="_Toc30030"/>
      <w:bookmarkStart w:id="11" w:name="_Toc27273"/>
      <w:bookmarkStart w:id="12" w:name="_Toc31541"/>
      <w:bookmarkStart w:id="13" w:name="_Toc9075"/>
      <w:bookmarkStart w:id="14" w:name="_Toc24146"/>
      <w:bookmarkStart w:id="15" w:name="_Toc28622"/>
      <w:bookmarkStart w:id="16" w:name="_Toc20425"/>
      <w:bookmarkStart w:id="17" w:name="_Toc32250"/>
      <w:r>
        <w:rPr>
          <w:rStyle w:val="64"/>
          <w:rFonts w:hint="eastAsia" w:ascii="宋体" w:hAnsi="宋体" w:cs="宋体"/>
          <w:color w:val="auto"/>
          <w:highlight w:val="none"/>
          <w:lang w:val="zh-CN"/>
        </w:rPr>
        <w:t>第二章  供应商须知</w:t>
      </w:r>
      <w:bookmarkEnd w:id="9"/>
      <w:bookmarkEnd w:id="10"/>
      <w:bookmarkEnd w:id="11"/>
      <w:bookmarkEnd w:id="12"/>
      <w:bookmarkEnd w:id="13"/>
      <w:bookmarkEnd w:id="14"/>
      <w:bookmarkEnd w:id="15"/>
      <w:bookmarkEnd w:id="16"/>
      <w:bookmarkEnd w:id="17"/>
    </w:p>
    <w:p>
      <w:pPr>
        <w:autoSpaceDE w:val="0"/>
        <w:autoSpaceDN w:val="0"/>
        <w:adjustRightInd w:val="0"/>
        <w:spacing w:line="500" w:lineRule="exact"/>
        <w:jc w:val="center"/>
        <w:rPr>
          <w:rFonts w:ascii="宋体" w:hAnsi="宋体" w:cs="宋体"/>
          <w:b/>
          <w:color w:val="auto"/>
          <w:sz w:val="21"/>
          <w:szCs w:val="21"/>
          <w:highlight w:val="none"/>
          <w:lang w:val="zh-CN"/>
        </w:rPr>
      </w:pPr>
      <w:r>
        <w:rPr>
          <w:rFonts w:hint="eastAsia" w:ascii="宋体" w:hAnsi="宋体" w:cs="宋体"/>
          <w:b/>
          <w:color w:val="auto"/>
          <w:sz w:val="21"/>
          <w:szCs w:val="21"/>
          <w:highlight w:val="none"/>
          <w:lang w:val="zh-CN"/>
        </w:rPr>
        <w:t>供应商须知前附表</w:t>
      </w:r>
    </w:p>
    <w:tbl>
      <w:tblPr>
        <w:tblStyle w:val="46"/>
        <w:tblW w:w="98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2279"/>
        <w:gridCol w:w="6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3" w:type="dxa"/>
            <w:vAlign w:val="center"/>
          </w:tcPr>
          <w:p>
            <w:pPr>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288" w:lineRule="auto"/>
              <w:ind w:left="0" w:right="0"/>
              <w:jc w:val="center"/>
              <w:textAlignment w:val="auto"/>
              <w:rPr>
                <w:rFonts w:hint="eastAsia" w:ascii="宋体" w:hAnsi="宋体" w:eastAsia="宋体" w:cs="宋体"/>
                <w:bCs/>
                <w:color w:val="auto"/>
                <w:sz w:val="22"/>
                <w:szCs w:val="22"/>
                <w:highlight w:val="none"/>
                <w:lang w:val="zh-CN"/>
              </w:rPr>
            </w:pPr>
            <w:r>
              <w:rPr>
                <w:rFonts w:hint="eastAsia" w:ascii="宋体" w:hAnsi="宋体" w:eastAsia="宋体" w:cs="宋体"/>
                <w:bCs/>
                <w:color w:val="auto"/>
                <w:sz w:val="22"/>
                <w:szCs w:val="22"/>
                <w:highlight w:val="none"/>
                <w:lang w:val="zh-CN"/>
              </w:rPr>
              <w:t>序号</w:t>
            </w:r>
          </w:p>
        </w:tc>
        <w:tc>
          <w:tcPr>
            <w:tcW w:w="2279" w:type="dxa"/>
            <w:vAlign w:val="center"/>
          </w:tcPr>
          <w:p>
            <w:pPr>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288" w:lineRule="auto"/>
              <w:ind w:left="0" w:right="0"/>
              <w:jc w:val="center"/>
              <w:textAlignment w:val="auto"/>
              <w:rPr>
                <w:rFonts w:hint="eastAsia" w:ascii="宋体" w:hAnsi="宋体" w:eastAsia="宋体" w:cs="宋体"/>
                <w:bCs/>
                <w:color w:val="auto"/>
                <w:sz w:val="22"/>
                <w:szCs w:val="22"/>
                <w:highlight w:val="none"/>
                <w:lang w:val="zh-CN"/>
              </w:rPr>
            </w:pPr>
            <w:r>
              <w:rPr>
                <w:rFonts w:hint="eastAsia" w:ascii="宋体" w:hAnsi="宋体" w:eastAsia="宋体" w:cs="宋体"/>
                <w:bCs/>
                <w:color w:val="auto"/>
                <w:sz w:val="22"/>
                <w:szCs w:val="22"/>
                <w:highlight w:val="none"/>
                <w:lang w:val="zh-CN"/>
              </w:rPr>
              <w:t>名称</w:t>
            </w:r>
          </w:p>
        </w:tc>
        <w:tc>
          <w:tcPr>
            <w:tcW w:w="6897" w:type="dxa"/>
            <w:vAlign w:val="center"/>
          </w:tcPr>
          <w:p>
            <w:pPr>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288" w:lineRule="auto"/>
              <w:ind w:left="0" w:right="0"/>
              <w:jc w:val="center"/>
              <w:textAlignment w:val="auto"/>
              <w:rPr>
                <w:rFonts w:hint="eastAsia" w:ascii="宋体" w:hAnsi="宋体" w:eastAsia="宋体" w:cs="宋体"/>
                <w:bCs/>
                <w:color w:val="auto"/>
                <w:sz w:val="22"/>
                <w:szCs w:val="22"/>
                <w:highlight w:val="none"/>
                <w:lang w:val="zh-CN"/>
              </w:rPr>
            </w:pPr>
            <w:r>
              <w:rPr>
                <w:rFonts w:hint="eastAsia" w:ascii="宋体" w:hAnsi="宋体" w:eastAsia="宋体" w:cs="宋体"/>
                <w:bCs/>
                <w:color w:val="auto"/>
                <w:sz w:val="22"/>
                <w:szCs w:val="22"/>
                <w:highlight w:val="none"/>
                <w:lang w:val="zh-CN"/>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3" w:type="dxa"/>
            <w:vAlign w:val="center"/>
          </w:tcPr>
          <w:p>
            <w:pPr>
              <w:keepNext w:val="0"/>
              <w:keepLines w:val="0"/>
              <w:pageBreakBefore w:val="0"/>
              <w:widowControl w:val="0"/>
              <w:numPr>
                <w:ilvl w:val="0"/>
                <w:numId w:val="4"/>
              </w:numPr>
              <w:suppressLineNumbers w:val="0"/>
              <w:kinsoku/>
              <w:wordWrap/>
              <w:overflowPunct/>
              <w:topLinePunct w:val="0"/>
              <w:autoSpaceDE w:val="0"/>
              <w:autoSpaceDN w:val="0"/>
              <w:bidi w:val="0"/>
              <w:adjustRightInd w:val="0"/>
              <w:spacing w:before="0" w:beforeAutospacing="0" w:after="0" w:afterAutospacing="0" w:line="288" w:lineRule="auto"/>
              <w:ind w:left="454" w:leftChars="0" w:right="0" w:hanging="248" w:firstLineChars="0"/>
              <w:jc w:val="center"/>
              <w:textAlignment w:val="auto"/>
              <w:rPr>
                <w:rFonts w:hint="eastAsia" w:ascii="宋体" w:hAnsi="宋体" w:eastAsia="宋体" w:cs="宋体"/>
                <w:bCs/>
                <w:color w:val="auto"/>
                <w:sz w:val="22"/>
                <w:szCs w:val="22"/>
                <w:highlight w:val="none"/>
              </w:rPr>
            </w:pPr>
          </w:p>
        </w:tc>
        <w:tc>
          <w:tcPr>
            <w:tcW w:w="2279" w:type="dxa"/>
            <w:vAlign w:val="center"/>
          </w:tcPr>
          <w:p>
            <w:pPr>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288" w:lineRule="auto"/>
              <w:ind w:left="0" w:right="0"/>
              <w:jc w:val="center"/>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采购人</w:t>
            </w:r>
          </w:p>
        </w:tc>
        <w:tc>
          <w:tcPr>
            <w:tcW w:w="6897" w:type="dxa"/>
          </w:tcPr>
          <w:p>
            <w:pPr>
              <w:pStyle w:val="141"/>
              <w:keepNext w:val="0"/>
              <w:keepLines w:val="0"/>
              <w:pageBreakBefore w:val="0"/>
              <w:widowControl w:val="0"/>
              <w:suppressLineNumbers w:val="0"/>
              <w:kinsoku/>
              <w:wordWrap/>
              <w:overflowPunct/>
              <w:topLinePunct w:val="0"/>
              <w:bidi w:val="0"/>
              <w:spacing w:before="0" w:beforeAutospacing="0" w:after="0" w:afterAutospacing="0" w:line="288" w:lineRule="auto"/>
              <w:ind w:left="0" w:right="0"/>
              <w:textAlignment w:val="auto"/>
              <w:rPr>
                <w:rFonts w:hint="eastAsia" w:ascii="宋体" w:hAnsi="宋体" w:eastAsia="宋体" w:cs="宋体"/>
                <w:color w:val="auto"/>
                <w:kern w:val="2"/>
                <w:sz w:val="22"/>
                <w:szCs w:val="22"/>
                <w:highlight w:val="none"/>
                <w:lang w:val="zh-CN" w:eastAsia="zh-CN"/>
              </w:rPr>
            </w:pPr>
            <w:r>
              <w:rPr>
                <w:rFonts w:hint="eastAsia" w:ascii="宋体" w:hAnsi="宋体" w:eastAsia="宋体" w:cs="宋体"/>
                <w:color w:val="auto"/>
                <w:kern w:val="2"/>
                <w:sz w:val="22"/>
                <w:szCs w:val="22"/>
                <w:highlight w:val="none"/>
                <w:lang w:val="zh-CN" w:eastAsia="zh-CN"/>
              </w:rPr>
              <w:t>名称：长春市文化广播电视和旅游局（长春市文物局）</w:t>
            </w:r>
          </w:p>
          <w:p>
            <w:pPr>
              <w:pStyle w:val="141"/>
              <w:keepNext w:val="0"/>
              <w:keepLines w:val="0"/>
              <w:pageBreakBefore w:val="0"/>
              <w:widowControl w:val="0"/>
              <w:suppressLineNumbers w:val="0"/>
              <w:kinsoku/>
              <w:wordWrap/>
              <w:overflowPunct/>
              <w:topLinePunct w:val="0"/>
              <w:bidi w:val="0"/>
              <w:spacing w:before="0" w:beforeAutospacing="0" w:after="0" w:afterAutospacing="0" w:line="288" w:lineRule="auto"/>
              <w:ind w:left="0" w:right="0"/>
              <w:textAlignment w:val="auto"/>
              <w:rPr>
                <w:rFonts w:hint="eastAsia" w:ascii="宋体" w:hAnsi="宋体" w:eastAsia="宋体" w:cs="宋体"/>
                <w:color w:val="auto"/>
                <w:kern w:val="2"/>
                <w:sz w:val="22"/>
                <w:szCs w:val="22"/>
                <w:highlight w:val="none"/>
                <w:lang w:val="zh-CN" w:eastAsia="zh-CN"/>
              </w:rPr>
            </w:pPr>
            <w:r>
              <w:rPr>
                <w:rFonts w:hint="eastAsia" w:ascii="宋体" w:hAnsi="宋体" w:eastAsia="宋体" w:cs="宋体"/>
                <w:color w:val="auto"/>
                <w:kern w:val="2"/>
                <w:sz w:val="22"/>
                <w:szCs w:val="22"/>
                <w:highlight w:val="none"/>
                <w:lang w:val="zh-CN" w:eastAsia="zh-CN"/>
              </w:rPr>
              <w:t>地址：长春市南关区谊民路966号</w:t>
            </w:r>
          </w:p>
          <w:p>
            <w:pPr>
              <w:pStyle w:val="141"/>
              <w:keepNext w:val="0"/>
              <w:keepLines w:val="0"/>
              <w:pageBreakBefore w:val="0"/>
              <w:widowControl w:val="0"/>
              <w:suppressLineNumbers w:val="0"/>
              <w:kinsoku/>
              <w:wordWrap/>
              <w:overflowPunct/>
              <w:topLinePunct w:val="0"/>
              <w:bidi w:val="0"/>
              <w:spacing w:before="0" w:beforeAutospacing="0" w:after="0" w:afterAutospacing="0" w:line="288" w:lineRule="auto"/>
              <w:ind w:left="0" w:right="0"/>
              <w:textAlignment w:val="auto"/>
              <w:rPr>
                <w:rFonts w:hint="eastAsia" w:ascii="宋体" w:hAnsi="宋体" w:eastAsia="宋体" w:cs="宋体"/>
                <w:color w:val="auto"/>
                <w:kern w:val="2"/>
                <w:sz w:val="22"/>
                <w:szCs w:val="22"/>
                <w:highlight w:val="none"/>
                <w:lang w:val="en-US" w:eastAsia="zh-CN"/>
              </w:rPr>
            </w:pPr>
            <w:r>
              <w:rPr>
                <w:rFonts w:hint="eastAsia" w:ascii="宋体" w:hAnsi="宋体" w:eastAsia="宋体" w:cs="宋体"/>
                <w:color w:val="auto"/>
                <w:kern w:val="2"/>
                <w:sz w:val="22"/>
                <w:szCs w:val="22"/>
                <w:highlight w:val="none"/>
                <w:lang w:val="en-US" w:eastAsia="zh-CN"/>
              </w:rPr>
              <w:t>联系人：孙宏宇</w:t>
            </w:r>
          </w:p>
          <w:p>
            <w:pPr>
              <w:pStyle w:val="141"/>
              <w:keepNext w:val="0"/>
              <w:keepLines w:val="0"/>
              <w:pageBreakBefore w:val="0"/>
              <w:widowControl w:val="0"/>
              <w:suppressLineNumbers w:val="0"/>
              <w:kinsoku/>
              <w:wordWrap/>
              <w:overflowPunct/>
              <w:topLinePunct w:val="0"/>
              <w:bidi w:val="0"/>
              <w:spacing w:before="0" w:beforeAutospacing="0" w:after="0" w:afterAutospacing="0" w:line="288" w:lineRule="auto"/>
              <w:ind w:left="0" w:right="0"/>
              <w:textAlignment w:val="auto"/>
              <w:rPr>
                <w:rFonts w:hint="eastAsia" w:ascii="宋体" w:hAnsi="宋体" w:eastAsia="宋体" w:cs="宋体"/>
                <w:color w:val="auto"/>
                <w:kern w:val="2"/>
                <w:sz w:val="22"/>
                <w:szCs w:val="22"/>
                <w:highlight w:val="none"/>
                <w:lang w:val="en-US" w:eastAsia="zh-CN"/>
              </w:rPr>
            </w:pPr>
            <w:r>
              <w:rPr>
                <w:rFonts w:hint="eastAsia" w:ascii="宋体" w:hAnsi="宋体" w:eastAsia="宋体" w:cs="宋体"/>
                <w:color w:val="auto"/>
                <w:kern w:val="2"/>
                <w:sz w:val="22"/>
                <w:szCs w:val="22"/>
                <w:highlight w:val="none"/>
                <w:lang w:val="en-US" w:eastAsia="zh-CN"/>
              </w:rPr>
              <w:t>联系方式：13943077127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3" w:type="dxa"/>
            <w:vAlign w:val="center"/>
          </w:tcPr>
          <w:p>
            <w:pPr>
              <w:keepNext w:val="0"/>
              <w:keepLines w:val="0"/>
              <w:pageBreakBefore w:val="0"/>
              <w:widowControl w:val="0"/>
              <w:numPr>
                <w:ilvl w:val="0"/>
                <w:numId w:val="4"/>
              </w:numPr>
              <w:suppressLineNumbers w:val="0"/>
              <w:kinsoku/>
              <w:wordWrap/>
              <w:overflowPunct/>
              <w:topLinePunct w:val="0"/>
              <w:autoSpaceDE w:val="0"/>
              <w:autoSpaceDN w:val="0"/>
              <w:bidi w:val="0"/>
              <w:adjustRightInd w:val="0"/>
              <w:spacing w:before="0" w:beforeAutospacing="0" w:after="0" w:afterAutospacing="0" w:line="288" w:lineRule="auto"/>
              <w:ind w:left="454" w:leftChars="0" w:right="0" w:hanging="248" w:firstLineChars="0"/>
              <w:jc w:val="center"/>
              <w:textAlignment w:val="auto"/>
              <w:rPr>
                <w:rFonts w:hint="eastAsia" w:ascii="宋体" w:hAnsi="宋体" w:eastAsia="宋体" w:cs="宋体"/>
                <w:bCs/>
                <w:color w:val="auto"/>
                <w:sz w:val="22"/>
                <w:szCs w:val="22"/>
                <w:highlight w:val="none"/>
              </w:rPr>
            </w:pPr>
          </w:p>
        </w:tc>
        <w:tc>
          <w:tcPr>
            <w:tcW w:w="2279" w:type="dxa"/>
            <w:vAlign w:val="center"/>
          </w:tcPr>
          <w:p>
            <w:pPr>
              <w:keepNext w:val="0"/>
              <w:keepLines w:val="0"/>
              <w:pageBreakBefore w:val="0"/>
              <w:widowControl w:val="0"/>
              <w:suppressLineNumbers w:val="0"/>
              <w:kinsoku/>
              <w:wordWrap/>
              <w:overflowPunct/>
              <w:topLinePunct w:val="0"/>
              <w:bidi w:val="0"/>
              <w:spacing w:before="0" w:beforeAutospacing="0" w:after="0" w:afterAutospacing="0" w:line="288" w:lineRule="auto"/>
              <w:ind w:left="0" w:right="0"/>
              <w:jc w:val="center"/>
              <w:textAlignment w:val="auto"/>
              <w:rPr>
                <w:rFonts w:hint="eastAsia" w:ascii="宋体" w:hAnsi="宋体" w:eastAsia="宋体" w:cs="宋体"/>
                <w:color w:val="auto"/>
                <w:sz w:val="22"/>
                <w:szCs w:val="22"/>
                <w:highlight w:val="none"/>
                <w:lang w:val="zh-CN" w:eastAsia="zh-CN"/>
              </w:rPr>
            </w:pPr>
            <w:r>
              <w:rPr>
                <w:rFonts w:hint="eastAsia" w:ascii="宋体" w:hAnsi="宋体" w:eastAsia="宋体" w:cs="宋体"/>
                <w:color w:val="auto"/>
                <w:sz w:val="22"/>
                <w:szCs w:val="22"/>
                <w:highlight w:val="none"/>
                <w:lang w:val="zh-CN" w:eastAsia="zh-CN"/>
              </w:rPr>
              <w:t>采购代理机构</w:t>
            </w:r>
          </w:p>
        </w:tc>
        <w:tc>
          <w:tcPr>
            <w:tcW w:w="6897" w:type="dxa"/>
          </w:tcPr>
          <w:p>
            <w:pPr>
              <w:pStyle w:val="141"/>
              <w:keepNext w:val="0"/>
              <w:keepLines w:val="0"/>
              <w:pageBreakBefore w:val="0"/>
              <w:widowControl w:val="0"/>
              <w:suppressLineNumbers w:val="0"/>
              <w:kinsoku/>
              <w:wordWrap/>
              <w:overflowPunct/>
              <w:topLinePunct w:val="0"/>
              <w:bidi w:val="0"/>
              <w:spacing w:before="0" w:beforeAutospacing="0" w:after="0" w:afterAutospacing="0" w:line="288" w:lineRule="auto"/>
              <w:ind w:left="0" w:right="0"/>
              <w:textAlignment w:val="auto"/>
              <w:rPr>
                <w:rFonts w:hint="eastAsia" w:ascii="宋体" w:hAnsi="宋体" w:eastAsia="宋体" w:cs="宋体"/>
                <w:color w:val="auto"/>
                <w:kern w:val="2"/>
                <w:sz w:val="22"/>
                <w:szCs w:val="22"/>
                <w:highlight w:val="none"/>
                <w:lang w:val="zh-CN" w:eastAsia="zh-CN"/>
              </w:rPr>
            </w:pPr>
            <w:r>
              <w:rPr>
                <w:rFonts w:hint="eastAsia" w:ascii="宋体" w:hAnsi="宋体" w:eastAsia="宋体" w:cs="宋体"/>
                <w:color w:val="auto"/>
                <w:kern w:val="2"/>
                <w:sz w:val="22"/>
                <w:szCs w:val="22"/>
                <w:highlight w:val="none"/>
                <w:lang w:val="zh-CN" w:eastAsia="zh-CN"/>
              </w:rPr>
              <w:t>名称：长春中融工程项目管理咨询有限公司</w:t>
            </w:r>
          </w:p>
          <w:p>
            <w:pPr>
              <w:pStyle w:val="141"/>
              <w:keepNext w:val="0"/>
              <w:keepLines w:val="0"/>
              <w:pageBreakBefore w:val="0"/>
              <w:widowControl w:val="0"/>
              <w:suppressLineNumbers w:val="0"/>
              <w:kinsoku/>
              <w:wordWrap/>
              <w:overflowPunct/>
              <w:topLinePunct w:val="0"/>
              <w:bidi w:val="0"/>
              <w:spacing w:before="0" w:beforeAutospacing="0" w:after="0" w:afterAutospacing="0" w:line="288" w:lineRule="auto"/>
              <w:ind w:left="0" w:right="0"/>
              <w:textAlignment w:val="auto"/>
              <w:rPr>
                <w:rFonts w:hint="eastAsia" w:ascii="宋体" w:hAnsi="宋体" w:eastAsia="宋体" w:cs="宋体"/>
                <w:color w:val="auto"/>
                <w:kern w:val="2"/>
                <w:sz w:val="22"/>
                <w:szCs w:val="22"/>
                <w:highlight w:val="none"/>
                <w:lang w:val="zh-CN" w:eastAsia="zh-CN"/>
              </w:rPr>
            </w:pPr>
            <w:r>
              <w:rPr>
                <w:rFonts w:hint="eastAsia" w:ascii="宋体" w:hAnsi="宋体" w:eastAsia="宋体" w:cs="宋体"/>
                <w:color w:val="auto"/>
                <w:kern w:val="2"/>
                <w:sz w:val="22"/>
                <w:szCs w:val="22"/>
                <w:highlight w:val="none"/>
                <w:lang w:val="zh-CN" w:eastAsia="zh-CN"/>
              </w:rPr>
              <w:t>地址：长春市宽城区上台新村花园小区(二期)C14号楼409号</w:t>
            </w:r>
          </w:p>
          <w:p>
            <w:pPr>
              <w:pStyle w:val="141"/>
              <w:keepNext w:val="0"/>
              <w:keepLines w:val="0"/>
              <w:pageBreakBefore w:val="0"/>
              <w:widowControl w:val="0"/>
              <w:suppressLineNumbers w:val="0"/>
              <w:kinsoku/>
              <w:wordWrap/>
              <w:overflowPunct/>
              <w:topLinePunct w:val="0"/>
              <w:bidi w:val="0"/>
              <w:spacing w:before="0" w:beforeAutospacing="0" w:after="0" w:afterAutospacing="0" w:line="288" w:lineRule="auto"/>
              <w:ind w:left="0" w:right="0"/>
              <w:textAlignment w:val="auto"/>
              <w:rPr>
                <w:rFonts w:hint="eastAsia" w:ascii="宋体" w:hAnsi="宋体" w:eastAsia="宋体" w:cs="宋体"/>
                <w:color w:val="auto"/>
                <w:kern w:val="2"/>
                <w:sz w:val="22"/>
                <w:szCs w:val="22"/>
                <w:highlight w:val="none"/>
                <w:lang w:val="en-US" w:eastAsia="zh-CN"/>
              </w:rPr>
            </w:pPr>
            <w:r>
              <w:rPr>
                <w:rFonts w:hint="eastAsia" w:ascii="宋体" w:hAnsi="宋体" w:eastAsia="宋体" w:cs="宋体"/>
                <w:color w:val="auto"/>
                <w:kern w:val="2"/>
                <w:sz w:val="22"/>
                <w:szCs w:val="22"/>
                <w:highlight w:val="none"/>
                <w:lang w:val="en-US" w:eastAsia="zh-CN"/>
              </w:rPr>
              <w:t>联系人：丁禄</w:t>
            </w:r>
          </w:p>
          <w:p>
            <w:pPr>
              <w:pStyle w:val="141"/>
              <w:keepNext w:val="0"/>
              <w:keepLines w:val="0"/>
              <w:pageBreakBefore w:val="0"/>
              <w:widowControl w:val="0"/>
              <w:suppressLineNumbers w:val="0"/>
              <w:kinsoku/>
              <w:wordWrap/>
              <w:overflowPunct/>
              <w:topLinePunct w:val="0"/>
              <w:bidi w:val="0"/>
              <w:spacing w:before="0" w:beforeAutospacing="0" w:after="0" w:afterAutospacing="0" w:line="288" w:lineRule="auto"/>
              <w:ind w:left="0" w:right="0"/>
              <w:textAlignment w:val="auto"/>
              <w:rPr>
                <w:rFonts w:hint="eastAsia" w:ascii="宋体" w:hAnsi="宋体" w:eastAsia="宋体" w:cs="宋体"/>
                <w:color w:val="auto"/>
                <w:kern w:val="2"/>
                <w:sz w:val="22"/>
                <w:szCs w:val="22"/>
                <w:highlight w:val="none"/>
                <w:lang w:val="en-US" w:eastAsia="zh-CN"/>
              </w:rPr>
            </w:pPr>
            <w:r>
              <w:rPr>
                <w:rFonts w:hint="eastAsia" w:ascii="宋体" w:hAnsi="宋体" w:eastAsia="宋体" w:cs="宋体"/>
                <w:color w:val="auto"/>
                <w:kern w:val="2"/>
                <w:sz w:val="22"/>
                <w:szCs w:val="22"/>
                <w:highlight w:val="none"/>
                <w:lang w:val="en-US" w:eastAsia="zh-CN"/>
              </w:rPr>
              <w:t>联系方式：13331762865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03" w:type="dxa"/>
            <w:vMerge w:val="restart"/>
            <w:vAlign w:val="center"/>
          </w:tcPr>
          <w:p>
            <w:pPr>
              <w:keepNext w:val="0"/>
              <w:keepLines w:val="0"/>
              <w:pageBreakBefore w:val="0"/>
              <w:widowControl w:val="0"/>
              <w:numPr>
                <w:ilvl w:val="0"/>
                <w:numId w:val="4"/>
              </w:numPr>
              <w:suppressLineNumbers w:val="0"/>
              <w:kinsoku/>
              <w:wordWrap/>
              <w:overflowPunct/>
              <w:topLinePunct w:val="0"/>
              <w:autoSpaceDE w:val="0"/>
              <w:autoSpaceDN w:val="0"/>
              <w:bidi w:val="0"/>
              <w:adjustRightInd w:val="0"/>
              <w:spacing w:before="0" w:beforeAutospacing="0" w:after="0" w:afterAutospacing="0" w:line="288" w:lineRule="auto"/>
              <w:ind w:left="454" w:leftChars="0" w:right="0" w:hanging="248" w:firstLineChars="0"/>
              <w:jc w:val="center"/>
              <w:textAlignment w:val="auto"/>
              <w:rPr>
                <w:rFonts w:hint="eastAsia" w:ascii="宋体" w:hAnsi="宋体" w:eastAsia="宋体" w:cs="宋体"/>
                <w:bCs/>
                <w:color w:val="auto"/>
                <w:sz w:val="22"/>
                <w:szCs w:val="22"/>
                <w:highlight w:val="none"/>
                <w:lang w:val="zh-CN"/>
              </w:rPr>
            </w:pPr>
          </w:p>
        </w:tc>
        <w:tc>
          <w:tcPr>
            <w:tcW w:w="2279" w:type="dxa"/>
            <w:vAlign w:val="center"/>
          </w:tcPr>
          <w:p>
            <w:pPr>
              <w:pStyle w:val="141"/>
              <w:keepNext w:val="0"/>
              <w:keepLines w:val="0"/>
              <w:pageBreakBefore w:val="0"/>
              <w:widowControl w:val="0"/>
              <w:suppressLineNumbers w:val="0"/>
              <w:kinsoku/>
              <w:wordWrap/>
              <w:overflowPunct/>
              <w:topLinePunct w:val="0"/>
              <w:bidi w:val="0"/>
              <w:spacing w:before="0" w:beforeAutospacing="0" w:after="0" w:afterAutospacing="0" w:line="288" w:lineRule="auto"/>
              <w:ind w:left="0" w:right="0"/>
              <w:jc w:val="center"/>
              <w:textAlignment w:val="auto"/>
              <w:rPr>
                <w:rFonts w:hint="eastAsia" w:ascii="宋体" w:hAnsi="宋体" w:eastAsia="宋体" w:cs="宋体"/>
                <w:color w:val="auto"/>
                <w:kern w:val="2"/>
                <w:sz w:val="22"/>
                <w:szCs w:val="22"/>
                <w:highlight w:val="none"/>
                <w:lang w:val="zh-CN" w:eastAsia="zh-CN"/>
              </w:rPr>
            </w:pPr>
            <w:r>
              <w:rPr>
                <w:rFonts w:hint="eastAsia" w:ascii="宋体" w:hAnsi="宋体" w:eastAsia="宋体" w:cs="宋体"/>
                <w:color w:val="auto"/>
                <w:kern w:val="2"/>
                <w:sz w:val="22"/>
                <w:szCs w:val="22"/>
                <w:highlight w:val="none"/>
                <w:lang w:val="zh-CN" w:eastAsia="zh-CN"/>
              </w:rPr>
              <w:t>项目名称</w:t>
            </w:r>
          </w:p>
        </w:tc>
        <w:tc>
          <w:tcPr>
            <w:tcW w:w="6897" w:type="dxa"/>
          </w:tcPr>
          <w:p>
            <w:pPr>
              <w:pStyle w:val="141"/>
              <w:keepNext w:val="0"/>
              <w:keepLines w:val="0"/>
              <w:pageBreakBefore w:val="0"/>
              <w:widowControl w:val="0"/>
              <w:suppressLineNumbers w:val="0"/>
              <w:kinsoku/>
              <w:wordWrap/>
              <w:overflowPunct/>
              <w:topLinePunct w:val="0"/>
              <w:bidi w:val="0"/>
              <w:spacing w:before="0" w:beforeAutospacing="0" w:after="0" w:afterAutospacing="0" w:line="288" w:lineRule="auto"/>
              <w:ind w:left="0" w:right="0"/>
              <w:textAlignment w:val="auto"/>
              <w:rPr>
                <w:rFonts w:hint="eastAsia" w:ascii="宋体" w:hAnsi="宋体" w:eastAsia="宋体" w:cs="宋体"/>
                <w:color w:val="auto"/>
                <w:kern w:val="2"/>
                <w:sz w:val="22"/>
                <w:szCs w:val="22"/>
                <w:highlight w:val="none"/>
                <w:lang w:val="en-US" w:eastAsia="zh-CN"/>
              </w:rPr>
            </w:pPr>
            <w:r>
              <w:rPr>
                <w:rFonts w:hint="eastAsia" w:ascii="宋体" w:hAnsi="宋体" w:eastAsia="宋体" w:cs="宋体"/>
                <w:color w:val="auto"/>
                <w:kern w:val="2"/>
                <w:sz w:val="22"/>
                <w:szCs w:val="22"/>
                <w:highlight w:val="none"/>
                <w:lang w:val="en-US" w:eastAsia="zh-CN"/>
              </w:rPr>
              <w:t>2024长春消夏艺术节开幕式主场系列活动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03" w:type="dxa"/>
            <w:vMerge w:val="continue"/>
            <w:vAlign w:val="center"/>
          </w:tcPr>
          <w:p>
            <w:pPr>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288" w:lineRule="auto"/>
              <w:ind w:left="0" w:right="0" w:firstLineChars="0"/>
              <w:jc w:val="center"/>
              <w:textAlignment w:val="auto"/>
              <w:rPr>
                <w:rFonts w:hint="eastAsia" w:ascii="宋体" w:hAnsi="宋体" w:eastAsia="宋体" w:cs="宋体"/>
                <w:bCs/>
                <w:color w:val="auto"/>
                <w:sz w:val="22"/>
                <w:szCs w:val="22"/>
                <w:highlight w:val="none"/>
                <w:lang w:val="zh-CN"/>
              </w:rPr>
            </w:pPr>
          </w:p>
        </w:tc>
        <w:tc>
          <w:tcPr>
            <w:tcW w:w="2279" w:type="dxa"/>
            <w:vAlign w:val="center"/>
          </w:tcPr>
          <w:p>
            <w:pPr>
              <w:pStyle w:val="141"/>
              <w:keepNext w:val="0"/>
              <w:keepLines w:val="0"/>
              <w:pageBreakBefore w:val="0"/>
              <w:widowControl w:val="0"/>
              <w:suppressLineNumbers w:val="0"/>
              <w:kinsoku/>
              <w:wordWrap/>
              <w:overflowPunct/>
              <w:topLinePunct w:val="0"/>
              <w:bidi w:val="0"/>
              <w:spacing w:before="0" w:beforeAutospacing="0" w:after="0" w:afterAutospacing="0" w:line="288" w:lineRule="auto"/>
              <w:ind w:left="0" w:right="0"/>
              <w:jc w:val="center"/>
              <w:textAlignment w:val="auto"/>
              <w:rPr>
                <w:rFonts w:hint="eastAsia" w:ascii="宋体" w:hAnsi="宋体" w:eastAsia="宋体" w:cs="宋体"/>
                <w:color w:val="auto"/>
                <w:kern w:val="2"/>
                <w:sz w:val="22"/>
                <w:szCs w:val="22"/>
                <w:highlight w:val="none"/>
                <w:lang w:val="zh-CN" w:eastAsia="zh-CN"/>
              </w:rPr>
            </w:pPr>
            <w:r>
              <w:rPr>
                <w:rFonts w:hint="eastAsia" w:ascii="宋体" w:hAnsi="宋体" w:eastAsia="宋体" w:cs="宋体"/>
                <w:color w:val="auto"/>
                <w:kern w:val="2"/>
                <w:sz w:val="22"/>
                <w:szCs w:val="22"/>
                <w:highlight w:val="none"/>
                <w:lang w:val="en-US" w:eastAsia="zh-CN"/>
              </w:rPr>
              <w:t>采购</w:t>
            </w:r>
            <w:r>
              <w:rPr>
                <w:rFonts w:hint="eastAsia" w:ascii="宋体" w:hAnsi="宋体" w:eastAsia="宋体" w:cs="宋体"/>
                <w:color w:val="auto"/>
                <w:kern w:val="2"/>
                <w:sz w:val="22"/>
                <w:szCs w:val="22"/>
                <w:highlight w:val="none"/>
                <w:lang w:val="zh-CN" w:eastAsia="zh-CN"/>
              </w:rPr>
              <w:t>项目编号</w:t>
            </w:r>
          </w:p>
        </w:tc>
        <w:tc>
          <w:tcPr>
            <w:tcW w:w="6897" w:type="dxa"/>
          </w:tcPr>
          <w:p>
            <w:pPr>
              <w:pStyle w:val="141"/>
              <w:keepNext w:val="0"/>
              <w:keepLines w:val="0"/>
              <w:pageBreakBefore w:val="0"/>
              <w:widowControl w:val="0"/>
              <w:suppressLineNumbers w:val="0"/>
              <w:kinsoku/>
              <w:wordWrap/>
              <w:overflowPunct/>
              <w:topLinePunct w:val="0"/>
              <w:bidi w:val="0"/>
              <w:spacing w:before="0" w:beforeAutospacing="0" w:after="0" w:afterAutospacing="0" w:line="288" w:lineRule="auto"/>
              <w:ind w:left="0" w:right="0"/>
              <w:textAlignment w:val="auto"/>
              <w:rPr>
                <w:rFonts w:hint="eastAsia" w:ascii="宋体" w:hAnsi="宋体" w:eastAsia="宋体" w:cs="宋体"/>
                <w:color w:val="auto"/>
                <w:kern w:val="2"/>
                <w:sz w:val="22"/>
                <w:szCs w:val="22"/>
                <w:highlight w:val="none"/>
                <w:lang w:val="en-US" w:eastAsia="zh-CN"/>
              </w:rPr>
            </w:pPr>
            <w:r>
              <w:rPr>
                <w:rFonts w:hint="eastAsia" w:ascii="宋体" w:hAnsi="宋体" w:eastAsia="宋体" w:cs="宋体"/>
                <w:color w:val="auto"/>
                <w:kern w:val="2"/>
                <w:sz w:val="22"/>
                <w:szCs w:val="22"/>
                <w:highlight w:val="none"/>
                <w:lang w:val="en-US" w:eastAsia="zh-CN"/>
              </w:rPr>
              <w:t>JM-2024-06-00661（CCZR2024-007）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3" w:type="dxa"/>
            <w:vAlign w:val="center"/>
          </w:tcPr>
          <w:p>
            <w:pPr>
              <w:keepNext w:val="0"/>
              <w:keepLines w:val="0"/>
              <w:pageBreakBefore w:val="0"/>
              <w:widowControl w:val="0"/>
              <w:numPr>
                <w:ilvl w:val="0"/>
                <w:numId w:val="4"/>
              </w:numPr>
              <w:suppressLineNumbers w:val="0"/>
              <w:kinsoku/>
              <w:wordWrap/>
              <w:overflowPunct/>
              <w:topLinePunct w:val="0"/>
              <w:autoSpaceDE w:val="0"/>
              <w:autoSpaceDN w:val="0"/>
              <w:bidi w:val="0"/>
              <w:adjustRightInd w:val="0"/>
              <w:spacing w:before="0" w:beforeAutospacing="0" w:after="0" w:afterAutospacing="0" w:line="288" w:lineRule="auto"/>
              <w:ind w:left="454" w:leftChars="0" w:right="0" w:hanging="248" w:firstLineChars="0"/>
              <w:jc w:val="center"/>
              <w:textAlignment w:val="auto"/>
              <w:rPr>
                <w:rFonts w:hint="eastAsia" w:ascii="宋体" w:hAnsi="宋体" w:eastAsia="宋体" w:cs="宋体"/>
                <w:bCs/>
                <w:color w:val="auto"/>
                <w:sz w:val="22"/>
                <w:szCs w:val="22"/>
                <w:highlight w:val="none"/>
                <w:lang w:val="zh-CN"/>
              </w:rPr>
            </w:pPr>
          </w:p>
        </w:tc>
        <w:tc>
          <w:tcPr>
            <w:tcW w:w="2279" w:type="dxa"/>
            <w:vAlign w:val="center"/>
          </w:tcPr>
          <w:p>
            <w:pPr>
              <w:pStyle w:val="141"/>
              <w:keepNext w:val="0"/>
              <w:keepLines w:val="0"/>
              <w:pageBreakBefore w:val="0"/>
              <w:widowControl w:val="0"/>
              <w:suppressLineNumbers w:val="0"/>
              <w:kinsoku/>
              <w:wordWrap/>
              <w:overflowPunct/>
              <w:topLinePunct w:val="0"/>
              <w:bidi w:val="0"/>
              <w:spacing w:before="0" w:beforeAutospacing="0" w:after="0" w:afterAutospacing="0" w:line="288" w:lineRule="auto"/>
              <w:ind w:left="0" w:right="0"/>
              <w:jc w:val="center"/>
              <w:textAlignment w:val="auto"/>
              <w:rPr>
                <w:rFonts w:hint="eastAsia" w:ascii="宋体" w:hAnsi="宋体" w:eastAsia="宋体" w:cs="宋体"/>
                <w:color w:val="auto"/>
                <w:kern w:val="2"/>
                <w:sz w:val="22"/>
                <w:szCs w:val="22"/>
                <w:highlight w:val="none"/>
                <w:lang w:val="zh-CN" w:eastAsia="zh-CN"/>
              </w:rPr>
            </w:pPr>
            <w:r>
              <w:rPr>
                <w:rFonts w:hint="eastAsia" w:ascii="宋体" w:hAnsi="宋体" w:eastAsia="宋体" w:cs="宋体"/>
                <w:color w:val="auto"/>
                <w:kern w:val="2"/>
                <w:sz w:val="22"/>
                <w:szCs w:val="22"/>
                <w:highlight w:val="none"/>
                <w:lang w:val="zh-CN" w:eastAsia="zh-CN"/>
              </w:rPr>
              <w:t>服务地点</w:t>
            </w:r>
          </w:p>
        </w:tc>
        <w:tc>
          <w:tcPr>
            <w:tcW w:w="6897" w:type="dxa"/>
          </w:tcPr>
          <w:p>
            <w:pPr>
              <w:pStyle w:val="141"/>
              <w:keepNext w:val="0"/>
              <w:keepLines w:val="0"/>
              <w:pageBreakBefore w:val="0"/>
              <w:widowControl w:val="0"/>
              <w:suppressLineNumbers w:val="0"/>
              <w:kinsoku/>
              <w:wordWrap/>
              <w:overflowPunct/>
              <w:topLinePunct w:val="0"/>
              <w:bidi w:val="0"/>
              <w:spacing w:before="0" w:beforeAutospacing="0" w:after="0" w:afterAutospacing="0" w:line="288" w:lineRule="auto"/>
              <w:ind w:left="0" w:right="0"/>
              <w:textAlignment w:val="auto"/>
              <w:rPr>
                <w:rFonts w:hint="eastAsia" w:ascii="宋体" w:hAnsi="宋体" w:eastAsia="宋体" w:cs="宋体"/>
                <w:color w:val="auto"/>
                <w:kern w:val="2"/>
                <w:sz w:val="22"/>
                <w:szCs w:val="22"/>
                <w:highlight w:val="none"/>
                <w:lang w:val="en-US" w:eastAsia="zh-CN"/>
              </w:rPr>
            </w:pPr>
            <w:r>
              <w:rPr>
                <w:rFonts w:hint="eastAsia" w:ascii="宋体" w:hAnsi="宋体" w:eastAsia="宋体" w:cs="宋体"/>
                <w:color w:val="auto"/>
                <w:kern w:val="2"/>
                <w:sz w:val="22"/>
                <w:szCs w:val="22"/>
                <w:highlight w:val="none"/>
                <w:lang w:val="en-US" w:eastAsia="zh-CN"/>
              </w:rPr>
              <w:t>长春市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3" w:type="dxa"/>
            <w:vAlign w:val="center"/>
          </w:tcPr>
          <w:p>
            <w:pPr>
              <w:keepNext w:val="0"/>
              <w:keepLines w:val="0"/>
              <w:pageBreakBefore w:val="0"/>
              <w:widowControl w:val="0"/>
              <w:numPr>
                <w:ilvl w:val="0"/>
                <w:numId w:val="4"/>
              </w:numPr>
              <w:suppressLineNumbers w:val="0"/>
              <w:kinsoku/>
              <w:wordWrap/>
              <w:overflowPunct/>
              <w:topLinePunct w:val="0"/>
              <w:autoSpaceDE w:val="0"/>
              <w:autoSpaceDN w:val="0"/>
              <w:bidi w:val="0"/>
              <w:adjustRightInd w:val="0"/>
              <w:spacing w:before="0" w:beforeAutospacing="0" w:after="0" w:afterAutospacing="0" w:line="288" w:lineRule="auto"/>
              <w:ind w:left="454" w:leftChars="0" w:right="0" w:hanging="248" w:firstLineChars="0"/>
              <w:jc w:val="center"/>
              <w:textAlignment w:val="auto"/>
              <w:rPr>
                <w:rFonts w:hint="eastAsia" w:ascii="宋体" w:hAnsi="宋体" w:eastAsia="宋体" w:cs="宋体"/>
                <w:bCs/>
                <w:color w:val="auto"/>
                <w:sz w:val="22"/>
                <w:szCs w:val="22"/>
                <w:highlight w:val="none"/>
                <w:lang w:val="zh-CN"/>
              </w:rPr>
            </w:pPr>
          </w:p>
        </w:tc>
        <w:tc>
          <w:tcPr>
            <w:tcW w:w="2279" w:type="dxa"/>
            <w:vAlign w:val="center"/>
          </w:tcPr>
          <w:p>
            <w:pPr>
              <w:pStyle w:val="141"/>
              <w:keepNext w:val="0"/>
              <w:keepLines w:val="0"/>
              <w:pageBreakBefore w:val="0"/>
              <w:widowControl w:val="0"/>
              <w:suppressLineNumbers w:val="0"/>
              <w:kinsoku/>
              <w:wordWrap/>
              <w:overflowPunct/>
              <w:topLinePunct w:val="0"/>
              <w:bidi w:val="0"/>
              <w:spacing w:before="0" w:beforeAutospacing="0" w:after="0" w:afterAutospacing="0" w:line="288" w:lineRule="auto"/>
              <w:ind w:left="0" w:right="0"/>
              <w:jc w:val="center"/>
              <w:textAlignment w:val="auto"/>
              <w:rPr>
                <w:rFonts w:hint="eastAsia" w:ascii="宋体" w:hAnsi="宋体" w:eastAsia="宋体" w:cs="宋体"/>
                <w:color w:val="auto"/>
                <w:kern w:val="2"/>
                <w:sz w:val="22"/>
                <w:szCs w:val="22"/>
                <w:highlight w:val="none"/>
                <w:lang w:val="zh-CN" w:eastAsia="zh-CN"/>
              </w:rPr>
            </w:pPr>
            <w:r>
              <w:rPr>
                <w:rFonts w:hint="eastAsia" w:ascii="宋体" w:hAnsi="宋体" w:eastAsia="宋体" w:cs="宋体"/>
                <w:color w:val="auto"/>
                <w:kern w:val="2"/>
                <w:sz w:val="22"/>
                <w:szCs w:val="22"/>
                <w:highlight w:val="none"/>
                <w:lang w:val="zh-CN" w:eastAsia="zh-CN"/>
              </w:rPr>
              <w:t>资金来源</w:t>
            </w:r>
          </w:p>
        </w:tc>
        <w:tc>
          <w:tcPr>
            <w:tcW w:w="6897" w:type="dxa"/>
          </w:tcPr>
          <w:p>
            <w:pPr>
              <w:pStyle w:val="141"/>
              <w:keepNext w:val="0"/>
              <w:keepLines w:val="0"/>
              <w:pageBreakBefore w:val="0"/>
              <w:widowControl w:val="0"/>
              <w:suppressLineNumbers w:val="0"/>
              <w:kinsoku/>
              <w:wordWrap/>
              <w:overflowPunct/>
              <w:topLinePunct w:val="0"/>
              <w:bidi w:val="0"/>
              <w:spacing w:before="0" w:beforeAutospacing="0" w:after="0" w:afterAutospacing="0" w:line="288" w:lineRule="auto"/>
              <w:ind w:left="0" w:right="0"/>
              <w:textAlignment w:val="auto"/>
              <w:rPr>
                <w:rFonts w:hint="eastAsia" w:ascii="宋体" w:hAnsi="宋体" w:eastAsia="宋体" w:cs="宋体"/>
                <w:color w:val="auto"/>
                <w:kern w:val="2"/>
                <w:sz w:val="22"/>
                <w:szCs w:val="22"/>
                <w:highlight w:val="none"/>
                <w:lang w:val="en-US" w:eastAsia="zh-CN"/>
              </w:rPr>
            </w:pPr>
            <w:r>
              <w:rPr>
                <w:rFonts w:hint="eastAsia" w:ascii="宋体" w:hAnsi="宋体" w:eastAsia="宋体" w:cs="宋体"/>
                <w:color w:val="auto"/>
                <w:kern w:val="2"/>
                <w:sz w:val="22"/>
                <w:szCs w:val="22"/>
                <w:highlight w:val="none"/>
                <w:lang w:val="en-US" w:eastAsia="zh-CN"/>
              </w:rPr>
              <w:t>自筹资金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3" w:type="dxa"/>
            <w:vAlign w:val="center"/>
          </w:tcPr>
          <w:p>
            <w:pPr>
              <w:keepNext w:val="0"/>
              <w:keepLines w:val="0"/>
              <w:pageBreakBefore w:val="0"/>
              <w:widowControl w:val="0"/>
              <w:numPr>
                <w:ilvl w:val="0"/>
                <w:numId w:val="4"/>
              </w:numPr>
              <w:suppressLineNumbers w:val="0"/>
              <w:kinsoku/>
              <w:wordWrap/>
              <w:overflowPunct/>
              <w:topLinePunct w:val="0"/>
              <w:autoSpaceDE w:val="0"/>
              <w:autoSpaceDN w:val="0"/>
              <w:bidi w:val="0"/>
              <w:adjustRightInd w:val="0"/>
              <w:spacing w:before="0" w:beforeAutospacing="0" w:after="0" w:afterAutospacing="0" w:line="288" w:lineRule="auto"/>
              <w:ind w:left="454" w:leftChars="0" w:right="0" w:hanging="248" w:firstLineChars="0"/>
              <w:jc w:val="center"/>
              <w:textAlignment w:val="auto"/>
              <w:rPr>
                <w:rFonts w:hint="eastAsia" w:ascii="宋体" w:hAnsi="宋体" w:eastAsia="宋体" w:cs="宋体"/>
                <w:bCs/>
                <w:color w:val="auto"/>
                <w:sz w:val="22"/>
                <w:szCs w:val="22"/>
                <w:highlight w:val="none"/>
                <w:lang w:val="zh-CN"/>
              </w:rPr>
            </w:pPr>
          </w:p>
        </w:tc>
        <w:tc>
          <w:tcPr>
            <w:tcW w:w="2279" w:type="dxa"/>
            <w:vAlign w:val="center"/>
          </w:tcPr>
          <w:p>
            <w:pPr>
              <w:pStyle w:val="141"/>
              <w:keepNext w:val="0"/>
              <w:keepLines w:val="0"/>
              <w:pageBreakBefore w:val="0"/>
              <w:widowControl w:val="0"/>
              <w:suppressLineNumbers w:val="0"/>
              <w:kinsoku/>
              <w:wordWrap/>
              <w:overflowPunct/>
              <w:topLinePunct w:val="0"/>
              <w:bidi w:val="0"/>
              <w:spacing w:before="0" w:beforeAutospacing="0" w:after="0" w:afterAutospacing="0" w:line="288" w:lineRule="auto"/>
              <w:ind w:left="0" w:right="0"/>
              <w:jc w:val="center"/>
              <w:textAlignment w:val="auto"/>
              <w:rPr>
                <w:rFonts w:hint="eastAsia" w:ascii="宋体" w:hAnsi="宋体" w:eastAsia="宋体" w:cs="宋体"/>
                <w:color w:val="auto"/>
                <w:kern w:val="2"/>
                <w:sz w:val="22"/>
                <w:szCs w:val="22"/>
                <w:highlight w:val="none"/>
                <w:lang w:val="en-US" w:eastAsia="zh-CN"/>
              </w:rPr>
            </w:pPr>
            <w:r>
              <w:rPr>
                <w:rFonts w:hint="eastAsia" w:ascii="宋体" w:hAnsi="宋体" w:eastAsia="宋体" w:cs="宋体"/>
                <w:color w:val="auto"/>
                <w:kern w:val="2"/>
                <w:sz w:val="22"/>
                <w:szCs w:val="22"/>
                <w:highlight w:val="none"/>
                <w:lang w:val="en-US" w:eastAsia="zh-CN"/>
              </w:rPr>
              <w:t>资金落实情况</w:t>
            </w:r>
          </w:p>
        </w:tc>
        <w:tc>
          <w:tcPr>
            <w:tcW w:w="6897" w:type="dxa"/>
          </w:tcPr>
          <w:p>
            <w:pPr>
              <w:pStyle w:val="141"/>
              <w:keepNext w:val="0"/>
              <w:keepLines w:val="0"/>
              <w:pageBreakBefore w:val="0"/>
              <w:widowControl w:val="0"/>
              <w:suppressLineNumbers w:val="0"/>
              <w:kinsoku/>
              <w:wordWrap/>
              <w:overflowPunct/>
              <w:topLinePunct w:val="0"/>
              <w:bidi w:val="0"/>
              <w:spacing w:before="0" w:beforeAutospacing="0" w:after="0" w:afterAutospacing="0" w:line="288" w:lineRule="auto"/>
              <w:ind w:left="0" w:right="0"/>
              <w:textAlignment w:val="auto"/>
              <w:rPr>
                <w:rFonts w:hint="eastAsia" w:ascii="宋体" w:hAnsi="宋体" w:eastAsia="宋体" w:cs="宋体"/>
                <w:color w:val="auto"/>
                <w:kern w:val="2"/>
                <w:sz w:val="22"/>
                <w:szCs w:val="22"/>
                <w:highlight w:val="none"/>
                <w:lang w:val="zh-CN" w:eastAsia="zh-CN"/>
              </w:rPr>
            </w:pPr>
            <w:r>
              <w:rPr>
                <w:rFonts w:hint="eastAsia" w:ascii="宋体" w:hAnsi="宋体" w:eastAsia="宋体" w:cs="宋体"/>
                <w:color w:val="auto"/>
                <w:kern w:val="2"/>
                <w:sz w:val="22"/>
                <w:szCs w:val="22"/>
                <w:highlight w:val="none"/>
                <w:lang w:val="en-US" w:eastAsia="zh-CN"/>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3" w:type="dxa"/>
            <w:vAlign w:val="center"/>
          </w:tcPr>
          <w:p>
            <w:pPr>
              <w:keepNext w:val="0"/>
              <w:keepLines w:val="0"/>
              <w:pageBreakBefore w:val="0"/>
              <w:widowControl w:val="0"/>
              <w:numPr>
                <w:ilvl w:val="0"/>
                <w:numId w:val="4"/>
              </w:numPr>
              <w:suppressLineNumbers w:val="0"/>
              <w:kinsoku/>
              <w:wordWrap/>
              <w:overflowPunct/>
              <w:topLinePunct w:val="0"/>
              <w:autoSpaceDE w:val="0"/>
              <w:autoSpaceDN w:val="0"/>
              <w:bidi w:val="0"/>
              <w:adjustRightInd w:val="0"/>
              <w:spacing w:before="0" w:beforeAutospacing="0" w:after="0" w:afterAutospacing="0" w:line="288" w:lineRule="auto"/>
              <w:ind w:left="454" w:leftChars="0" w:right="0" w:hanging="248" w:firstLineChars="0"/>
              <w:jc w:val="center"/>
              <w:textAlignment w:val="auto"/>
              <w:rPr>
                <w:rFonts w:hint="eastAsia" w:ascii="宋体" w:hAnsi="宋体" w:eastAsia="宋体" w:cs="宋体"/>
                <w:bCs/>
                <w:color w:val="auto"/>
                <w:sz w:val="22"/>
                <w:szCs w:val="22"/>
                <w:highlight w:val="none"/>
                <w:lang w:val="zh-CN"/>
              </w:rPr>
            </w:pPr>
          </w:p>
        </w:tc>
        <w:tc>
          <w:tcPr>
            <w:tcW w:w="2279" w:type="dxa"/>
            <w:vAlign w:val="center"/>
          </w:tcPr>
          <w:p>
            <w:pPr>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288" w:lineRule="auto"/>
              <w:ind w:left="0" w:right="0"/>
              <w:jc w:val="center"/>
              <w:textAlignment w:val="auto"/>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服务内容</w:t>
            </w:r>
          </w:p>
        </w:tc>
        <w:tc>
          <w:tcPr>
            <w:tcW w:w="6897" w:type="dxa"/>
          </w:tcPr>
          <w:p>
            <w:pPr>
              <w:pStyle w:val="141"/>
              <w:keepNext w:val="0"/>
              <w:keepLines w:val="0"/>
              <w:pageBreakBefore w:val="0"/>
              <w:widowControl w:val="0"/>
              <w:suppressLineNumbers w:val="0"/>
              <w:kinsoku/>
              <w:wordWrap/>
              <w:overflowPunct/>
              <w:topLinePunct w:val="0"/>
              <w:bidi w:val="0"/>
              <w:spacing w:before="0" w:beforeAutospacing="0" w:after="0" w:afterAutospacing="0" w:line="288" w:lineRule="auto"/>
              <w:ind w:left="0" w:right="0"/>
              <w:textAlignment w:val="auto"/>
              <w:rPr>
                <w:rFonts w:hint="eastAsia" w:ascii="宋体" w:hAnsi="宋体" w:eastAsia="宋体" w:cs="宋体"/>
                <w:color w:val="auto"/>
                <w:kern w:val="2"/>
                <w:sz w:val="22"/>
                <w:szCs w:val="22"/>
                <w:highlight w:val="none"/>
                <w:lang w:val="en-US" w:eastAsia="zh-CN"/>
              </w:rPr>
            </w:pPr>
            <w:r>
              <w:rPr>
                <w:rFonts w:hint="eastAsia" w:ascii="宋体" w:hAnsi="宋体" w:eastAsia="宋体" w:cs="宋体"/>
                <w:color w:val="auto"/>
                <w:kern w:val="2"/>
                <w:sz w:val="22"/>
                <w:szCs w:val="22"/>
                <w:highlight w:val="none"/>
                <w:lang w:val="en-US" w:eastAsia="zh-CN"/>
              </w:rPr>
              <w:t>为贯彻习近平总书记关于旅游工作重要指示精神，全面落实全国、全省旅游发展大会精神，助力长春国家文化和旅游产业高地建设，依托我市“22℃的夏天”全域温润清爽的气候资源，立足“亲近大自然，体验新生活”的发展理念，推动文旅深度融合高质量发展，以品质供给满足人民需求，以规模流量促进城市消费，以休闲度假赋能城市美好，实现长春消夏艺术节再破圈、再升级，为长春避暑休闲文旅产业高质量发展注入新活力，经认真谋划，拟于2024年7月初至8月末在中铁长春博览城潮玩公园开展2024长春消夏艺术节开幕式主场系列活动。 （具体详见“技术标准及服务需求”）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3" w:type="dxa"/>
            <w:vAlign w:val="center"/>
          </w:tcPr>
          <w:p>
            <w:pPr>
              <w:keepNext w:val="0"/>
              <w:keepLines w:val="0"/>
              <w:pageBreakBefore w:val="0"/>
              <w:widowControl w:val="0"/>
              <w:numPr>
                <w:ilvl w:val="0"/>
                <w:numId w:val="4"/>
              </w:numPr>
              <w:suppressLineNumbers w:val="0"/>
              <w:kinsoku/>
              <w:wordWrap/>
              <w:overflowPunct/>
              <w:topLinePunct w:val="0"/>
              <w:autoSpaceDE w:val="0"/>
              <w:autoSpaceDN w:val="0"/>
              <w:bidi w:val="0"/>
              <w:adjustRightInd w:val="0"/>
              <w:spacing w:before="0" w:beforeAutospacing="0" w:after="0" w:afterAutospacing="0" w:line="288" w:lineRule="auto"/>
              <w:ind w:left="454" w:leftChars="0" w:right="0" w:hanging="248" w:firstLineChars="0"/>
              <w:jc w:val="center"/>
              <w:textAlignment w:val="auto"/>
              <w:rPr>
                <w:rFonts w:hint="eastAsia" w:ascii="宋体" w:hAnsi="宋体" w:eastAsia="宋体" w:cs="宋体"/>
                <w:bCs/>
                <w:color w:val="auto"/>
                <w:sz w:val="22"/>
                <w:szCs w:val="22"/>
                <w:highlight w:val="none"/>
              </w:rPr>
            </w:pPr>
          </w:p>
        </w:tc>
        <w:tc>
          <w:tcPr>
            <w:tcW w:w="2279" w:type="dxa"/>
            <w:vAlign w:val="center"/>
          </w:tcPr>
          <w:p>
            <w:pPr>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288" w:lineRule="auto"/>
              <w:ind w:left="0" w:right="0"/>
              <w:jc w:val="center"/>
              <w:textAlignment w:val="auto"/>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zh-CN" w:eastAsia="zh-CN"/>
              </w:rPr>
              <w:t>磋商报价</w:t>
            </w:r>
          </w:p>
        </w:tc>
        <w:tc>
          <w:tcPr>
            <w:tcW w:w="6897" w:type="dxa"/>
          </w:tcPr>
          <w:p>
            <w:pPr>
              <w:pStyle w:val="141"/>
              <w:keepNext w:val="0"/>
              <w:keepLines w:val="0"/>
              <w:pageBreakBefore w:val="0"/>
              <w:widowControl w:val="0"/>
              <w:suppressLineNumbers w:val="0"/>
              <w:kinsoku/>
              <w:wordWrap/>
              <w:overflowPunct/>
              <w:topLinePunct w:val="0"/>
              <w:bidi w:val="0"/>
              <w:spacing w:before="0" w:beforeAutospacing="0" w:after="0" w:afterAutospacing="0" w:line="288" w:lineRule="auto"/>
              <w:ind w:left="0" w:right="0"/>
              <w:textAlignment w:val="auto"/>
              <w:rPr>
                <w:rFonts w:hint="eastAsia" w:ascii="宋体" w:hAnsi="宋体" w:eastAsia="宋体" w:cs="宋体"/>
                <w:b/>
                <w:bCs/>
                <w:color w:val="auto"/>
                <w:kern w:val="2"/>
                <w:sz w:val="22"/>
                <w:szCs w:val="22"/>
                <w:highlight w:val="none"/>
                <w:lang w:val="zh-CN" w:eastAsia="zh-CN"/>
              </w:rPr>
            </w:pPr>
            <w:r>
              <w:rPr>
                <w:rFonts w:hint="eastAsia" w:ascii="宋体" w:hAnsi="宋体" w:eastAsia="宋体" w:cs="宋体"/>
                <w:b/>
                <w:bCs/>
                <w:color w:val="auto"/>
                <w:kern w:val="2"/>
                <w:sz w:val="22"/>
                <w:szCs w:val="22"/>
                <w:highlight w:val="none"/>
                <w:lang w:val="zh-CN" w:eastAsia="zh-CN"/>
              </w:rPr>
              <w:t>本项目最高限价为：</w:t>
            </w:r>
            <w:r>
              <w:rPr>
                <w:rFonts w:hint="eastAsia" w:ascii="宋体" w:hAnsi="宋体" w:eastAsia="宋体" w:cs="宋体"/>
                <w:b/>
                <w:bCs/>
                <w:color w:val="auto"/>
                <w:kern w:val="2"/>
                <w:sz w:val="22"/>
                <w:szCs w:val="22"/>
                <w:highlight w:val="none"/>
                <w:lang w:val="en-US" w:eastAsia="zh-CN"/>
              </w:rPr>
              <w:t>60万</w:t>
            </w:r>
            <w:r>
              <w:rPr>
                <w:rFonts w:hint="eastAsia" w:ascii="宋体" w:hAnsi="宋体" w:eastAsia="宋体" w:cs="宋体"/>
                <w:b/>
                <w:bCs/>
                <w:color w:val="auto"/>
                <w:kern w:val="2"/>
                <w:sz w:val="22"/>
                <w:szCs w:val="22"/>
                <w:highlight w:val="none"/>
                <w:lang w:val="zh-CN" w:eastAsia="zh-CN"/>
              </w:rPr>
              <w:t>；</w:t>
            </w:r>
          </w:p>
          <w:p>
            <w:pPr>
              <w:pStyle w:val="141"/>
              <w:keepNext w:val="0"/>
              <w:keepLines w:val="0"/>
              <w:pageBreakBefore w:val="0"/>
              <w:widowControl w:val="0"/>
              <w:suppressLineNumbers w:val="0"/>
              <w:kinsoku/>
              <w:wordWrap/>
              <w:overflowPunct/>
              <w:topLinePunct w:val="0"/>
              <w:bidi w:val="0"/>
              <w:spacing w:before="0" w:beforeAutospacing="0" w:after="0" w:afterAutospacing="0" w:line="288" w:lineRule="auto"/>
              <w:ind w:left="0" w:right="0"/>
              <w:textAlignment w:val="auto"/>
              <w:rPr>
                <w:rFonts w:hint="eastAsia" w:ascii="宋体" w:hAnsi="宋体" w:eastAsia="宋体" w:cs="宋体"/>
                <w:color w:val="auto"/>
                <w:kern w:val="2"/>
                <w:sz w:val="22"/>
                <w:szCs w:val="22"/>
                <w:highlight w:val="none"/>
                <w:lang w:val="zh-CN" w:eastAsia="zh-CN"/>
              </w:rPr>
            </w:pPr>
            <w:r>
              <w:rPr>
                <w:rFonts w:hint="eastAsia" w:ascii="宋体" w:hAnsi="宋体" w:eastAsia="宋体" w:cs="宋体"/>
                <w:b/>
                <w:bCs/>
                <w:color w:val="auto"/>
                <w:kern w:val="2"/>
                <w:sz w:val="22"/>
                <w:szCs w:val="22"/>
                <w:highlight w:val="none"/>
                <w:lang w:val="zh-CN" w:eastAsia="zh-CN"/>
              </w:rPr>
              <w:t>超过预算</w:t>
            </w:r>
            <w:r>
              <w:rPr>
                <w:rFonts w:hint="eastAsia" w:ascii="宋体" w:hAnsi="宋体" w:eastAsia="宋体" w:cs="宋体"/>
                <w:b/>
                <w:bCs/>
                <w:color w:val="auto"/>
                <w:kern w:val="2"/>
                <w:sz w:val="22"/>
                <w:szCs w:val="22"/>
                <w:highlight w:val="none"/>
                <w:lang w:val="en-US" w:eastAsia="zh-CN"/>
              </w:rPr>
              <w:t>金额</w:t>
            </w:r>
            <w:r>
              <w:rPr>
                <w:rFonts w:hint="eastAsia" w:ascii="宋体" w:hAnsi="宋体" w:eastAsia="宋体" w:cs="宋体"/>
                <w:b/>
                <w:bCs/>
                <w:color w:val="auto"/>
                <w:kern w:val="2"/>
                <w:sz w:val="22"/>
                <w:szCs w:val="22"/>
                <w:highlight w:val="none"/>
                <w:lang w:val="zh-CN" w:eastAsia="zh-CN"/>
              </w:rPr>
              <w:t>的文件其报价无效处理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3" w:type="dxa"/>
            <w:vAlign w:val="center"/>
          </w:tcPr>
          <w:p>
            <w:pPr>
              <w:keepNext w:val="0"/>
              <w:keepLines w:val="0"/>
              <w:pageBreakBefore w:val="0"/>
              <w:widowControl w:val="0"/>
              <w:numPr>
                <w:ilvl w:val="0"/>
                <w:numId w:val="4"/>
              </w:numPr>
              <w:suppressLineNumbers w:val="0"/>
              <w:kinsoku/>
              <w:wordWrap/>
              <w:overflowPunct/>
              <w:topLinePunct w:val="0"/>
              <w:autoSpaceDE w:val="0"/>
              <w:autoSpaceDN w:val="0"/>
              <w:bidi w:val="0"/>
              <w:adjustRightInd w:val="0"/>
              <w:spacing w:before="0" w:beforeAutospacing="0" w:after="0" w:afterAutospacing="0" w:line="288" w:lineRule="auto"/>
              <w:ind w:left="454" w:leftChars="0" w:right="0" w:hanging="248" w:firstLineChars="0"/>
              <w:jc w:val="center"/>
              <w:textAlignment w:val="auto"/>
              <w:rPr>
                <w:rFonts w:hint="eastAsia" w:ascii="宋体" w:hAnsi="宋体" w:eastAsia="宋体" w:cs="宋体"/>
                <w:bCs/>
                <w:color w:val="auto"/>
                <w:sz w:val="22"/>
                <w:szCs w:val="22"/>
                <w:highlight w:val="none"/>
              </w:rPr>
            </w:pPr>
          </w:p>
        </w:tc>
        <w:tc>
          <w:tcPr>
            <w:tcW w:w="2279" w:type="dxa"/>
            <w:vAlign w:val="center"/>
          </w:tcPr>
          <w:p>
            <w:pPr>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288" w:lineRule="auto"/>
              <w:ind w:left="0" w:right="0"/>
              <w:jc w:val="center"/>
              <w:textAlignment w:val="auto"/>
              <w:rPr>
                <w:rFonts w:hint="eastAsia" w:ascii="宋体" w:hAnsi="宋体" w:eastAsia="宋体" w:cs="宋体"/>
                <w:bCs/>
                <w:color w:val="auto"/>
                <w:sz w:val="22"/>
                <w:szCs w:val="22"/>
                <w:highlight w:val="none"/>
                <w:lang w:val="zh-CN" w:eastAsia="zh-CN"/>
              </w:rPr>
            </w:pPr>
            <w:r>
              <w:rPr>
                <w:rFonts w:hint="eastAsia" w:ascii="宋体" w:hAnsi="宋体" w:eastAsia="宋体" w:cs="宋体"/>
                <w:bCs/>
                <w:color w:val="auto"/>
                <w:sz w:val="22"/>
                <w:szCs w:val="22"/>
                <w:highlight w:val="none"/>
                <w:lang w:val="zh-CN"/>
              </w:rPr>
              <w:t>报价要求</w:t>
            </w:r>
          </w:p>
        </w:tc>
        <w:tc>
          <w:tcPr>
            <w:tcW w:w="6897" w:type="dxa"/>
            <w:vAlign w:val="center"/>
          </w:tcPr>
          <w:p>
            <w:pPr>
              <w:pStyle w:val="141"/>
              <w:keepNext w:val="0"/>
              <w:keepLines w:val="0"/>
              <w:pageBreakBefore w:val="0"/>
              <w:widowControl w:val="0"/>
              <w:suppressLineNumbers w:val="0"/>
              <w:kinsoku/>
              <w:wordWrap/>
              <w:overflowPunct/>
              <w:topLinePunct w:val="0"/>
              <w:bidi w:val="0"/>
              <w:spacing w:before="0" w:beforeAutospacing="0" w:after="0" w:afterAutospacing="0" w:line="288" w:lineRule="auto"/>
              <w:ind w:left="0" w:right="0"/>
              <w:textAlignment w:val="auto"/>
              <w:rPr>
                <w:rFonts w:hint="eastAsia" w:ascii="宋体" w:hAnsi="宋体" w:eastAsia="宋体" w:cs="宋体"/>
                <w:color w:val="auto"/>
                <w:kern w:val="2"/>
                <w:sz w:val="22"/>
                <w:szCs w:val="22"/>
                <w:highlight w:val="none"/>
                <w:lang w:val="zh-CN" w:eastAsia="zh-CN"/>
              </w:rPr>
            </w:pPr>
            <w:r>
              <w:rPr>
                <w:rFonts w:hint="eastAsia" w:ascii="宋体" w:hAnsi="宋体" w:eastAsia="宋体" w:cs="宋体"/>
                <w:color w:val="auto"/>
                <w:sz w:val="22"/>
                <w:szCs w:val="22"/>
                <w:highlight w:val="none"/>
                <w:lang w:val="zh-CN" w:eastAsia="zh-CN"/>
              </w:rPr>
              <w:t>供应</w:t>
            </w:r>
            <w:r>
              <w:rPr>
                <w:rFonts w:hint="eastAsia" w:ascii="宋体" w:hAnsi="宋体" w:eastAsia="宋体" w:cs="宋体"/>
                <w:color w:val="auto"/>
                <w:sz w:val="22"/>
                <w:szCs w:val="22"/>
                <w:highlight w:val="none"/>
                <w:lang w:val="en-US" w:eastAsia="zh-CN"/>
              </w:rPr>
              <w:t>方</w:t>
            </w:r>
            <w:r>
              <w:rPr>
                <w:rFonts w:hint="eastAsia" w:ascii="宋体" w:hAnsi="宋体" w:eastAsia="宋体" w:cs="宋体"/>
                <w:color w:val="auto"/>
                <w:sz w:val="22"/>
                <w:szCs w:val="22"/>
                <w:highlight w:val="none"/>
                <w:lang w:val="zh-CN" w:eastAsia="zh-CN"/>
              </w:rPr>
              <w:t>的报价应当包含为完成本项目方案设计、场地布置、人员、设备租赁、现场执行等全部工作所需的一切费用，包括成本、利润、税金等。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3" w:type="dxa"/>
            <w:vAlign w:val="center"/>
          </w:tcPr>
          <w:p>
            <w:pPr>
              <w:keepNext w:val="0"/>
              <w:keepLines w:val="0"/>
              <w:pageBreakBefore w:val="0"/>
              <w:widowControl w:val="0"/>
              <w:numPr>
                <w:ilvl w:val="0"/>
                <w:numId w:val="4"/>
              </w:numPr>
              <w:suppressLineNumbers w:val="0"/>
              <w:kinsoku/>
              <w:wordWrap/>
              <w:overflowPunct/>
              <w:topLinePunct w:val="0"/>
              <w:autoSpaceDE w:val="0"/>
              <w:autoSpaceDN w:val="0"/>
              <w:bidi w:val="0"/>
              <w:adjustRightInd w:val="0"/>
              <w:spacing w:before="0" w:beforeAutospacing="0" w:after="0" w:afterAutospacing="0" w:line="288" w:lineRule="auto"/>
              <w:ind w:left="454" w:leftChars="0" w:right="0" w:hanging="248" w:firstLineChars="0"/>
              <w:jc w:val="center"/>
              <w:textAlignment w:val="auto"/>
              <w:rPr>
                <w:rFonts w:hint="eastAsia" w:ascii="宋体" w:hAnsi="宋体" w:eastAsia="宋体" w:cs="宋体"/>
                <w:bCs/>
                <w:color w:val="auto"/>
                <w:sz w:val="22"/>
                <w:szCs w:val="22"/>
                <w:highlight w:val="none"/>
                <w:lang w:val="zh-CN"/>
              </w:rPr>
            </w:pPr>
          </w:p>
        </w:tc>
        <w:tc>
          <w:tcPr>
            <w:tcW w:w="2279" w:type="dxa"/>
            <w:vAlign w:val="center"/>
          </w:tcPr>
          <w:p>
            <w:pPr>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288" w:lineRule="auto"/>
              <w:ind w:left="0" w:right="0"/>
              <w:jc w:val="center"/>
              <w:textAlignment w:val="auto"/>
              <w:rPr>
                <w:rFonts w:hint="eastAsia" w:ascii="宋体" w:hAnsi="宋体" w:eastAsia="宋体" w:cs="宋体"/>
                <w:bCs/>
                <w:color w:val="auto"/>
                <w:sz w:val="22"/>
                <w:szCs w:val="22"/>
                <w:highlight w:val="none"/>
                <w:lang w:val="zh-CN"/>
              </w:rPr>
            </w:pPr>
            <w:r>
              <w:rPr>
                <w:rFonts w:hint="eastAsia" w:ascii="宋体" w:hAnsi="宋体" w:eastAsia="宋体" w:cs="宋体"/>
                <w:bCs/>
                <w:color w:val="auto"/>
                <w:sz w:val="22"/>
                <w:szCs w:val="22"/>
                <w:highlight w:val="none"/>
                <w:lang w:val="zh-CN"/>
              </w:rPr>
              <w:t>合同履行期限</w:t>
            </w:r>
          </w:p>
        </w:tc>
        <w:tc>
          <w:tcPr>
            <w:tcW w:w="6897" w:type="dxa"/>
            <w:vAlign w:val="center"/>
          </w:tcPr>
          <w:p>
            <w:pPr>
              <w:pStyle w:val="141"/>
              <w:keepNext w:val="0"/>
              <w:keepLines w:val="0"/>
              <w:pageBreakBefore w:val="0"/>
              <w:widowControl w:val="0"/>
              <w:suppressLineNumbers w:val="0"/>
              <w:kinsoku/>
              <w:wordWrap/>
              <w:overflowPunct/>
              <w:topLinePunct w:val="0"/>
              <w:bidi w:val="0"/>
              <w:spacing w:before="0" w:beforeAutospacing="0" w:after="0" w:afterAutospacing="0" w:line="288" w:lineRule="auto"/>
              <w:ind w:left="0" w:right="0"/>
              <w:textAlignment w:val="auto"/>
              <w:rPr>
                <w:rFonts w:hint="eastAsia" w:ascii="宋体" w:hAnsi="宋体" w:eastAsia="宋体" w:cs="宋体"/>
                <w:color w:val="auto"/>
                <w:sz w:val="22"/>
                <w:szCs w:val="22"/>
                <w:highlight w:val="none"/>
                <w:lang w:val="zh-CN" w:eastAsia="zh-CN"/>
              </w:rPr>
            </w:pPr>
            <w:r>
              <w:rPr>
                <w:rFonts w:hint="eastAsia" w:ascii="宋体" w:hAnsi="宋体" w:eastAsia="宋体" w:cs="宋体"/>
                <w:color w:val="auto"/>
                <w:sz w:val="22"/>
                <w:szCs w:val="22"/>
                <w:highlight w:val="none"/>
                <w:lang w:val="zh-CN" w:eastAsia="zh-CN"/>
              </w:rPr>
              <w:t>自合同签订之日起至项目结束止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3" w:type="dxa"/>
            <w:vAlign w:val="center"/>
          </w:tcPr>
          <w:p>
            <w:pPr>
              <w:keepNext w:val="0"/>
              <w:keepLines w:val="0"/>
              <w:pageBreakBefore w:val="0"/>
              <w:widowControl w:val="0"/>
              <w:numPr>
                <w:ilvl w:val="0"/>
                <w:numId w:val="4"/>
              </w:numPr>
              <w:suppressLineNumbers w:val="0"/>
              <w:kinsoku/>
              <w:wordWrap/>
              <w:overflowPunct/>
              <w:topLinePunct w:val="0"/>
              <w:autoSpaceDE w:val="0"/>
              <w:autoSpaceDN w:val="0"/>
              <w:bidi w:val="0"/>
              <w:adjustRightInd w:val="0"/>
              <w:spacing w:before="0" w:beforeAutospacing="0" w:after="0" w:afterAutospacing="0" w:line="288" w:lineRule="auto"/>
              <w:ind w:left="454" w:leftChars="0" w:right="0" w:hanging="248" w:firstLineChars="0"/>
              <w:jc w:val="center"/>
              <w:textAlignment w:val="auto"/>
              <w:rPr>
                <w:rFonts w:hint="eastAsia" w:ascii="宋体" w:hAnsi="宋体" w:eastAsia="宋体" w:cs="宋体"/>
                <w:bCs/>
                <w:color w:val="auto"/>
                <w:sz w:val="22"/>
                <w:szCs w:val="22"/>
                <w:highlight w:val="none"/>
                <w:lang w:val="zh-CN"/>
              </w:rPr>
            </w:pPr>
          </w:p>
        </w:tc>
        <w:tc>
          <w:tcPr>
            <w:tcW w:w="2279" w:type="dxa"/>
            <w:vAlign w:val="center"/>
          </w:tcPr>
          <w:p>
            <w:pPr>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288" w:lineRule="auto"/>
              <w:ind w:left="0" w:right="0"/>
              <w:jc w:val="center"/>
              <w:textAlignment w:val="auto"/>
              <w:rPr>
                <w:rFonts w:hint="eastAsia" w:ascii="宋体" w:hAnsi="宋体" w:eastAsia="宋体" w:cs="宋体"/>
                <w:bCs/>
                <w:color w:val="auto"/>
                <w:sz w:val="22"/>
                <w:szCs w:val="22"/>
                <w:highlight w:val="none"/>
                <w:lang w:val="zh-CN"/>
              </w:rPr>
            </w:pPr>
            <w:r>
              <w:rPr>
                <w:rFonts w:hint="eastAsia" w:ascii="宋体" w:hAnsi="宋体" w:eastAsia="宋体" w:cs="宋体"/>
                <w:bCs/>
                <w:color w:val="auto"/>
                <w:sz w:val="22"/>
                <w:szCs w:val="22"/>
                <w:highlight w:val="none"/>
                <w:lang w:val="zh-CN"/>
              </w:rPr>
              <w:t>证明材料</w:t>
            </w:r>
          </w:p>
        </w:tc>
        <w:tc>
          <w:tcPr>
            <w:tcW w:w="6897" w:type="dxa"/>
            <w:vAlign w:val="center"/>
          </w:tcPr>
          <w:p>
            <w:pPr>
              <w:pStyle w:val="141"/>
              <w:keepNext w:val="0"/>
              <w:keepLines w:val="0"/>
              <w:pageBreakBefore w:val="0"/>
              <w:widowControl w:val="0"/>
              <w:suppressLineNumbers w:val="0"/>
              <w:kinsoku/>
              <w:wordWrap/>
              <w:overflowPunct/>
              <w:topLinePunct w:val="0"/>
              <w:bidi w:val="0"/>
              <w:spacing w:before="0" w:beforeAutospacing="0" w:after="0" w:afterAutospacing="0" w:line="288" w:lineRule="auto"/>
              <w:ind w:left="0" w:right="0"/>
              <w:textAlignment w:val="auto"/>
              <w:rPr>
                <w:rFonts w:hint="eastAsia" w:ascii="宋体" w:hAnsi="宋体" w:eastAsia="宋体" w:cs="宋体"/>
                <w:color w:val="auto"/>
                <w:sz w:val="22"/>
                <w:szCs w:val="22"/>
                <w:highlight w:val="none"/>
                <w:lang w:val="zh-CN" w:eastAsia="zh-CN"/>
              </w:rPr>
            </w:pPr>
            <w:r>
              <w:rPr>
                <w:rFonts w:hint="eastAsia" w:ascii="宋体" w:hAnsi="宋体" w:eastAsia="宋体" w:cs="宋体"/>
                <w:color w:val="auto"/>
                <w:sz w:val="22"/>
                <w:szCs w:val="22"/>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3" w:type="dxa"/>
            <w:vAlign w:val="center"/>
          </w:tcPr>
          <w:p>
            <w:pPr>
              <w:keepNext w:val="0"/>
              <w:keepLines w:val="0"/>
              <w:pageBreakBefore w:val="0"/>
              <w:widowControl w:val="0"/>
              <w:numPr>
                <w:ilvl w:val="0"/>
                <w:numId w:val="4"/>
              </w:numPr>
              <w:suppressLineNumbers w:val="0"/>
              <w:kinsoku/>
              <w:wordWrap/>
              <w:overflowPunct/>
              <w:topLinePunct w:val="0"/>
              <w:autoSpaceDE w:val="0"/>
              <w:autoSpaceDN w:val="0"/>
              <w:bidi w:val="0"/>
              <w:adjustRightInd w:val="0"/>
              <w:spacing w:before="0" w:beforeAutospacing="0" w:after="0" w:afterAutospacing="0" w:line="288" w:lineRule="auto"/>
              <w:ind w:left="454" w:leftChars="0" w:right="0" w:hanging="248" w:firstLineChars="0"/>
              <w:jc w:val="center"/>
              <w:textAlignment w:val="auto"/>
              <w:rPr>
                <w:rFonts w:hint="eastAsia" w:ascii="宋体" w:hAnsi="宋体" w:eastAsia="宋体" w:cs="宋体"/>
                <w:bCs/>
                <w:color w:val="auto"/>
                <w:sz w:val="22"/>
                <w:szCs w:val="22"/>
                <w:highlight w:val="none"/>
                <w:lang w:val="zh-CN"/>
              </w:rPr>
            </w:pPr>
          </w:p>
        </w:tc>
        <w:tc>
          <w:tcPr>
            <w:tcW w:w="2279" w:type="dxa"/>
            <w:vAlign w:val="center"/>
          </w:tcPr>
          <w:p>
            <w:pPr>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288" w:lineRule="auto"/>
              <w:ind w:left="0" w:right="0"/>
              <w:jc w:val="center"/>
              <w:textAlignment w:val="auto"/>
              <w:rPr>
                <w:rFonts w:hint="eastAsia" w:ascii="宋体" w:hAnsi="宋体" w:eastAsia="宋体" w:cs="宋体"/>
                <w:bCs/>
                <w:color w:val="auto"/>
                <w:sz w:val="22"/>
                <w:szCs w:val="22"/>
                <w:highlight w:val="none"/>
                <w:lang w:val="zh-CN"/>
              </w:rPr>
            </w:pPr>
            <w:r>
              <w:rPr>
                <w:rFonts w:hint="eastAsia" w:ascii="宋体" w:hAnsi="宋体" w:eastAsia="宋体" w:cs="宋体"/>
                <w:bCs/>
                <w:color w:val="auto"/>
                <w:sz w:val="22"/>
                <w:szCs w:val="22"/>
                <w:highlight w:val="none"/>
                <w:lang w:val="zh-CN"/>
              </w:rPr>
              <w:t>强制采购产品认证</w:t>
            </w:r>
          </w:p>
        </w:tc>
        <w:tc>
          <w:tcPr>
            <w:tcW w:w="6897" w:type="dxa"/>
            <w:vAlign w:val="center"/>
          </w:tcPr>
          <w:p>
            <w:pPr>
              <w:pStyle w:val="141"/>
              <w:keepNext w:val="0"/>
              <w:keepLines w:val="0"/>
              <w:pageBreakBefore w:val="0"/>
              <w:widowControl w:val="0"/>
              <w:suppressLineNumbers w:val="0"/>
              <w:kinsoku/>
              <w:wordWrap/>
              <w:overflowPunct/>
              <w:topLinePunct w:val="0"/>
              <w:bidi w:val="0"/>
              <w:spacing w:before="0" w:beforeAutospacing="0" w:after="0" w:afterAutospacing="0" w:line="288" w:lineRule="auto"/>
              <w:ind w:left="0" w:right="0"/>
              <w:textAlignment w:val="auto"/>
              <w:rPr>
                <w:rFonts w:hint="eastAsia" w:ascii="宋体" w:hAnsi="宋体" w:eastAsia="宋体" w:cs="宋体"/>
                <w:color w:val="auto"/>
                <w:sz w:val="22"/>
                <w:szCs w:val="22"/>
                <w:highlight w:val="none"/>
                <w:lang w:val="zh-CN" w:eastAsia="zh-CN"/>
              </w:rPr>
            </w:pPr>
            <w:r>
              <w:rPr>
                <w:rFonts w:hint="eastAsia" w:ascii="宋体" w:hAnsi="宋体" w:eastAsia="宋体" w:cs="宋体"/>
                <w:color w:val="auto"/>
                <w:sz w:val="22"/>
                <w:szCs w:val="22"/>
                <w:highlight w:val="none"/>
                <w:lang w:val="en-US" w:eastAsia="zh-CN"/>
              </w:rPr>
              <w:t>供应商需提供下述节能环保产品强制采购认证证书：无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3" w:type="dxa"/>
            <w:vAlign w:val="center"/>
          </w:tcPr>
          <w:p>
            <w:pPr>
              <w:keepNext w:val="0"/>
              <w:keepLines w:val="0"/>
              <w:pageBreakBefore w:val="0"/>
              <w:widowControl w:val="0"/>
              <w:numPr>
                <w:ilvl w:val="0"/>
                <w:numId w:val="4"/>
              </w:numPr>
              <w:suppressLineNumbers w:val="0"/>
              <w:kinsoku/>
              <w:wordWrap/>
              <w:overflowPunct/>
              <w:topLinePunct w:val="0"/>
              <w:autoSpaceDE w:val="0"/>
              <w:autoSpaceDN w:val="0"/>
              <w:bidi w:val="0"/>
              <w:adjustRightInd w:val="0"/>
              <w:spacing w:before="0" w:beforeAutospacing="0" w:after="0" w:afterAutospacing="0" w:line="288" w:lineRule="auto"/>
              <w:ind w:left="454" w:leftChars="0" w:right="0" w:hanging="248" w:firstLineChars="0"/>
              <w:jc w:val="center"/>
              <w:textAlignment w:val="auto"/>
              <w:rPr>
                <w:rFonts w:hint="eastAsia" w:ascii="宋体" w:hAnsi="宋体" w:eastAsia="宋体" w:cs="宋体"/>
                <w:bCs/>
                <w:color w:val="auto"/>
                <w:sz w:val="22"/>
                <w:szCs w:val="22"/>
                <w:highlight w:val="none"/>
              </w:rPr>
            </w:pPr>
          </w:p>
        </w:tc>
        <w:tc>
          <w:tcPr>
            <w:tcW w:w="2279" w:type="dxa"/>
            <w:vAlign w:val="center"/>
          </w:tcPr>
          <w:p>
            <w:pPr>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288" w:lineRule="auto"/>
              <w:ind w:left="0" w:right="0"/>
              <w:jc w:val="center"/>
              <w:textAlignment w:val="auto"/>
              <w:rPr>
                <w:rFonts w:hint="eastAsia" w:ascii="宋体" w:hAnsi="宋体" w:eastAsia="宋体" w:cs="宋体"/>
                <w:bCs/>
                <w:color w:val="auto"/>
                <w:sz w:val="22"/>
                <w:szCs w:val="22"/>
                <w:highlight w:val="none"/>
                <w:lang w:val="zh-CN"/>
              </w:rPr>
            </w:pPr>
            <w:r>
              <w:rPr>
                <w:rFonts w:hint="eastAsia" w:ascii="宋体" w:hAnsi="宋体" w:eastAsia="宋体" w:cs="宋体"/>
                <w:bCs/>
                <w:color w:val="auto"/>
                <w:sz w:val="22"/>
                <w:szCs w:val="22"/>
                <w:highlight w:val="none"/>
                <w:lang w:val="zh-CN"/>
              </w:rPr>
              <w:t>服务标准</w:t>
            </w:r>
          </w:p>
        </w:tc>
        <w:tc>
          <w:tcPr>
            <w:tcW w:w="6897" w:type="dxa"/>
          </w:tcPr>
          <w:p>
            <w:pPr>
              <w:pStyle w:val="141"/>
              <w:keepNext w:val="0"/>
              <w:keepLines w:val="0"/>
              <w:pageBreakBefore w:val="0"/>
              <w:widowControl w:val="0"/>
              <w:suppressLineNumbers w:val="0"/>
              <w:kinsoku/>
              <w:wordWrap/>
              <w:overflowPunct/>
              <w:topLinePunct w:val="0"/>
              <w:bidi w:val="0"/>
              <w:spacing w:before="0" w:beforeAutospacing="0" w:after="0" w:afterAutospacing="0" w:line="288" w:lineRule="auto"/>
              <w:ind w:left="0" w:right="0"/>
              <w:textAlignment w:val="auto"/>
              <w:rPr>
                <w:rFonts w:hint="eastAsia" w:ascii="宋体" w:hAnsi="宋体" w:eastAsia="宋体" w:cs="宋体"/>
                <w:color w:val="auto"/>
                <w:sz w:val="22"/>
                <w:szCs w:val="22"/>
                <w:highlight w:val="none"/>
                <w:lang w:val="zh-CN" w:eastAsia="zh-CN"/>
              </w:rPr>
            </w:pPr>
            <w:r>
              <w:rPr>
                <w:rFonts w:hint="eastAsia" w:ascii="宋体" w:hAnsi="宋体" w:eastAsia="宋体" w:cs="宋体"/>
                <w:color w:val="auto"/>
                <w:sz w:val="22"/>
                <w:szCs w:val="22"/>
                <w:highlight w:val="none"/>
                <w:lang w:val="zh-CN" w:eastAsia="zh-CN"/>
              </w:rPr>
              <w:t>符合国家及行业规定的合格标准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3" w:type="dxa"/>
            <w:vAlign w:val="center"/>
          </w:tcPr>
          <w:p>
            <w:pPr>
              <w:keepNext w:val="0"/>
              <w:keepLines w:val="0"/>
              <w:pageBreakBefore w:val="0"/>
              <w:widowControl w:val="0"/>
              <w:numPr>
                <w:ilvl w:val="0"/>
                <w:numId w:val="4"/>
              </w:numPr>
              <w:suppressLineNumbers w:val="0"/>
              <w:kinsoku/>
              <w:wordWrap/>
              <w:overflowPunct/>
              <w:topLinePunct w:val="0"/>
              <w:autoSpaceDE w:val="0"/>
              <w:autoSpaceDN w:val="0"/>
              <w:bidi w:val="0"/>
              <w:adjustRightInd w:val="0"/>
              <w:spacing w:before="0" w:beforeAutospacing="0" w:after="0" w:afterAutospacing="0" w:line="288" w:lineRule="auto"/>
              <w:ind w:left="454" w:leftChars="0" w:right="0" w:hanging="248" w:firstLineChars="0"/>
              <w:jc w:val="center"/>
              <w:textAlignment w:val="auto"/>
              <w:rPr>
                <w:rFonts w:hint="eastAsia" w:ascii="宋体" w:hAnsi="宋体" w:eastAsia="宋体" w:cs="宋体"/>
                <w:bCs/>
                <w:color w:val="auto"/>
                <w:sz w:val="22"/>
                <w:szCs w:val="22"/>
                <w:highlight w:val="none"/>
              </w:rPr>
            </w:pPr>
          </w:p>
        </w:tc>
        <w:tc>
          <w:tcPr>
            <w:tcW w:w="2279" w:type="dxa"/>
            <w:vAlign w:val="center"/>
          </w:tcPr>
          <w:p>
            <w:pPr>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288" w:lineRule="auto"/>
              <w:ind w:left="0" w:right="0"/>
              <w:jc w:val="center"/>
              <w:textAlignment w:val="auto"/>
              <w:rPr>
                <w:rFonts w:hint="eastAsia" w:ascii="宋体" w:hAnsi="宋体" w:eastAsia="宋体" w:cs="宋体"/>
                <w:bCs/>
                <w:color w:val="auto"/>
                <w:sz w:val="22"/>
                <w:szCs w:val="22"/>
                <w:highlight w:val="none"/>
                <w:lang w:val="zh-CN"/>
              </w:rPr>
            </w:pPr>
            <w:r>
              <w:rPr>
                <w:rFonts w:hint="eastAsia" w:ascii="宋体" w:hAnsi="宋体" w:eastAsia="宋体" w:cs="宋体"/>
                <w:bCs/>
                <w:color w:val="auto"/>
                <w:sz w:val="22"/>
                <w:szCs w:val="22"/>
                <w:highlight w:val="none"/>
                <w:lang w:val="zh-CN"/>
              </w:rPr>
              <w:t>供应商资质条件、能力和信誉</w:t>
            </w:r>
          </w:p>
        </w:tc>
        <w:tc>
          <w:tcPr>
            <w:tcW w:w="6897" w:type="dxa"/>
          </w:tcPr>
          <w:p>
            <w:pPr>
              <w:pStyle w:val="26"/>
              <w:keepNext w:val="0"/>
              <w:keepLines w:val="0"/>
              <w:pageBreakBefore w:val="0"/>
              <w:widowControl w:val="0"/>
              <w:suppressLineNumbers w:val="0"/>
              <w:kinsoku/>
              <w:wordWrap/>
              <w:overflowPunct/>
              <w:topLinePunct w:val="0"/>
              <w:bidi w:val="0"/>
              <w:spacing w:before="0" w:beforeAutospacing="0" w:after="0" w:afterAutospacing="0" w:line="288" w:lineRule="auto"/>
              <w:ind w:left="0" w:leftChars="0" w:right="0" w:firstLine="0" w:firstLineChars="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详见公告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3" w:type="dxa"/>
            <w:vAlign w:val="center"/>
          </w:tcPr>
          <w:p>
            <w:pPr>
              <w:keepNext w:val="0"/>
              <w:keepLines w:val="0"/>
              <w:pageBreakBefore w:val="0"/>
              <w:widowControl w:val="0"/>
              <w:numPr>
                <w:ilvl w:val="0"/>
                <w:numId w:val="4"/>
              </w:numPr>
              <w:suppressLineNumbers w:val="0"/>
              <w:kinsoku/>
              <w:wordWrap/>
              <w:overflowPunct/>
              <w:topLinePunct w:val="0"/>
              <w:autoSpaceDE w:val="0"/>
              <w:autoSpaceDN w:val="0"/>
              <w:bidi w:val="0"/>
              <w:adjustRightInd w:val="0"/>
              <w:spacing w:before="0" w:beforeAutospacing="0" w:after="0" w:afterAutospacing="0" w:line="288" w:lineRule="auto"/>
              <w:ind w:left="454" w:leftChars="0" w:right="0" w:hanging="248" w:firstLineChars="0"/>
              <w:jc w:val="center"/>
              <w:textAlignment w:val="auto"/>
              <w:rPr>
                <w:rFonts w:hint="eastAsia" w:ascii="宋体" w:hAnsi="宋体" w:eastAsia="宋体" w:cs="宋体"/>
                <w:bCs/>
                <w:color w:val="auto"/>
                <w:sz w:val="22"/>
                <w:szCs w:val="22"/>
                <w:highlight w:val="none"/>
              </w:rPr>
            </w:pPr>
          </w:p>
        </w:tc>
        <w:tc>
          <w:tcPr>
            <w:tcW w:w="2279" w:type="dxa"/>
            <w:vAlign w:val="center"/>
          </w:tcPr>
          <w:p>
            <w:pPr>
              <w:keepNext w:val="0"/>
              <w:keepLines w:val="0"/>
              <w:pageBreakBefore w:val="0"/>
              <w:widowControl w:val="0"/>
              <w:suppressLineNumbers w:val="0"/>
              <w:kinsoku/>
              <w:wordWrap/>
              <w:overflowPunct/>
              <w:topLinePunct w:val="0"/>
              <w:bidi w:val="0"/>
              <w:spacing w:before="0" w:beforeAutospacing="0" w:after="0" w:afterAutospacing="0" w:line="288" w:lineRule="auto"/>
              <w:ind w:left="0" w:right="0"/>
              <w:jc w:val="center"/>
              <w:textAlignment w:val="auto"/>
              <w:rPr>
                <w:rFonts w:hint="eastAsia" w:ascii="宋体" w:hAnsi="宋体" w:eastAsia="宋体" w:cs="宋体"/>
                <w:bCs/>
                <w:color w:val="auto"/>
                <w:kern w:val="15"/>
                <w:sz w:val="22"/>
                <w:szCs w:val="22"/>
                <w:highlight w:val="none"/>
                <w:lang w:val="zh-CN"/>
              </w:rPr>
            </w:pPr>
            <w:r>
              <w:rPr>
                <w:rFonts w:hint="eastAsia" w:ascii="宋体" w:hAnsi="宋体" w:eastAsia="宋体" w:cs="宋体"/>
                <w:bCs/>
                <w:color w:val="auto"/>
                <w:kern w:val="15"/>
                <w:sz w:val="22"/>
                <w:szCs w:val="22"/>
                <w:highlight w:val="none"/>
                <w:lang w:val="zh-CN"/>
              </w:rPr>
              <w:t>答疑会</w:t>
            </w:r>
          </w:p>
        </w:tc>
        <w:tc>
          <w:tcPr>
            <w:tcW w:w="6897" w:type="dxa"/>
            <w:vAlign w:val="center"/>
          </w:tcPr>
          <w:p>
            <w:pPr>
              <w:pStyle w:val="141"/>
              <w:keepNext w:val="0"/>
              <w:keepLines w:val="0"/>
              <w:pageBreakBefore w:val="0"/>
              <w:widowControl w:val="0"/>
              <w:suppressLineNumbers w:val="0"/>
              <w:kinsoku/>
              <w:wordWrap/>
              <w:overflowPunct/>
              <w:topLinePunct w:val="0"/>
              <w:bidi w:val="0"/>
              <w:spacing w:before="0" w:beforeAutospacing="0" w:after="0" w:afterAutospacing="0" w:line="288" w:lineRule="auto"/>
              <w:ind w:left="0" w:right="0"/>
              <w:textAlignment w:val="auto"/>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lang w:val="zh-CN"/>
              </w:rPr>
              <w:t>本项目不召开答疑会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3" w:type="dxa"/>
            <w:vAlign w:val="center"/>
          </w:tcPr>
          <w:p>
            <w:pPr>
              <w:keepNext w:val="0"/>
              <w:keepLines w:val="0"/>
              <w:pageBreakBefore w:val="0"/>
              <w:widowControl w:val="0"/>
              <w:numPr>
                <w:ilvl w:val="0"/>
                <w:numId w:val="4"/>
              </w:numPr>
              <w:suppressLineNumbers w:val="0"/>
              <w:kinsoku/>
              <w:wordWrap/>
              <w:overflowPunct/>
              <w:topLinePunct w:val="0"/>
              <w:autoSpaceDE w:val="0"/>
              <w:autoSpaceDN w:val="0"/>
              <w:bidi w:val="0"/>
              <w:adjustRightInd w:val="0"/>
              <w:spacing w:before="0" w:beforeAutospacing="0" w:after="0" w:afterAutospacing="0" w:line="288" w:lineRule="auto"/>
              <w:ind w:left="454" w:leftChars="0" w:right="0" w:hanging="248" w:firstLineChars="0"/>
              <w:jc w:val="center"/>
              <w:textAlignment w:val="auto"/>
              <w:rPr>
                <w:rFonts w:hint="eastAsia" w:ascii="宋体" w:hAnsi="宋体" w:eastAsia="宋体" w:cs="宋体"/>
                <w:bCs/>
                <w:color w:val="auto"/>
                <w:sz w:val="22"/>
                <w:szCs w:val="22"/>
                <w:highlight w:val="none"/>
              </w:rPr>
            </w:pPr>
          </w:p>
        </w:tc>
        <w:tc>
          <w:tcPr>
            <w:tcW w:w="2279" w:type="dxa"/>
            <w:vAlign w:val="center"/>
          </w:tcPr>
          <w:p>
            <w:pPr>
              <w:keepNext w:val="0"/>
              <w:keepLines w:val="0"/>
              <w:pageBreakBefore w:val="0"/>
              <w:widowControl w:val="0"/>
              <w:suppressLineNumbers w:val="0"/>
              <w:kinsoku/>
              <w:wordWrap/>
              <w:overflowPunct/>
              <w:topLinePunct w:val="0"/>
              <w:bidi w:val="0"/>
              <w:spacing w:before="0" w:beforeAutospacing="0" w:after="0" w:afterAutospacing="0" w:line="288" w:lineRule="auto"/>
              <w:ind w:left="0" w:right="0"/>
              <w:jc w:val="center"/>
              <w:textAlignment w:val="auto"/>
              <w:rPr>
                <w:rFonts w:hint="eastAsia" w:ascii="宋体" w:hAnsi="宋体" w:eastAsia="宋体" w:cs="宋体"/>
                <w:bCs/>
                <w:color w:val="auto"/>
                <w:kern w:val="15"/>
                <w:sz w:val="22"/>
                <w:szCs w:val="22"/>
                <w:highlight w:val="none"/>
                <w:lang w:val="zh-CN"/>
              </w:rPr>
            </w:pPr>
            <w:r>
              <w:rPr>
                <w:rFonts w:hint="eastAsia" w:ascii="宋体" w:hAnsi="宋体" w:eastAsia="宋体" w:cs="宋体"/>
                <w:bCs/>
                <w:color w:val="auto"/>
                <w:kern w:val="15"/>
                <w:sz w:val="22"/>
                <w:szCs w:val="22"/>
                <w:highlight w:val="none"/>
                <w:lang w:val="zh-CN"/>
              </w:rPr>
              <w:t>供应商提出问题的截止时间</w:t>
            </w:r>
          </w:p>
        </w:tc>
        <w:tc>
          <w:tcPr>
            <w:tcW w:w="6897" w:type="dxa"/>
          </w:tcPr>
          <w:p>
            <w:pPr>
              <w:pStyle w:val="141"/>
              <w:keepNext w:val="0"/>
              <w:keepLines w:val="0"/>
              <w:pageBreakBefore w:val="0"/>
              <w:widowControl w:val="0"/>
              <w:suppressLineNumbers w:val="0"/>
              <w:kinsoku/>
              <w:wordWrap/>
              <w:overflowPunct/>
              <w:topLinePunct w:val="0"/>
              <w:bidi w:val="0"/>
              <w:spacing w:before="0" w:beforeAutospacing="0" w:after="0" w:afterAutospacing="0" w:line="288" w:lineRule="auto"/>
              <w:ind w:left="0" w:right="0"/>
              <w:textAlignment w:val="auto"/>
              <w:rPr>
                <w:rFonts w:hint="eastAsia" w:ascii="宋体" w:hAnsi="宋体" w:eastAsia="宋体" w:cs="宋体"/>
                <w:color w:val="auto"/>
                <w:sz w:val="22"/>
                <w:szCs w:val="22"/>
                <w:highlight w:val="none"/>
                <w:lang w:val="zh-CN" w:eastAsia="zh-CN"/>
              </w:rPr>
            </w:pPr>
            <w:r>
              <w:rPr>
                <w:rFonts w:hint="eastAsia" w:ascii="宋体" w:hAnsi="宋体" w:eastAsia="宋体" w:cs="宋体"/>
                <w:color w:val="auto"/>
                <w:sz w:val="22"/>
                <w:szCs w:val="22"/>
                <w:highlight w:val="none"/>
                <w:lang w:val="zh-CN" w:eastAsia="zh-CN"/>
              </w:rPr>
              <w:t>投标供应商提出问题的截止时间：</w:t>
            </w:r>
          </w:p>
          <w:p>
            <w:pPr>
              <w:pStyle w:val="141"/>
              <w:keepNext w:val="0"/>
              <w:keepLines w:val="0"/>
              <w:pageBreakBefore w:val="0"/>
              <w:widowControl w:val="0"/>
              <w:suppressLineNumbers w:val="0"/>
              <w:kinsoku/>
              <w:wordWrap/>
              <w:overflowPunct/>
              <w:topLinePunct w:val="0"/>
              <w:bidi w:val="0"/>
              <w:spacing w:before="0" w:beforeAutospacing="0" w:after="0" w:afterAutospacing="0" w:line="288" w:lineRule="auto"/>
              <w:ind w:left="0" w:right="0"/>
              <w:textAlignment w:val="auto"/>
              <w:rPr>
                <w:rFonts w:hint="eastAsia" w:ascii="宋体" w:hAnsi="宋体" w:eastAsia="宋体" w:cs="宋体"/>
                <w:color w:val="auto"/>
                <w:sz w:val="22"/>
                <w:szCs w:val="22"/>
                <w:highlight w:val="none"/>
                <w:lang w:val="zh-CN" w:eastAsia="zh-CN"/>
              </w:rPr>
            </w:pPr>
            <w:r>
              <w:rPr>
                <w:rFonts w:hint="eastAsia" w:ascii="宋体" w:hAnsi="宋体" w:eastAsia="宋体" w:cs="宋体"/>
                <w:color w:val="auto"/>
                <w:sz w:val="22"/>
                <w:szCs w:val="22"/>
                <w:highlight w:val="none"/>
                <w:lang w:val="zh-CN" w:eastAsia="zh-CN"/>
              </w:rPr>
              <w:t>响应文件截止时间5日前</w:t>
            </w:r>
          </w:p>
          <w:p>
            <w:pPr>
              <w:pStyle w:val="141"/>
              <w:keepNext w:val="0"/>
              <w:keepLines w:val="0"/>
              <w:pageBreakBefore w:val="0"/>
              <w:widowControl w:val="0"/>
              <w:suppressLineNumbers w:val="0"/>
              <w:kinsoku/>
              <w:wordWrap/>
              <w:overflowPunct/>
              <w:topLinePunct w:val="0"/>
              <w:bidi w:val="0"/>
              <w:spacing w:before="0" w:beforeAutospacing="0" w:after="0" w:afterAutospacing="0" w:line="288" w:lineRule="auto"/>
              <w:ind w:left="0" w:right="0"/>
              <w:textAlignment w:val="auto"/>
              <w:rPr>
                <w:rFonts w:hint="eastAsia" w:ascii="宋体" w:hAnsi="宋体" w:eastAsia="宋体" w:cs="宋体"/>
                <w:color w:val="auto"/>
                <w:kern w:val="2"/>
                <w:sz w:val="22"/>
                <w:szCs w:val="22"/>
                <w:highlight w:val="none"/>
                <w:lang w:val="zh-CN"/>
              </w:rPr>
            </w:pPr>
            <w:r>
              <w:rPr>
                <w:rFonts w:hint="eastAsia" w:ascii="宋体" w:hAnsi="宋体" w:eastAsia="宋体" w:cs="宋体"/>
                <w:color w:val="auto"/>
                <w:sz w:val="22"/>
                <w:szCs w:val="22"/>
                <w:highlight w:val="none"/>
                <w:lang w:val="zh-CN" w:eastAsia="zh-CN"/>
              </w:rPr>
              <w:t>登录政采云平台https://www.zcygov.cn/在线申请提出问题，并电话通知代理机构。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3" w:type="dxa"/>
            <w:vAlign w:val="center"/>
          </w:tcPr>
          <w:p>
            <w:pPr>
              <w:keepNext w:val="0"/>
              <w:keepLines w:val="0"/>
              <w:pageBreakBefore w:val="0"/>
              <w:widowControl w:val="0"/>
              <w:numPr>
                <w:ilvl w:val="0"/>
                <w:numId w:val="4"/>
              </w:numPr>
              <w:suppressLineNumbers w:val="0"/>
              <w:kinsoku/>
              <w:wordWrap/>
              <w:overflowPunct/>
              <w:topLinePunct w:val="0"/>
              <w:autoSpaceDE w:val="0"/>
              <w:autoSpaceDN w:val="0"/>
              <w:bidi w:val="0"/>
              <w:adjustRightInd w:val="0"/>
              <w:spacing w:before="0" w:beforeAutospacing="0" w:after="0" w:afterAutospacing="0" w:line="288" w:lineRule="auto"/>
              <w:ind w:left="454" w:leftChars="0" w:right="0" w:hanging="248" w:firstLineChars="0"/>
              <w:jc w:val="center"/>
              <w:textAlignment w:val="auto"/>
              <w:rPr>
                <w:rFonts w:hint="eastAsia" w:ascii="宋体" w:hAnsi="宋体" w:eastAsia="宋体" w:cs="宋体"/>
                <w:bCs/>
                <w:color w:val="auto"/>
                <w:sz w:val="22"/>
                <w:szCs w:val="22"/>
                <w:highlight w:val="none"/>
              </w:rPr>
            </w:pPr>
          </w:p>
        </w:tc>
        <w:tc>
          <w:tcPr>
            <w:tcW w:w="2279" w:type="dxa"/>
            <w:vAlign w:val="center"/>
          </w:tcPr>
          <w:p>
            <w:pPr>
              <w:keepNext w:val="0"/>
              <w:keepLines w:val="0"/>
              <w:pageBreakBefore w:val="0"/>
              <w:widowControl w:val="0"/>
              <w:suppressLineNumbers w:val="0"/>
              <w:kinsoku/>
              <w:wordWrap/>
              <w:overflowPunct/>
              <w:topLinePunct w:val="0"/>
              <w:bidi w:val="0"/>
              <w:spacing w:before="0" w:beforeAutospacing="0" w:after="0" w:afterAutospacing="0" w:line="288" w:lineRule="auto"/>
              <w:ind w:left="0" w:right="0"/>
              <w:jc w:val="center"/>
              <w:textAlignment w:val="auto"/>
              <w:rPr>
                <w:rFonts w:hint="eastAsia" w:ascii="宋体" w:hAnsi="宋体" w:eastAsia="宋体" w:cs="宋体"/>
                <w:bCs/>
                <w:color w:val="auto"/>
                <w:kern w:val="15"/>
                <w:sz w:val="22"/>
                <w:szCs w:val="22"/>
                <w:highlight w:val="none"/>
                <w:lang w:val="zh-CN"/>
              </w:rPr>
            </w:pPr>
            <w:r>
              <w:rPr>
                <w:rFonts w:hint="eastAsia" w:ascii="宋体" w:hAnsi="宋体" w:eastAsia="宋体" w:cs="宋体"/>
                <w:bCs/>
                <w:color w:val="auto"/>
                <w:kern w:val="15"/>
                <w:sz w:val="22"/>
                <w:szCs w:val="22"/>
                <w:highlight w:val="none"/>
                <w:lang w:val="zh-CN"/>
              </w:rPr>
              <w:t>采购人书面澄清的时间</w:t>
            </w:r>
          </w:p>
        </w:tc>
        <w:tc>
          <w:tcPr>
            <w:tcW w:w="6897" w:type="dxa"/>
            <w:vAlign w:val="center"/>
          </w:tcPr>
          <w:p>
            <w:pPr>
              <w:pStyle w:val="141"/>
              <w:keepNext w:val="0"/>
              <w:keepLines w:val="0"/>
              <w:pageBreakBefore w:val="0"/>
              <w:widowControl w:val="0"/>
              <w:suppressLineNumbers w:val="0"/>
              <w:kinsoku/>
              <w:wordWrap/>
              <w:overflowPunct/>
              <w:topLinePunct w:val="0"/>
              <w:bidi w:val="0"/>
              <w:spacing w:before="0" w:beforeAutospacing="0" w:after="0" w:afterAutospacing="0" w:line="288" w:lineRule="auto"/>
              <w:ind w:left="0" w:right="0"/>
              <w:textAlignment w:val="auto"/>
              <w:rPr>
                <w:rFonts w:hint="eastAsia" w:ascii="宋体" w:hAnsi="宋体" w:eastAsia="宋体" w:cs="宋体"/>
                <w:color w:val="auto"/>
                <w:kern w:val="2"/>
                <w:sz w:val="22"/>
                <w:szCs w:val="22"/>
                <w:highlight w:val="none"/>
                <w:lang w:val="zh-CN"/>
              </w:rPr>
            </w:pPr>
            <w:r>
              <w:rPr>
                <w:rFonts w:hint="eastAsia" w:ascii="宋体" w:hAnsi="宋体" w:eastAsia="宋体" w:cs="宋体"/>
                <w:color w:val="auto"/>
                <w:kern w:val="2"/>
                <w:sz w:val="22"/>
                <w:szCs w:val="22"/>
                <w:highlight w:val="none"/>
                <w:lang w:val="zh-CN"/>
              </w:rPr>
              <w:t>响应文件提交截止时间前</w:t>
            </w:r>
            <w:r>
              <w:rPr>
                <w:rFonts w:hint="eastAsia" w:ascii="宋体" w:hAnsi="宋体" w:eastAsia="宋体" w:cs="宋体"/>
                <w:color w:val="auto"/>
                <w:kern w:val="2"/>
                <w:sz w:val="22"/>
                <w:szCs w:val="22"/>
                <w:highlight w:val="none"/>
              </w:rPr>
              <w:t>5</w:t>
            </w:r>
            <w:r>
              <w:rPr>
                <w:rFonts w:hint="eastAsia" w:ascii="宋体" w:hAnsi="宋体" w:eastAsia="宋体" w:cs="宋体"/>
                <w:color w:val="auto"/>
                <w:kern w:val="2"/>
                <w:sz w:val="22"/>
                <w:szCs w:val="22"/>
                <w:highlight w:val="none"/>
                <w:lang w:val="zh-CN"/>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3" w:type="dxa"/>
            <w:vAlign w:val="center"/>
          </w:tcPr>
          <w:p>
            <w:pPr>
              <w:keepNext w:val="0"/>
              <w:keepLines w:val="0"/>
              <w:pageBreakBefore w:val="0"/>
              <w:widowControl w:val="0"/>
              <w:numPr>
                <w:ilvl w:val="0"/>
                <w:numId w:val="4"/>
              </w:numPr>
              <w:suppressLineNumbers w:val="0"/>
              <w:kinsoku/>
              <w:wordWrap/>
              <w:overflowPunct/>
              <w:topLinePunct w:val="0"/>
              <w:autoSpaceDE w:val="0"/>
              <w:autoSpaceDN w:val="0"/>
              <w:bidi w:val="0"/>
              <w:adjustRightInd w:val="0"/>
              <w:spacing w:before="0" w:beforeAutospacing="0" w:after="0" w:afterAutospacing="0" w:line="288" w:lineRule="auto"/>
              <w:ind w:left="454" w:leftChars="0" w:right="0" w:hanging="248" w:firstLineChars="0"/>
              <w:jc w:val="center"/>
              <w:textAlignment w:val="auto"/>
              <w:rPr>
                <w:rFonts w:hint="eastAsia" w:ascii="宋体" w:hAnsi="宋体" w:eastAsia="宋体" w:cs="宋体"/>
                <w:bCs/>
                <w:color w:val="auto"/>
                <w:sz w:val="22"/>
                <w:szCs w:val="22"/>
                <w:highlight w:val="none"/>
              </w:rPr>
            </w:pPr>
          </w:p>
        </w:tc>
        <w:tc>
          <w:tcPr>
            <w:tcW w:w="2279" w:type="dxa"/>
            <w:vAlign w:val="center"/>
          </w:tcPr>
          <w:p>
            <w:pPr>
              <w:keepNext w:val="0"/>
              <w:keepLines w:val="0"/>
              <w:pageBreakBefore w:val="0"/>
              <w:widowControl w:val="0"/>
              <w:suppressLineNumbers w:val="0"/>
              <w:kinsoku/>
              <w:wordWrap/>
              <w:overflowPunct/>
              <w:topLinePunct w:val="0"/>
              <w:bidi w:val="0"/>
              <w:spacing w:before="0" w:beforeAutospacing="0" w:after="0" w:afterAutospacing="0" w:line="288" w:lineRule="auto"/>
              <w:ind w:left="0" w:right="0"/>
              <w:jc w:val="center"/>
              <w:textAlignment w:val="auto"/>
              <w:rPr>
                <w:rFonts w:hint="eastAsia" w:ascii="宋体" w:hAnsi="宋体" w:eastAsia="宋体" w:cs="宋体"/>
                <w:bCs/>
                <w:color w:val="auto"/>
                <w:kern w:val="15"/>
                <w:sz w:val="22"/>
                <w:szCs w:val="22"/>
                <w:highlight w:val="none"/>
                <w:lang w:val="zh-CN"/>
              </w:rPr>
            </w:pPr>
            <w:r>
              <w:rPr>
                <w:rFonts w:hint="eastAsia" w:ascii="宋体" w:hAnsi="宋体" w:eastAsia="宋体" w:cs="宋体"/>
                <w:bCs/>
                <w:color w:val="auto"/>
                <w:kern w:val="15"/>
                <w:sz w:val="22"/>
                <w:szCs w:val="22"/>
                <w:highlight w:val="none"/>
                <w:lang w:val="zh-CN"/>
              </w:rPr>
              <w:t>分包</w:t>
            </w:r>
          </w:p>
        </w:tc>
        <w:tc>
          <w:tcPr>
            <w:tcW w:w="6897" w:type="dxa"/>
            <w:vAlign w:val="center"/>
          </w:tcPr>
          <w:p>
            <w:pPr>
              <w:pStyle w:val="141"/>
              <w:keepNext w:val="0"/>
              <w:keepLines w:val="0"/>
              <w:pageBreakBefore w:val="0"/>
              <w:widowControl w:val="0"/>
              <w:suppressLineNumbers w:val="0"/>
              <w:kinsoku/>
              <w:wordWrap/>
              <w:overflowPunct/>
              <w:topLinePunct w:val="0"/>
              <w:bidi w:val="0"/>
              <w:spacing w:before="0" w:beforeAutospacing="0" w:after="0" w:afterAutospacing="0" w:line="288" w:lineRule="auto"/>
              <w:ind w:left="0" w:right="0"/>
              <w:jc w:val="both"/>
              <w:textAlignment w:val="auto"/>
              <w:rPr>
                <w:rFonts w:hint="eastAsia" w:ascii="宋体" w:hAnsi="宋体" w:eastAsia="宋体" w:cs="宋体"/>
                <w:color w:val="auto"/>
                <w:kern w:val="2"/>
                <w:sz w:val="22"/>
                <w:szCs w:val="22"/>
                <w:highlight w:val="none"/>
                <w:lang w:val="zh-CN"/>
              </w:rPr>
            </w:pPr>
            <w:r>
              <w:rPr>
                <w:rFonts w:hint="eastAsia" w:ascii="宋体" w:hAnsi="宋体" w:eastAsia="宋体" w:cs="宋体"/>
                <w:color w:val="auto"/>
                <w:kern w:val="2"/>
                <w:sz w:val="22"/>
                <w:szCs w:val="22"/>
                <w:highlight w:val="none"/>
                <w:lang w:val="zh-CN"/>
              </w:rPr>
              <w:t>本项目</w:t>
            </w:r>
            <w:r>
              <w:rPr>
                <w:rFonts w:hint="eastAsia" w:ascii="宋体" w:hAnsi="宋体" w:eastAsia="宋体" w:cs="宋体"/>
                <w:color w:val="auto"/>
                <w:kern w:val="2"/>
                <w:sz w:val="22"/>
                <w:szCs w:val="22"/>
                <w:highlight w:val="none"/>
              </w:rPr>
              <w:t>不</w:t>
            </w:r>
            <w:r>
              <w:rPr>
                <w:rFonts w:hint="eastAsia" w:ascii="宋体" w:hAnsi="宋体" w:eastAsia="宋体" w:cs="宋体"/>
                <w:color w:val="auto"/>
                <w:kern w:val="2"/>
                <w:sz w:val="22"/>
                <w:szCs w:val="22"/>
                <w:highlight w:val="none"/>
                <w:lang w:val="zh-CN"/>
              </w:rPr>
              <w:t>允许分包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3" w:type="dxa"/>
            <w:vAlign w:val="center"/>
          </w:tcPr>
          <w:p>
            <w:pPr>
              <w:keepNext w:val="0"/>
              <w:keepLines w:val="0"/>
              <w:pageBreakBefore w:val="0"/>
              <w:widowControl w:val="0"/>
              <w:numPr>
                <w:ilvl w:val="0"/>
                <w:numId w:val="4"/>
              </w:numPr>
              <w:suppressLineNumbers w:val="0"/>
              <w:kinsoku/>
              <w:wordWrap/>
              <w:overflowPunct/>
              <w:topLinePunct w:val="0"/>
              <w:autoSpaceDE w:val="0"/>
              <w:autoSpaceDN w:val="0"/>
              <w:bidi w:val="0"/>
              <w:adjustRightInd w:val="0"/>
              <w:spacing w:before="0" w:beforeAutospacing="0" w:after="0" w:afterAutospacing="0" w:line="288" w:lineRule="auto"/>
              <w:ind w:left="454" w:leftChars="0" w:right="0" w:hanging="248" w:firstLineChars="0"/>
              <w:jc w:val="center"/>
              <w:textAlignment w:val="auto"/>
              <w:rPr>
                <w:rFonts w:hint="eastAsia" w:ascii="宋体" w:hAnsi="宋体" w:eastAsia="宋体" w:cs="宋体"/>
                <w:bCs/>
                <w:color w:val="auto"/>
                <w:sz w:val="22"/>
                <w:szCs w:val="22"/>
                <w:highlight w:val="none"/>
              </w:rPr>
            </w:pPr>
          </w:p>
        </w:tc>
        <w:tc>
          <w:tcPr>
            <w:tcW w:w="2279" w:type="dxa"/>
            <w:vAlign w:val="center"/>
          </w:tcPr>
          <w:p>
            <w:pPr>
              <w:keepNext w:val="0"/>
              <w:keepLines w:val="0"/>
              <w:pageBreakBefore w:val="0"/>
              <w:widowControl w:val="0"/>
              <w:suppressLineNumbers w:val="0"/>
              <w:kinsoku/>
              <w:wordWrap/>
              <w:overflowPunct/>
              <w:topLinePunct w:val="0"/>
              <w:bidi w:val="0"/>
              <w:spacing w:before="0" w:beforeAutospacing="0" w:after="0" w:afterAutospacing="0" w:line="288" w:lineRule="auto"/>
              <w:ind w:left="0" w:right="0"/>
              <w:jc w:val="center"/>
              <w:textAlignment w:val="auto"/>
              <w:rPr>
                <w:rFonts w:hint="eastAsia" w:ascii="宋体" w:hAnsi="宋体" w:eastAsia="宋体" w:cs="宋体"/>
                <w:bCs/>
                <w:color w:val="auto"/>
                <w:kern w:val="15"/>
                <w:sz w:val="22"/>
                <w:szCs w:val="22"/>
                <w:highlight w:val="none"/>
                <w:lang w:val="zh-CN"/>
              </w:rPr>
            </w:pPr>
            <w:r>
              <w:rPr>
                <w:rFonts w:hint="eastAsia" w:ascii="宋体" w:hAnsi="宋体" w:eastAsia="宋体" w:cs="宋体"/>
                <w:bCs/>
                <w:color w:val="auto"/>
                <w:kern w:val="15"/>
                <w:sz w:val="22"/>
                <w:szCs w:val="22"/>
                <w:highlight w:val="none"/>
                <w:lang w:val="zh-CN"/>
              </w:rPr>
              <w:t>供应商要求澄清</w:t>
            </w:r>
          </w:p>
          <w:p>
            <w:pPr>
              <w:keepNext w:val="0"/>
              <w:keepLines w:val="0"/>
              <w:pageBreakBefore w:val="0"/>
              <w:widowControl w:val="0"/>
              <w:suppressLineNumbers w:val="0"/>
              <w:kinsoku/>
              <w:wordWrap/>
              <w:overflowPunct/>
              <w:topLinePunct w:val="0"/>
              <w:bidi w:val="0"/>
              <w:spacing w:before="0" w:beforeAutospacing="0" w:after="0" w:afterAutospacing="0" w:line="288" w:lineRule="auto"/>
              <w:ind w:left="0" w:right="0"/>
              <w:jc w:val="center"/>
              <w:textAlignment w:val="auto"/>
              <w:rPr>
                <w:rFonts w:hint="eastAsia" w:ascii="宋体" w:hAnsi="宋体" w:eastAsia="宋体" w:cs="宋体"/>
                <w:bCs/>
                <w:color w:val="auto"/>
                <w:kern w:val="15"/>
                <w:sz w:val="22"/>
                <w:szCs w:val="22"/>
                <w:highlight w:val="none"/>
                <w:lang w:val="zh-CN"/>
              </w:rPr>
            </w:pPr>
            <w:r>
              <w:rPr>
                <w:rFonts w:hint="eastAsia" w:ascii="宋体" w:hAnsi="宋体" w:eastAsia="宋体" w:cs="宋体"/>
                <w:bCs/>
                <w:color w:val="auto"/>
                <w:kern w:val="15"/>
                <w:sz w:val="22"/>
                <w:szCs w:val="22"/>
                <w:highlight w:val="none"/>
                <w:lang w:val="zh-CN"/>
              </w:rPr>
              <w:t>磋商文件的截止时间</w:t>
            </w:r>
          </w:p>
        </w:tc>
        <w:tc>
          <w:tcPr>
            <w:tcW w:w="6897" w:type="dxa"/>
            <w:vAlign w:val="center"/>
          </w:tcPr>
          <w:p>
            <w:pPr>
              <w:pStyle w:val="141"/>
              <w:keepNext w:val="0"/>
              <w:keepLines w:val="0"/>
              <w:pageBreakBefore w:val="0"/>
              <w:widowControl w:val="0"/>
              <w:suppressLineNumbers w:val="0"/>
              <w:kinsoku/>
              <w:wordWrap/>
              <w:overflowPunct/>
              <w:topLinePunct w:val="0"/>
              <w:bidi w:val="0"/>
              <w:spacing w:before="0" w:beforeAutospacing="0" w:after="0" w:afterAutospacing="0" w:line="288" w:lineRule="auto"/>
              <w:ind w:left="0" w:right="0"/>
              <w:jc w:val="both"/>
              <w:textAlignment w:val="auto"/>
              <w:rPr>
                <w:rFonts w:hint="eastAsia" w:ascii="宋体" w:hAnsi="宋体" w:eastAsia="宋体" w:cs="宋体"/>
                <w:color w:val="auto"/>
                <w:kern w:val="2"/>
                <w:sz w:val="22"/>
                <w:szCs w:val="22"/>
                <w:highlight w:val="none"/>
                <w:lang w:val="zh-CN"/>
              </w:rPr>
            </w:pPr>
            <w:r>
              <w:rPr>
                <w:rFonts w:hint="eastAsia" w:ascii="宋体" w:hAnsi="宋体" w:eastAsia="宋体" w:cs="宋体"/>
                <w:color w:val="auto"/>
                <w:kern w:val="2"/>
                <w:sz w:val="22"/>
                <w:szCs w:val="22"/>
                <w:highlight w:val="none"/>
              </w:rPr>
              <w:t>磋商截止时间前5</w:t>
            </w:r>
            <w:r>
              <w:rPr>
                <w:rFonts w:hint="eastAsia" w:ascii="宋体" w:hAnsi="宋体" w:eastAsia="宋体" w:cs="宋体"/>
                <w:color w:val="auto"/>
                <w:kern w:val="2"/>
                <w:sz w:val="22"/>
                <w:szCs w:val="22"/>
                <w:highlight w:val="none"/>
                <w:lang w:val="zh-CN"/>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3" w:type="dxa"/>
            <w:vAlign w:val="center"/>
          </w:tcPr>
          <w:p>
            <w:pPr>
              <w:keepNext w:val="0"/>
              <w:keepLines w:val="0"/>
              <w:pageBreakBefore w:val="0"/>
              <w:widowControl w:val="0"/>
              <w:numPr>
                <w:ilvl w:val="0"/>
                <w:numId w:val="4"/>
              </w:numPr>
              <w:suppressLineNumbers w:val="0"/>
              <w:kinsoku/>
              <w:wordWrap/>
              <w:overflowPunct/>
              <w:topLinePunct w:val="0"/>
              <w:autoSpaceDE w:val="0"/>
              <w:autoSpaceDN w:val="0"/>
              <w:bidi w:val="0"/>
              <w:adjustRightInd w:val="0"/>
              <w:spacing w:before="0" w:beforeAutospacing="0" w:after="0" w:afterAutospacing="0" w:line="288" w:lineRule="auto"/>
              <w:ind w:left="454" w:leftChars="0" w:right="0" w:hanging="248" w:firstLineChars="0"/>
              <w:jc w:val="center"/>
              <w:textAlignment w:val="auto"/>
              <w:rPr>
                <w:rFonts w:hint="eastAsia" w:ascii="宋体" w:hAnsi="宋体" w:eastAsia="宋体" w:cs="宋体"/>
                <w:bCs/>
                <w:color w:val="auto"/>
                <w:sz w:val="22"/>
                <w:szCs w:val="22"/>
                <w:highlight w:val="none"/>
              </w:rPr>
            </w:pPr>
          </w:p>
        </w:tc>
        <w:tc>
          <w:tcPr>
            <w:tcW w:w="2279" w:type="dxa"/>
            <w:vAlign w:val="center"/>
          </w:tcPr>
          <w:p>
            <w:pPr>
              <w:keepNext w:val="0"/>
              <w:keepLines w:val="0"/>
              <w:pageBreakBefore w:val="0"/>
              <w:widowControl w:val="0"/>
              <w:suppressLineNumbers w:val="0"/>
              <w:kinsoku/>
              <w:wordWrap/>
              <w:overflowPunct/>
              <w:topLinePunct w:val="0"/>
              <w:bidi w:val="0"/>
              <w:spacing w:before="0" w:beforeAutospacing="0" w:after="0" w:afterAutospacing="0" w:line="288" w:lineRule="auto"/>
              <w:ind w:left="0" w:right="0"/>
              <w:jc w:val="center"/>
              <w:textAlignment w:val="auto"/>
              <w:rPr>
                <w:rFonts w:hint="eastAsia" w:ascii="宋体" w:hAnsi="宋体" w:eastAsia="宋体" w:cs="宋体"/>
                <w:bCs/>
                <w:color w:val="auto"/>
                <w:kern w:val="15"/>
                <w:sz w:val="22"/>
                <w:szCs w:val="22"/>
                <w:highlight w:val="none"/>
                <w:lang w:val="zh-CN"/>
              </w:rPr>
            </w:pPr>
            <w:r>
              <w:rPr>
                <w:rFonts w:hint="eastAsia" w:ascii="宋体" w:hAnsi="宋体" w:eastAsia="宋体" w:cs="宋体"/>
                <w:bCs/>
                <w:color w:val="auto"/>
                <w:kern w:val="15"/>
                <w:sz w:val="22"/>
                <w:szCs w:val="22"/>
                <w:highlight w:val="none"/>
              </w:rPr>
              <w:t>响应</w:t>
            </w:r>
            <w:r>
              <w:rPr>
                <w:rFonts w:hint="eastAsia" w:ascii="宋体" w:hAnsi="宋体" w:eastAsia="宋体" w:cs="宋体"/>
                <w:bCs/>
                <w:color w:val="auto"/>
                <w:kern w:val="15"/>
                <w:sz w:val="22"/>
                <w:szCs w:val="22"/>
                <w:highlight w:val="none"/>
                <w:lang w:val="zh-CN"/>
              </w:rPr>
              <w:t>文件递交截止时间</w:t>
            </w:r>
          </w:p>
        </w:tc>
        <w:tc>
          <w:tcPr>
            <w:tcW w:w="6897" w:type="dxa"/>
            <w:vAlign w:val="center"/>
          </w:tcPr>
          <w:p>
            <w:pPr>
              <w:pStyle w:val="141"/>
              <w:keepNext w:val="0"/>
              <w:keepLines w:val="0"/>
              <w:pageBreakBefore w:val="0"/>
              <w:widowControl w:val="0"/>
              <w:suppressLineNumbers w:val="0"/>
              <w:kinsoku/>
              <w:wordWrap/>
              <w:overflowPunct/>
              <w:topLinePunct w:val="0"/>
              <w:bidi w:val="0"/>
              <w:spacing w:before="0" w:beforeAutospacing="0" w:after="0" w:afterAutospacing="0" w:line="288" w:lineRule="auto"/>
              <w:ind w:left="0" w:right="0"/>
              <w:jc w:val="both"/>
              <w:textAlignment w:val="auto"/>
              <w:rPr>
                <w:rFonts w:hint="eastAsia" w:ascii="宋体" w:hAnsi="宋体" w:eastAsia="宋体" w:cs="宋体"/>
                <w:color w:val="auto"/>
                <w:kern w:val="2"/>
                <w:sz w:val="22"/>
                <w:szCs w:val="22"/>
                <w:highlight w:val="none"/>
                <w:lang w:val="zh-CN"/>
              </w:rPr>
            </w:pPr>
            <w:r>
              <w:rPr>
                <w:rFonts w:hint="eastAsia" w:ascii="宋体" w:hAnsi="宋体" w:cs="宋体"/>
                <w:color w:val="auto"/>
                <w:sz w:val="22"/>
                <w:szCs w:val="22"/>
                <w:highlight w:val="none"/>
                <w:lang w:val="en-US" w:eastAsia="zh-CN"/>
              </w:rPr>
              <w:t>2024年07月01日15时00分</w:t>
            </w:r>
            <w:r>
              <w:rPr>
                <w:rFonts w:hint="eastAsia" w:ascii="宋体" w:hAnsi="宋体" w:eastAsia="宋体" w:cs="宋体"/>
                <w:color w:val="auto"/>
                <w:kern w:val="2"/>
                <w:sz w:val="22"/>
                <w:szCs w:val="22"/>
                <w:highlight w:val="none"/>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3" w:type="dxa"/>
            <w:vAlign w:val="center"/>
          </w:tcPr>
          <w:p>
            <w:pPr>
              <w:keepNext w:val="0"/>
              <w:keepLines w:val="0"/>
              <w:pageBreakBefore w:val="0"/>
              <w:widowControl w:val="0"/>
              <w:numPr>
                <w:ilvl w:val="0"/>
                <w:numId w:val="4"/>
              </w:numPr>
              <w:suppressLineNumbers w:val="0"/>
              <w:kinsoku/>
              <w:wordWrap/>
              <w:overflowPunct/>
              <w:topLinePunct w:val="0"/>
              <w:autoSpaceDE w:val="0"/>
              <w:autoSpaceDN w:val="0"/>
              <w:bidi w:val="0"/>
              <w:adjustRightInd w:val="0"/>
              <w:spacing w:before="0" w:beforeAutospacing="0" w:after="0" w:afterAutospacing="0" w:line="288" w:lineRule="auto"/>
              <w:ind w:left="454" w:leftChars="0" w:right="0" w:hanging="248" w:firstLineChars="0"/>
              <w:jc w:val="center"/>
              <w:textAlignment w:val="auto"/>
              <w:rPr>
                <w:rFonts w:hint="eastAsia" w:ascii="宋体" w:hAnsi="宋体" w:eastAsia="宋体" w:cs="宋体"/>
                <w:bCs/>
                <w:color w:val="auto"/>
                <w:sz w:val="22"/>
                <w:szCs w:val="22"/>
                <w:highlight w:val="none"/>
              </w:rPr>
            </w:pPr>
          </w:p>
        </w:tc>
        <w:tc>
          <w:tcPr>
            <w:tcW w:w="2279" w:type="dxa"/>
            <w:vAlign w:val="center"/>
          </w:tcPr>
          <w:p>
            <w:pPr>
              <w:keepNext w:val="0"/>
              <w:keepLines w:val="0"/>
              <w:pageBreakBefore w:val="0"/>
              <w:widowControl w:val="0"/>
              <w:suppressLineNumbers w:val="0"/>
              <w:kinsoku/>
              <w:wordWrap/>
              <w:overflowPunct/>
              <w:topLinePunct w:val="0"/>
              <w:bidi w:val="0"/>
              <w:spacing w:before="0" w:beforeAutospacing="0" w:after="0" w:afterAutospacing="0" w:line="288" w:lineRule="auto"/>
              <w:ind w:left="0" w:right="0"/>
              <w:jc w:val="center"/>
              <w:textAlignment w:val="auto"/>
              <w:rPr>
                <w:rFonts w:hint="eastAsia" w:ascii="宋体" w:hAnsi="宋体" w:eastAsia="宋体" w:cs="宋体"/>
                <w:bCs/>
                <w:color w:val="auto"/>
                <w:kern w:val="15"/>
                <w:sz w:val="22"/>
                <w:szCs w:val="22"/>
                <w:highlight w:val="none"/>
                <w:lang w:val="zh-CN"/>
              </w:rPr>
            </w:pPr>
            <w:r>
              <w:rPr>
                <w:rFonts w:hint="eastAsia" w:ascii="宋体" w:hAnsi="宋体" w:eastAsia="宋体" w:cs="宋体"/>
                <w:bCs/>
                <w:color w:val="auto"/>
                <w:kern w:val="15"/>
                <w:sz w:val="22"/>
                <w:szCs w:val="22"/>
                <w:highlight w:val="none"/>
                <w:lang w:val="zh-CN"/>
              </w:rPr>
              <w:t>供应商确认收到</w:t>
            </w:r>
          </w:p>
          <w:p>
            <w:pPr>
              <w:keepNext w:val="0"/>
              <w:keepLines w:val="0"/>
              <w:pageBreakBefore w:val="0"/>
              <w:widowControl w:val="0"/>
              <w:suppressLineNumbers w:val="0"/>
              <w:kinsoku/>
              <w:wordWrap/>
              <w:overflowPunct/>
              <w:topLinePunct w:val="0"/>
              <w:bidi w:val="0"/>
              <w:spacing w:before="0" w:beforeAutospacing="0" w:after="0" w:afterAutospacing="0" w:line="288" w:lineRule="auto"/>
              <w:ind w:left="0" w:right="0"/>
              <w:jc w:val="center"/>
              <w:textAlignment w:val="auto"/>
              <w:rPr>
                <w:rFonts w:hint="eastAsia" w:ascii="宋体" w:hAnsi="宋体" w:eastAsia="宋体" w:cs="宋体"/>
                <w:bCs/>
                <w:color w:val="auto"/>
                <w:kern w:val="15"/>
                <w:sz w:val="22"/>
                <w:szCs w:val="22"/>
                <w:highlight w:val="none"/>
                <w:lang w:val="zh-CN"/>
              </w:rPr>
            </w:pPr>
            <w:r>
              <w:rPr>
                <w:rFonts w:hint="eastAsia" w:ascii="宋体" w:hAnsi="宋体" w:eastAsia="宋体" w:cs="宋体"/>
                <w:bCs/>
                <w:color w:val="auto"/>
                <w:kern w:val="15"/>
                <w:sz w:val="22"/>
                <w:szCs w:val="22"/>
                <w:highlight w:val="none"/>
                <w:lang w:val="zh-CN"/>
              </w:rPr>
              <w:t>磋商文件澄清的时间</w:t>
            </w:r>
          </w:p>
        </w:tc>
        <w:tc>
          <w:tcPr>
            <w:tcW w:w="6897" w:type="dxa"/>
            <w:vAlign w:val="center"/>
          </w:tcPr>
          <w:p>
            <w:pPr>
              <w:pStyle w:val="141"/>
              <w:keepNext w:val="0"/>
              <w:keepLines w:val="0"/>
              <w:pageBreakBefore w:val="0"/>
              <w:widowControl w:val="0"/>
              <w:suppressLineNumbers w:val="0"/>
              <w:kinsoku/>
              <w:wordWrap/>
              <w:overflowPunct/>
              <w:topLinePunct w:val="0"/>
              <w:bidi w:val="0"/>
              <w:spacing w:before="0" w:beforeAutospacing="0" w:after="0" w:afterAutospacing="0" w:line="288" w:lineRule="auto"/>
              <w:ind w:left="0" w:right="0"/>
              <w:jc w:val="both"/>
              <w:textAlignment w:val="auto"/>
              <w:rPr>
                <w:rFonts w:hint="eastAsia" w:ascii="宋体" w:hAnsi="宋体" w:eastAsia="宋体" w:cs="宋体"/>
                <w:color w:val="auto"/>
                <w:kern w:val="2"/>
                <w:sz w:val="22"/>
                <w:szCs w:val="22"/>
                <w:highlight w:val="none"/>
                <w:lang w:val="zh-CN"/>
              </w:rPr>
            </w:pPr>
            <w:r>
              <w:rPr>
                <w:rFonts w:hint="eastAsia" w:ascii="宋体" w:hAnsi="宋体" w:eastAsia="宋体" w:cs="宋体"/>
                <w:color w:val="auto"/>
                <w:kern w:val="2"/>
                <w:sz w:val="22"/>
                <w:szCs w:val="22"/>
                <w:highlight w:val="none"/>
                <w:lang w:val="zh-CN"/>
              </w:rPr>
              <w:t>24小时以内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3" w:type="dxa"/>
            <w:vAlign w:val="center"/>
          </w:tcPr>
          <w:p>
            <w:pPr>
              <w:keepNext w:val="0"/>
              <w:keepLines w:val="0"/>
              <w:pageBreakBefore w:val="0"/>
              <w:widowControl w:val="0"/>
              <w:numPr>
                <w:ilvl w:val="0"/>
                <w:numId w:val="4"/>
              </w:numPr>
              <w:suppressLineNumbers w:val="0"/>
              <w:kinsoku/>
              <w:wordWrap/>
              <w:overflowPunct/>
              <w:topLinePunct w:val="0"/>
              <w:autoSpaceDE w:val="0"/>
              <w:autoSpaceDN w:val="0"/>
              <w:bidi w:val="0"/>
              <w:adjustRightInd w:val="0"/>
              <w:spacing w:before="0" w:beforeAutospacing="0" w:after="0" w:afterAutospacing="0" w:line="288" w:lineRule="auto"/>
              <w:ind w:left="454" w:leftChars="0" w:right="0" w:hanging="248" w:firstLineChars="0"/>
              <w:jc w:val="center"/>
              <w:textAlignment w:val="auto"/>
              <w:rPr>
                <w:rFonts w:hint="eastAsia" w:ascii="宋体" w:hAnsi="宋体" w:eastAsia="宋体" w:cs="宋体"/>
                <w:bCs/>
                <w:color w:val="auto"/>
                <w:sz w:val="22"/>
                <w:szCs w:val="22"/>
                <w:highlight w:val="none"/>
              </w:rPr>
            </w:pPr>
          </w:p>
        </w:tc>
        <w:tc>
          <w:tcPr>
            <w:tcW w:w="2279" w:type="dxa"/>
            <w:vAlign w:val="center"/>
          </w:tcPr>
          <w:p>
            <w:pPr>
              <w:keepNext w:val="0"/>
              <w:keepLines w:val="0"/>
              <w:pageBreakBefore w:val="0"/>
              <w:widowControl w:val="0"/>
              <w:suppressLineNumbers w:val="0"/>
              <w:kinsoku/>
              <w:wordWrap/>
              <w:overflowPunct/>
              <w:topLinePunct w:val="0"/>
              <w:bidi w:val="0"/>
              <w:spacing w:before="0" w:beforeAutospacing="0" w:after="0" w:afterAutospacing="0" w:line="288" w:lineRule="auto"/>
              <w:ind w:left="0" w:right="0"/>
              <w:jc w:val="center"/>
              <w:textAlignment w:val="auto"/>
              <w:rPr>
                <w:rFonts w:hint="eastAsia" w:ascii="宋体" w:hAnsi="宋体" w:eastAsia="宋体" w:cs="宋体"/>
                <w:bCs/>
                <w:color w:val="auto"/>
                <w:kern w:val="15"/>
                <w:sz w:val="22"/>
                <w:szCs w:val="22"/>
                <w:highlight w:val="none"/>
                <w:lang w:val="zh-CN"/>
              </w:rPr>
            </w:pPr>
            <w:r>
              <w:rPr>
                <w:rFonts w:hint="eastAsia" w:ascii="宋体" w:hAnsi="宋体" w:eastAsia="宋体" w:cs="宋体"/>
                <w:bCs/>
                <w:color w:val="auto"/>
                <w:kern w:val="15"/>
                <w:sz w:val="22"/>
                <w:szCs w:val="22"/>
                <w:highlight w:val="none"/>
                <w:lang w:val="zh-CN"/>
              </w:rPr>
              <w:t>供应商确认收到</w:t>
            </w:r>
          </w:p>
          <w:p>
            <w:pPr>
              <w:keepNext w:val="0"/>
              <w:keepLines w:val="0"/>
              <w:pageBreakBefore w:val="0"/>
              <w:widowControl w:val="0"/>
              <w:suppressLineNumbers w:val="0"/>
              <w:kinsoku/>
              <w:wordWrap/>
              <w:overflowPunct/>
              <w:topLinePunct w:val="0"/>
              <w:bidi w:val="0"/>
              <w:spacing w:before="0" w:beforeAutospacing="0" w:after="0" w:afterAutospacing="0" w:line="288" w:lineRule="auto"/>
              <w:ind w:left="0" w:right="0"/>
              <w:jc w:val="center"/>
              <w:textAlignment w:val="auto"/>
              <w:rPr>
                <w:rFonts w:hint="eastAsia" w:ascii="宋体" w:hAnsi="宋体" w:eastAsia="宋体" w:cs="宋体"/>
                <w:bCs/>
                <w:color w:val="auto"/>
                <w:kern w:val="15"/>
                <w:sz w:val="22"/>
                <w:szCs w:val="22"/>
                <w:highlight w:val="none"/>
                <w:lang w:val="zh-CN"/>
              </w:rPr>
            </w:pPr>
            <w:r>
              <w:rPr>
                <w:rFonts w:hint="eastAsia" w:ascii="宋体" w:hAnsi="宋体" w:eastAsia="宋体" w:cs="宋体"/>
                <w:bCs/>
                <w:color w:val="auto"/>
                <w:kern w:val="15"/>
                <w:sz w:val="22"/>
                <w:szCs w:val="22"/>
                <w:highlight w:val="none"/>
                <w:lang w:val="zh-CN"/>
              </w:rPr>
              <w:t>磋商文件修改的时间</w:t>
            </w:r>
          </w:p>
        </w:tc>
        <w:tc>
          <w:tcPr>
            <w:tcW w:w="6897" w:type="dxa"/>
            <w:vAlign w:val="center"/>
          </w:tcPr>
          <w:p>
            <w:pPr>
              <w:pStyle w:val="141"/>
              <w:keepNext w:val="0"/>
              <w:keepLines w:val="0"/>
              <w:pageBreakBefore w:val="0"/>
              <w:widowControl w:val="0"/>
              <w:suppressLineNumbers w:val="0"/>
              <w:kinsoku/>
              <w:wordWrap/>
              <w:overflowPunct/>
              <w:topLinePunct w:val="0"/>
              <w:bidi w:val="0"/>
              <w:spacing w:before="0" w:beforeAutospacing="0" w:after="0" w:afterAutospacing="0" w:line="288" w:lineRule="auto"/>
              <w:ind w:left="0" w:right="0"/>
              <w:jc w:val="both"/>
              <w:textAlignment w:val="auto"/>
              <w:rPr>
                <w:rFonts w:hint="eastAsia" w:ascii="宋体" w:hAnsi="宋体" w:eastAsia="宋体" w:cs="宋体"/>
                <w:color w:val="auto"/>
                <w:kern w:val="2"/>
                <w:sz w:val="22"/>
                <w:szCs w:val="22"/>
                <w:highlight w:val="none"/>
                <w:lang w:val="zh-CN"/>
              </w:rPr>
            </w:pPr>
            <w:r>
              <w:rPr>
                <w:rFonts w:hint="eastAsia" w:ascii="宋体" w:hAnsi="宋体" w:eastAsia="宋体" w:cs="宋体"/>
                <w:color w:val="auto"/>
                <w:kern w:val="2"/>
                <w:sz w:val="22"/>
                <w:szCs w:val="22"/>
                <w:highlight w:val="none"/>
                <w:lang w:val="zh-CN"/>
              </w:rPr>
              <w:t>24小时以内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3" w:type="dxa"/>
            <w:vAlign w:val="center"/>
          </w:tcPr>
          <w:p>
            <w:pPr>
              <w:keepNext w:val="0"/>
              <w:keepLines w:val="0"/>
              <w:pageBreakBefore w:val="0"/>
              <w:widowControl w:val="0"/>
              <w:numPr>
                <w:ilvl w:val="0"/>
                <w:numId w:val="4"/>
              </w:numPr>
              <w:suppressLineNumbers w:val="0"/>
              <w:kinsoku/>
              <w:wordWrap/>
              <w:overflowPunct/>
              <w:topLinePunct w:val="0"/>
              <w:autoSpaceDE w:val="0"/>
              <w:autoSpaceDN w:val="0"/>
              <w:bidi w:val="0"/>
              <w:adjustRightInd w:val="0"/>
              <w:spacing w:before="0" w:beforeAutospacing="0" w:after="0" w:afterAutospacing="0" w:line="288" w:lineRule="auto"/>
              <w:ind w:left="454" w:leftChars="0" w:right="0" w:hanging="248" w:firstLineChars="0"/>
              <w:jc w:val="center"/>
              <w:textAlignment w:val="auto"/>
              <w:rPr>
                <w:rFonts w:hint="eastAsia" w:ascii="宋体" w:hAnsi="宋体" w:eastAsia="宋体" w:cs="宋体"/>
                <w:bCs/>
                <w:color w:val="auto"/>
                <w:sz w:val="22"/>
                <w:szCs w:val="22"/>
                <w:highlight w:val="none"/>
              </w:rPr>
            </w:pPr>
          </w:p>
        </w:tc>
        <w:tc>
          <w:tcPr>
            <w:tcW w:w="2279" w:type="dxa"/>
            <w:vAlign w:val="center"/>
          </w:tcPr>
          <w:p>
            <w:pPr>
              <w:keepNext w:val="0"/>
              <w:keepLines w:val="0"/>
              <w:pageBreakBefore w:val="0"/>
              <w:widowControl w:val="0"/>
              <w:suppressLineNumbers w:val="0"/>
              <w:kinsoku/>
              <w:wordWrap/>
              <w:overflowPunct/>
              <w:topLinePunct w:val="0"/>
              <w:bidi w:val="0"/>
              <w:spacing w:before="0" w:beforeAutospacing="0" w:after="0" w:afterAutospacing="0" w:line="288" w:lineRule="auto"/>
              <w:ind w:left="0" w:right="0"/>
              <w:jc w:val="center"/>
              <w:textAlignment w:val="auto"/>
              <w:rPr>
                <w:rFonts w:hint="eastAsia" w:ascii="宋体" w:hAnsi="宋体" w:eastAsia="宋体" w:cs="宋体"/>
                <w:bCs/>
                <w:color w:val="auto"/>
                <w:kern w:val="15"/>
                <w:sz w:val="22"/>
                <w:szCs w:val="22"/>
                <w:highlight w:val="none"/>
                <w:lang w:val="zh-CN"/>
              </w:rPr>
            </w:pPr>
            <w:r>
              <w:rPr>
                <w:rFonts w:hint="eastAsia" w:ascii="宋体" w:hAnsi="宋体" w:eastAsia="宋体" w:cs="宋体"/>
                <w:bCs/>
                <w:color w:val="auto"/>
                <w:kern w:val="15"/>
                <w:sz w:val="22"/>
                <w:szCs w:val="22"/>
                <w:highlight w:val="none"/>
                <w:lang w:val="zh-CN"/>
              </w:rPr>
              <w:t>构成响应文件的其他材料</w:t>
            </w:r>
          </w:p>
        </w:tc>
        <w:tc>
          <w:tcPr>
            <w:tcW w:w="6897" w:type="dxa"/>
            <w:vAlign w:val="center"/>
          </w:tcPr>
          <w:p>
            <w:pPr>
              <w:pStyle w:val="141"/>
              <w:keepNext w:val="0"/>
              <w:keepLines w:val="0"/>
              <w:pageBreakBefore w:val="0"/>
              <w:widowControl w:val="0"/>
              <w:suppressLineNumbers w:val="0"/>
              <w:kinsoku/>
              <w:wordWrap/>
              <w:overflowPunct/>
              <w:topLinePunct w:val="0"/>
              <w:bidi w:val="0"/>
              <w:spacing w:before="0" w:beforeAutospacing="0" w:after="0" w:afterAutospacing="0" w:line="288" w:lineRule="auto"/>
              <w:ind w:left="0" w:right="0"/>
              <w:jc w:val="both"/>
              <w:textAlignment w:val="auto"/>
              <w:rPr>
                <w:rFonts w:hint="eastAsia" w:ascii="宋体" w:hAnsi="宋体" w:eastAsia="宋体" w:cs="宋体"/>
                <w:color w:val="auto"/>
                <w:kern w:val="2"/>
                <w:sz w:val="22"/>
                <w:szCs w:val="22"/>
                <w:highlight w:val="none"/>
                <w:lang w:val="zh-CN" w:eastAsia="zh-CN"/>
              </w:rPr>
            </w:pPr>
            <w:r>
              <w:rPr>
                <w:rFonts w:hint="eastAsia" w:ascii="宋体" w:hAnsi="宋体" w:eastAsia="宋体" w:cs="宋体"/>
                <w:color w:val="auto"/>
                <w:kern w:val="2"/>
                <w:sz w:val="22"/>
                <w:szCs w:val="22"/>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3" w:type="dxa"/>
            <w:vAlign w:val="center"/>
          </w:tcPr>
          <w:p>
            <w:pPr>
              <w:keepNext w:val="0"/>
              <w:keepLines w:val="0"/>
              <w:pageBreakBefore w:val="0"/>
              <w:widowControl w:val="0"/>
              <w:numPr>
                <w:ilvl w:val="0"/>
                <w:numId w:val="4"/>
              </w:numPr>
              <w:suppressLineNumbers w:val="0"/>
              <w:kinsoku/>
              <w:wordWrap/>
              <w:overflowPunct/>
              <w:topLinePunct w:val="0"/>
              <w:autoSpaceDE w:val="0"/>
              <w:autoSpaceDN w:val="0"/>
              <w:bidi w:val="0"/>
              <w:adjustRightInd w:val="0"/>
              <w:spacing w:before="0" w:beforeAutospacing="0" w:after="0" w:afterAutospacing="0" w:line="288" w:lineRule="auto"/>
              <w:ind w:left="454" w:leftChars="0" w:right="0" w:hanging="248" w:firstLineChars="0"/>
              <w:jc w:val="center"/>
              <w:textAlignment w:val="auto"/>
              <w:rPr>
                <w:rFonts w:hint="eastAsia" w:ascii="宋体" w:hAnsi="宋体" w:eastAsia="宋体" w:cs="宋体"/>
                <w:bCs/>
                <w:color w:val="auto"/>
                <w:sz w:val="22"/>
                <w:szCs w:val="22"/>
                <w:highlight w:val="none"/>
              </w:rPr>
            </w:pPr>
          </w:p>
        </w:tc>
        <w:tc>
          <w:tcPr>
            <w:tcW w:w="2279" w:type="dxa"/>
            <w:vAlign w:val="center"/>
          </w:tcPr>
          <w:p>
            <w:pPr>
              <w:keepNext w:val="0"/>
              <w:keepLines w:val="0"/>
              <w:pageBreakBefore w:val="0"/>
              <w:widowControl w:val="0"/>
              <w:suppressLineNumbers w:val="0"/>
              <w:kinsoku/>
              <w:wordWrap/>
              <w:overflowPunct/>
              <w:topLinePunct w:val="0"/>
              <w:bidi w:val="0"/>
              <w:spacing w:before="0" w:beforeAutospacing="0" w:after="0" w:afterAutospacing="0" w:line="288" w:lineRule="auto"/>
              <w:ind w:left="0" w:right="0"/>
              <w:jc w:val="center"/>
              <w:textAlignment w:val="auto"/>
              <w:rPr>
                <w:rFonts w:hint="eastAsia" w:ascii="宋体" w:hAnsi="宋体" w:eastAsia="宋体" w:cs="宋体"/>
                <w:bCs/>
                <w:color w:val="auto"/>
                <w:kern w:val="15"/>
                <w:sz w:val="22"/>
                <w:szCs w:val="22"/>
                <w:highlight w:val="none"/>
                <w:lang w:val="zh-CN"/>
              </w:rPr>
            </w:pPr>
            <w:r>
              <w:rPr>
                <w:rFonts w:hint="eastAsia" w:ascii="宋体" w:hAnsi="宋体" w:eastAsia="宋体" w:cs="宋体"/>
                <w:bCs/>
                <w:color w:val="auto"/>
                <w:kern w:val="15"/>
                <w:sz w:val="22"/>
                <w:szCs w:val="22"/>
                <w:highlight w:val="none"/>
                <w:lang w:val="zh-CN"/>
              </w:rPr>
              <w:t>磋商有效期</w:t>
            </w:r>
          </w:p>
        </w:tc>
        <w:tc>
          <w:tcPr>
            <w:tcW w:w="6897" w:type="dxa"/>
          </w:tcPr>
          <w:p>
            <w:pPr>
              <w:pStyle w:val="141"/>
              <w:keepNext w:val="0"/>
              <w:keepLines w:val="0"/>
              <w:pageBreakBefore w:val="0"/>
              <w:widowControl w:val="0"/>
              <w:suppressLineNumbers w:val="0"/>
              <w:kinsoku/>
              <w:wordWrap/>
              <w:overflowPunct/>
              <w:topLinePunct w:val="0"/>
              <w:bidi w:val="0"/>
              <w:spacing w:before="0" w:beforeAutospacing="0" w:after="0" w:afterAutospacing="0" w:line="288" w:lineRule="auto"/>
              <w:ind w:left="0" w:right="0"/>
              <w:textAlignment w:val="auto"/>
              <w:rPr>
                <w:rFonts w:hint="eastAsia" w:ascii="宋体" w:hAnsi="宋体" w:eastAsia="宋体" w:cs="宋体"/>
                <w:color w:val="auto"/>
                <w:kern w:val="2"/>
                <w:sz w:val="22"/>
                <w:szCs w:val="22"/>
                <w:highlight w:val="none"/>
                <w:lang w:val="zh-CN" w:eastAsia="zh-CN"/>
              </w:rPr>
            </w:pPr>
            <w:r>
              <w:rPr>
                <w:rFonts w:hint="eastAsia" w:ascii="宋体" w:hAnsi="宋体" w:eastAsia="宋体" w:cs="宋体"/>
                <w:color w:val="auto"/>
                <w:kern w:val="2"/>
                <w:sz w:val="22"/>
                <w:szCs w:val="22"/>
                <w:highlight w:val="none"/>
                <w:lang w:val="en-US" w:eastAsia="zh-CN"/>
              </w:rPr>
              <w:t>磋商截止之日后</w:t>
            </w:r>
            <w:r>
              <w:rPr>
                <w:rFonts w:hint="eastAsia" w:ascii="宋体" w:hAnsi="宋体" w:eastAsia="宋体" w:cs="宋体"/>
                <w:color w:val="auto"/>
                <w:kern w:val="2"/>
                <w:sz w:val="22"/>
                <w:szCs w:val="22"/>
                <w:highlight w:val="none"/>
                <w:lang w:val="zh-CN" w:eastAsia="zh-CN"/>
              </w:rPr>
              <w:t>90天（日历天）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3" w:type="dxa"/>
            <w:vAlign w:val="center"/>
          </w:tcPr>
          <w:p>
            <w:pPr>
              <w:keepNext w:val="0"/>
              <w:keepLines w:val="0"/>
              <w:pageBreakBefore w:val="0"/>
              <w:widowControl w:val="0"/>
              <w:numPr>
                <w:ilvl w:val="0"/>
                <w:numId w:val="4"/>
              </w:numPr>
              <w:suppressLineNumbers w:val="0"/>
              <w:kinsoku/>
              <w:wordWrap/>
              <w:overflowPunct/>
              <w:topLinePunct w:val="0"/>
              <w:autoSpaceDE w:val="0"/>
              <w:autoSpaceDN w:val="0"/>
              <w:bidi w:val="0"/>
              <w:adjustRightInd w:val="0"/>
              <w:spacing w:before="0" w:beforeAutospacing="0" w:after="0" w:afterAutospacing="0" w:line="288" w:lineRule="auto"/>
              <w:ind w:left="454" w:leftChars="0" w:right="0" w:hanging="248" w:firstLineChars="0"/>
              <w:jc w:val="center"/>
              <w:textAlignment w:val="auto"/>
              <w:rPr>
                <w:rFonts w:hint="eastAsia" w:ascii="宋体" w:hAnsi="宋体" w:eastAsia="宋体" w:cs="宋体"/>
                <w:bCs/>
                <w:color w:val="auto"/>
                <w:sz w:val="22"/>
                <w:szCs w:val="22"/>
                <w:highlight w:val="none"/>
                <w:lang w:val="zh-CN"/>
              </w:rPr>
            </w:pPr>
          </w:p>
        </w:tc>
        <w:tc>
          <w:tcPr>
            <w:tcW w:w="2279" w:type="dxa"/>
            <w:vAlign w:val="center"/>
          </w:tcPr>
          <w:p>
            <w:pPr>
              <w:keepNext w:val="0"/>
              <w:keepLines w:val="0"/>
              <w:pageBreakBefore w:val="0"/>
              <w:widowControl w:val="0"/>
              <w:suppressLineNumbers w:val="0"/>
              <w:kinsoku/>
              <w:wordWrap/>
              <w:overflowPunct/>
              <w:topLinePunct w:val="0"/>
              <w:bidi w:val="0"/>
              <w:spacing w:before="0" w:beforeAutospacing="0" w:after="0" w:afterAutospacing="0" w:line="288" w:lineRule="auto"/>
              <w:ind w:left="0" w:right="0"/>
              <w:jc w:val="center"/>
              <w:textAlignment w:val="auto"/>
              <w:rPr>
                <w:rFonts w:hint="eastAsia" w:ascii="宋体" w:hAnsi="宋体" w:eastAsia="宋体" w:cs="宋体"/>
                <w:bCs/>
                <w:color w:val="auto"/>
                <w:kern w:val="15"/>
                <w:sz w:val="22"/>
                <w:szCs w:val="22"/>
                <w:highlight w:val="none"/>
                <w:lang w:val="zh-CN"/>
              </w:rPr>
            </w:pPr>
            <w:r>
              <w:rPr>
                <w:rFonts w:hint="eastAsia" w:ascii="宋体" w:hAnsi="宋体" w:eastAsia="宋体" w:cs="宋体"/>
                <w:bCs/>
                <w:color w:val="auto"/>
                <w:kern w:val="15"/>
                <w:sz w:val="22"/>
                <w:szCs w:val="22"/>
                <w:highlight w:val="none"/>
                <w:lang w:val="zh-CN"/>
              </w:rPr>
              <w:t>磋商保证金</w:t>
            </w:r>
          </w:p>
        </w:tc>
        <w:tc>
          <w:tcPr>
            <w:tcW w:w="6897" w:type="dxa"/>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88" w:lineRule="auto"/>
              <w:ind w:left="0" w:right="0"/>
              <w:textAlignment w:val="auto"/>
              <w:rPr>
                <w:rFonts w:hint="eastAsia" w:ascii="宋体" w:hAnsi="宋体" w:eastAsia="宋体" w:cs="宋体"/>
                <w:b/>
                <w:bCs w:val="0"/>
                <w:color w:val="auto"/>
                <w:sz w:val="22"/>
                <w:szCs w:val="22"/>
                <w:highlight w:val="none"/>
                <w:lang w:val="en-US"/>
              </w:rPr>
            </w:pPr>
            <w:r>
              <w:rPr>
                <w:rFonts w:hint="eastAsia" w:ascii="宋体" w:hAnsi="宋体" w:eastAsia="宋体" w:cs="宋体"/>
                <w:b/>
                <w:bCs w:val="0"/>
                <w:color w:val="auto"/>
                <w:sz w:val="22"/>
                <w:szCs w:val="22"/>
                <w:highlight w:val="none"/>
                <w:lang w:val="en-US" w:eastAsia="zh-CN"/>
              </w:rPr>
              <w:t>1、对于</w:t>
            </w:r>
            <w:r>
              <w:rPr>
                <w:rFonts w:hint="eastAsia" w:ascii="宋体" w:hAnsi="宋体" w:eastAsia="宋体" w:cs="宋体"/>
                <w:b/>
                <w:bCs w:val="0"/>
                <w:color w:val="auto"/>
                <w:sz w:val="22"/>
                <w:szCs w:val="22"/>
                <w:highlight w:val="none"/>
              </w:rPr>
              <w:t>诚信纪录良好的供应商</w:t>
            </w:r>
            <w:r>
              <w:rPr>
                <w:rFonts w:hint="eastAsia" w:ascii="宋体" w:hAnsi="宋体" w:eastAsia="宋体" w:cs="宋体"/>
                <w:b/>
                <w:bCs w:val="0"/>
                <w:color w:val="auto"/>
                <w:sz w:val="22"/>
                <w:szCs w:val="22"/>
                <w:highlight w:val="none"/>
                <w:lang w:val="en-US" w:eastAsia="zh-CN"/>
              </w:rPr>
              <w:t>不</w:t>
            </w:r>
            <w:r>
              <w:rPr>
                <w:rFonts w:hint="eastAsia" w:ascii="宋体" w:hAnsi="宋体" w:eastAsia="宋体" w:cs="宋体"/>
                <w:b/>
                <w:bCs w:val="0"/>
                <w:color w:val="auto"/>
                <w:sz w:val="22"/>
                <w:szCs w:val="22"/>
                <w:highlight w:val="none"/>
              </w:rPr>
              <w:t>收取磋商保证金，但对于满足《中华人民共和国政府采购法》第二十二条有关规定，经信用中国网站查询存在行政处罚信息的供应商，采购人、采购代理机构可以按规定收取磋商保证金。</w:t>
            </w:r>
            <w:r>
              <w:rPr>
                <w:rFonts w:hint="eastAsia" w:ascii="宋体" w:hAnsi="宋体" w:eastAsia="宋体" w:cs="宋体"/>
                <w:b/>
                <w:bCs w:val="0"/>
                <w:color w:val="auto"/>
                <w:sz w:val="22"/>
                <w:szCs w:val="22"/>
                <w:highlight w:val="none"/>
                <w:lang w:val="en-US" w:eastAsia="zh-CN"/>
              </w:rPr>
              <w:t>符合要求的供应商可在响应文件中提供“信用中国” 网站查询无行政处罚信息的证明材料，并在截止时间前2日将截图发至采购代理机构。</w:t>
            </w:r>
          </w:p>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88" w:lineRule="auto"/>
              <w:ind w:left="0" w:right="0"/>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lang w:val="en-US" w:eastAsia="zh-CN"/>
              </w:rPr>
              <w:t>2</w:t>
            </w:r>
            <w:r>
              <w:rPr>
                <w:rFonts w:hint="eastAsia" w:ascii="宋体" w:hAnsi="宋体" w:eastAsia="宋体" w:cs="宋体"/>
                <w:bCs/>
                <w:color w:val="auto"/>
                <w:sz w:val="22"/>
                <w:szCs w:val="22"/>
                <w:highlight w:val="none"/>
              </w:rPr>
              <w:t>、磋商保证金：</w:t>
            </w:r>
            <w:r>
              <w:rPr>
                <w:rFonts w:hint="eastAsia" w:ascii="宋体" w:hAnsi="宋体" w:eastAsia="宋体" w:cs="宋体"/>
                <w:bCs/>
                <w:color w:val="auto"/>
                <w:sz w:val="22"/>
                <w:szCs w:val="22"/>
                <w:highlight w:val="none"/>
                <w:lang w:val="en-US" w:eastAsia="zh-CN"/>
              </w:rPr>
              <w:t>10000元</w:t>
            </w:r>
            <w:r>
              <w:rPr>
                <w:rFonts w:hint="eastAsia" w:ascii="宋体" w:hAnsi="宋体" w:eastAsia="宋体" w:cs="宋体"/>
                <w:bCs/>
                <w:color w:val="auto"/>
                <w:sz w:val="22"/>
                <w:szCs w:val="22"/>
                <w:highlight w:val="none"/>
              </w:rPr>
              <w:t>。</w:t>
            </w:r>
          </w:p>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88" w:lineRule="auto"/>
              <w:ind w:left="0" w:right="0"/>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lang w:val="en-US" w:eastAsia="zh-CN"/>
              </w:rPr>
              <w:t>3</w:t>
            </w:r>
            <w:r>
              <w:rPr>
                <w:rFonts w:hint="eastAsia" w:ascii="宋体" w:hAnsi="宋体" w:eastAsia="宋体" w:cs="宋体"/>
                <w:bCs/>
                <w:color w:val="auto"/>
                <w:sz w:val="22"/>
                <w:szCs w:val="22"/>
                <w:highlight w:val="none"/>
              </w:rPr>
              <w:t>、递交形式：供应商自主选择支票、汇票、本票、转账、电汇等形式；</w:t>
            </w:r>
          </w:p>
          <w:p>
            <w:pPr>
              <w:pStyle w:val="141"/>
              <w:keepNext w:val="0"/>
              <w:keepLines w:val="0"/>
              <w:pageBreakBefore w:val="0"/>
              <w:widowControl w:val="0"/>
              <w:suppressLineNumbers w:val="0"/>
              <w:kinsoku/>
              <w:wordWrap/>
              <w:overflowPunct/>
              <w:topLinePunct w:val="0"/>
              <w:bidi w:val="0"/>
              <w:spacing w:before="0" w:beforeAutospacing="0" w:after="0" w:afterAutospacing="0" w:line="288" w:lineRule="auto"/>
              <w:ind w:left="0" w:right="0"/>
              <w:jc w:val="both"/>
              <w:textAlignment w:val="auto"/>
              <w:rPr>
                <w:rFonts w:hint="eastAsia" w:ascii="宋体" w:hAnsi="宋体" w:eastAsia="宋体" w:cs="宋体"/>
                <w:b/>
                <w:bCs/>
                <w:color w:val="auto"/>
                <w:kern w:val="2"/>
                <w:sz w:val="22"/>
                <w:szCs w:val="22"/>
                <w:highlight w:val="none"/>
                <w:lang w:val="en-US" w:eastAsia="zh-CN"/>
              </w:rPr>
            </w:pPr>
            <w:r>
              <w:rPr>
                <w:rFonts w:hint="eastAsia" w:ascii="宋体" w:hAnsi="宋体" w:eastAsia="宋体" w:cs="宋体"/>
                <w:b/>
                <w:bCs/>
                <w:color w:val="auto"/>
                <w:kern w:val="2"/>
                <w:sz w:val="22"/>
                <w:szCs w:val="22"/>
                <w:highlight w:val="none"/>
                <w:lang w:val="en-US" w:eastAsia="zh-CN"/>
              </w:rPr>
              <w:t>账户名称：长春中融工程项目管理咨询有限公司</w:t>
            </w:r>
          </w:p>
          <w:p>
            <w:pPr>
              <w:pStyle w:val="141"/>
              <w:keepNext w:val="0"/>
              <w:keepLines w:val="0"/>
              <w:pageBreakBefore w:val="0"/>
              <w:widowControl w:val="0"/>
              <w:suppressLineNumbers w:val="0"/>
              <w:kinsoku/>
              <w:wordWrap/>
              <w:overflowPunct/>
              <w:topLinePunct w:val="0"/>
              <w:bidi w:val="0"/>
              <w:spacing w:before="0" w:beforeAutospacing="0" w:after="0" w:afterAutospacing="0" w:line="288" w:lineRule="auto"/>
              <w:ind w:left="0" w:right="0"/>
              <w:jc w:val="both"/>
              <w:textAlignment w:val="auto"/>
              <w:rPr>
                <w:rFonts w:hint="eastAsia" w:ascii="宋体" w:hAnsi="宋体" w:eastAsia="宋体" w:cs="宋体"/>
                <w:b/>
                <w:bCs/>
                <w:color w:val="auto"/>
                <w:kern w:val="2"/>
                <w:sz w:val="22"/>
                <w:szCs w:val="22"/>
                <w:highlight w:val="none"/>
                <w:lang w:val="en-US" w:eastAsia="zh-CN"/>
              </w:rPr>
            </w:pPr>
            <w:r>
              <w:rPr>
                <w:rFonts w:hint="eastAsia" w:ascii="宋体" w:hAnsi="宋体" w:eastAsia="宋体" w:cs="宋体"/>
                <w:b/>
                <w:bCs/>
                <w:color w:val="auto"/>
                <w:kern w:val="2"/>
                <w:sz w:val="22"/>
                <w:szCs w:val="22"/>
                <w:highlight w:val="none"/>
                <w:lang w:val="en-US" w:eastAsia="zh-CN"/>
              </w:rPr>
              <w:t>开户银行：中国工商银行股份有限公司长春万达广场支行</w:t>
            </w:r>
          </w:p>
          <w:p>
            <w:pPr>
              <w:pStyle w:val="141"/>
              <w:keepNext w:val="0"/>
              <w:keepLines w:val="0"/>
              <w:pageBreakBefore w:val="0"/>
              <w:widowControl w:val="0"/>
              <w:suppressLineNumbers w:val="0"/>
              <w:kinsoku/>
              <w:wordWrap/>
              <w:overflowPunct/>
              <w:topLinePunct w:val="0"/>
              <w:bidi w:val="0"/>
              <w:spacing w:before="0" w:beforeAutospacing="0" w:after="0" w:afterAutospacing="0" w:line="288" w:lineRule="auto"/>
              <w:ind w:left="0" w:right="0"/>
              <w:jc w:val="both"/>
              <w:textAlignment w:val="auto"/>
              <w:rPr>
                <w:rFonts w:hint="eastAsia" w:ascii="宋体" w:hAnsi="宋体" w:eastAsia="宋体" w:cs="宋体"/>
                <w:b/>
                <w:bCs/>
                <w:color w:val="auto"/>
                <w:kern w:val="2"/>
                <w:sz w:val="22"/>
                <w:szCs w:val="22"/>
                <w:highlight w:val="none"/>
                <w:lang w:val="en-US" w:eastAsia="zh-CN"/>
              </w:rPr>
            </w:pPr>
            <w:r>
              <w:rPr>
                <w:rFonts w:hint="eastAsia" w:ascii="宋体" w:hAnsi="宋体" w:eastAsia="宋体" w:cs="宋体"/>
                <w:b/>
                <w:bCs/>
                <w:color w:val="auto"/>
                <w:kern w:val="2"/>
                <w:sz w:val="22"/>
                <w:szCs w:val="22"/>
                <w:highlight w:val="none"/>
                <w:lang w:val="en-US" w:eastAsia="zh-CN"/>
              </w:rPr>
              <w:t>账    号：4200201209000055184</w:t>
            </w:r>
          </w:p>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88" w:lineRule="auto"/>
              <w:ind w:left="0" w:right="0"/>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lang w:val="en-US" w:eastAsia="zh-CN"/>
              </w:rPr>
              <w:t>4</w:t>
            </w:r>
            <w:r>
              <w:rPr>
                <w:rFonts w:hint="eastAsia" w:ascii="宋体" w:hAnsi="宋体" w:eastAsia="宋体" w:cs="宋体"/>
                <w:bCs/>
                <w:color w:val="auto"/>
                <w:sz w:val="22"/>
                <w:szCs w:val="22"/>
                <w:highlight w:val="none"/>
              </w:rPr>
              <w:t>、递交时间：供应商应于递交响应文件截止时间前递交，以到账为准。</w:t>
            </w:r>
          </w:p>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88" w:lineRule="auto"/>
              <w:ind w:left="0" w:right="0"/>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采用银行保函形式提交的，供应商应当在提交响应文件截止时间前向采购代理机构递交保函原件。</w:t>
            </w:r>
          </w:p>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88" w:lineRule="auto"/>
              <w:ind w:left="0" w:right="0"/>
              <w:textAlignment w:val="auto"/>
              <w:rPr>
                <w:rFonts w:hint="eastAsia" w:ascii="宋体" w:hAnsi="宋体" w:eastAsia="宋体" w:cs="宋体"/>
                <w:color w:val="auto"/>
                <w:kern w:val="2"/>
                <w:sz w:val="22"/>
                <w:szCs w:val="22"/>
                <w:highlight w:val="none"/>
                <w:lang w:val="zh-CN" w:eastAsia="zh-CN"/>
              </w:rPr>
            </w:pPr>
            <w:r>
              <w:rPr>
                <w:rFonts w:hint="eastAsia" w:ascii="宋体" w:hAnsi="宋体" w:eastAsia="宋体" w:cs="宋体"/>
                <w:bCs/>
                <w:color w:val="auto"/>
                <w:sz w:val="22"/>
                <w:szCs w:val="22"/>
                <w:highlight w:val="none"/>
                <w:lang w:val="en-US" w:eastAsia="zh-CN"/>
              </w:rPr>
              <w:t>5</w:t>
            </w:r>
            <w:r>
              <w:rPr>
                <w:rFonts w:hint="eastAsia" w:ascii="宋体" w:hAnsi="宋体" w:eastAsia="宋体" w:cs="宋体"/>
                <w:bCs/>
                <w:color w:val="auto"/>
                <w:sz w:val="22"/>
                <w:szCs w:val="22"/>
                <w:highlight w:val="none"/>
              </w:rPr>
              <w:t>、未按竞争性磋商文件要求提交磋商保证金，或提交磋商保证金的账户名称与供应商名称不一致，按照无效投标处理。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3" w:type="dxa"/>
            <w:vAlign w:val="center"/>
          </w:tcPr>
          <w:p>
            <w:pPr>
              <w:keepNext w:val="0"/>
              <w:keepLines w:val="0"/>
              <w:pageBreakBefore w:val="0"/>
              <w:widowControl w:val="0"/>
              <w:numPr>
                <w:ilvl w:val="0"/>
                <w:numId w:val="4"/>
              </w:numPr>
              <w:suppressLineNumbers w:val="0"/>
              <w:kinsoku/>
              <w:wordWrap/>
              <w:overflowPunct/>
              <w:topLinePunct w:val="0"/>
              <w:autoSpaceDE w:val="0"/>
              <w:autoSpaceDN w:val="0"/>
              <w:bidi w:val="0"/>
              <w:adjustRightInd w:val="0"/>
              <w:spacing w:before="0" w:beforeAutospacing="0" w:after="0" w:afterAutospacing="0" w:line="288" w:lineRule="auto"/>
              <w:ind w:left="454" w:leftChars="0" w:right="0" w:hanging="248" w:firstLineChars="0"/>
              <w:jc w:val="center"/>
              <w:textAlignment w:val="auto"/>
              <w:rPr>
                <w:rFonts w:hint="eastAsia" w:ascii="宋体" w:hAnsi="宋体" w:eastAsia="宋体" w:cs="宋体"/>
                <w:bCs/>
                <w:color w:val="auto"/>
                <w:sz w:val="22"/>
                <w:szCs w:val="22"/>
                <w:highlight w:val="none"/>
              </w:rPr>
            </w:pPr>
          </w:p>
        </w:tc>
        <w:tc>
          <w:tcPr>
            <w:tcW w:w="2279" w:type="dxa"/>
            <w:vAlign w:val="center"/>
          </w:tcPr>
          <w:p>
            <w:pPr>
              <w:keepNext w:val="0"/>
              <w:keepLines w:val="0"/>
              <w:pageBreakBefore w:val="0"/>
              <w:widowControl w:val="0"/>
              <w:suppressLineNumbers w:val="0"/>
              <w:kinsoku/>
              <w:wordWrap/>
              <w:overflowPunct/>
              <w:topLinePunct w:val="0"/>
              <w:bidi w:val="0"/>
              <w:spacing w:before="0" w:beforeAutospacing="0" w:after="0" w:afterAutospacing="0" w:line="288" w:lineRule="auto"/>
              <w:ind w:left="0" w:right="0"/>
              <w:jc w:val="center"/>
              <w:textAlignment w:val="auto"/>
              <w:rPr>
                <w:rFonts w:hint="eastAsia" w:ascii="宋体" w:hAnsi="宋体" w:eastAsia="宋体" w:cs="宋体"/>
                <w:bCs/>
                <w:color w:val="auto"/>
                <w:kern w:val="15"/>
                <w:sz w:val="22"/>
                <w:szCs w:val="22"/>
                <w:highlight w:val="none"/>
                <w:lang w:val="zh-CN" w:eastAsia="zh-CN"/>
              </w:rPr>
            </w:pPr>
            <w:r>
              <w:rPr>
                <w:rFonts w:hint="eastAsia" w:ascii="宋体" w:hAnsi="宋体" w:eastAsia="宋体" w:cs="宋体"/>
                <w:bCs/>
                <w:color w:val="auto"/>
                <w:kern w:val="15"/>
                <w:sz w:val="22"/>
                <w:szCs w:val="22"/>
                <w:highlight w:val="none"/>
                <w:lang w:val="zh-CN" w:eastAsia="zh-CN"/>
              </w:rPr>
              <w:t>近年财务状况的年份要求</w:t>
            </w:r>
          </w:p>
        </w:tc>
        <w:tc>
          <w:tcPr>
            <w:tcW w:w="6897" w:type="dxa"/>
            <w:vAlign w:val="center"/>
          </w:tcPr>
          <w:p>
            <w:pPr>
              <w:keepNext w:val="0"/>
              <w:keepLines w:val="0"/>
              <w:pageBreakBefore w:val="0"/>
              <w:widowControl w:val="0"/>
              <w:suppressLineNumbers w:val="0"/>
              <w:kinsoku/>
              <w:wordWrap/>
              <w:overflowPunct/>
              <w:topLinePunct w:val="0"/>
              <w:bidi w:val="0"/>
              <w:spacing w:before="0" w:beforeAutospacing="0" w:after="0" w:afterAutospacing="0" w:line="288" w:lineRule="auto"/>
              <w:ind w:left="0" w:right="0"/>
              <w:textAlignment w:val="auto"/>
              <w:rPr>
                <w:rFonts w:hint="eastAsia" w:ascii="宋体" w:hAnsi="宋体" w:eastAsia="宋体" w:cs="宋体"/>
                <w:color w:val="auto"/>
                <w:kern w:val="2"/>
                <w:sz w:val="22"/>
                <w:szCs w:val="22"/>
                <w:highlight w:val="none"/>
                <w:lang w:val="en-US" w:eastAsia="zh-CN"/>
              </w:rPr>
            </w:pPr>
            <w:r>
              <w:rPr>
                <w:rFonts w:hint="eastAsia" w:ascii="宋体" w:hAnsi="宋体" w:eastAsia="宋体" w:cs="宋体"/>
                <w:color w:val="auto"/>
                <w:kern w:val="0"/>
                <w:sz w:val="22"/>
                <w:szCs w:val="22"/>
                <w:highlight w:val="none"/>
              </w:rPr>
              <w:t>具有良好的商业信誉和健全的财务会计制度，依法缴纳税收和社会保障资金的良好记录，根据[长财采购[2022]2066号文件]关于加强政府采购信用体系建设简化供应商资格条件有关事项的通知</w:t>
            </w:r>
            <w:r>
              <w:rPr>
                <w:rFonts w:hint="eastAsia" w:ascii="宋体" w:hAnsi="宋体" w:eastAsia="宋体" w:cs="宋体"/>
                <w:color w:val="auto"/>
                <w:kern w:val="0"/>
                <w:sz w:val="22"/>
                <w:szCs w:val="22"/>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3" w:type="dxa"/>
            <w:vAlign w:val="center"/>
          </w:tcPr>
          <w:p>
            <w:pPr>
              <w:keepNext w:val="0"/>
              <w:keepLines w:val="0"/>
              <w:pageBreakBefore w:val="0"/>
              <w:widowControl w:val="0"/>
              <w:numPr>
                <w:ilvl w:val="0"/>
                <w:numId w:val="4"/>
              </w:numPr>
              <w:suppressLineNumbers w:val="0"/>
              <w:kinsoku/>
              <w:wordWrap/>
              <w:overflowPunct/>
              <w:topLinePunct w:val="0"/>
              <w:autoSpaceDE w:val="0"/>
              <w:autoSpaceDN w:val="0"/>
              <w:bidi w:val="0"/>
              <w:adjustRightInd w:val="0"/>
              <w:spacing w:before="0" w:beforeAutospacing="0" w:after="0" w:afterAutospacing="0" w:line="288" w:lineRule="auto"/>
              <w:ind w:left="454" w:leftChars="0" w:right="0" w:hanging="248" w:firstLineChars="0"/>
              <w:jc w:val="center"/>
              <w:textAlignment w:val="auto"/>
              <w:rPr>
                <w:rFonts w:hint="eastAsia" w:ascii="宋体" w:hAnsi="宋体" w:eastAsia="宋体" w:cs="宋体"/>
                <w:bCs/>
                <w:color w:val="auto"/>
                <w:sz w:val="22"/>
                <w:szCs w:val="22"/>
                <w:highlight w:val="none"/>
              </w:rPr>
            </w:pPr>
          </w:p>
        </w:tc>
        <w:tc>
          <w:tcPr>
            <w:tcW w:w="2279" w:type="dxa"/>
            <w:vAlign w:val="center"/>
          </w:tcPr>
          <w:p>
            <w:pPr>
              <w:keepNext w:val="0"/>
              <w:keepLines w:val="0"/>
              <w:pageBreakBefore w:val="0"/>
              <w:widowControl w:val="0"/>
              <w:suppressLineNumbers w:val="0"/>
              <w:kinsoku/>
              <w:wordWrap/>
              <w:overflowPunct/>
              <w:topLinePunct w:val="0"/>
              <w:bidi w:val="0"/>
              <w:spacing w:before="0" w:beforeAutospacing="0" w:after="0" w:afterAutospacing="0" w:line="288" w:lineRule="auto"/>
              <w:ind w:left="0" w:right="0"/>
              <w:jc w:val="center"/>
              <w:textAlignment w:val="auto"/>
              <w:rPr>
                <w:rFonts w:hint="eastAsia" w:ascii="宋体" w:hAnsi="宋体" w:eastAsia="宋体" w:cs="宋体"/>
                <w:bCs/>
                <w:color w:val="auto"/>
                <w:kern w:val="15"/>
                <w:sz w:val="22"/>
                <w:szCs w:val="22"/>
                <w:highlight w:val="none"/>
                <w:lang w:val="zh-CN" w:eastAsia="zh-CN"/>
              </w:rPr>
            </w:pPr>
            <w:r>
              <w:rPr>
                <w:rFonts w:hint="eastAsia" w:ascii="宋体" w:hAnsi="宋体" w:eastAsia="宋体" w:cs="宋体"/>
                <w:bCs/>
                <w:color w:val="auto"/>
                <w:kern w:val="15"/>
                <w:sz w:val="22"/>
                <w:szCs w:val="22"/>
                <w:highlight w:val="none"/>
                <w:lang w:val="zh-CN" w:eastAsia="zh-CN"/>
              </w:rPr>
              <w:t>近年完成的类似项目的年份要求</w:t>
            </w:r>
          </w:p>
        </w:tc>
        <w:tc>
          <w:tcPr>
            <w:tcW w:w="6897" w:type="dxa"/>
            <w:vAlign w:val="center"/>
          </w:tcPr>
          <w:p>
            <w:pPr>
              <w:keepNext w:val="0"/>
              <w:keepLines w:val="0"/>
              <w:pageBreakBefore w:val="0"/>
              <w:widowControl w:val="0"/>
              <w:suppressLineNumbers w:val="0"/>
              <w:kinsoku/>
              <w:wordWrap/>
              <w:overflowPunct/>
              <w:topLinePunct w:val="0"/>
              <w:bidi w:val="0"/>
              <w:spacing w:before="0" w:beforeAutospacing="0" w:after="0" w:afterAutospacing="0" w:line="288" w:lineRule="auto"/>
              <w:ind w:left="0" w:right="0"/>
              <w:textAlignment w:val="auto"/>
              <w:rPr>
                <w:rFonts w:hint="eastAsia" w:ascii="宋体" w:hAnsi="宋体" w:eastAsia="宋体" w:cs="宋体"/>
                <w:color w:val="auto"/>
                <w:kern w:val="2"/>
                <w:sz w:val="22"/>
                <w:szCs w:val="22"/>
                <w:highlight w:val="none"/>
                <w:lang w:val="zh-CN" w:eastAsia="zh-CN"/>
              </w:rPr>
            </w:pPr>
            <w:r>
              <w:rPr>
                <w:rFonts w:hint="eastAsia" w:ascii="宋体" w:hAnsi="宋体" w:eastAsia="宋体" w:cs="宋体"/>
                <w:color w:val="auto"/>
                <w:kern w:val="2"/>
                <w:sz w:val="22"/>
                <w:szCs w:val="22"/>
                <w:highlight w:val="none"/>
                <w:lang w:val="en-US" w:eastAsia="zh-CN"/>
              </w:rPr>
              <w:t>近三年（2021年1月1日起至今）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3" w:type="dxa"/>
            <w:vAlign w:val="center"/>
          </w:tcPr>
          <w:p>
            <w:pPr>
              <w:keepNext w:val="0"/>
              <w:keepLines w:val="0"/>
              <w:pageBreakBefore w:val="0"/>
              <w:widowControl w:val="0"/>
              <w:numPr>
                <w:ilvl w:val="0"/>
                <w:numId w:val="4"/>
              </w:numPr>
              <w:suppressLineNumbers w:val="0"/>
              <w:kinsoku/>
              <w:wordWrap/>
              <w:overflowPunct/>
              <w:topLinePunct w:val="0"/>
              <w:autoSpaceDE w:val="0"/>
              <w:autoSpaceDN w:val="0"/>
              <w:bidi w:val="0"/>
              <w:adjustRightInd w:val="0"/>
              <w:spacing w:before="0" w:beforeAutospacing="0" w:after="0" w:afterAutospacing="0" w:line="288" w:lineRule="auto"/>
              <w:ind w:left="454" w:leftChars="0" w:right="0" w:hanging="248" w:firstLineChars="0"/>
              <w:jc w:val="center"/>
              <w:textAlignment w:val="auto"/>
              <w:rPr>
                <w:rFonts w:hint="eastAsia" w:ascii="宋体" w:hAnsi="宋体" w:eastAsia="宋体" w:cs="宋体"/>
                <w:bCs/>
                <w:color w:val="auto"/>
                <w:sz w:val="22"/>
                <w:szCs w:val="22"/>
                <w:highlight w:val="none"/>
              </w:rPr>
            </w:pPr>
          </w:p>
        </w:tc>
        <w:tc>
          <w:tcPr>
            <w:tcW w:w="2279" w:type="dxa"/>
            <w:vAlign w:val="center"/>
          </w:tcPr>
          <w:p>
            <w:pPr>
              <w:keepNext w:val="0"/>
              <w:keepLines w:val="0"/>
              <w:pageBreakBefore w:val="0"/>
              <w:widowControl w:val="0"/>
              <w:suppressLineNumbers w:val="0"/>
              <w:kinsoku/>
              <w:wordWrap/>
              <w:overflowPunct/>
              <w:topLinePunct w:val="0"/>
              <w:bidi w:val="0"/>
              <w:spacing w:before="0" w:beforeAutospacing="0" w:after="0" w:afterAutospacing="0" w:line="288" w:lineRule="auto"/>
              <w:ind w:left="0" w:right="0"/>
              <w:jc w:val="center"/>
              <w:textAlignment w:val="auto"/>
              <w:rPr>
                <w:rFonts w:hint="eastAsia" w:ascii="宋体" w:hAnsi="宋体" w:eastAsia="宋体" w:cs="宋体"/>
                <w:bCs/>
                <w:color w:val="auto"/>
                <w:kern w:val="15"/>
                <w:sz w:val="22"/>
                <w:szCs w:val="22"/>
                <w:highlight w:val="none"/>
                <w:lang w:val="zh-CN"/>
              </w:rPr>
            </w:pPr>
            <w:r>
              <w:rPr>
                <w:rFonts w:hint="eastAsia" w:ascii="宋体" w:hAnsi="宋体" w:eastAsia="宋体" w:cs="宋体"/>
                <w:bCs/>
                <w:color w:val="auto"/>
                <w:kern w:val="15"/>
                <w:sz w:val="22"/>
                <w:szCs w:val="22"/>
                <w:highlight w:val="none"/>
                <w:lang w:val="zh-CN"/>
              </w:rPr>
              <w:t>近年发生的诉讼及仲裁情况的年份要求</w:t>
            </w:r>
          </w:p>
        </w:tc>
        <w:tc>
          <w:tcPr>
            <w:tcW w:w="6897" w:type="dxa"/>
            <w:vAlign w:val="center"/>
          </w:tcPr>
          <w:p>
            <w:pPr>
              <w:keepNext w:val="0"/>
              <w:keepLines w:val="0"/>
              <w:pageBreakBefore w:val="0"/>
              <w:widowControl w:val="0"/>
              <w:suppressLineNumbers w:val="0"/>
              <w:kinsoku/>
              <w:wordWrap/>
              <w:overflowPunct/>
              <w:topLinePunct w:val="0"/>
              <w:bidi w:val="0"/>
              <w:spacing w:before="0" w:beforeAutospacing="0" w:after="0" w:afterAutospacing="0" w:line="288" w:lineRule="auto"/>
              <w:ind w:left="0" w:right="0"/>
              <w:textAlignment w:val="auto"/>
              <w:rPr>
                <w:rFonts w:hint="eastAsia" w:ascii="宋体" w:hAnsi="宋体" w:eastAsia="宋体" w:cs="宋体"/>
                <w:color w:val="auto"/>
                <w:kern w:val="2"/>
                <w:sz w:val="22"/>
                <w:szCs w:val="22"/>
                <w:highlight w:val="none"/>
                <w:lang w:val="zh-CN" w:eastAsia="zh-CN"/>
              </w:rPr>
            </w:pPr>
            <w:r>
              <w:rPr>
                <w:rFonts w:hint="eastAsia" w:ascii="宋体" w:hAnsi="宋体" w:eastAsia="宋体" w:cs="宋体"/>
                <w:color w:val="auto"/>
                <w:kern w:val="2"/>
                <w:sz w:val="22"/>
                <w:szCs w:val="22"/>
                <w:highlight w:val="none"/>
                <w:lang w:val="en-US" w:eastAsia="zh-CN"/>
              </w:rPr>
              <w:t>近三年（2021年1月1日起至今）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3" w:type="dxa"/>
            <w:vAlign w:val="center"/>
          </w:tcPr>
          <w:p>
            <w:pPr>
              <w:keepNext w:val="0"/>
              <w:keepLines w:val="0"/>
              <w:pageBreakBefore w:val="0"/>
              <w:widowControl w:val="0"/>
              <w:numPr>
                <w:ilvl w:val="0"/>
                <w:numId w:val="4"/>
              </w:numPr>
              <w:suppressLineNumbers w:val="0"/>
              <w:kinsoku/>
              <w:wordWrap/>
              <w:overflowPunct/>
              <w:topLinePunct w:val="0"/>
              <w:autoSpaceDE w:val="0"/>
              <w:autoSpaceDN w:val="0"/>
              <w:bidi w:val="0"/>
              <w:adjustRightInd w:val="0"/>
              <w:spacing w:before="0" w:beforeAutospacing="0" w:after="0" w:afterAutospacing="0" w:line="288" w:lineRule="auto"/>
              <w:ind w:left="454" w:leftChars="0" w:right="0" w:hanging="248" w:firstLineChars="0"/>
              <w:jc w:val="center"/>
              <w:textAlignment w:val="auto"/>
              <w:rPr>
                <w:rFonts w:hint="eastAsia" w:ascii="宋体" w:hAnsi="宋体" w:eastAsia="宋体" w:cs="宋体"/>
                <w:bCs/>
                <w:color w:val="auto"/>
                <w:sz w:val="22"/>
                <w:szCs w:val="22"/>
                <w:highlight w:val="none"/>
              </w:rPr>
            </w:pPr>
          </w:p>
        </w:tc>
        <w:tc>
          <w:tcPr>
            <w:tcW w:w="2279" w:type="dxa"/>
            <w:vAlign w:val="center"/>
          </w:tcPr>
          <w:p>
            <w:pPr>
              <w:keepNext w:val="0"/>
              <w:keepLines w:val="0"/>
              <w:pageBreakBefore w:val="0"/>
              <w:widowControl w:val="0"/>
              <w:suppressLineNumbers w:val="0"/>
              <w:kinsoku/>
              <w:wordWrap/>
              <w:overflowPunct/>
              <w:topLinePunct w:val="0"/>
              <w:bidi w:val="0"/>
              <w:spacing w:before="0" w:beforeAutospacing="0" w:after="0" w:afterAutospacing="0" w:line="288" w:lineRule="auto"/>
              <w:ind w:left="0" w:right="0"/>
              <w:jc w:val="center"/>
              <w:textAlignment w:val="auto"/>
              <w:rPr>
                <w:rFonts w:hint="eastAsia" w:ascii="宋体" w:hAnsi="宋体" w:eastAsia="宋体" w:cs="宋体"/>
                <w:bCs/>
                <w:color w:val="auto"/>
                <w:kern w:val="15"/>
                <w:sz w:val="22"/>
                <w:szCs w:val="22"/>
                <w:highlight w:val="none"/>
                <w:lang w:val="zh-CN"/>
              </w:rPr>
            </w:pPr>
            <w:r>
              <w:rPr>
                <w:rFonts w:hint="eastAsia" w:ascii="宋体" w:hAnsi="宋体" w:eastAsia="宋体" w:cs="宋体"/>
                <w:bCs/>
                <w:color w:val="auto"/>
                <w:kern w:val="15"/>
                <w:sz w:val="22"/>
                <w:szCs w:val="22"/>
                <w:highlight w:val="none"/>
                <w:lang w:val="zh-CN"/>
              </w:rPr>
              <w:t>是否允许递交备选</w:t>
            </w:r>
            <w:r>
              <w:rPr>
                <w:rFonts w:hint="eastAsia" w:ascii="宋体" w:hAnsi="宋体" w:eastAsia="宋体" w:cs="宋体"/>
                <w:bCs/>
                <w:color w:val="auto"/>
                <w:kern w:val="15"/>
                <w:sz w:val="22"/>
                <w:szCs w:val="22"/>
                <w:highlight w:val="none"/>
              </w:rPr>
              <w:t>响应</w:t>
            </w:r>
            <w:r>
              <w:rPr>
                <w:rFonts w:hint="eastAsia" w:ascii="宋体" w:hAnsi="宋体" w:eastAsia="宋体" w:cs="宋体"/>
                <w:bCs/>
                <w:color w:val="auto"/>
                <w:kern w:val="15"/>
                <w:sz w:val="22"/>
                <w:szCs w:val="22"/>
                <w:highlight w:val="none"/>
                <w:lang w:val="zh-CN"/>
              </w:rPr>
              <w:t>方案</w:t>
            </w:r>
          </w:p>
        </w:tc>
        <w:tc>
          <w:tcPr>
            <w:tcW w:w="6897" w:type="dxa"/>
            <w:vAlign w:val="center"/>
          </w:tcPr>
          <w:p>
            <w:pPr>
              <w:pStyle w:val="141"/>
              <w:keepNext w:val="0"/>
              <w:keepLines w:val="0"/>
              <w:pageBreakBefore w:val="0"/>
              <w:widowControl w:val="0"/>
              <w:suppressLineNumbers w:val="0"/>
              <w:kinsoku/>
              <w:wordWrap/>
              <w:overflowPunct/>
              <w:topLinePunct w:val="0"/>
              <w:bidi w:val="0"/>
              <w:spacing w:before="0" w:beforeAutospacing="0" w:after="0" w:afterAutospacing="0" w:line="288" w:lineRule="auto"/>
              <w:ind w:left="0" w:right="0"/>
              <w:textAlignment w:val="auto"/>
              <w:rPr>
                <w:rFonts w:hint="eastAsia" w:ascii="宋体" w:hAnsi="宋体" w:eastAsia="宋体" w:cs="宋体"/>
                <w:color w:val="auto"/>
                <w:kern w:val="2"/>
                <w:sz w:val="22"/>
                <w:szCs w:val="22"/>
                <w:highlight w:val="none"/>
                <w:lang w:val="zh-CN" w:eastAsia="zh-CN"/>
              </w:rPr>
            </w:pPr>
            <w:r>
              <w:rPr>
                <w:rFonts w:hint="eastAsia" w:ascii="宋体" w:hAnsi="宋体" w:eastAsia="宋体" w:cs="宋体"/>
                <w:color w:val="auto"/>
                <w:kern w:val="2"/>
                <w:sz w:val="22"/>
                <w:szCs w:val="22"/>
                <w:highlight w:val="none"/>
                <w:lang w:val="zh-CN" w:eastAsia="zh-CN"/>
              </w:rPr>
              <w:t>不允许递交备选</w:t>
            </w:r>
            <w:r>
              <w:rPr>
                <w:rFonts w:hint="eastAsia" w:ascii="宋体" w:hAnsi="宋体" w:eastAsia="宋体" w:cs="宋体"/>
                <w:color w:val="auto"/>
                <w:kern w:val="2"/>
                <w:sz w:val="22"/>
                <w:szCs w:val="22"/>
                <w:highlight w:val="none"/>
                <w:lang w:val="en-US" w:eastAsia="zh-CN"/>
              </w:rPr>
              <w:t>响应</w:t>
            </w:r>
            <w:r>
              <w:rPr>
                <w:rFonts w:hint="eastAsia" w:ascii="宋体" w:hAnsi="宋体" w:eastAsia="宋体" w:cs="宋体"/>
                <w:color w:val="auto"/>
                <w:kern w:val="2"/>
                <w:sz w:val="22"/>
                <w:szCs w:val="22"/>
                <w:highlight w:val="none"/>
                <w:lang w:val="zh-CN" w:eastAsia="zh-CN"/>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3" w:type="dxa"/>
            <w:vAlign w:val="center"/>
          </w:tcPr>
          <w:p>
            <w:pPr>
              <w:keepNext w:val="0"/>
              <w:keepLines w:val="0"/>
              <w:pageBreakBefore w:val="0"/>
              <w:widowControl w:val="0"/>
              <w:numPr>
                <w:ilvl w:val="0"/>
                <w:numId w:val="4"/>
              </w:numPr>
              <w:suppressLineNumbers w:val="0"/>
              <w:kinsoku/>
              <w:wordWrap/>
              <w:overflowPunct/>
              <w:topLinePunct w:val="0"/>
              <w:autoSpaceDE w:val="0"/>
              <w:autoSpaceDN w:val="0"/>
              <w:bidi w:val="0"/>
              <w:adjustRightInd w:val="0"/>
              <w:spacing w:before="0" w:beforeAutospacing="0" w:after="0" w:afterAutospacing="0" w:line="288" w:lineRule="auto"/>
              <w:ind w:left="454" w:leftChars="0" w:right="0" w:hanging="248" w:firstLineChars="0"/>
              <w:jc w:val="center"/>
              <w:textAlignment w:val="auto"/>
              <w:rPr>
                <w:rFonts w:hint="eastAsia" w:ascii="宋体" w:hAnsi="宋体" w:eastAsia="宋体" w:cs="宋体"/>
                <w:bCs/>
                <w:color w:val="auto"/>
                <w:sz w:val="22"/>
                <w:szCs w:val="22"/>
                <w:highlight w:val="none"/>
              </w:rPr>
            </w:pPr>
          </w:p>
        </w:tc>
        <w:tc>
          <w:tcPr>
            <w:tcW w:w="2279" w:type="dxa"/>
            <w:vAlign w:val="center"/>
          </w:tcPr>
          <w:p>
            <w:pPr>
              <w:keepNext w:val="0"/>
              <w:keepLines w:val="0"/>
              <w:pageBreakBefore w:val="0"/>
              <w:widowControl w:val="0"/>
              <w:suppressLineNumbers w:val="0"/>
              <w:kinsoku/>
              <w:wordWrap/>
              <w:overflowPunct/>
              <w:topLinePunct w:val="0"/>
              <w:bidi w:val="0"/>
              <w:spacing w:before="0" w:beforeAutospacing="0" w:after="0" w:afterAutospacing="0" w:line="288" w:lineRule="auto"/>
              <w:ind w:left="0" w:right="0"/>
              <w:jc w:val="center"/>
              <w:textAlignment w:val="auto"/>
              <w:rPr>
                <w:rFonts w:hint="eastAsia" w:ascii="宋体" w:hAnsi="宋体" w:eastAsia="宋体" w:cs="宋体"/>
                <w:bCs/>
                <w:color w:val="auto"/>
                <w:kern w:val="15"/>
                <w:sz w:val="22"/>
                <w:szCs w:val="22"/>
                <w:highlight w:val="none"/>
                <w:lang w:val="zh-CN"/>
              </w:rPr>
            </w:pPr>
            <w:r>
              <w:rPr>
                <w:rFonts w:hint="eastAsia" w:ascii="宋体" w:hAnsi="宋体" w:eastAsia="宋体" w:cs="宋体"/>
                <w:bCs/>
                <w:color w:val="auto"/>
                <w:kern w:val="15"/>
                <w:sz w:val="22"/>
                <w:szCs w:val="22"/>
                <w:highlight w:val="none"/>
                <w:lang w:val="zh-CN"/>
              </w:rPr>
              <w:t>签字或盖章要求</w:t>
            </w:r>
          </w:p>
        </w:tc>
        <w:tc>
          <w:tcPr>
            <w:tcW w:w="6897" w:type="dxa"/>
          </w:tcPr>
          <w:p>
            <w:pPr>
              <w:pStyle w:val="141"/>
              <w:keepNext w:val="0"/>
              <w:keepLines w:val="0"/>
              <w:pageBreakBefore w:val="0"/>
              <w:widowControl w:val="0"/>
              <w:suppressLineNumbers w:val="0"/>
              <w:kinsoku/>
              <w:wordWrap/>
              <w:overflowPunct/>
              <w:topLinePunct w:val="0"/>
              <w:bidi w:val="0"/>
              <w:spacing w:before="0" w:beforeAutospacing="0" w:after="0" w:afterAutospacing="0" w:line="288" w:lineRule="auto"/>
              <w:ind w:left="0" w:right="0"/>
              <w:textAlignment w:val="auto"/>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响应文件封面、报价函均应加盖供应商印章并经法定代表人或其委托代理人签字或盖章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3" w:type="dxa"/>
            <w:vAlign w:val="center"/>
          </w:tcPr>
          <w:p>
            <w:pPr>
              <w:keepNext w:val="0"/>
              <w:keepLines w:val="0"/>
              <w:pageBreakBefore w:val="0"/>
              <w:widowControl w:val="0"/>
              <w:numPr>
                <w:ilvl w:val="0"/>
                <w:numId w:val="4"/>
              </w:numPr>
              <w:suppressLineNumbers w:val="0"/>
              <w:kinsoku/>
              <w:wordWrap/>
              <w:overflowPunct/>
              <w:topLinePunct w:val="0"/>
              <w:autoSpaceDE w:val="0"/>
              <w:autoSpaceDN w:val="0"/>
              <w:bidi w:val="0"/>
              <w:adjustRightInd w:val="0"/>
              <w:spacing w:before="0" w:beforeAutospacing="0" w:after="0" w:afterAutospacing="0" w:line="288" w:lineRule="auto"/>
              <w:ind w:left="454" w:leftChars="0" w:right="0" w:hanging="248" w:firstLineChars="0"/>
              <w:jc w:val="center"/>
              <w:textAlignment w:val="auto"/>
              <w:rPr>
                <w:rFonts w:hint="eastAsia" w:ascii="宋体" w:hAnsi="宋体" w:eastAsia="宋体" w:cs="宋体"/>
                <w:bCs/>
                <w:color w:val="auto"/>
                <w:sz w:val="22"/>
                <w:szCs w:val="22"/>
                <w:highlight w:val="none"/>
              </w:rPr>
            </w:pPr>
          </w:p>
        </w:tc>
        <w:tc>
          <w:tcPr>
            <w:tcW w:w="2279" w:type="dxa"/>
            <w:vAlign w:val="center"/>
          </w:tcPr>
          <w:p>
            <w:pPr>
              <w:keepNext w:val="0"/>
              <w:keepLines w:val="0"/>
              <w:pageBreakBefore w:val="0"/>
              <w:widowControl w:val="0"/>
              <w:suppressLineNumbers w:val="0"/>
              <w:kinsoku/>
              <w:wordWrap/>
              <w:overflowPunct/>
              <w:topLinePunct w:val="0"/>
              <w:bidi w:val="0"/>
              <w:spacing w:before="0" w:beforeAutospacing="0" w:after="0" w:afterAutospacing="0" w:line="288" w:lineRule="auto"/>
              <w:ind w:left="0" w:right="0"/>
              <w:jc w:val="center"/>
              <w:textAlignment w:val="auto"/>
              <w:rPr>
                <w:rFonts w:hint="eastAsia" w:ascii="宋体" w:hAnsi="宋体" w:eastAsia="宋体" w:cs="宋体"/>
                <w:bCs/>
                <w:color w:val="auto"/>
                <w:kern w:val="15"/>
                <w:sz w:val="22"/>
                <w:szCs w:val="22"/>
                <w:highlight w:val="none"/>
                <w:lang w:val="zh-CN"/>
              </w:rPr>
            </w:pPr>
            <w:r>
              <w:rPr>
                <w:rFonts w:hint="eastAsia" w:ascii="宋体" w:hAnsi="宋体" w:eastAsia="宋体" w:cs="宋体"/>
                <w:bCs/>
                <w:color w:val="auto"/>
                <w:kern w:val="15"/>
                <w:sz w:val="22"/>
                <w:szCs w:val="22"/>
                <w:highlight w:val="none"/>
                <w:lang w:val="zh-CN"/>
              </w:rPr>
              <w:t>响应文件副本份数</w:t>
            </w:r>
          </w:p>
        </w:tc>
        <w:tc>
          <w:tcPr>
            <w:tcW w:w="6897" w:type="dxa"/>
            <w:vAlign w:val="center"/>
          </w:tcPr>
          <w:p>
            <w:pPr>
              <w:pStyle w:val="141"/>
              <w:keepNext w:val="0"/>
              <w:keepLines w:val="0"/>
              <w:pageBreakBefore w:val="0"/>
              <w:widowControl w:val="0"/>
              <w:suppressLineNumbers w:val="0"/>
              <w:kinsoku/>
              <w:wordWrap/>
              <w:overflowPunct/>
              <w:topLinePunct w:val="0"/>
              <w:bidi w:val="0"/>
              <w:spacing w:before="0" w:beforeAutospacing="0" w:after="0" w:afterAutospacing="0" w:line="288" w:lineRule="auto"/>
              <w:ind w:left="0" w:right="0"/>
              <w:textAlignment w:val="auto"/>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lang w:val="zh-CN"/>
              </w:rPr>
              <w:t>（1）</w:t>
            </w:r>
            <w:r>
              <w:rPr>
                <w:rFonts w:hint="eastAsia" w:ascii="宋体" w:hAnsi="宋体" w:eastAsia="宋体" w:cs="宋体"/>
                <w:color w:val="auto"/>
                <w:kern w:val="2"/>
                <w:sz w:val="22"/>
                <w:szCs w:val="22"/>
                <w:highlight w:val="none"/>
                <w:lang w:val="en-US" w:eastAsia="zh-CN"/>
              </w:rPr>
              <w:t>供应商在“政采云”平台（http：//www.zcygov.cn）上制作响应文件一份（此响应文件须上传至“政采云”平台）。</w:t>
            </w:r>
          </w:p>
          <w:p>
            <w:pPr>
              <w:pStyle w:val="141"/>
              <w:keepNext w:val="0"/>
              <w:keepLines w:val="0"/>
              <w:pageBreakBefore w:val="0"/>
              <w:widowControl w:val="0"/>
              <w:suppressLineNumbers w:val="0"/>
              <w:kinsoku/>
              <w:wordWrap/>
              <w:overflowPunct/>
              <w:topLinePunct w:val="0"/>
              <w:bidi w:val="0"/>
              <w:spacing w:before="0" w:beforeAutospacing="0" w:after="0" w:afterAutospacing="0" w:line="288" w:lineRule="auto"/>
              <w:ind w:left="0" w:right="0"/>
              <w:textAlignment w:val="auto"/>
              <w:rPr>
                <w:rFonts w:hint="eastAsia" w:ascii="宋体" w:hAnsi="宋体" w:eastAsia="宋体" w:cs="宋体"/>
                <w:color w:val="auto"/>
                <w:kern w:val="2"/>
                <w:sz w:val="22"/>
                <w:szCs w:val="22"/>
                <w:highlight w:val="none"/>
                <w:lang w:val="zh-CN"/>
              </w:rPr>
            </w:pPr>
            <w:r>
              <w:rPr>
                <w:rFonts w:hint="eastAsia" w:ascii="宋体" w:hAnsi="宋体" w:eastAsia="宋体" w:cs="宋体"/>
                <w:color w:val="auto"/>
                <w:kern w:val="2"/>
                <w:sz w:val="22"/>
                <w:szCs w:val="22"/>
                <w:highlight w:val="none"/>
                <w:lang w:val="zh-CN"/>
              </w:rPr>
              <w:t>（</w:t>
            </w:r>
            <w:r>
              <w:rPr>
                <w:rFonts w:hint="eastAsia" w:ascii="宋体" w:hAnsi="宋体" w:eastAsia="宋体" w:cs="宋体"/>
                <w:color w:val="auto"/>
                <w:kern w:val="2"/>
                <w:sz w:val="22"/>
                <w:szCs w:val="22"/>
                <w:highlight w:val="none"/>
                <w:lang w:val="en-US" w:eastAsia="zh-CN"/>
              </w:rPr>
              <w:t>2</w:t>
            </w:r>
            <w:r>
              <w:rPr>
                <w:rFonts w:hint="eastAsia" w:ascii="宋体" w:hAnsi="宋体" w:eastAsia="宋体" w:cs="宋体"/>
                <w:color w:val="auto"/>
                <w:kern w:val="2"/>
                <w:sz w:val="22"/>
                <w:szCs w:val="22"/>
                <w:highlight w:val="none"/>
                <w:lang w:val="zh-CN"/>
              </w:rPr>
              <w:t>）</w:t>
            </w:r>
            <w:r>
              <w:rPr>
                <w:rFonts w:hint="eastAsia" w:ascii="宋体" w:hAnsi="宋体" w:eastAsia="宋体" w:cs="宋体"/>
                <w:color w:val="auto"/>
                <w:kern w:val="2"/>
                <w:sz w:val="22"/>
                <w:szCs w:val="22"/>
                <w:highlight w:val="none"/>
                <w:lang w:val="en-US" w:eastAsia="zh-CN"/>
              </w:rPr>
              <w:t>纸质版递交响应文件份数要求：</w:t>
            </w:r>
            <w:r>
              <w:rPr>
                <w:rFonts w:hint="eastAsia" w:ascii="宋体" w:hAnsi="宋体" w:eastAsia="宋体" w:cs="宋体"/>
                <w:color w:val="auto"/>
                <w:kern w:val="2"/>
                <w:sz w:val="22"/>
                <w:szCs w:val="22"/>
                <w:highlight w:val="none"/>
              </w:rPr>
              <w:t>正本</w:t>
            </w:r>
            <w:r>
              <w:rPr>
                <w:rFonts w:hint="eastAsia" w:ascii="宋体" w:hAnsi="宋体" w:eastAsia="宋体" w:cs="宋体"/>
                <w:color w:val="auto"/>
                <w:kern w:val="2"/>
                <w:sz w:val="22"/>
                <w:szCs w:val="22"/>
                <w:highlight w:val="none"/>
                <w:lang w:val="en-US" w:eastAsia="zh-CN"/>
              </w:rPr>
              <w:t>1</w:t>
            </w:r>
            <w:r>
              <w:rPr>
                <w:rFonts w:hint="eastAsia" w:ascii="宋体" w:hAnsi="宋体" w:eastAsia="宋体" w:cs="宋体"/>
                <w:color w:val="auto"/>
                <w:kern w:val="2"/>
                <w:sz w:val="22"/>
                <w:szCs w:val="22"/>
                <w:highlight w:val="none"/>
              </w:rPr>
              <w:t>份，副本</w:t>
            </w:r>
            <w:r>
              <w:rPr>
                <w:rFonts w:hint="eastAsia" w:ascii="宋体" w:hAnsi="宋体" w:eastAsia="宋体" w:cs="宋体"/>
                <w:color w:val="auto"/>
                <w:kern w:val="2"/>
                <w:sz w:val="22"/>
                <w:szCs w:val="22"/>
                <w:highlight w:val="none"/>
                <w:lang w:val="en-US" w:eastAsia="zh-CN"/>
              </w:rPr>
              <w:t>2</w:t>
            </w:r>
            <w:r>
              <w:rPr>
                <w:rFonts w:hint="eastAsia" w:ascii="宋体" w:hAnsi="宋体" w:eastAsia="宋体" w:cs="宋体"/>
                <w:color w:val="auto"/>
                <w:kern w:val="2"/>
                <w:sz w:val="22"/>
                <w:szCs w:val="22"/>
                <w:highlight w:val="none"/>
              </w:rPr>
              <w:t>份，电子版</w:t>
            </w:r>
            <w:r>
              <w:rPr>
                <w:rFonts w:hint="eastAsia" w:ascii="宋体" w:hAnsi="宋体" w:eastAsia="宋体" w:cs="宋体"/>
                <w:color w:val="auto"/>
                <w:kern w:val="2"/>
                <w:sz w:val="22"/>
                <w:szCs w:val="22"/>
                <w:highlight w:val="none"/>
                <w:lang w:val="en-US" w:eastAsia="zh-CN"/>
              </w:rPr>
              <w:t>1</w:t>
            </w:r>
            <w:r>
              <w:rPr>
                <w:rFonts w:hint="eastAsia" w:ascii="宋体" w:hAnsi="宋体" w:eastAsia="宋体" w:cs="宋体"/>
                <w:color w:val="auto"/>
                <w:kern w:val="2"/>
                <w:sz w:val="22"/>
                <w:szCs w:val="22"/>
                <w:highlight w:val="none"/>
              </w:rPr>
              <w:t>份（U盘）</w:t>
            </w:r>
            <w:r>
              <w:rPr>
                <w:rFonts w:hint="eastAsia" w:ascii="宋体" w:hAnsi="宋体" w:eastAsia="宋体" w:cs="宋体"/>
                <w:b/>
                <w:bCs/>
                <w:color w:val="auto"/>
                <w:kern w:val="2"/>
                <w:sz w:val="22"/>
                <w:szCs w:val="22"/>
                <w:highlight w:val="none"/>
                <w:lang w:val="en-US" w:eastAsia="zh-CN"/>
              </w:rPr>
              <w:t>注：</w:t>
            </w:r>
            <w:r>
              <w:rPr>
                <w:rFonts w:hint="eastAsia" w:ascii="宋体" w:hAnsi="宋体" w:eastAsia="宋体" w:cs="宋体"/>
                <w:b/>
                <w:bCs/>
                <w:color w:val="auto"/>
                <w:kern w:val="2"/>
                <w:sz w:val="22"/>
                <w:szCs w:val="22"/>
                <w:highlight w:val="none"/>
                <w:lang w:val="zh-CN" w:eastAsia="zh-CN"/>
              </w:rPr>
              <w:t>（</w:t>
            </w:r>
            <w:r>
              <w:rPr>
                <w:rFonts w:hint="eastAsia" w:ascii="宋体" w:hAnsi="宋体" w:eastAsia="宋体" w:cs="宋体"/>
                <w:b/>
                <w:bCs/>
                <w:color w:val="auto"/>
                <w:kern w:val="2"/>
                <w:sz w:val="22"/>
                <w:szCs w:val="22"/>
                <w:highlight w:val="none"/>
                <w:lang w:val="en-US" w:eastAsia="zh-CN"/>
              </w:rPr>
              <w:t>纸质版响应文件做存档，送至开标地点</w:t>
            </w:r>
            <w:r>
              <w:rPr>
                <w:rFonts w:hint="eastAsia" w:ascii="宋体" w:hAnsi="宋体" w:eastAsia="宋体" w:cs="宋体"/>
                <w:b/>
                <w:bCs/>
                <w:color w:val="auto"/>
                <w:kern w:val="2"/>
                <w:sz w:val="22"/>
                <w:szCs w:val="22"/>
                <w:highlight w:val="none"/>
                <w:lang w:val="zh-CN"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3" w:type="dxa"/>
            <w:vAlign w:val="center"/>
          </w:tcPr>
          <w:p>
            <w:pPr>
              <w:keepNext w:val="0"/>
              <w:keepLines w:val="0"/>
              <w:pageBreakBefore w:val="0"/>
              <w:widowControl w:val="0"/>
              <w:numPr>
                <w:ilvl w:val="0"/>
                <w:numId w:val="4"/>
              </w:numPr>
              <w:suppressLineNumbers w:val="0"/>
              <w:kinsoku/>
              <w:wordWrap/>
              <w:overflowPunct/>
              <w:topLinePunct w:val="0"/>
              <w:autoSpaceDE w:val="0"/>
              <w:autoSpaceDN w:val="0"/>
              <w:bidi w:val="0"/>
              <w:adjustRightInd w:val="0"/>
              <w:spacing w:before="0" w:beforeAutospacing="0" w:after="0" w:afterAutospacing="0" w:line="288" w:lineRule="auto"/>
              <w:ind w:left="454" w:leftChars="0" w:right="0" w:hanging="248" w:firstLineChars="0"/>
              <w:jc w:val="center"/>
              <w:textAlignment w:val="auto"/>
              <w:rPr>
                <w:rFonts w:hint="eastAsia" w:ascii="宋体" w:hAnsi="宋体" w:eastAsia="宋体" w:cs="宋体"/>
                <w:bCs/>
                <w:color w:val="auto"/>
                <w:sz w:val="22"/>
                <w:szCs w:val="22"/>
                <w:highlight w:val="none"/>
              </w:rPr>
            </w:pPr>
          </w:p>
        </w:tc>
        <w:tc>
          <w:tcPr>
            <w:tcW w:w="2279" w:type="dxa"/>
            <w:vAlign w:val="center"/>
          </w:tcPr>
          <w:p>
            <w:pPr>
              <w:keepNext w:val="0"/>
              <w:keepLines w:val="0"/>
              <w:pageBreakBefore w:val="0"/>
              <w:widowControl w:val="0"/>
              <w:suppressLineNumbers w:val="0"/>
              <w:kinsoku/>
              <w:wordWrap/>
              <w:overflowPunct/>
              <w:topLinePunct w:val="0"/>
              <w:bidi w:val="0"/>
              <w:spacing w:before="0" w:beforeAutospacing="0" w:after="0" w:afterAutospacing="0" w:line="288" w:lineRule="auto"/>
              <w:ind w:left="0" w:right="0"/>
              <w:jc w:val="center"/>
              <w:textAlignment w:val="auto"/>
              <w:rPr>
                <w:rFonts w:hint="eastAsia" w:ascii="宋体" w:hAnsi="宋体" w:eastAsia="宋体" w:cs="宋体"/>
                <w:bCs/>
                <w:color w:val="auto"/>
                <w:kern w:val="15"/>
                <w:sz w:val="22"/>
                <w:szCs w:val="22"/>
                <w:highlight w:val="none"/>
                <w:lang w:val="zh-CN"/>
              </w:rPr>
            </w:pPr>
            <w:r>
              <w:rPr>
                <w:rFonts w:hint="eastAsia" w:ascii="宋体" w:hAnsi="宋体" w:eastAsia="宋体" w:cs="宋体"/>
                <w:bCs/>
                <w:color w:val="auto"/>
                <w:kern w:val="15"/>
                <w:sz w:val="22"/>
                <w:szCs w:val="22"/>
                <w:highlight w:val="none"/>
                <w:lang w:val="zh-CN"/>
              </w:rPr>
              <w:t>装订要求</w:t>
            </w:r>
          </w:p>
        </w:tc>
        <w:tc>
          <w:tcPr>
            <w:tcW w:w="6897" w:type="dxa"/>
          </w:tcPr>
          <w:p>
            <w:pPr>
              <w:pStyle w:val="141"/>
              <w:keepNext w:val="0"/>
              <w:keepLines w:val="0"/>
              <w:pageBreakBefore w:val="0"/>
              <w:widowControl w:val="0"/>
              <w:suppressLineNumbers w:val="0"/>
              <w:kinsoku/>
              <w:wordWrap/>
              <w:overflowPunct/>
              <w:topLinePunct w:val="0"/>
              <w:bidi w:val="0"/>
              <w:spacing w:before="0" w:beforeAutospacing="0" w:after="0" w:afterAutospacing="0" w:line="288" w:lineRule="auto"/>
              <w:ind w:left="0" w:right="0"/>
              <w:textAlignment w:val="auto"/>
              <w:rPr>
                <w:rFonts w:hint="eastAsia" w:ascii="宋体" w:hAnsi="宋体" w:eastAsia="宋体" w:cs="宋体"/>
                <w:color w:val="auto"/>
                <w:kern w:val="2"/>
                <w:sz w:val="22"/>
                <w:szCs w:val="22"/>
                <w:highlight w:val="none"/>
                <w:lang w:val="en-US" w:eastAsia="zh-CN"/>
              </w:rPr>
            </w:pPr>
            <w:r>
              <w:rPr>
                <w:rFonts w:hint="eastAsia" w:ascii="宋体" w:hAnsi="宋体" w:eastAsia="宋体" w:cs="宋体"/>
                <w:color w:val="auto"/>
                <w:kern w:val="2"/>
                <w:sz w:val="22"/>
                <w:szCs w:val="22"/>
                <w:highlight w:val="none"/>
              </w:rPr>
              <w:t>响应文件</w:t>
            </w:r>
            <w:r>
              <w:rPr>
                <w:rFonts w:hint="eastAsia" w:ascii="宋体" w:hAnsi="宋体" w:eastAsia="宋体" w:cs="宋体"/>
                <w:color w:val="auto"/>
                <w:kern w:val="2"/>
                <w:sz w:val="22"/>
                <w:szCs w:val="22"/>
                <w:highlight w:val="none"/>
                <w:lang w:val="en-US" w:eastAsia="zh-CN"/>
              </w:rPr>
              <w:t>正、副本一同合包密封，要求</w:t>
            </w:r>
            <w:r>
              <w:rPr>
                <w:rFonts w:hint="eastAsia" w:ascii="宋体" w:hAnsi="宋体" w:eastAsia="宋体" w:cs="宋体"/>
                <w:color w:val="auto"/>
                <w:kern w:val="2"/>
                <w:sz w:val="22"/>
                <w:szCs w:val="22"/>
                <w:highlight w:val="none"/>
              </w:rPr>
              <w:t>装订要整齐、牢固，编制目录，便于保管和利用，不能采用活页装订方式。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3" w:type="dxa"/>
            <w:vAlign w:val="center"/>
          </w:tcPr>
          <w:p>
            <w:pPr>
              <w:keepNext w:val="0"/>
              <w:keepLines w:val="0"/>
              <w:pageBreakBefore w:val="0"/>
              <w:widowControl w:val="0"/>
              <w:numPr>
                <w:ilvl w:val="0"/>
                <w:numId w:val="4"/>
              </w:numPr>
              <w:suppressLineNumbers w:val="0"/>
              <w:kinsoku/>
              <w:wordWrap/>
              <w:overflowPunct/>
              <w:topLinePunct w:val="0"/>
              <w:autoSpaceDE w:val="0"/>
              <w:autoSpaceDN w:val="0"/>
              <w:bidi w:val="0"/>
              <w:adjustRightInd w:val="0"/>
              <w:spacing w:before="0" w:beforeAutospacing="0" w:after="0" w:afterAutospacing="0" w:line="288" w:lineRule="auto"/>
              <w:ind w:left="454" w:leftChars="0" w:right="0" w:hanging="248" w:firstLineChars="0"/>
              <w:jc w:val="center"/>
              <w:textAlignment w:val="auto"/>
              <w:rPr>
                <w:rFonts w:hint="eastAsia" w:ascii="宋体" w:hAnsi="宋体" w:eastAsia="宋体" w:cs="宋体"/>
                <w:bCs/>
                <w:color w:val="auto"/>
                <w:sz w:val="22"/>
                <w:szCs w:val="22"/>
                <w:highlight w:val="none"/>
                <w:lang w:val="en-US" w:eastAsia="zh-CN"/>
              </w:rPr>
            </w:pPr>
          </w:p>
        </w:tc>
        <w:tc>
          <w:tcPr>
            <w:tcW w:w="2279" w:type="dxa"/>
            <w:vAlign w:val="center"/>
          </w:tcPr>
          <w:p>
            <w:pPr>
              <w:keepNext w:val="0"/>
              <w:keepLines w:val="0"/>
              <w:pageBreakBefore w:val="0"/>
              <w:widowControl w:val="0"/>
              <w:suppressLineNumbers w:val="0"/>
              <w:kinsoku/>
              <w:wordWrap/>
              <w:overflowPunct/>
              <w:topLinePunct w:val="0"/>
              <w:bidi w:val="0"/>
              <w:spacing w:before="0" w:beforeAutospacing="0" w:after="0" w:afterAutospacing="0" w:line="288" w:lineRule="auto"/>
              <w:ind w:left="0" w:right="0"/>
              <w:jc w:val="center"/>
              <w:textAlignment w:val="auto"/>
              <w:rPr>
                <w:rFonts w:hint="eastAsia" w:ascii="宋体" w:hAnsi="宋体" w:eastAsia="宋体" w:cs="宋体"/>
                <w:bCs/>
                <w:color w:val="auto"/>
                <w:kern w:val="15"/>
                <w:sz w:val="22"/>
                <w:szCs w:val="22"/>
                <w:highlight w:val="none"/>
                <w:lang w:val="zh-CN"/>
              </w:rPr>
            </w:pPr>
            <w:r>
              <w:rPr>
                <w:rFonts w:hint="eastAsia" w:ascii="宋体" w:hAnsi="宋体" w:eastAsia="宋体" w:cs="宋体"/>
                <w:color w:val="auto"/>
                <w:sz w:val="22"/>
                <w:szCs w:val="22"/>
                <w:highlight w:val="none"/>
              </w:rPr>
              <w:t>封套上写明</w:t>
            </w:r>
          </w:p>
        </w:tc>
        <w:tc>
          <w:tcPr>
            <w:tcW w:w="6897" w:type="dxa"/>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88" w:lineRule="auto"/>
              <w:ind w:left="0" w:right="0"/>
              <w:textAlignment w:val="auto"/>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 xml:space="preserve">采购人名称： </w:t>
            </w:r>
          </w:p>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88" w:lineRule="auto"/>
              <w:ind w:left="0" w:right="0"/>
              <w:textAlignment w:val="auto"/>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 xml:space="preserve">采购人地址： </w:t>
            </w:r>
          </w:p>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88" w:lineRule="auto"/>
              <w:ind w:left="0" w:right="0"/>
              <w:textAlignment w:val="auto"/>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sz w:val="22"/>
                <w:szCs w:val="22"/>
                <w:highlight w:val="none"/>
              </w:rPr>
              <w:t>供应商</w:t>
            </w:r>
            <w:r>
              <w:rPr>
                <w:rFonts w:hint="eastAsia" w:ascii="宋体" w:hAnsi="宋体" w:eastAsia="宋体" w:cs="宋体"/>
                <w:color w:val="auto"/>
                <w:kern w:val="0"/>
                <w:sz w:val="22"/>
                <w:szCs w:val="22"/>
                <w:highlight w:val="none"/>
                <w:lang w:val="zh-CN"/>
              </w:rPr>
              <w:t>地址：</w:t>
            </w:r>
            <w:r>
              <w:rPr>
                <w:rFonts w:hint="eastAsia" w:ascii="宋体" w:hAnsi="宋体" w:eastAsia="宋体" w:cs="宋体"/>
                <w:color w:val="auto"/>
                <w:kern w:val="0"/>
                <w:sz w:val="22"/>
                <w:szCs w:val="22"/>
                <w:highlight w:val="none"/>
                <w:lang w:val="en-US" w:eastAsia="zh-CN"/>
              </w:rPr>
              <w:t xml:space="preserve"> </w:t>
            </w:r>
          </w:p>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88" w:lineRule="auto"/>
              <w:ind w:left="0" w:right="0"/>
              <w:textAlignment w:val="auto"/>
              <w:rPr>
                <w:rFonts w:hint="eastAsia" w:ascii="宋体" w:hAnsi="宋体" w:eastAsia="宋体" w:cs="宋体"/>
                <w:color w:val="auto"/>
                <w:kern w:val="0"/>
                <w:sz w:val="22"/>
                <w:szCs w:val="22"/>
                <w:highlight w:val="none"/>
                <w:lang w:val="zh-CN"/>
              </w:rPr>
            </w:pPr>
            <w:r>
              <w:rPr>
                <w:rFonts w:hint="eastAsia" w:ascii="宋体" w:hAnsi="宋体" w:eastAsia="宋体" w:cs="宋体"/>
                <w:color w:val="auto"/>
                <w:sz w:val="22"/>
                <w:szCs w:val="22"/>
                <w:highlight w:val="none"/>
              </w:rPr>
              <w:t>供应商</w:t>
            </w:r>
            <w:r>
              <w:rPr>
                <w:rFonts w:hint="eastAsia" w:ascii="宋体" w:hAnsi="宋体" w:eastAsia="宋体" w:cs="宋体"/>
                <w:color w:val="auto"/>
                <w:kern w:val="0"/>
                <w:sz w:val="22"/>
                <w:szCs w:val="22"/>
                <w:highlight w:val="none"/>
                <w:lang w:val="zh-CN"/>
              </w:rPr>
              <w:t xml:space="preserve">名称： </w:t>
            </w:r>
          </w:p>
          <w:p>
            <w:pPr>
              <w:pStyle w:val="141"/>
              <w:keepNext w:val="0"/>
              <w:keepLines w:val="0"/>
              <w:pageBreakBefore w:val="0"/>
              <w:widowControl w:val="0"/>
              <w:suppressLineNumbers w:val="0"/>
              <w:kinsoku/>
              <w:wordWrap/>
              <w:overflowPunct/>
              <w:topLinePunct w:val="0"/>
              <w:bidi w:val="0"/>
              <w:spacing w:before="0" w:beforeAutospacing="0" w:after="0" w:afterAutospacing="0" w:line="288" w:lineRule="auto"/>
              <w:ind w:left="0" w:right="0"/>
              <w:textAlignment w:val="auto"/>
              <w:rPr>
                <w:rFonts w:hint="eastAsia" w:ascii="宋体" w:hAnsi="宋体" w:eastAsia="宋体" w:cs="宋体"/>
                <w:color w:val="auto"/>
                <w:kern w:val="2"/>
                <w:sz w:val="22"/>
                <w:szCs w:val="22"/>
                <w:highlight w:val="none"/>
              </w:rPr>
            </w:pPr>
            <w:r>
              <w:rPr>
                <w:rFonts w:hint="eastAsia" w:ascii="宋体" w:hAnsi="宋体" w:eastAsia="宋体" w:cs="宋体"/>
                <w:color w:val="auto"/>
                <w:kern w:val="0"/>
                <w:sz w:val="22"/>
                <w:szCs w:val="22"/>
                <w:highlight w:val="none"/>
                <w:lang w:val="zh-CN" w:eastAsia="zh-CN" w:bidi="ar-SA"/>
              </w:rPr>
              <w:t>(项目名称)   响应文件在   年  月   日   时   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3" w:type="dxa"/>
            <w:vAlign w:val="center"/>
          </w:tcPr>
          <w:p>
            <w:pPr>
              <w:keepNext w:val="0"/>
              <w:keepLines w:val="0"/>
              <w:pageBreakBefore w:val="0"/>
              <w:widowControl w:val="0"/>
              <w:numPr>
                <w:ilvl w:val="0"/>
                <w:numId w:val="4"/>
              </w:numPr>
              <w:suppressLineNumbers w:val="0"/>
              <w:kinsoku/>
              <w:wordWrap/>
              <w:overflowPunct/>
              <w:topLinePunct w:val="0"/>
              <w:autoSpaceDE w:val="0"/>
              <w:autoSpaceDN w:val="0"/>
              <w:bidi w:val="0"/>
              <w:adjustRightInd w:val="0"/>
              <w:spacing w:before="0" w:beforeAutospacing="0" w:after="0" w:afterAutospacing="0" w:line="288" w:lineRule="auto"/>
              <w:ind w:left="454" w:leftChars="0" w:right="0" w:hanging="248" w:firstLineChars="0"/>
              <w:jc w:val="center"/>
              <w:textAlignment w:val="auto"/>
              <w:rPr>
                <w:rFonts w:hint="eastAsia" w:ascii="宋体" w:hAnsi="宋体" w:eastAsia="宋体" w:cs="宋体"/>
                <w:bCs/>
                <w:color w:val="auto"/>
                <w:sz w:val="22"/>
                <w:szCs w:val="22"/>
                <w:highlight w:val="none"/>
              </w:rPr>
            </w:pPr>
          </w:p>
        </w:tc>
        <w:tc>
          <w:tcPr>
            <w:tcW w:w="2279" w:type="dxa"/>
            <w:vAlign w:val="center"/>
          </w:tcPr>
          <w:p>
            <w:pPr>
              <w:keepNext w:val="0"/>
              <w:keepLines w:val="0"/>
              <w:pageBreakBefore w:val="0"/>
              <w:widowControl w:val="0"/>
              <w:suppressLineNumbers w:val="0"/>
              <w:kinsoku/>
              <w:wordWrap/>
              <w:overflowPunct/>
              <w:topLinePunct w:val="0"/>
              <w:bidi w:val="0"/>
              <w:spacing w:before="0" w:beforeAutospacing="0" w:after="0" w:afterAutospacing="0" w:line="288" w:lineRule="auto"/>
              <w:ind w:left="0" w:right="0"/>
              <w:jc w:val="center"/>
              <w:textAlignment w:val="auto"/>
              <w:rPr>
                <w:rFonts w:hint="eastAsia" w:ascii="宋体" w:hAnsi="宋体" w:eastAsia="宋体" w:cs="宋体"/>
                <w:bCs/>
                <w:color w:val="auto"/>
                <w:kern w:val="15"/>
                <w:sz w:val="22"/>
                <w:szCs w:val="22"/>
                <w:highlight w:val="none"/>
                <w:lang w:val="zh-CN"/>
              </w:rPr>
            </w:pPr>
            <w:r>
              <w:rPr>
                <w:rFonts w:hint="eastAsia" w:ascii="宋体" w:hAnsi="宋体" w:eastAsia="宋体" w:cs="宋体"/>
                <w:bCs/>
                <w:color w:val="auto"/>
                <w:kern w:val="15"/>
                <w:sz w:val="22"/>
                <w:szCs w:val="22"/>
                <w:highlight w:val="none"/>
                <w:lang w:val="zh-CN"/>
              </w:rPr>
              <w:t>递交响应文件地点</w:t>
            </w:r>
          </w:p>
        </w:tc>
        <w:tc>
          <w:tcPr>
            <w:tcW w:w="6897" w:type="dxa"/>
          </w:tcPr>
          <w:p>
            <w:pPr>
              <w:pStyle w:val="141"/>
              <w:keepNext w:val="0"/>
              <w:keepLines w:val="0"/>
              <w:pageBreakBefore w:val="0"/>
              <w:widowControl w:val="0"/>
              <w:suppressLineNumbers w:val="0"/>
              <w:kinsoku/>
              <w:wordWrap/>
              <w:overflowPunct/>
              <w:topLinePunct w:val="0"/>
              <w:bidi w:val="0"/>
              <w:spacing w:before="0" w:beforeAutospacing="0" w:after="0" w:afterAutospacing="0" w:line="288" w:lineRule="auto"/>
              <w:ind w:left="0" w:right="0"/>
              <w:textAlignment w:val="auto"/>
              <w:rPr>
                <w:rFonts w:hint="eastAsia" w:ascii="宋体" w:hAnsi="宋体" w:eastAsia="宋体" w:cs="宋体"/>
                <w:color w:val="auto"/>
                <w:kern w:val="2"/>
                <w:sz w:val="22"/>
                <w:szCs w:val="22"/>
                <w:highlight w:val="none"/>
                <w:lang w:val="zh-CN"/>
              </w:rPr>
            </w:pPr>
            <w:r>
              <w:rPr>
                <w:rFonts w:hint="eastAsia" w:ascii="宋体" w:hAnsi="宋体" w:eastAsia="宋体" w:cs="宋体"/>
                <w:color w:val="auto"/>
                <w:kern w:val="2"/>
                <w:sz w:val="22"/>
                <w:szCs w:val="22"/>
                <w:highlight w:val="none"/>
                <w:lang w:val="en-US" w:eastAsia="zh-CN"/>
              </w:rPr>
              <w:t>时</w:t>
            </w:r>
            <w:r>
              <w:rPr>
                <w:rFonts w:hint="eastAsia" w:ascii="宋体" w:hAnsi="宋体" w:eastAsia="宋体" w:cs="宋体"/>
                <w:color w:val="auto"/>
                <w:kern w:val="2"/>
                <w:sz w:val="22"/>
                <w:szCs w:val="22"/>
                <w:highlight w:val="none"/>
                <w:lang w:val="en-US" w:eastAsia="zh-CN"/>
              </w:rPr>
              <w:t>间：</w:t>
            </w:r>
            <w:r>
              <w:rPr>
                <w:rFonts w:hint="eastAsia" w:ascii="宋体" w:hAnsi="宋体" w:cs="宋体"/>
                <w:color w:val="auto"/>
                <w:sz w:val="22"/>
                <w:szCs w:val="22"/>
                <w:highlight w:val="none"/>
                <w:lang w:val="en-US" w:eastAsia="zh-CN"/>
              </w:rPr>
              <w:t>2024年07月01日15时00分</w:t>
            </w:r>
            <w:r>
              <w:rPr>
                <w:rFonts w:hint="eastAsia" w:ascii="宋体" w:hAnsi="宋体" w:eastAsia="宋体" w:cs="宋体"/>
                <w:color w:val="auto"/>
                <w:kern w:val="2"/>
                <w:sz w:val="22"/>
                <w:szCs w:val="22"/>
                <w:highlight w:val="none"/>
                <w:lang w:val="zh-CN"/>
              </w:rPr>
              <w:t>（北京时间）</w:t>
            </w:r>
          </w:p>
          <w:p>
            <w:pPr>
              <w:pStyle w:val="141"/>
              <w:keepNext w:val="0"/>
              <w:keepLines w:val="0"/>
              <w:pageBreakBefore w:val="0"/>
              <w:widowControl w:val="0"/>
              <w:suppressLineNumbers w:val="0"/>
              <w:kinsoku/>
              <w:wordWrap/>
              <w:overflowPunct/>
              <w:topLinePunct w:val="0"/>
              <w:bidi w:val="0"/>
              <w:spacing w:before="0" w:beforeAutospacing="0" w:after="0" w:afterAutospacing="0" w:line="288" w:lineRule="auto"/>
              <w:ind w:left="0" w:right="0"/>
              <w:textAlignment w:val="auto"/>
              <w:rPr>
                <w:rFonts w:hint="eastAsia" w:ascii="宋体" w:hAnsi="宋体" w:eastAsia="宋体" w:cs="宋体"/>
                <w:color w:val="auto"/>
                <w:kern w:val="2"/>
                <w:sz w:val="22"/>
                <w:szCs w:val="22"/>
                <w:highlight w:val="none"/>
                <w:lang w:val="zh-CN"/>
              </w:rPr>
            </w:pPr>
            <w:r>
              <w:rPr>
                <w:rFonts w:hint="eastAsia" w:ascii="宋体" w:hAnsi="宋体" w:eastAsia="宋体" w:cs="宋体"/>
                <w:color w:val="auto"/>
                <w:sz w:val="22"/>
                <w:szCs w:val="22"/>
                <w:highlight w:val="none"/>
                <w:lang w:val="en-US" w:eastAsia="zh-CN"/>
              </w:rPr>
              <w:t>地点：长春市二道区洋浦大街6999号凯</w:t>
            </w:r>
            <w:r>
              <w:rPr>
                <w:rFonts w:hint="eastAsia" w:ascii="宋体" w:hAnsi="宋体" w:eastAsia="宋体" w:cs="宋体"/>
                <w:color w:val="auto"/>
                <w:sz w:val="22"/>
                <w:szCs w:val="22"/>
                <w:highlight w:val="none"/>
                <w:lang w:val="en-US" w:eastAsia="zh-CN"/>
              </w:rPr>
              <w:t>利中心AB栋</w:t>
            </w:r>
            <w:r>
              <w:rPr>
                <w:rFonts w:hint="eastAsia" w:ascii="宋体" w:hAnsi="宋体" w:eastAsia="宋体" w:cs="宋体"/>
                <w:color w:val="auto"/>
                <w:kern w:val="2"/>
                <w:sz w:val="22"/>
                <w:szCs w:val="22"/>
                <w:highlight w:val="none"/>
                <w:lang w:val="zh-CN" w:eastAsia="zh-CN"/>
              </w:rPr>
              <w:t>开标四室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3" w:type="dxa"/>
            <w:vAlign w:val="center"/>
          </w:tcPr>
          <w:p>
            <w:pPr>
              <w:keepNext w:val="0"/>
              <w:keepLines w:val="0"/>
              <w:pageBreakBefore w:val="0"/>
              <w:widowControl w:val="0"/>
              <w:numPr>
                <w:ilvl w:val="0"/>
                <w:numId w:val="4"/>
              </w:numPr>
              <w:suppressLineNumbers w:val="0"/>
              <w:kinsoku/>
              <w:wordWrap/>
              <w:overflowPunct/>
              <w:topLinePunct w:val="0"/>
              <w:autoSpaceDE w:val="0"/>
              <w:autoSpaceDN w:val="0"/>
              <w:bidi w:val="0"/>
              <w:adjustRightInd w:val="0"/>
              <w:spacing w:before="0" w:beforeAutospacing="0" w:after="0" w:afterAutospacing="0" w:line="288" w:lineRule="auto"/>
              <w:ind w:left="454" w:leftChars="0" w:right="0" w:hanging="248" w:firstLineChars="0"/>
              <w:jc w:val="center"/>
              <w:textAlignment w:val="auto"/>
              <w:rPr>
                <w:rFonts w:hint="eastAsia" w:ascii="宋体" w:hAnsi="宋体" w:eastAsia="宋体" w:cs="宋体"/>
                <w:bCs/>
                <w:color w:val="auto"/>
                <w:sz w:val="22"/>
                <w:szCs w:val="22"/>
                <w:highlight w:val="none"/>
              </w:rPr>
            </w:pPr>
          </w:p>
        </w:tc>
        <w:tc>
          <w:tcPr>
            <w:tcW w:w="2279" w:type="dxa"/>
            <w:vAlign w:val="center"/>
          </w:tcPr>
          <w:p>
            <w:pPr>
              <w:keepNext w:val="0"/>
              <w:keepLines w:val="0"/>
              <w:pageBreakBefore w:val="0"/>
              <w:widowControl w:val="0"/>
              <w:suppressLineNumbers w:val="0"/>
              <w:kinsoku/>
              <w:wordWrap/>
              <w:overflowPunct/>
              <w:topLinePunct w:val="0"/>
              <w:bidi w:val="0"/>
              <w:spacing w:before="0" w:beforeAutospacing="0" w:after="0" w:afterAutospacing="0" w:line="288" w:lineRule="auto"/>
              <w:ind w:left="0" w:right="0"/>
              <w:jc w:val="center"/>
              <w:textAlignment w:val="auto"/>
              <w:rPr>
                <w:rFonts w:hint="eastAsia" w:ascii="宋体" w:hAnsi="宋体" w:eastAsia="宋体" w:cs="宋体"/>
                <w:bCs/>
                <w:color w:val="auto"/>
                <w:kern w:val="15"/>
                <w:sz w:val="22"/>
                <w:szCs w:val="22"/>
                <w:highlight w:val="none"/>
                <w:lang w:val="zh-CN"/>
              </w:rPr>
            </w:pPr>
            <w:r>
              <w:rPr>
                <w:rFonts w:hint="eastAsia" w:ascii="宋体" w:hAnsi="宋体" w:eastAsia="宋体" w:cs="宋体"/>
                <w:bCs/>
                <w:color w:val="auto"/>
                <w:kern w:val="15"/>
                <w:sz w:val="22"/>
                <w:szCs w:val="22"/>
                <w:highlight w:val="none"/>
                <w:lang w:val="zh-CN"/>
              </w:rPr>
              <w:t>是否退还响应文件</w:t>
            </w:r>
          </w:p>
        </w:tc>
        <w:tc>
          <w:tcPr>
            <w:tcW w:w="6897" w:type="dxa"/>
            <w:vAlign w:val="center"/>
          </w:tcPr>
          <w:p>
            <w:pPr>
              <w:pStyle w:val="141"/>
              <w:keepNext w:val="0"/>
              <w:keepLines w:val="0"/>
              <w:pageBreakBefore w:val="0"/>
              <w:widowControl w:val="0"/>
              <w:suppressLineNumbers w:val="0"/>
              <w:kinsoku/>
              <w:wordWrap/>
              <w:overflowPunct/>
              <w:topLinePunct w:val="0"/>
              <w:bidi w:val="0"/>
              <w:spacing w:before="0" w:beforeAutospacing="0" w:after="0" w:afterAutospacing="0" w:line="288" w:lineRule="auto"/>
              <w:ind w:left="0" w:right="0"/>
              <w:textAlignment w:val="auto"/>
              <w:rPr>
                <w:rFonts w:hint="eastAsia" w:ascii="宋体" w:hAnsi="宋体" w:eastAsia="宋体" w:cs="宋体"/>
                <w:color w:val="auto"/>
                <w:kern w:val="2"/>
                <w:sz w:val="22"/>
                <w:szCs w:val="22"/>
                <w:highlight w:val="none"/>
                <w:lang w:val="zh-CN"/>
              </w:rPr>
            </w:pPr>
            <w:r>
              <w:rPr>
                <w:rFonts w:hint="eastAsia" w:ascii="宋体" w:hAnsi="宋体" w:eastAsia="宋体" w:cs="宋体"/>
                <w:color w:val="auto"/>
                <w:kern w:val="2"/>
                <w:sz w:val="22"/>
                <w:szCs w:val="22"/>
                <w:highlight w:val="none"/>
                <w:lang w:val="zh-CN"/>
              </w:rPr>
              <w:t>不退还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3" w:type="dxa"/>
            <w:vAlign w:val="center"/>
          </w:tcPr>
          <w:p>
            <w:pPr>
              <w:keepNext w:val="0"/>
              <w:keepLines w:val="0"/>
              <w:pageBreakBefore w:val="0"/>
              <w:widowControl w:val="0"/>
              <w:numPr>
                <w:ilvl w:val="0"/>
                <w:numId w:val="4"/>
              </w:numPr>
              <w:suppressLineNumbers w:val="0"/>
              <w:kinsoku/>
              <w:wordWrap/>
              <w:overflowPunct/>
              <w:topLinePunct w:val="0"/>
              <w:autoSpaceDE w:val="0"/>
              <w:autoSpaceDN w:val="0"/>
              <w:bidi w:val="0"/>
              <w:adjustRightInd w:val="0"/>
              <w:spacing w:before="0" w:beforeAutospacing="0" w:after="0" w:afterAutospacing="0" w:line="288" w:lineRule="auto"/>
              <w:ind w:left="454" w:leftChars="0" w:right="0" w:hanging="248" w:firstLineChars="0"/>
              <w:jc w:val="center"/>
              <w:textAlignment w:val="auto"/>
              <w:rPr>
                <w:rFonts w:hint="eastAsia" w:ascii="宋体" w:hAnsi="宋体" w:eastAsia="宋体" w:cs="宋体"/>
                <w:bCs/>
                <w:color w:val="auto"/>
                <w:sz w:val="22"/>
                <w:szCs w:val="22"/>
                <w:highlight w:val="none"/>
              </w:rPr>
            </w:pPr>
          </w:p>
        </w:tc>
        <w:tc>
          <w:tcPr>
            <w:tcW w:w="2279" w:type="dxa"/>
            <w:vAlign w:val="center"/>
          </w:tcPr>
          <w:p>
            <w:pPr>
              <w:keepNext w:val="0"/>
              <w:keepLines w:val="0"/>
              <w:pageBreakBefore w:val="0"/>
              <w:widowControl w:val="0"/>
              <w:suppressLineNumbers w:val="0"/>
              <w:kinsoku/>
              <w:wordWrap/>
              <w:overflowPunct/>
              <w:topLinePunct w:val="0"/>
              <w:bidi w:val="0"/>
              <w:spacing w:before="0" w:beforeAutospacing="0" w:after="0" w:afterAutospacing="0" w:line="288" w:lineRule="auto"/>
              <w:ind w:left="0" w:right="0"/>
              <w:jc w:val="center"/>
              <w:textAlignment w:val="auto"/>
              <w:rPr>
                <w:rFonts w:hint="eastAsia" w:ascii="宋体" w:hAnsi="宋体" w:eastAsia="宋体" w:cs="宋体"/>
                <w:bCs/>
                <w:color w:val="auto"/>
                <w:kern w:val="15"/>
                <w:sz w:val="22"/>
                <w:szCs w:val="22"/>
                <w:highlight w:val="none"/>
                <w:lang w:val="zh-CN"/>
              </w:rPr>
            </w:pPr>
            <w:r>
              <w:rPr>
                <w:rFonts w:hint="eastAsia" w:ascii="宋体" w:hAnsi="宋体" w:eastAsia="宋体" w:cs="宋体"/>
                <w:bCs/>
                <w:color w:val="auto"/>
                <w:kern w:val="15"/>
                <w:sz w:val="22"/>
                <w:szCs w:val="22"/>
                <w:highlight w:val="none"/>
                <w:lang w:val="zh-CN"/>
              </w:rPr>
              <w:t>磋商时间和地点</w:t>
            </w:r>
          </w:p>
        </w:tc>
        <w:tc>
          <w:tcPr>
            <w:tcW w:w="6897" w:type="dxa"/>
          </w:tcPr>
          <w:p>
            <w:pPr>
              <w:pStyle w:val="141"/>
              <w:keepNext w:val="0"/>
              <w:keepLines w:val="0"/>
              <w:pageBreakBefore w:val="0"/>
              <w:widowControl w:val="0"/>
              <w:suppressLineNumbers w:val="0"/>
              <w:kinsoku/>
              <w:wordWrap/>
              <w:overflowPunct/>
              <w:topLinePunct w:val="0"/>
              <w:bidi w:val="0"/>
              <w:spacing w:before="0" w:beforeAutospacing="0" w:after="0" w:afterAutospacing="0" w:line="288" w:lineRule="auto"/>
              <w:ind w:left="0" w:right="0"/>
              <w:textAlignment w:val="auto"/>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时间：同响应文件递交截止时间</w:t>
            </w:r>
          </w:p>
          <w:p>
            <w:pPr>
              <w:pStyle w:val="141"/>
              <w:keepNext w:val="0"/>
              <w:keepLines w:val="0"/>
              <w:pageBreakBefore w:val="0"/>
              <w:widowControl w:val="0"/>
              <w:suppressLineNumbers w:val="0"/>
              <w:kinsoku/>
              <w:wordWrap/>
              <w:overflowPunct/>
              <w:topLinePunct w:val="0"/>
              <w:bidi w:val="0"/>
              <w:spacing w:before="0" w:beforeAutospacing="0" w:after="0" w:afterAutospacing="0" w:line="288" w:lineRule="auto"/>
              <w:ind w:left="0" w:right="0"/>
              <w:textAlignment w:val="auto"/>
              <w:rPr>
                <w:rFonts w:hint="eastAsia" w:ascii="宋体" w:hAnsi="宋体" w:eastAsia="宋体" w:cs="宋体"/>
                <w:color w:val="auto"/>
                <w:kern w:val="2"/>
                <w:sz w:val="22"/>
                <w:szCs w:val="22"/>
                <w:highlight w:val="none"/>
                <w:lang w:val="zh-CN" w:eastAsia="zh-CN"/>
              </w:rPr>
            </w:pPr>
            <w:r>
              <w:rPr>
                <w:rFonts w:hint="eastAsia" w:ascii="宋体" w:hAnsi="宋体" w:eastAsia="宋体" w:cs="宋体"/>
                <w:color w:val="auto"/>
                <w:kern w:val="2"/>
                <w:sz w:val="22"/>
                <w:szCs w:val="22"/>
                <w:highlight w:val="none"/>
              </w:rPr>
              <w:t>地点：</w:t>
            </w:r>
            <w:r>
              <w:rPr>
                <w:rFonts w:hint="eastAsia" w:ascii="宋体" w:hAnsi="宋体" w:eastAsia="宋体" w:cs="宋体"/>
                <w:color w:val="auto"/>
                <w:sz w:val="22"/>
                <w:szCs w:val="22"/>
                <w:highlight w:val="none"/>
                <w:lang w:val="en-US" w:eastAsia="zh-CN"/>
              </w:rPr>
              <w:t>长春市二道区洋浦大街6999号凯利中心AB栋</w:t>
            </w:r>
            <w:r>
              <w:rPr>
                <w:rFonts w:hint="eastAsia" w:ascii="宋体" w:hAnsi="宋体" w:eastAsia="宋体" w:cs="宋体"/>
                <w:color w:val="auto"/>
                <w:kern w:val="2"/>
                <w:sz w:val="22"/>
                <w:szCs w:val="22"/>
                <w:highlight w:val="none"/>
                <w:lang w:val="zh-CN" w:eastAsia="zh-CN"/>
              </w:rPr>
              <w:t>开标四</w:t>
            </w:r>
            <w:r>
              <w:rPr>
                <w:rFonts w:hint="eastAsia" w:ascii="宋体" w:hAnsi="宋体" w:eastAsia="宋体" w:cs="宋体"/>
                <w:color w:val="auto"/>
                <w:kern w:val="2"/>
                <w:sz w:val="22"/>
                <w:szCs w:val="22"/>
                <w:highlight w:val="none"/>
                <w:lang w:val="zh-CN" w:eastAsia="zh-CN"/>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3" w:type="dxa"/>
            <w:vAlign w:val="center"/>
          </w:tcPr>
          <w:p>
            <w:pPr>
              <w:keepNext w:val="0"/>
              <w:keepLines w:val="0"/>
              <w:pageBreakBefore w:val="0"/>
              <w:widowControl w:val="0"/>
              <w:numPr>
                <w:ilvl w:val="0"/>
                <w:numId w:val="4"/>
              </w:numPr>
              <w:suppressLineNumbers w:val="0"/>
              <w:kinsoku/>
              <w:wordWrap/>
              <w:overflowPunct/>
              <w:topLinePunct w:val="0"/>
              <w:autoSpaceDE w:val="0"/>
              <w:autoSpaceDN w:val="0"/>
              <w:bidi w:val="0"/>
              <w:adjustRightInd w:val="0"/>
              <w:spacing w:before="0" w:beforeAutospacing="0" w:after="0" w:afterAutospacing="0" w:line="288" w:lineRule="auto"/>
              <w:ind w:left="454" w:leftChars="0" w:right="0" w:hanging="248" w:firstLineChars="0"/>
              <w:jc w:val="center"/>
              <w:textAlignment w:val="auto"/>
              <w:rPr>
                <w:rFonts w:hint="eastAsia" w:ascii="宋体" w:hAnsi="宋体" w:eastAsia="宋体" w:cs="宋体"/>
                <w:bCs/>
                <w:color w:val="auto"/>
                <w:sz w:val="22"/>
                <w:szCs w:val="22"/>
                <w:highlight w:val="none"/>
              </w:rPr>
            </w:pPr>
          </w:p>
        </w:tc>
        <w:tc>
          <w:tcPr>
            <w:tcW w:w="2279" w:type="dxa"/>
            <w:vAlign w:val="center"/>
          </w:tcPr>
          <w:p>
            <w:pPr>
              <w:keepNext w:val="0"/>
              <w:keepLines w:val="0"/>
              <w:pageBreakBefore w:val="0"/>
              <w:widowControl w:val="0"/>
              <w:suppressLineNumbers w:val="0"/>
              <w:kinsoku/>
              <w:wordWrap/>
              <w:overflowPunct/>
              <w:topLinePunct w:val="0"/>
              <w:bidi w:val="0"/>
              <w:spacing w:before="0" w:beforeAutospacing="0" w:after="0" w:afterAutospacing="0" w:line="288" w:lineRule="auto"/>
              <w:ind w:left="0" w:right="0"/>
              <w:jc w:val="center"/>
              <w:textAlignment w:val="auto"/>
              <w:rPr>
                <w:rFonts w:hint="eastAsia" w:ascii="宋体" w:hAnsi="宋体" w:eastAsia="宋体" w:cs="宋体"/>
                <w:bCs/>
                <w:color w:val="auto"/>
                <w:kern w:val="15"/>
                <w:sz w:val="22"/>
                <w:szCs w:val="22"/>
                <w:highlight w:val="none"/>
                <w:lang w:val="zh-CN"/>
              </w:rPr>
            </w:pPr>
            <w:r>
              <w:rPr>
                <w:rFonts w:hint="eastAsia" w:ascii="宋体" w:hAnsi="宋体" w:eastAsia="宋体" w:cs="宋体"/>
                <w:bCs/>
                <w:color w:val="auto"/>
                <w:kern w:val="15"/>
                <w:sz w:val="22"/>
                <w:szCs w:val="22"/>
                <w:highlight w:val="none"/>
                <w:lang w:val="zh-CN"/>
              </w:rPr>
              <w:t>磋商程序</w:t>
            </w:r>
          </w:p>
        </w:tc>
        <w:tc>
          <w:tcPr>
            <w:tcW w:w="6897" w:type="dxa"/>
          </w:tcPr>
          <w:p>
            <w:pPr>
              <w:pStyle w:val="141"/>
              <w:keepNext w:val="0"/>
              <w:keepLines w:val="0"/>
              <w:pageBreakBefore w:val="0"/>
              <w:widowControl w:val="0"/>
              <w:suppressLineNumbers w:val="0"/>
              <w:kinsoku/>
              <w:wordWrap/>
              <w:overflowPunct/>
              <w:topLinePunct w:val="0"/>
              <w:bidi w:val="0"/>
              <w:spacing w:before="0" w:beforeAutospacing="0" w:after="0" w:afterAutospacing="0" w:line="288" w:lineRule="auto"/>
              <w:ind w:left="0" w:right="0"/>
              <w:textAlignment w:val="auto"/>
              <w:rPr>
                <w:rFonts w:hint="eastAsia" w:ascii="宋体" w:hAnsi="宋体" w:eastAsia="宋体" w:cs="宋体"/>
                <w:color w:val="auto"/>
                <w:kern w:val="2"/>
                <w:sz w:val="22"/>
                <w:szCs w:val="22"/>
                <w:highlight w:val="none"/>
                <w:lang w:val="zh-CN"/>
              </w:rPr>
            </w:pPr>
            <w:r>
              <w:rPr>
                <w:rFonts w:hint="eastAsia" w:ascii="宋体" w:hAnsi="宋体" w:eastAsia="宋体" w:cs="宋体"/>
                <w:color w:val="auto"/>
                <w:kern w:val="2"/>
                <w:sz w:val="22"/>
                <w:szCs w:val="22"/>
                <w:highlight w:val="none"/>
                <w:lang w:val="en-US" w:eastAsia="zh-CN"/>
              </w:rPr>
              <w:t>二次报价顺序：按</w:t>
            </w:r>
            <w:r>
              <w:rPr>
                <w:rFonts w:hint="eastAsia" w:ascii="宋体" w:hAnsi="宋体" w:eastAsia="宋体" w:cs="宋体"/>
                <w:color w:val="auto"/>
                <w:kern w:val="2"/>
                <w:sz w:val="22"/>
                <w:szCs w:val="22"/>
                <w:highlight w:val="none"/>
                <w:lang w:val="zh-CN" w:eastAsia="zh-CN"/>
              </w:rPr>
              <w:t>政府采购云平台电子标默认的顺序</w:t>
            </w:r>
            <w:r>
              <w:rPr>
                <w:rFonts w:hint="eastAsia" w:ascii="宋体" w:hAnsi="宋体" w:eastAsia="宋体" w:cs="宋体"/>
                <w:color w:val="auto"/>
                <w:kern w:val="2"/>
                <w:sz w:val="22"/>
                <w:szCs w:val="22"/>
                <w:highlight w:val="none"/>
                <w:lang w:val="en-US" w:eastAsia="zh-CN"/>
              </w:rPr>
              <w:t>或由磋商小组确定的其它方式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3" w:type="dxa"/>
            <w:vAlign w:val="center"/>
          </w:tcPr>
          <w:p>
            <w:pPr>
              <w:keepNext w:val="0"/>
              <w:keepLines w:val="0"/>
              <w:pageBreakBefore w:val="0"/>
              <w:widowControl w:val="0"/>
              <w:numPr>
                <w:ilvl w:val="0"/>
                <w:numId w:val="4"/>
              </w:numPr>
              <w:suppressLineNumbers w:val="0"/>
              <w:kinsoku/>
              <w:wordWrap/>
              <w:overflowPunct/>
              <w:topLinePunct w:val="0"/>
              <w:autoSpaceDE w:val="0"/>
              <w:autoSpaceDN w:val="0"/>
              <w:bidi w:val="0"/>
              <w:adjustRightInd w:val="0"/>
              <w:spacing w:before="0" w:beforeAutospacing="0" w:after="0" w:afterAutospacing="0" w:line="288" w:lineRule="auto"/>
              <w:ind w:left="454" w:leftChars="0" w:right="0" w:hanging="248" w:firstLineChars="0"/>
              <w:jc w:val="center"/>
              <w:textAlignment w:val="auto"/>
              <w:rPr>
                <w:rFonts w:hint="eastAsia" w:ascii="宋体" w:hAnsi="宋体" w:eastAsia="宋体" w:cs="宋体"/>
                <w:bCs/>
                <w:color w:val="auto"/>
                <w:sz w:val="22"/>
                <w:szCs w:val="22"/>
                <w:highlight w:val="none"/>
              </w:rPr>
            </w:pPr>
          </w:p>
        </w:tc>
        <w:tc>
          <w:tcPr>
            <w:tcW w:w="2279" w:type="dxa"/>
            <w:vAlign w:val="center"/>
          </w:tcPr>
          <w:p>
            <w:pPr>
              <w:keepNext w:val="0"/>
              <w:keepLines w:val="0"/>
              <w:pageBreakBefore w:val="0"/>
              <w:widowControl w:val="0"/>
              <w:suppressLineNumbers w:val="0"/>
              <w:kinsoku/>
              <w:wordWrap/>
              <w:overflowPunct/>
              <w:topLinePunct w:val="0"/>
              <w:bidi w:val="0"/>
              <w:spacing w:before="0" w:beforeAutospacing="0" w:after="0" w:afterAutospacing="0" w:line="288" w:lineRule="auto"/>
              <w:ind w:left="0" w:right="0"/>
              <w:jc w:val="center"/>
              <w:textAlignment w:val="auto"/>
              <w:rPr>
                <w:rFonts w:hint="eastAsia" w:ascii="宋体" w:hAnsi="宋体" w:eastAsia="宋体" w:cs="宋体"/>
                <w:bCs/>
                <w:color w:val="auto"/>
                <w:kern w:val="15"/>
                <w:sz w:val="22"/>
                <w:szCs w:val="22"/>
                <w:highlight w:val="none"/>
                <w:lang w:val="zh-CN"/>
              </w:rPr>
            </w:pPr>
            <w:r>
              <w:rPr>
                <w:rFonts w:hint="eastAsia" w:ascii="宋体" w:hAnsi="宋体" w:eastAsia="宋体" w:cs="宋体"/>
                <w:bCs/>
                <w:color w:val="auto"/>
                <w:kern w:val="15"/>
                <w:sz w:val="22"/>
                <w:szCs w:val="22"/>
                <w:highlight w:val="none"/>
                <w:lang w:val="zh-CN"/>
              </w:rPr>
              <w:t>评审委员会的组成</w:t>
            </w:r>
          </w:p>
        </w:tc>
        <w:tc>
          <w:tcPr>
            <w:tcW w:w="6897" w:type="dxa"/>
          </w:tcPr>
          <w:p>
            <w:pPr>
              <w:pStyle w:val="141"/>
              <w:keepNext w:val="0"/>
              <w:keepLines w:val="0"/>
              <w:pageBreakBefore w:val="0"/>
              <w:widowControl w:val="0"/>
              <w:suppressLineNumbers w:val="0"/>
              <w:kinsoku/>
              <w:wordWrap/>
              <w:overflowPunct/>
              <w:topLinePunct w:val="0"/>
              <w:bidi w:val="0"/>
              <w:spacing w:before="0" w:beforeAutospacing="0" w:after="0" w:afterAutospacing="0" w:line="288" w:lineRule="auto"/>
              <w:ind w:left="0" w:right="0"/>
              <w:textAlignment w:val="auto"/>
              <w:rPr>
                <w:rFonts w:hint="eastAsia" w:ascii="宋体" w:hAnsi="宋体" w:eastAsia="宋体" w:cs="宋体"/>
                <w:color w:val="auto"/>
                <w:kern w:val="2"/>
                <w:sz w:val="22"/>
                <w:szCs w:val="22"/>
                <w:highlight w:val="none"/>
                <w:lang w:val="zh-CN"/>
              </w:rPr>
            </w:pPr>
            <w:r>
              <w:rPr>
                <w:rFonts w:hint="eastAsia" w:ascii="宋体" w:hAnsi="宋体" w:eastAsia="宋体" w:cs="宋体"/>
                <w:color w:val="auto"/>
                <w:kern w:val="2"/>
                <w:sz w:val="22"/>
                <w:szCs w:val="22"/>
                <w:highlight w:val="none"/>
                <w:lang w:val="zh-CN"/>
              </w:rPr>
              <w:t>磋商小组构成：采购人代表0人、专家3人，共3人组成</w:t>
            </w:r>
          </w:p>
          <w:p>
            <w:pPr>
              <w:pStyle w:val="141"/>
              <w:keepNext w:val="0"/>
              <w:keepLines w:val="0"/>
              <w:pageBreakBefore w:val="0"/>
              <w:widowControl w:val="0"/>
              <w:suppressLineNumbers w:val="0"/>
              <w:kinsoku/>
              <w:wordWrap/>
              <w:overflowPunct/>
              <w:topLinePunct w:val="0"/>
              <w:bidi w:val="0"/>
              <w:spacing w:before="0" w:beforeAutospacing="0" w:after="0" w:afterAutospacing="0" w:line="288" w:lineRule="auto"/>
              <w:ind w:left="0" w:right="0"/>
              <w:textAlignment w:val="auto"/>
              <w:rPr>
                <w:rFonts w:hint="eastAsia" w:ascii="宋体" w:hAnsi="宋体" w:eastAsia="宋体" w:cs="宋体"/>
                <w:color w:val="auto"/>
                <w:kern w:val="2"/>
                <w:sz w:val="22"/>
                <w:szCs w:val="22"/>
                <w:highlight w:val="none"/>
                <w:lang w:val="zh-CN"/>
              </w:rPr>
            </w:pPr>
            <w:r>
              <w:rPr>
                <w:rFonts w:hint="eastAsia" w:ascii="宋体" w:hAnsi="宋体" w:eastAsia="宋体" w:cs="宋体"/>
                <w:color w:val="auto"/>
                <w:kern w:val="2"/>
                <w:sz w:val="22"/>
                <w:szCs w:val="22"/>
                <w:highlight w:val="none"/>
                <w:lang w:val="zh-CN"/>
              </w:rPr>
              <w:t>评审专家确定方式：专家从</w:t>
            </w:r>
            <w:r>
              <w:rPr>
                <w:rFonts w:hint="eastAsia" w:ascii="宋体" w:hAnsi="宋体" w:eastAsia="宋体" w:cs="宋体"/>
                <w:color w:val="auto"/>
                <w:kern w:val="2"/>
                <w:sz w:val="22"/>
                <w:szCs w:val="22"/>
                <w:highlight w:val="none"/>
                <w:lang w:val="en-US" w:eastAsia="zh-CN"/>
              </w:rPr>
              <w:t>政采云</w:t>
            </w:r>
            <w:r>
              <w:rPr>
                <w:rFonts w:hint="eastAsia" w:ascii="宋体" w:hAnsi="宋体" w:eastAsia="宋体" w:cs="宋体"/>
                <w:color w:val="auto"/>
                <w:kern w:val="2"/>
                <w:sz w:val="22"/>
                <w:szCs w:val="22"/>
                <w:highlight w:val="none"/>
                <w:lang w:val="zh-CN"/>
              </w:rPr>
              <w:t>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3" w:type="dxa"/>
            <w:vAlign w:val="center"/>
          </w:tcPr>
          <w:p>
            <w:pPr>
              <w:keepNext w:val="0"/>
              <w:keepLines w:val="0"/>
              <w:pageBreakBefore w:val="0"/>
              <w:widowControl w:val="0"/>
              <w:numPr>
                <w:ilvl w:val="0"/>
                <w:numId w:val="4"/>
              </w:numPr>
              <w:suppressLineNumbers w:val="0"/>
              <w:kinsoku/>
              <w:wordWrap/>
              <w:overflowPunct/>
              <w:topLinePunct w:val="0"/>
              <w:autoSpaceDE w:val="0"/>
              <w:autoSpaceDN w:val="0"/>
              <w:bidi w:val="0"/>
              <w:adjustRightInd w:val="0"/>
              <w:spacing w:before="0" w:beforeAutospacing="0" w:after="0" w:afterAutospacing="0" w:line="288" w:lineRule="auto"/>
              <w:ind w:left="454" w:leftChars="0" w:right="0" w:hanging="248" w:firstLineChars="0"/>
              <w:jc w:val="center"/>
              <w:textAlignment w:val="auto"/>
              <w:rPr>
                <w:rFonts w:hint="eastAsia" w:ascii="宋体" w:hAnsi="宋体" w:eastAsia="宋体" w:cs="宋体"/>
                <w:bCs/>
                <w:color w:val="auto"/>
                <w:sz w:val="22"/>
                <w:szCs w:val="22"/>
                <w:highlight w:val="none"/>
              </w:rPr>
            </w:pPr>
          </w:p>
        </w:tc>
        <w:tc>
          <w:tcPr>
            <w:tcW w:w="2279" w:type="dxa"/>
            <w:vAlign w:val="center"/>
          </w:tcPr>
          <w:p>
            <w:pPr>
              <w:keepNext w:val="0"/>
              <w:keepLines w:val="0"/>
              <w:pageBreakBefore w:val="0"/>
              <w:widowControl w:val="0"/>
              <w:suppressLineNumbers w:val="0"/>
              <w:kinsoku/>
              <w:wordWrap/>
              <w:overflowPunct/>
              <w:topLinePunct w:val="0"/>
              <w:bidi w:val="0"/>
              <w:spacing w:before="0" w:beforeAutospacing="0" w:after="0" w:afterAutospacing="0" w:line="288" w:lineRule="auto"/>
              <w:ind w:left="0" w:right="0"/>
              <w:jc w:val="center"/>
              <w:textAlignment w:val="auto"/>
              <w:rPr>
                <w:rFonts w:hint="eastAsia" w:ascii="宋体" w:hAnsi="宋体" w:eastAsia="宋体" w:cs="宋体"/>
                <w:bCs/>
                <w:color w:val="auto"/>
                <w:kern w:val="15"/>
                <w:sz w:val="22"/>
                <w:szCs w:val="22"/>
                <w:highlight w:val="none"/>
                <w:lang w:val="zh-CN"/>
              </w:rPr>
            </w:pPr>
            <w:r>
              <w:rPr>
                <w:rFonts w:hint="eastAsia" w:ascii="宋体" w:hAnsi="宋体" w:eastAsia="宋体" w:cs="宋体"/>
                <w:bCs/>
                <w:color w:val="auto"/>
                <w:kern w:val="15"/>
                <w:sz w:val="22"/>
                <w:szCs w:val="22"/>
                <w:highlight w:val="none"/>
                <w:lang w:val="zh-CN"/>
              </w:rPr>
              <w:t>是否授权评审小组确定成交供应商</w:t>
            </w:r>
          </w:p>
        </w:tc>
        <w:tc>
          <w:tcPr>
            <w:tcW w:w="6897" w:type="dxa"/>
            <w:vAlign w:val="center"/>
          </w:tcPr>
          <w:p>
            <w:pPr>
              <w:pStyle w:val="141"/>
              <w:keepNext w:val="0"/>
              <w:keepLines w:val="0"/>
              <w:pageBreakBefore w:val="0"/>
              <w:widowControl w:val="0"/>
              <w:suppressLineNumbers w:val="0"/>
              <w:kinsoku/>
              <w:wordWrap/>
              <w:overflowPunct/>
              <w:topLinePunct w:val="0"/>
              <w:bidi w:val="0"/>
              <w:spacing w:before="0" w:beforeAutospacing="0" w:after="0" w:afterAutospacing="0" w:line="288" w:lineRule="auto"/>
              <w:ind w:left="0" w:right="0"/>
              <w:textAlignment w:val="auto"/>
              <w:rPr>
                <w:rFonts w:hint="eastAsia" w:ascii="宋体" w:hAnsi="宋体" w:eastAsia="宋体" w:cs="宋体"/>
                <w:color w:val="auto"/>
                <w:kern w:val="2"/>
                <w:sz w:val="22"/>
                <w:szCs w:val="22"/>
                <w:highlight w:val="none"/>
                <w:lang w:val="zh-CN" w:eastAsia="zh-CN"/>
              </w:rPr>
            </w:pPr>
            <w:r>
              <w:rPr>
                <w:rFonts w:hint="eastAsia" w:ascii="宋体" w:hAnsi="宋体" w:eastAsia="宋体" w:cs="宋体"/>
                <w:color w:val="auto"/>
                <w:kern w:val="2"/>
                <w:sz w:val="22"/>
                <w:szCs w:val="22"/>
                <w:highlight w:val="none"/>
                <w:lang w:val="zh-CN"/>
              </w:rPr>
              <w:t>否，推荐的成交候选人数：</w:t>
            </w:r>
            <w:r>
              <w:rPr>
                <w:rFonts w:hint="eastAsia" w:ascii="宋体" w:hAnsi="宋体" w:eastAsia="宋体" w:cs="宋体"/>
                <w:color w:val="auto"/>
                <w:kern w:val="2"/>
                <w:sz w:val="22"/>
                <w:szCs w:val="22"/>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3" w:type="dxa"/>
            <w:vAlign w:val="center"/>
          </w:tcPr>
          <w:p>
            <w:pPr>
              <w:keepNext w:val="0"/>
              <w:keepLines w:val="0"/>
              <w:pageBreakBefore w:val="0"/>
              <w:widowControl w:val="0"/>
              <w:numPr>
                <w:ilvl w:val="0"/>
                <w:numId w:val="4"/>
              </w:numPr>
              <w:suppressLineNumbers w:val="0"/>
              <w:kinsoku/>
              <w:wordWrap/>
              <w:overflowPunct/>
              <w:topLinePunct w:val="0"/>
              <w:autoSpaceDE w:val="0"/>
              <w:autoSpaceDN w:val="0"/>
              <w:bidi w:val="0"/>
              <w:adjustRightInd w:val="0"/>
              <w:snapToGrid w:val="0"/>
              <w:spacing w:before="0" w:beforeAutospacing="0" w:after="0" w:afterAutospacing="0" w:line="288" w:lineRule="auto"/>
              <w:ind w:left="454" w:leftChars="0" w:right="0" w:hanging="248" w:firstLineChars="0"/>
              <w:jc w:val="center"/>
              <w:textAlignment w:val="auto"/>
              <w:rPr>
                <w:rFonts w:hint="eastAsia" w:ascii="宋体" w:hAnsi="宋体" w:eastAsia="宋体" w:cs="宋体"/>
                <w:bCs/>
                <w:color w:val="auto"/>
                <w:sz w:val="22"/>
                <w:szCs w:val="22"/>
                <w:highlight w:val="none"/>
                <w:lang w:val="en-US" w:eastAsia="zh-CN"/>
              </w:rPr>
            </w:pPr>
          </w:p>
        </w:tc>
        <w:tc>
          <w:tcPr>
            <w:tcW w:w="2279" w:type="dxa"/>
            <w:vAlign w:val="center"/>
          </w:tcPr>
          <w:p>
            <w:pPr>
              <w:keepNext w:val="0"/>
              <w:keepLines w:val="0"/>
              <w:pageBreakBefore w:val="0"/>
              <w:widowControl w:val="0"/>
              <w:suppressLineNumbers w:val="0"/>
              <w:kinsoku/>
              <w:wordWrap/>
              <w:overflowPunct/>
              <w:topLinePunct w:val="0"/>
              <w:bidi w:val="0"/>
              <w:spacing w:before="0" w:beforeAutospacing="0" w:after="0" w:afterAutospacing="0" w:line="288" w:lineRule="auto"/>
              <w:ind w:left="0" w:leftChars="0" w:right="0" w:rightChars="0"/>
              <w:jc w:val="center"/>
              <w:textAlignment w:val="auto"/>
              <w:rPr>
                <w:rFonts w:hint="eastAsia" w:ascii="宋体" w:hAnsi="宋体" w:eastAsia="宋体" w:cs="宋体"/>
                <w:bCs/>
                <w:color w:val="auto"/>
                <w:kern w:val="15"/>
                <w:sz w:val="22"/>
                <w:szCs w:val="22"/>
                <w:highlight w:val="none"/>
                <w:lang w:val="zh-CN"/>
              </w:rPr>
            </w:pPr>
            <w:r>
              <w:rPr>
                <w:rFonts w:hint="eastAsia" w:ascii="宋体" w:hAnsi="宋体" w:eastAsia="宋体" w:cs="宋体"/>
                <w:bCs/>
                <w:color w:val="auto"/>
                <w:kern w:val="15"/>
                <w:sz w:val="22"/>
                <w:szCs w:val="22"/>
                <w:highlight w:val="none"/>
              </w:rPr>
              <w:t>成交结果公告媒介及期限</w:t>
            </w:r>
          </w:p>
        </w:tc>
        <w:tc>
          <w:tcPr>
            <w:tcW w:w="6897" w:type="dxa"/>
            <w:vAlign w:val="center"/>
          </w:tcPr>
          <w:p>
            <w:pPr>
              <w:pStyle w:val="141"/>
              <w:keepNext w:val="0"/>
              <w:keepLines w:val="0"/>
              <w:pageBreakBefore w:val="0"/>
              <w:widowControl w:val="0"/>
              <w:suppressLineNumbers w:val="0"/>
              <w:kinsoku/>
              <w:wordWrap/>
              <w:overflowPunct/>
              <w:topLinePunct w:val="0"/>
              <w:bidi w:val="0"/>
              <w:spacing w:before="0" w:beforeAutospacing="0" w:after="0" w:afterAutospacing="0" w:line="288" w:lineRule="auto"/>
              <w:ind w:left="0" w:right="0"/>
              <w:textAlignment w:val="auto"/>
              <w:rPr>
                <w:rFonts w:hint="eastAsia" w:ascii="宋体" w:hAnsi="宋体" w:eastAsia="宋体" w:cs="宋体"/>
                <w:color w:val="auto"/>
                <w:kern w:val="2"/>
                <w:sz w:val="22"/>
                <w:szCs w:val="22"/>
                <w:highlight w:val="none"/>
                <w:lang w:val="zh-CN" w:eastAsia="zh-CN"/>
              </w:rPr>
            </w:pPr>
            <w:r>
              <w:rPr>
                <w:rFonts w:hint="eastAsia" w:ascii="宋体" w:hAnsi="宋体" w:eastAsia="宋体" w:cs="宋体"/>
                <w:color w:val="auto"/>
                <w:kern w:val="2"/>
                <w:sz w:val="22"/>
                <w:szCs w:val="22"/>
                <w:highlight w:val="none"/>
                <w:lang w:val="en-US" w:eastAsia="zh-CN"/>
              </w:rPr>
              <w:t>中国政府采购网、长春市公共资源交易网</w:t>
            </w:r>
            <w:r>
              <w:rPr>
                <w:rFonts w:hint="eastAsia" w:ascii="宋体" w:hAnsi="宋体" w:eastAsia="宋体" w:cs="宋体"/>
                <w:color w:val="auto"/>
                <w:kern w:val="2"/>
                <w:sz w:val="22"/>
                <w:szCs w:val="22"/>
                <w:highlight w:val="none"/>
                <w:lang w:val="zh-CN" w:eastAsia="zh-CN"/>
              </w:rPr>
              <w:t>。</w:t>
            </w:r>
          </w:p>
          <w:p>
            <w:pPr>
              <w:pStyle w:val="141"/>
              <w:keepNext w:val="0"/>
              <w:keepLines w:val="0"/>
              <w:pageBreakBefore w:val="0"/>
              <w:widowControl w:val="0"/>
              <w:suppressLineNumbers w:val="0"/>
              <w:kinsoku/>
              <w:wordWrap/>
              <w:overflowPunct/>
              <w:topLinePunct w:val="0"/>
              <w:bidi w:val="0"/>
              <w:spacing w:before="0" w:beforeAutospacing="0" w:after="0" w:afterAutospacing="0" w:line="288" w:lineRule="auto"/>
              <w:ind w:left="0" w:right="0"/>
              <w:textAlignment w:val="auto"/>
              <w:rPr>
                <w:rFonts w:hint="eastAsia" w:ascii="宋体" w:hAnsi="宋体" w:eastAsia="宋体" w:cs="宋体"/>
                <w:color w:val="auto"/>
                <w:kern w:val="2"/>
                <w:sz w:val="22"/>
                <w:szCs w:val="22"/>
                <w:highlight w:val="none"/>
                <w:lang w:val="zh-CN" w:eastAsia="zh-CN"/>
              </w:rPr>
            </w:pPr>
            <w:r>
              <w:rPr>
                <w:rFonts w:hint="eastAsia" w:ascii="宋体" w:hAnsi="宋体" w:eastAsia="宋体" w:cs="宋体"/>
                <w:color w:val="auto"/>
                <w:kern w:val="2"/>
                <w:sz w:val="22"/>
                <w:szCs w:val="22"/>
                <w:highlight w:val="none"/>
                <w:lang w:val="zh-CN"/>
              </w:rPr>
              <w:t>公示期限：</w:t>
            </w:r>
            <w:r>
              <w:rPr>
                <w:rFonts w:hint="eastAsia" w:ascii="宋体" w:hAnsi="宋体" w:eastAsia="宋体" w:cs="宋体"/>
                <w:color w:val="auto"/>
                <w:sz w:val="22"/>
                <w:szCs w:val="22"/>
                <w:highlight w:val="none"/>
                <w:lang w:eastAsia="zh-CN"/>
              </w:rPr>
              <w:t>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3" w:type="dxa"/>
            <w:vAlign w:val="center"/>
          </w:tcPr>
          <w:p>
            <w:pPr>
              <w:keepNext w:val="0"/>
              <w:keepLines w:val="0"/>
              <w:pageBreakBefore w:val="0"/>
              <w:widowControl w:val="0"/>
              <w:numPr>
                <w:ilvl w:val="0"/>
                <w:numId w:val="4"/>
              </w:numPr>
              <w:suppressLineNumbers w:val="0"/>
              <w:kinsoku/>
              <w:wordWrap/>
              <w:overflowPunct/>
              <w:topLinePunct w:val="0"/>
              <w:autoSpaceDE w:val="0"/>
              <w:autoSpaceDN w:val="0"/>
              <w:bidi w:val="0"/>
              <w:adjustRightInd w:val="0"/>
              <w:spacing w:before="0" w:beforeAutospacing="0" w:after="0" w:afterAutospacing="0" w:line="288" w:lineRule="auto"/>
              <w:ind w:left="454" w:leftChars="0" w:right="0" w:hanging="248" w:firstLineChars="0"/>
              <w:jc w:val="center"/>
              <w:textAlignment w:val="auto"/>
              <w:rPr>
                <w:rFonts w:hint="eastAsia" w:ascii="宋体" w:hAnsi="宋体" w:eastAsia="宋体" w:cs="宋体"/>
                <w:bCs/>
                <w:color w:val="auto"/>
                <w:sz w:val="22"/>
                <w:szCs w:val="22"/>
                <w:highlight w:val="none"/>
                <w:lang w:val="en-US" w:eastAsia="zh-CN"/>
              </w:rPr>
            </w:pPr>
          </w:p>
        </w:tc>
        <w:tc>
          <w:tcPr>
            <w:tcW w:w="2279" w:type="dxa"/>
            <w:vAlign w:val="center"/>
          </w:tcPr>
          <w:p>
            <w:pPr>
              <w:keepNext w:val="0"/>
              <w:keepLines w:val="0"/>
              <w:pageBreakBefore w:val="0"/>
              <w:widowControl w:val="0"/>
              <w:suppressLineNumbers w:val="0"/>
              <w:kinsoku/>
              <w:wordWrap/>
              <w:overflowPunct/>
              <w:topLinePunct w:val="0"/>
              <w:bidi w:val="0"/>
              <w:spacing w:before="0" w:beforeAutospacing="0" w:after="0" w:afterAutospacing="0" w:line="288" w:lineRule="auto"/>
              <w:ind w:left="0" w:right="0"/>
              <w:jc w:val="center"/>
              <w:textAlignment w:val="auto"/>
              <w:rPr>
                <w:rFonts w:hint="eastAsia" w:ascii="宋体" w:hAnsi="宋体" w:eastAsia="宋体" w:cs="宋体"/>
                <w:bCs/>
                <w:color w:val="auto"/>
                <w:kern w:val="15"/>
                <w:sz w:val="22"/>
                <w:szCs w:val="22"/>
                <w:highlight w:val="none"/>
                <w:lang w:val="zh-CN"/>
              </w:rPr>
            </w:pPr>
            <w:r>
              <w:rPr>
                <w:rFonts w:hint="eastAsia" w:ascii="宋体" w:hAnsi="宋体" w:eastAsia="宋体" w:cs="宋体"/>
                <w:bCs/>
                <w:color w:val="auto"/>
                <w:kern w:val="15"/>
                <w:sz w:val="22"/>
                <w:szCs w:val="22"/>
                <w:highlight w:val="none"/>
                <w:lang w:val="zh-CN"/>
              </w:rPr>
              <w:t>评审办法</w:t>
            </w:r>
          </w:p>
        </w:tc>
        <w:tc>
          <w:tcPr>
            <w:tcW w:w="6897" w:type="dxa"/>
            <w:vAlign w:val="center"/>
          </w:tcPr>
          <w:p>
            <w:pPr>
              <w:pStyle w:val="141"/>
              <w:keepNext w:val="0"/>
              <w:keepLines w:val="0"/>
              <w:pageBreakBefore w:val="0"/>
              <w:widowControl w:val="0"/>
              <w:suppressLineNumbers w:val="0"/>
              <w:kinsoku/>
              <w:wordWrap/>
              <w:overflowPunct/>
              <w:topLinePunct w:val="0"/>
              <w:bidi w:val="0"/>
              <w:spacing w:before="0" w:beforeAutospacing="0" w:after="0" w:afterAutospacing="0" w:line="288" w:lineRule="auto"/>
              <w:ind w:left="0" w:right="0"/>
              <w:textAlignment w:val="auto"/>
              <w:rPr>
                <w:rFonts w:hint="eastAsia" w:ascii="宋体" w:hAnsi="宋体" w:eastAsia="宋体" w:cs="宋体"/>
                <w:color w:val="auto"/>
                <w:kern w:val="2"/>
                <w:sz w:val="22"/>
                <w:szCs w:val="22"/>
                <w:highlight w:val="none"/>
                <w:lang w:val="zh-CN"/>
              </w:rPr>
            </w:pPr>
            <w:r>
              <w:rPr>
                <w:rFonts w:hint="eastAsia" w:ascii="宋体" w:hAnsi="宋体" w:eastAsia="宋体" w:cs="宋体"/>
                <w:color w:val="auto"/>
                <w:kern w:val="2"/>
                <w:sz w:val="22"/>
                <w:szCs w:val="22"/>
                <w:highlight w:val="none"/>
                <w:lang w:val="zh-CN"/>
              </w:rPr>
              <w:t>综合评分法</w:t>
            </w:r>
            <w:r>
              <w:rPr>
                <w:rFonts w:hint="eastAsia" w:ascii="宋体" w:hAnsi="宋体" w:eastAsia="宋体" w:cs="宋体"/>
                <w:color w:val="auto"/>
                <w:kern w:val="2"/>
                <w:sz w:val="22"/>
                <w:szCs w:val="22"/>
                <w:highlight w:val="none"/>
                <w:lang w:val="zh-CN"/>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3" w:type="dxa"/>
            <w:vMerge w:val="restart"/>
            <w:vAlign w:val="center"/>
          </w:tcPr>
          <w:p>
            <w:pPr>
              <w:keepNext w:val="0"/>
              <w:keepLines w:val="0"/>
              <w:pageBreakBefore w:val="0"/>
              <w:widowControl w:val="0"/>
              <w:numPr>
                <w:ilvl w:val="0"/>
                <w:numId w:val="4"/>
              </w:numPr>
              <w:suppressLineNumbers w:val="0"/>
              <w:kinsoku/>
              <w:wordWrap/>
              <w:overflowPunct/>
              <w:topLinePunct w:val="0"/>
              <w:autoSpaceDE w:val="0"/>
              <w:autoSpaceDN w:val="0"/>
              <w:bidi w:val="0"/>
              <w:adjustRightInd w:val="0"/>
              <w:spacing w:before="0" w:beforeAutospacing="0" w:after="0" w:afterAutospacing="0" w:line="288" w:lineRule="auto"/>
              <w:ind w:left="454" w:leftChars="0" w:right="0" w:hanging="248" w:firstLineChars="0"/>
              <w:jc w:val="center"/>
              <w:textAlignment w:val="auto"/>
              <w:rPr>
                <w:rFonts w:hint="eastAsia" w:ascii="宋体" w:hAnsi="宋体" w:eastAsia="宋体" w:cs="宋体"/>
                <w:bCs/>
                <w:color w:val="auto"/>
                <w:sz w:val="22"/>
                <w:szCs w:val="22"/>
                <w:highlight w:val="none"/>
                <w:lang w:val="en-US" w:eastAsia="zh-CN"/>
              </w:rPr>
            </w:pPr>
          </w:p>
        </w:tc>
        <w:tc>
          <w:tcPr>
            <w:tcW w:w="2279" w:type="dxa"/>
            <w:vMerge w:val="restart"/>
            <w:vAlign w:val="center"/>
          </w:tcPr>
          <w:p>
            <w:pPr>
              <w:keepNext w:val="0"/>
              <w:keepLines w:val="0"/>
              <w:pageBreakBefore w:val="0"/>
              <w:widowControl w:val="0"/>
              <w:suppressLineNumbers w:val="0"/>
              <w:kinsoku/>
              <w:wordWrap/>
              <w:overflowPunct/>
              <w:topLinePunct w:val="0"/>
              <w:bidi w:val="0"/>
              <w:spacing w:before="0" w:beforeAutospacing="0" w:after="0" w:afterAutospacing="0" w:line="288" w:lineRule="auto"/>
              <w:ind w:left="0" w:right="0"/>
              <w:jc w:val="center"/>
              <w:textAlignment w:val="auto"/>
              <w:rPr>
                <w:rFonts w:hint="eastAsia" w:ascii="宋体" w:hAnsi="宋体" w:eastAsia="宋体" w:cs="宋体"/>
                <w:bCs/>
                <w:color w:val="auto"/>
                <w:kern w:val="15"/>
                <w:sz w:val="22"/>
                <w:szCs w:val="22"/>
                <w:highlight w:val="none"/>
                <w:lang w:val="zh-CN"/>
              </w:rPr>
            </w:pPr>
            <w:r>
              <w:rPr>
                <w:rFonts w:hint="eastAsia" w:ascii="宋体" w:hAnsi="宋体" w:eastAsia="宋体" w:cs="宋体"/>
                <w:bCs/>
                <w:color w:val="auto"/>
                <w:kern w:val="15"/>
                <w:sz w:val="22"/>
                <w:szCs w:val="22"/>
                <w:highlight w:val="none"/>
                <w:lang w:val="zh-CN"/>
              </w:rPr>
              <w:t>付款条件与比例</w:t>
            </w:r>
          </w:p>
        </w:tc>
        <w:tc>
          <w:tcPr>
            <w:tcW w:w="6897" w:type="dxa"/>
            <w:vAlign w:val="center"/>
          </w:tcPr>
          <w:p>
            <w:pPr>
              <w:pStyle w:val="141"/>
              <w:keepNext w:val="0"/>
              <w:keepLines w:val="0"/>
              <w:pageBreakBefore w:val="0"/>
              <w:widowControl w:val="0"/>
              <w:suppressLineNumbers w:val="0"/>
              <w:kinsoku/>
              <w:wordWrap/>
              <w:overflowPunct/>
              <w:topLinePunct w:val="0"/>
              <w:bidi w:val="0"/>
              <w:spacing w:before="0" w:beforeAutospacing="0" w:after="0" w:afterAutospacing="0" w:line="288" w:lineRule="auto"/>
              <w:ind w:left="0" w:right="0"/>
              <w:textAlignment w:val="auto"/>
              <w:rPr>
                <w:rFonts w:hint="eastAsia" w:ascii="宋体" w:hAnsi="宋体" w:eastAsia="宋体" w:cs="宋体"/>
                <w:color w:val="auto"/>
                <w:kern w:val="2"/>
                <w:sz w:val="22"/>
                <w:szCs w:val="22"/>
                <w:highlight w:val="none"/>
                <w:lang w:val="zh-CN" w:eastAsia="zh-CN"/>
              </w:rPr>
            </w:pPr>
            <w:r>
              <w:rPr>
                <w:rFonts w:hint="eastAsia" w:ascii="宋体" w:hAnsi="宋体" w:eastAsia="宋体" w:cs="宋体"/>
                <w:color w:val="auto"/>
                <w:kern w:val="2"/>
                <w:sz w:val="22"/>
                <w:szCs w:val="22"/>
                <w:highlight w:val="none"/>
                <w:lang w:val="zh-CN" w:eastAsia="zh-CN"/>
              </w:rPr>
              <w:t>中小企业中标（成交）的：活动结束并经采购人验收合格后，支付全部合同价款。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3" w:type="dxa"/>
            <w:vMerge w:val="continue"/>
            <w:vAlign w:val="center"/>
          </w:tcPr>
          <w:p>
            <w:pPr>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288" w:lineRule="auto"/>
              <w:ind w:left="454" w:leftChars="0" w:right="0" w:hanging="248" w:firstLineChars="0"/>
              <w:jc w:val="center"/>
              <w:textAlignment w:val="auto"/>
              <w:rPr>
                <w:rFonts w:hint="eastAsia" w:ascii="宋体" w:hAnsi="宋体" w:eastAsia="宋体" w:cs="宋体"/>
                <w:bCs/>
                <w:color w:val="auto"/>
                <w:sz w:val="22"/>
                <w:szCs w:val="22"/>
                <w:highlight w:val="none"/>
                <w:lang w:val="en-US" w:eastAsia="zh-CN"/>
              </w:rPr>
            </w:pPr>
          </w:p>
        </w:tc>
        <w:tc>
          <w:tcPr>
            <w:tcW w:w="2279" w:type="dxa"/>
            <w:vMerge w:val="continue"/>
            <w:vAlign w:val="center"/>
          </w:tcPr>
          <w:p>
            <w:pPr>
              <w:keepNext w:val="0"/>
              <w:keepLines w:val="0"/>
              <w:pageBreakBefore w:val="0"/>
              <w:widowControl w:val="0"/>
              <w:suppressLineNumbers w:val="0"/>
              <w:kinsoku/>
              <w:wordWrap/>
              <w:overflowPunct/>
              <w:topLinePunct w:val="0"/>
              <w:bidi w:val="0"/>
              <w:spacing w:before="0" w:beforeAutospacing="0" w:after="0" w:afterAutospacing="0" w:line="288" w:lineRule="auto"/>
              <w:ind w:left="0" w:right="0"/>
              <w:jc w:val="center"/>
              <w:textAlignment w:val="auto"/>
              <w:rPr>
                <w:rFonts w:hint="eastAsia" w:ascii="宋体" w:hAnsi="宋体" w:eastAsia="宋体" w:cs="宋体"/>
                <w:bCs/>
                <w:color w:val="auto"/>
                <w:kern w:val="15"/>
                <w:sz w:val="22"/>
                <w:szCs w:val="22"/>
                <w:highlight w:val="none"/>
                <w:lang w:val="zh-CN"/>
              </w:rPr>
            </w:pPr>
          </w:p>
        </w:tc>
        <w:tc>
          <w:tcPr>
            <w:tcW w:w="6897" w:type="dxa"/>
            <w:vAlign w:val="center"/>
          </w:tcPr>
          <w:p>
            <w:pPr>
              <w:pStyle w:val="141"/>
              <w:keepNext w:val="0"/>
              <w:keepLines w:val="0"/>
              <w:pageBreakBefore w:val="0"/>
              <w:widowControl w:val="0"/>
              <w:suppressLineNumbers w:val="0"/>
              <w:kinsoku/>
              <w:wordWrap/>
              <w:overflowPunct/>
              <w:topLinePunct w:val="0"/>
              <w:bidi w:val="0"/>
              <w:spacing w:before="0" w:beforeAutospacing="0" w:after="0" w:afterAutospacing="0" w:line="288" w:lineRule="auto"/>
              <w:ind w:left="0" w:right="0"/>
              <w:textAlignment w:val="auto"/>
              <w:rPr>
                <w:rFonts w:hint="eastAsia" w:ascii="宋体" w:hAnsi="宋体" w:eastAsia="宋体" w:cs="宋体"/>
                <w:color w:val="auto"/>
                <w:kern w:val="2"/>
                <w:sz w:val="22"/>
                <w:szCs w:val="22"/>
                <w:highlight w:val="none"/>
                <w:lang w:val="zh-CN" w:eastAsia="zh-CN"/>
              </w:rPr>
            </w:pPr>
            <w:r>
              <w:rPr>
                <w:rFonts w:hint="eastAsia" w:ascii="宋体" w:hAnsi="宋体" w:eastAsia="宋体" w:cs="宋体"/>
                <w:color w:val="auto"/>
                <w:kern w:val="2"/>
                <w:sz w:val="22"/>
                <w:szCs w:val="22"/>
                <w:highlight w:val="none"/>
                <w:lang w:val="zh-CN" w:eastAsia="zh-CN"/>
              </w:rPr>
              <w:t>非中小企业中标（成交）的：活动结束并经采购人验收合格后，支付全部合同价款。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3" w:type="dxa"/>
            <w:vAlign w:val="center"/>
          </w:tcPr>
          <w:p>
            <w:pPr>
              <w:keepNext w:val="0"/>
              <w:keepLines w:val="0"/>
              <w:pageBreakBefore w:val="0"/>
              <w:widowControl w:val="0"/>
              <w:numPr>
                <w:ilvl w:val="0"/>
                <w:numId w:val="4"/>
              </w:numPr>
              <w:suppressLineNumbers w:val="0"/>
              <w:kinsoku/>
              <w:wordWrap/>
              <w:overflowPunct/>
              <w:topLinePunct w:val="0"/>
              <w:autoSpaceDE w:val="0"/>
              <w:autoSpaceDN w:val="0"/>
              <w:bidi w:val="0"/>
              <w:adjustRightInd w:val="0"/>
              <w:spacing w:before="0" w:beforeAutospacing="0" w:after="0" w:afterAutospacing="0" w:line="288" w:lineRule="auto"/>
              <w:ind w:left="454" w:leftChars="0" w:right="0" w:hanging="248" w:firstLineChars="0"/>
              <w:jc w:val="center"/>
              <w:textAlignment w:val="auto"/>
              <w:rPr>
                <w:rFonts w:hint="eastAsia" w:ascii="宋体" w:hAnsi="宋体" w:eastAsia="宋体" w:cs="宋体"/>
                <w:bCs/>
                <w:color w:val="auto"/>
                <w:sz w:val="22"/>
                <w:szCs w:val="22"/>
                <w:highlight w:val="none"/>
                <w:lang w:val="en-US" w:eastAsia="zh-CN"/>
              </w:rPr>
            </w:pPr>
          </w:p>
        </w:tc>
        <w:tc>
          <w:tcPr>
            <w:tcW w:w="2279" w:type="dxa"/>
            <w:vAlign w:val="center"/>
          </w:tcPr>
          <w:p>
            <w:pPr>
              <w:keepNext w:val="0"/>
              <w:keepLines w:val="0"/>
              <w:pageBreakBefore w:val="0"/>
              <w:widowControl w:val="0"/>
              <w:suppressLineNumbers w:val="0"/>
              <w:kinsoku/>
              <w:wordWrap/>
              <w:overflowPunct/>
              <w:topLinePunct w:val="0"/>
              <w:bidi w:val="0"/>
              <w:spacing w:before="0" w:beforeAutospacing="0" w:after="0" w:afterAutospacing="0" w:line="288" w:lineRule="auto"/>
              <w:ind w:left="0" w:right="0"/>
              <w:jc w:val="center"/>
              <w:textAlignment w:val="auto"/>
              <w:rPr>
                <w:rFonts w:hint="eastAsia" w:ascii="宋体" w:hAnsi="宋体" w:eastAsia="宋体" w:cs="宋体"/>
                <w:bCs/>
                <w:color w:val="auto"/>
                <w:kern w:val="15"/>
                <w:sz w:val="22"/>
                <w:szCs w:val="22"/>
                <w:highlight w:val="none"/>
                <w:lang w:val="zh-CN"/>
              </w:rPr>
            </w:pPr>
            <w:r>
              <w:rPr>
                <w:rFonts w:hint="eastAsia" w:ascii="宋体" w:hAnsi="宋体" w:eastAsia="宋体" w:cs="宋体"/>
                <w:bCs/>
                <w:color w:val="auto"/>
                <w:kern w:val="15"/>
                <w:sz w:val="22"/>
                <w:szCs w:val="22"/>
                <w:highlight w:val="none"/>
                <w:lang w:val="zh-CN"/>
              </w:rPr>
              <w:t>支付方式</w:t>
            </w:r>
          </w:p>
        </w:tc>
        <w:tc>
          <w:tcPr>
            <w:tcW w:w="6897" w:type="dxa"/>
            <w:vAlign w:val="center"/>
          </w:tcPr>
          <w:p>
            <w:pPr>
              <w:pStyle w:val="141"/>
              <w:keepNext w:val="0"/>
              <w:keepLines w:val="0"/>
              <w:pageBreakBefore w:val="0"/>
              <w:widowControl w:val="0"/>
              <w:suppressLineNumbers w:val="0"/>
              <w:kinsoku/>
              <w:wordWrap/>
              <w:overflowPunct/>
              <w:topLinePunct w:val="0"/>
              <w:bidi w:val="0"/>
              <w:spacing w:before="0" w:beforeAutospacing="0" w:after="0" w:afterAutospacing="0" w:line="288" w:lineRule="auto"/>
              <w:ind w:left="0" w:right="0"/>
              <w:textAlignment w:val="auto"/>
              <w:rPr>
                <w:rFonts w:hint="eastAsia" w:ascii="宋体" w:hAnsi="宋体" w:eastAsia="宋体" w:cs="宋体"/>
                <w:color w:val="auto"/>
                <w:kern w:val="2"/>
                <w:sz w:val="22"/>
                <w:szCs w:val="22"/>
                <w:highlight w:val="none"/>
                <w:lang w:val="zh-CN" w:eastAsia="zh-CN"/>
              </w:rPr>
            </w:pPr>
            <w:r>
              <w:rPr>
                <w:rFonts w:hint="eastAsia" w:ascii="宋体" w:hAnsi="宋体" w:eastAsia="宋体" w:cs="宋体"/>
                <w:color w:val="auto"/>
                <w:kern w:val="2"/>
                <w:sz w:val="22"/>
                <w:szCs w:val="22"/>
                <w:highlight w:val="none"/>
                <w:lang w:val="zh-CN" w:eastAsia="zh-CN"/>
              </w:rPr>
              <w:t>本项目合同款通过国库集中支付，采购人按约定的付款时间向长春市财政局提出资金支付申请，则视同采购人已履行了合同付款义务。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3" w:type="dxa"/>
            <w:vMerge w:val="restart"/>
            <w:vAlign w:val="center"/>
          </w:tcPr>
          <w:p>
            <w:pPr>
              <w:keepNext w:val="0"/>
              <w:keepLines w:val="0"/>
              <w:pageBreakBefore w:val="0"/>
              <w:widowControl w:val="0"/>
              <w:numPr>
                <w:ilvl w:val="0"/>
                <w:numId w:val="4"/>
              </w:numPr>
              <w:suppressLineNumbers w:val="0"/>
              <w:kinsoku/>
              <w:wordWrap/>
              <w:overflowPunct/>
              <w:topLinePunct w:val="0"/>
              <w:autoSpaceDE w:val="0"/>
              <w:autoSpaceDN w:val="0"/>
              <w:bidi w:val="0"/>
              <w:adjustRightInd w:val="0"/>
              <w:spacing w:before="0" w:beforeAutospacing="0" w:after="0" w:afterAutospacing="0" w:line="288" w:lineRule="auto"/>
              <w:ind w:left="454" w:leftChars="0" w:right="0" w:hanging="248" w:firstLineChars="0"/>
              <w:jc w:val="center"/>
              <w:textAlignment w:val="auto"/>
              <w:rPr>
                <w:rFonts w:hint="eastAsia" w:ascii="宋体" w:hAnsi="宋体" w:eastAsia="宋体" w:cs="宋体"/>
                <w:bCs/>
                <w:color w:val="auto"/>
                <w:sz w:val="22"/>
                <w:szCs w:val="22"/>
                <w:highlight w:val="none"/>
                <w:lang w:val="en-US" w:eastAsia="zh-CN"/>
              </w:rPr>
            </w:pPr>
          </w:p>
        </w:tc>
        <w:tc>
          <w:tcPr>
            <w:tcW w:w="2279" w:type="dxa"/>
            <w:vMerge w:val="restart"/>
            <w:vAlign w:val="center"/>
          </w:tcPr>
          <w:p>
            <w:pPr>
              <w:keepNext w:val="0"/>
              <w:keepLines w:val="0"/>
              <w:pageBreakBefore w:val="0"/>
              <w:widowControl w:val="0"/>
              <w:suppressLineNumbers w:val="0"/>
              <w:kinsoku/>
              <w:wordWrap/>
              <w:overflowPunct/>
              <w:topLinePunct w:val="0"/>
              <w:bidi w:val="0"/>
              <w:spacing w:before="0" w:beforeAutospacing="0" w:after="0" w:afterAutospacing="0" w:line="288" w:lineRule="auto"/>
              <w:ind w:left="0" w:right="0"/>
              <w:jc w:val="center"/>
              <w:textAlignment w:val="auto"/>
              <w:rPr>
                <w:rFonts w:hint="eastAsia" w:ascii="宋体" w:hAnsi="宋体" w:eastAsia="宋体" w:cs="宋体"/>
                <w:bCs/>
                <w:color w:val="auto"/>
                <w:kern w:val="15"/>
                <w:sz w:val="22"/>
                <w:szCs w:val="22"/>
                <w:highlight w:val="none"/>
                <w:lang w:val="en-US" w:eastAsia="zh-CN"/>
              </w:rPr>
            </w:pPr>
            <w:r>
              <w:rPr>
                <w:rFonts w:hint="eastAsia" w:ascii="宋体" w:hAnsi="宋体" w:eastAsia="宋体" w:cs="宋体"/>
                <w:bCs/>
                <w:color w:val="auto"/>
                <w:kern w:val="15"/>
                <w:sz w:val="22"/>
                <w:szCs w:val="22"/>
                <w:highlight w:val="none"/>
                <w:lang w:val="zh-CN"/>
              </w:rPr>
              <w:t>履约保证金数额</w:t>
            </w:r>
          </w:p>
        </w:tc>
        <w:tc>
          <w:tcPr>
            <w:tcW w:w="6897" w:type="dxa"/>
            <w:vAlign w:val="center"/>
          </w:tcPr>
          <w:p>
            <w:pPr>
              <w:pStyle w:val="141"/>
              <w:keepNext w:val="0"/>
              <w:keepLines w:val="0"/>
              <w:pageBreakBefore w:val="0"/>
              <w:widowControl w:val="0"/>
              <w:suppressLineNumbers w:val="0"/>
              <w:kinsoku/>
              <w:wordWrap/>
              <w:overflowPunct/>
              <w:topLinePunct w:val="0"/>
              <w:bidi w:val="0"/>
              <w:spacing w:before="0" w:beforeAutospacing="0" w:after="0" w:afterAutospacing="0" w:line="288" w:lineRule="auto"/>
              <w:ind w:left="0" w:right="0"/>
              <w:textAlignment w:val="auto"/>
              <w:rPr>
                <w:rFonts w:hint="eastAsia" w:ascii="宋体" w:hAnsi="宋体" w:eastAsia="宋体" w:cs="宋体"/>
                <w:color w:val="auto"/>
                <w:kern w:val="2"/>
                <w:sz w:val="22"/>
                <w:szCs w:val="22"/>
                <w:highlight w:val="none"/>
                <w:lang w:val="en-US" w:eastAsia="zh-CN"/>
              </w:rPr>
            </w:pPr>
            <w:r>
              <w:rPr>
                <w:rFonts w:hint="eastAsia" w:ascii="宋体" w:hAnsi="宋体" w:eastAsia="宋体" w:cs="宋体"/>
                <w:color w:val="auto"/>
                <w:kern w:val="2"/>
                <w:sz w:val="22"/>
                <w:szCs w:val="22"/>
                <w:highlight w:val="none"/>
                <w:lang w:val="zh-CN" w:eastAsia="zh-CN"/>
              </w:rPr>
              <w:t>中小企业中标（成交）的：中标（成交）金额的2%。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3" w:type="dxa"/>
            <w:vMerge w:val="continue"/>
            <w:vAlign w:val="center"/>
          </w:tcPr>
          <w:p>
            <w:pPr>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288" w:lineRule="auto"/>
              <w:ind w:left="454" w:leftChars="0" w:right="0" w:hanging="248" w:firstLineChars="0"/>
              <w:jc w:val="center"/>
              <w:textAlignment w:val="auto"/>
              <w:rPr>
                <w:rFonts w:hint="eastAsia" w:ascii="宋体" w:hAnsi="宋体" w:eastAsia="宋体" w:cs="宋体"/>
                <w:bCs/>
                <w:color w:val="auto"/>
                <w:sz w:val="22"/>
                <w:szCs w:val="22"/>
                <w:highlight w:val="none"/>
                <w:lang w:val="en-US" w:eastAsia="zh-CN"/>
              </w:rPr>
            </w:pPr>
          </w:p>
        </w:tc>
        <w:tc>
          <w:tcPr>
            <w:tcW w:w="2279" w:type="dxa"/>
            <w:vMerge w:val="continue"/>
            <w:vAlign w:val="center"/>
          </w:tcPr>
          <w:p>
            <w:pPr>
              <w:keepNext w:val="0"/>
              <w:keepLines w:val="0"/>
              <w:pageBreakBefore w:val="0"/>
              <w:widowControl w:val="0"/>
              <w:suppressLineNumbers w:val="0"/>
              <w:kinsoku/>
              <w:wordWrap/>
              <w:overflowPunct/>
              <w:topLinePunct w:val="0"/>
              <w:bidi w:val="0"/>
              <w:spacing w:before="0" w:beforeAutospacing="0" w:after="0" w:afterAutospacing="0" w:line="288" w:lineRule="auto"/>
              <w:ind w:left="0" w:right="0"/>
              <w:jc w:val="center"/>
              <w:textAlignment w:val="auto"/>
              <w:rPr>
                <w:rFonts w:hint="eastAsia" w:ascii="宋体" w:hAnsi="宋体" w:eastAsia="宋体" w:cs="宋体"/>
                <w:bCs/>
                <w:color w:val="auto"/>
                <w:kern w:val="15"/>
                <w:sz w:val="22"/>
                <w:szCs w:val="22"/>
                <w:highlight w:val="none"/>
                <w:lang w:val="en-US" w:eastAsia="zh-CN"/>
              </w:rPr>
            </w:pPr>
          </w:p>
        </w:tc>
        <w:tc>
          <w:tcPr>
            <w:tcW w:w="6897" w:type="dxa"/>
            <w:vAlign w:val="center"/>
          </w:tcPr>
          <w:p>
            <w:pPr>
              <w:pStyle w:val="141"/>
              <w:keepNext w:val="0"/>
              <w:keepLines w:val="0"/>
              <w:pageBreakBefore w:val="0"/>
              <w:widowControl w:val="0"/>
              <w:suppressLineNumbers w:val="0"/>
              <w:kinsoku/>
              <w:wordWrap/>
              <w:overflowPunct/>
              <w:topLinePunct w:val="0"/>
              <w:bidi w:val="0"/>
              <w:spacing w:before="0" w:beforeAutospacing="0" w:after="0" w:afterAutospacing="0" w:line="288" w:lineRule="auto"/>
              <w:ind w:left="0" w:right="0"/>
              <w:textAlignment w:val="auto"/>
              <w:rPr>
                <w:rFonts w:hint="eastAsia" w:ascii="宋体" w:hAnsi="宋体" w:eastAsia="宋体" w:cs="宋体"/>
                <w:color w:val="auto"/>
                <w:kern w:val="2"/>
                <w:sz w:val="22"/>
                <w:szCs w:val="22"/>
                <w:highlight w:val="none"/>
                <w:lang w:val="en-US" w:eastAsia="zh-CN"/>
              </w:rPr>
            </w:pPr>
            <w:r>
              <w:rPr>
                <w:rFonts w:hint="eastAsia" w:ascii="宋体" w:hAnsi="宋体" w:eastAsia="宋体" w:cs="宋体"/>
                <w:color w:val="auto"/>
                <w:kern w:val="2"/>
                <w:sz w:val="22"/>
                <w:szCs w:val="22"/>
                <w:highlight w:val="none"/>
                <w:lang w:val="zh-CN" w:eastAsia="zh-CN"/>
              </w:rPr>
              <w:t>非中小企业中标（成交）的：中标（成交）金额的5%。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3" w:type="dxa"/>
            <w:vAlign w:val="center"/>
          </w:tcPr>
          <w:p>
            <w:pPr>
              <w:keepNext w:val="0"/>
              <w:keepLines w:val="0"/>
              <w:pageBreakBefore w:val="0"/>
              <w:widowControl w:val="0"/>
              <w:numPr>
                <w:ilvl w:val="0"/>
                <w:numId w:val="4"/>
              </w:numPr>
              <w:suppressLineNumbers w:val="0"/>
              <w:kinsoku/>
              <w:wordWrap/>
              <w:overflowPunct/>
              <w:topLinePunct w:val="0"/>
              <w:autoSpaceDE w:val="0"/>
              <w:autoSpaceDN w:val="0"/>
              <w:bidi w:val="0"/>
              <w:adjustRightInd w:val="0"/>
              <w:spacing w:before="0" w:beforeAutospacing="0" w:after="0" w:afterAutospacing="0" w:line="288" w:lineRule="auto"/>
              <w:ind w:left="454" w:leftChars="0" w:right="0" w:hanging="248" w:firstLineChars="0"/>
              <w:jc w:val="center"/>
              <w:textAlignment w:val="auto"/>
              <w:rPr>
                <w:rFonts w:hint="eastAsia" w:ascii="宋体" w:hAnsi="宋体" w:eastAsia="宋体" w:cs="宋体"/>
                <w:bCs/>
                <w:color w:val="auto"/>
                <w:sz w:val="22"/>
                <w:szCs w:val="22"/>
                <w:highlight w:val="none"/>
                <w:lang w:val="en-US" w:eastAsia="zh-CN"/>
              </w:rPr>
            </w:pPr>
          </w:p>
        </w:tc>
        <w:tc>
          <w:tcPr>
            <w:tcW w:w="2279" w:type="dxa"/>
            <w:vAlign w:val="center"/>
          </w:tcPr>
          <w:p>
            <w:pPr>
              <w:keepNext w:val="0"/>
              <w:keepLines w:val="0"/>
              <w:pageBreakBefore w:val="0"/>
              <w:widowControl w:val="0"/>
              <w:suppressLineNumbers w:val="0"/>
              <w:kinsoku/>
              <w:wordWrap/>
              <w:overflowPunct/>
              <w:topLinePunct w:val="0"/>
              <w:bidi w:val="0"/>
              <w:spacing w:before="0" w:beforeAutospacing="0" w:after="0" w:afterAutospacing="0" w:line="288" w:lineRule="auto"/>
              <w:ind w:left="0" w:right="0"/>
              <w:jc w:val="center"/>
              <w:textAlignment w:val="auto"/>
              <w:rPr>
                <w:rFonts w:hint="eastAsia" w:ascii="宋体" w:hAnsi="宋体" w:eastAsia="宋体" w:cs="宋体"/>
                <w:bCs/>
                <w:color w:val="auto"/>
                <w:kern w:val="15"/>
                <w:sz w:val="22"/>
                <w:szCs w:val="22"/>
                <w:highlight w:val="none"/>
                <w:lang w:val="zh-CN"/>
              </w:rPr>
            </w:pPr>
            <w:r>
              <w:rPr>
                <w:rFonts w:hint="eastAsia" w:ascii="宋体" w:hAnsi="宋体" w:eastAsia="宋体" w:cs="宋体"/>
                <w:bCs/>
                <w:color w:val="auto"/>
                <w:kern w:val="15"/>
                <w:sz w:val="22"/>
                <w:szCs w:val="22"/>
                <w:highlight w:val="none"/>
                <w:lang w:val="zh-CN"/>
              </w:rPr>
              <w:t>履约管理与违约责任</w:t>
            </w:r>
          </w:p>
        </w:tc>
        <w:tc>
          <w:tcPr>
            <w:tcW w:w="6897" w:type="dxa"/>
            <w:vAlign w:val="center"/>
          </w:tcPr>
          <w:p>
            <w:pPr>
              <w:pStyle w:val="141"/>
              <w:keepNext w:val="0"/>
              <w:keepLines w:val="0"/>
              <w:pageBreakBefore w:val="0"/>
              <w:widowControl w:val="0"/>
              <w:suppressLineNumbers w:val="0"/>
              <w:kinsoku/>
              <w:wordWrap/>
              <w:overflowPunct/>
              <w:topLinePunct w:val="0"/>
              <w:bidi w:val="0"/>
              <w:spacing w:before="0" w:beforeAutospacing="0" w:after="0" w:afterAutospacing="0" w:line="288" w:lineRule="auto"/>
              <w:ind w:left="0" w:right="0"/>
              <w:textAlignment w:val="auto"/>
              <w:rPr>
                <w:rFonts w:hint="eastAsia" w:ascii="宋体" w:hAnsi="宋体" w:eastAsia="宋体" w:cs="宋体"/>
                <w:color w:val="auto"/>
                <w:kern w:val="2"/>
                <w:sz w:val="22"/>
                <w:szCs w:val="22"/>
                <w:highlight w:val="none"/>
                <w:lang w:val="zh-CN" w:eastAsia="zh-CN"/>
              </w:rPr>
            </w:pPr>
            <w:r>
              <w:rPr>
                <w:rFonts w:hint="eastAsia" w:ascii="宋体" w:hAnsi="宋体" w:eastAsia="宋体" w:cs="宋体"/>
                <w:color w:val="auto"/>
                <w:kern w:val="2"/>
                <w:sz w:val="22"/>
                <w:szCs w:val="22"/>
                <w:highlight w:val="none"/>
                <w:lang w:val="zh-CN" w:eastAsia="zh-CN"/>
              </w:rPr>
              <w:t>1.供应商未能按照采购需求履约，采购人有权责令供应商按采购需求进行限期整改，如整改后仍不符合采购需求，可最高扣除相应不符合要求部分的100%费用；如供应商拒不整改，影响活动正常开展的，采购人有权立即解除合同，追回已支付合同价款，并保留追究供应商责任的权利。</w:t>
            </w:r>
          </w:p>
          <w:p>
            <w:pPr>
              <w:pStyle w:val="141"/>
              <w:keepNext w:val="0"/>
              <w:keepLines w:val="0"/>
              <w:pageBreakBefore w:val="0"/>
              <w:widowControl w:val="0"/>
              <w:suppressLineNumbers w:val="0"/>
              <w:kinsoku/>
              <w:wordWrap/>
              <w:overflowPunct/>
              <w:topLinePunct w:val="0"/>
              <w:bidi w:val="0"/>
              <w:spacing w:before="0" w:beforeAutospacing="0" w:after="0" w:afterAutospacing="0" w:line="288" w:lineRule="auto"/>
              <w:ind w:left="0" w:right="0"/>
              <w:textAlignment w:val="auto"/>
              <w:rPr>
                <w:rFonts w:hint="eastAsia" w:ascii="宋体" w:hAnsi="宋体" w:eastAsia="宋体" w:cs="宋体"/>
                <w:color w:val="auto"/>
                <w:kern w:val="2"/>
                <w:sz w:val="22"/>
                <w:szCs w:val="22"/>
                <w:highlight w:val="none"/>
                <w:lang w:val="zh-CN" w:eastAsia="zh-CN"/>
              </w:rPr>
            </w:pPr>
            <w:r>
              <w:rPr>
                <w:rFonts w:hint="eastAsia" w:ascii="宋体" w:hAnsi="宋体" w:eastAsia="宋体" w:cs="宋体"/>
                <w:color w:val="auto"/>
                <w:kern w:val="2"/>
                <w:sz w:val="22"/>
                <w:szCs w:val="22"/>
                <w:highlight w:val="none"/>
                <w:lang w:val="zh-CN" w:eastAsia="zh-CN"/>
              </w:rPr>
              <w:t>2.由于供应商的原因造成财产损失或人员伤害的，由供应商承担全部责任。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3" w:type="dxa"/>
            <w:vAlign w:val="center"/>
          </w:tcPr>
          <w:p>
            <w:pPr>
              <w:keepNext w:val="0"/>
              <w:keepLines w:val="0"/>
              <w:pageBreakBefore w:val="0"/>
              <w:widowControl w:val="0"/>
              <w:numPr>
                <w:ilvl w:val="0"/>
                <w:numId w:val="4"/>
              </w:numPr>
              <w:suppressLineNumbers w:val="0"/>
              <w:kinsoku/>
              <w:wordWrap/>
              <w:overflowPunct/>
              <w:topLinePunct w:val="0"/>
              <w:autoSpaceDE w:val="0"/>
              <w:autoSpaceDN w:val="0"/>
              <w:bidi w:val="0"/>
              <w:adjustRightInd w:val="0"/>
              <w:spacing w:before="0" w:beforeAutospacing="0" w:after="0" w:afterAutospacing="0" w:line="288" w:lineRule="auto"/>
              <w:ind w:left="454" w:leftChars="0" w:right="0" w:hanging="248" w:firstLineChars="0"/>
              <w:jc w:val="center"/>
              <w:textAlignment w:val="auto"/>
              <w:rPr>
                <w:rFonts w:hint="eastAsia" w:ascii="宋体" w:hAnsi="宋体" w:eastAsia="宋体" w:cs="宋体"/>
                <w:bCs/>
                <w:color w:val="auto"/>
                <w:sz w:val="22"/>
                <w:szCs w:val="22"/>
                <w:highlight w:val="none"/>
                <w:lang w:val="en-US" w:eastAsia="zh-CN"/>
              </w:rPr>
            </w:pPr>
          </w:p>
        </w:tc>
        <w:tc>
          <w:tcPr>
            <w:tcW w:w="2279" w:type="dxa"/>
            <w:vAlign w:val="center"/>
          </w:tcPr>
          <w:p>
            <w:pPr>
              <w:keepNext w:val="0"/>
              <w:keepLines w:val="0"/>
              <w:pageBreakBefore w:val="0"/>
              <w:widowControl w:val="0"/>
              <w:suppressLineNumbers w:val="0"/>
              <w:kinsoku/>
              <w:wordWrap/>
              <w:overflowPunct/>
              <w:topLinePunct w:val="0"/>
              <w:bidi w:val="0"/>
              <w:spacing w:before="0" w:beforeAutospacing="0" w:after="0" w:afterAutospacing="0" w:line="288" w:lineRule="auto"/>
              <w:ind w:left="0" w:right="0"/>
              <w:jc w:val="center"/>
              <w:textAlignment w:val="auto"/>
              <w:rPr>
                <w:rFonts w:hint="eastAsia" w:ascii="宋体" w:hAnsi="宋体" w:eastAsia="宋体" w:cs="宋体"/>
                <w:bCs/>
                <w:color w:val="auto"/>
                <w:kern w:val="15"/>
                <w:sz w:val="22"/>
                <w:szCs w:val="22"/>
                <w:highlight w:val="none"/>
                <w:lang w:val="zh-CN"/>
              </w:rPr>
            </w:pPr>
            <w:r>
              <w:rPr>
                <w:rFonts w:hint="eastAsia" w:ascii="宋体" w:hAnsi="宋体" w:eastAsia="宋体" w:cs="宋体"/>
                <w:bCs/>
                <w:color w:val="auto"/>
                <w:kern w:val="15"/>
                <w:sz w:val="22"/>
                <w:szCs w:val="22"/>
                <w:highlight w:val="none"/>
                <w:lang w:val="zh-CN"/>
              </w:rPr>
              <w:t>验收标准及要求</w:t>
            </w:r>
          </w:p>
        </w:tc>
        <w:tc>
          <w:tcPr>
            <w:tcW w:w="6897" w:type="dxa"/>
            <w:vAlign w:val="center"/>
          </w:tcPr>
          <w:p>
            <w:pPr>
              <w:pStyle w:val="141"/>
              <w:keepNext w:val="0"/>
              <w:keepLines w:val="0"/>
              <w:pageBreakBefore w:val="0"/>
              <w:widowControl w:val="0"/>
              <w:suppressLineNumbers w:val="0"/>
              <w:kinsoku/>
              <w:wordWrap/>
              <w:overflowPunct/>
              <w:topLinePunct w:val="0"/>
              <w:bidi w:val="0"/>
              <w:spacing w:before="0" w:beforeAutospacing="0" w:after="0" w:afterAutospacing="0" w:line="288" w:lineRule="auto"/>
              <w:ind w:left="0" w:right="0"/>
              <w:textAlignment w:val="auto"/>
              <w:rPr>
                <w:rFonts w:hint="eastAsia" w:ascii="宋体" w:hAnsi="宋体" w:eastAsia="宋体" w:cs="宋体"/>
                <w:color w:val="auto"/>
                <w:kern w:val="2"/>
                <w:sz w:val="22"/>
                <w:szCs w:val="22"/>
                <w:highlight w:val="none"/>
                <w:lang w:val="zh-CN" w:eastAsia="zh-CN"/>
              </w:rPr>
            </w:pPr>
            <w:r>
              <w:rPr>
                <w:rFonts w:hint="eastAsia" w:ascii="宋体" w:hAnsi="宋体" w:eastAsia="宋体" w:cs="宋体"/>
                <w:color w:val="auto"/>
                <w:kern w:val="2"/>
                <w:sz w:val="22"/>
                <w:szCs w:val="22"/>
                <w:highlight w:val="none"/>
                <w:lang w:val="zh-CN" w:eastAsia="zh-CN"/>
              </w:rPr>
              <w:t>根据采购需求验收，供应商应在活动结束后向采购人提供履约验收材料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3" w:type="dxa"/>
            <w:vAlign w:val="center"/>
          </w:tcPr>
          <w:p>
            <w:pPr>
              <w:keepNext w:val="0"/>
              <w:keepLines w:val="0"/>
              <w:pageBreakBefore w:val="0"/>
              <w:widowControl w:val="0"/>
              <w:numPr>
                <w:ilvl w:val="0"/>
                <w:numId w:val="4"/>
              </w:numPr>
              <w:suppressLineNumbers w:val="0"/>
              <w:kinsoku/>
              <w:wordWrap/>
              <w:overflowPunct/>
              <w:topLinePunct w:val="0"/>
              <w:autoSpaceDE w:val="0"/>
              <w:autoSpaceDN w:val="0"/>
              <w:bidi w:val="0"/>
              <w:adjustRightInd w:val="0"/>
              <w:spacing w:before="0" w:beforeAutospacing="0" w:after="0" w:afterAutospacing="0" w:line="288" w:lineRule="auto"/>
              <w:ind w:left="454" w:leftChars="0" w:right="0" w:hanging="248" w:firstLineChars="0"/>
              <w:jc w:val="center"/>
              <w:textAlignment w:val="auto"/>
              <w:rPr>
                <w:rFonts w:hint="eastAsia" w:ascii="宋体" w:hAnsi="宋体" w:eastAsia="宋体" w:cs="宋体"/>
                <w:bCs/>
                <w:color w:val="auto"/>
                <w:sz w:val="22"/>
                <w:szCs w:val="22"/>
                <w:highlight w:val="none"/>
                <w:lang w:val="en-US" w:eastAsia="zh-CN"/>
              </w:rPr>
            </w:pPr>
          </w:p>
        </w:tc>
        <w:tc>
          <w:tcPr>
            <w:tcW w:w="2279" w:type="dxa"/>
            <w:vAlign w:val="center"/>
          </w:tcPr>
          <w:p>
            <w:pPr>
              <w:keepNext w:val="0"/>
              <w:keepLines w:val="0"/>
              <w:pageBreakBefore w:val="0"/>
              <w:widowControl w:val="0"/>
              <w:suppressLineNumbers w:val="0"/>
              <w:kinsoku/>
              <w:wordWrap/>
              <w:overflowPunct/>
              <w:topLinePunct w:val="0"/>
              <w:bidi w:val="0"/>
              <w:spacing w:before="0" w:beforeAutospacing="0" w:after="0" w:afterAutospacing="0" w:line="288" w:lineRule="auto"/>
              <w:ind w:left="0" w:right="0"/>
              <w:jc w:val="center"/>
              <w:textAlignment w:val="auto"/>
              <w:rPr>
                <w:rFonts w:hint="eastAsia" w:ascii="宋体" w:hAnsi="宋体" w:eastAsia="宋体" w:cs="宋体"/>
                <w:bCs/>
                <w:color w:val="auto"/>
                <w:kern w:val="15"/>
                <w:sz w:val="22"/>
                <w:szCs w:val="22"/>
                <w:highlight w:val="none"/>
                <w:lang w:val="zh-CN"/>
              </w:rPr>
            </w:pPr>
            <w:r>
              <w:rPr>
                <w:rFonts w:hint="eastAsia" w:ascii="宋体" w:hAnsi="宋体" w:eastAsia="宋体" w:cs="宋体"/>
                <w:bCs/>
                <w:color w:val="auto"/>
                <w:kern w:val="15"/>
                <w:sz w:val="22"/>
                <w:szCs w:val="22"/>
                <w:highlight w:val="none"/>
                <w:lang w:val="zh-CN"/>
              </w:rPr>
              <w:t>采购代理服务费</w:t>
            </w:r>
          </w:p>
        </w:tc>
        <w:tc>
          <w:tcPr>
            <w:tcW w:w="6897" w:type="dxa"/>
          </w:tcPr>
          <w:p>
            <w:pPr>
              <w:pStyle w:val="141"/>
              <w:keepNext w:val="0"/>
              <w:keepLines w:val="0"/>
              <w:pageBreakBefore w:val="0"/>
              <w:widowControl w:val="0"/>
              <w:suppressLineNumbers w:val="0"/>
              <w:kinsoku/>
              <w:wordWrap/>
              <w:overflowPunct/>
              <w:topLinePunct w:val="0"/>
              <w:bidi w:val="0"/>
              <w:spacing w:before="0" w:beforeAutospacing="0" w:after="0" w:afterAutospacing="0" w:line="288" w:lineRule="auto"/>
              <w:ind w:left="0" w:right="0"/>
              <w:textAlignment w:val="auto"/>
              <w:rPr>
                <w:rFonts w:hint="eastAsia" w:ascii="宋体" w:hAnsi="宋体" w:eastAsia="宋体" w:cs="宋体"/>
                <w:color w:val="auto"/>
                <w:kern w:val="2"/>
                <w:sz w:val="22"/>
                <w:szCs w:val="22"/>
                <w:highlight w:val="none"/>
                <w:lang w:val="zh-CN" w:eastAsia="zh-CN"/>
              </w:rPr>
            </w:pPr>
            <w:r>
              <w:rPr>
                <w:rFonts w:hint="eastAsia" w:ascii="宋体" w:hAnsi="宋体" w:eastAsia="宋体" w:cs="宋体"/>
                <w:color w:val="auto"/>
                <w:kern w:val="2"/>
                <w:sz w:val="22"/>
                <w:szCs w:val="22"/>
                <w:highlight w:val="none"/>
                <w:lang w:val="zh-CN" w:eastAsia="zh-CN"/>
              </w:rPr>
              <w:t>执行发改价格[2015]299号文件收取招标代理服务费,由中标单位支付</w:t>
            </w:r>
          </w:p>
        </w:tc>
      </w:tr>
    </w:tbl>
    <w:p>
      <w:pPr>
        <w:spacing w:line="400" w:lineRule="exact"/>
        <w:jc w:val="center"/>
        <w:rPr>
          <w:rStyle w:val="64"/>
          <w:rFonts w:ascii="宋体" w:hAnsi="宋体" w:cs="宋体"/>
          <w:color w:val="auto"/>
          <w:highlight w:val="none"/>
        </w:rPr>
      </w:pPr>
      <w:bookmarkStart w:id="18" w:name="_Toc19175"/>
      <w:bookmarkStart w:id="19" w:name="_Toc17194"/>
      <w:r>
        <w:rPr>
          <w:rStyle w:val="64"/>
          <w:rFonts w:hint="eastAsia" w:ascii="宋体" w:hAnsi="宋体" w:cs="宋体"/>
          <w:color w:val="auto"/>
          <w:sz w:val="36"/>
          <w:highlight w:val="none"/>
        </w:rPr>
        <w:br w:type="page"/>
      </w:r>
      <w:bookmarkStart w:id="20" w:name="_Toc18368"/>
      <w:bookmarkStart w:id="21" w:name="_Toc22669"/>
      <w:bookmarkStart w:id="22" w:name="_Toc10249"/>
      <w:bookmarkStart w:id="23" w:name="_Toc7489"/>
      <w:bookmarkStart w:id="24" w:name="_Toc29454"/>
      <w:bookmarkStart w:id="25" w:name="_Toc15556"/>
      <w:bookmarkStart w:id="26" w:name="_Toc7225"/>
      <w:bookmarkStart w:id="27" w:name="_Toc17759"/>
      <w:bookmarkStart w:id="28" w:name="_Toc14443"/>
      <w:bookmarkStart w:id="29" w:name="_Toc3286"/>
      <w:bookmarkStart w:id="30" w:name="_Toc20165"/>
      <w:bookmarkStart w:id="31" w:name="_Toc10317"/>
      <w:bookmarkStart w:id="32" w:name="_Toc30584"/>
      <w:r>
        <w:rPr>
          <w:rStyle w:val="64"/>
          <w:rFonts w:hint="eastAsia" w:ascii="宋体" w:hAnsi="宋体" w:cs="宋体"/>
          <w:color w:val="auto"/>
          <w:sz w:val="36"/>
          <w:highlight w:val="none"/>
        </w:rPr>
        <w:t>供应商须知</w:t>
      </w:r>
    </w:p>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p>
      <w:pPr>
        <w:adjustRightInd w:val="0"/>
        <w:snapToGrid w:val="0"/>
        <w:spacing w:line="500" w:lineRule="exact"/>
        <w:jc w:val="center"/>
        <w:rPr>
          <w:rFonts w:ascii="宋体" w:hAnsi="宋体" w:cs="宋体"/>
          <w:b/>
          <w:bCs/>
          <w:color w:val="auto"/>
          <w:kern w:val="44"/>
          <w:sz w:val="21"/>
          <w:szCs w:val="21"/>
          <w:highlight w:val="none"/>
        </w:rPr>
      </w:pPr>
      <w:r>
        <w:rPr>
          <w:rFonts w:hint="eastAsia" w:ascii="宋体" w:hAnsi="宋体" w:cs="宋体"/>
          <w:b/>
          <w:bCs/>
          <w:color w:val="auto"/>
          <w:kern w:val="44"/>
          <w:sz w:val="21"/>
          <w:szCs w:val="21"/>
          <w:highlight w:val="none"/>
        </w:rPr>
        <w:t>一、  总   则</w:t>
      </w:r>
    </w:p>
    <w:p>
      <w:pPr>
        <w:keepNext w:val="0"/>
        <w:keepLines w:val="0"/>
        <w:pageBreakBefore w:val="0"/>
        <w:widowControl w:val="0"/>
        <w:kinsoku/>
        <w:wordWrap/>
        <w:overflowPunct/>
        <w:topLinePunct w:val="0"/>
        <w:autoSpaceDE w:val="0"/>
        <w:autoSpaceDN w:val="0"/>
        <w:bidi w:val="0"/>
        <w:adjustRightInd w:val="0"/>
        <w:snapToGrid/>
        <w:spacing w:line="460" w:lineRule="exact"/>
        <w:textAlignment w:val="auto"/>
        <w:rPr>
          <w:rFonts w:ascii="宋体" w:hAnsi="宋体" w:cs="宋体"/>
          <w:color w:val="auto"/>
          <w:sz w:val="21"/>
          <w:szCs w:val="21"/>
          <w:highlight w:val="none"/>
          <w:lang w:val="zh-CN"/>
        </w:rPr>
      </w:pPr>
      <w:r>
        <w:rPr>
          <w:rFonts w:hint="eastAsia" w:ascii="宋体" w:hAnsi="宋体" w:cs="宋体"/>
          <w:b/>
          <w:color w:val="auto"/>
          <w:sz w:val="21"/>
          <w:szCs w:val="21"/>
          <w:highlight w:val="none"/>
          <w:lang w:val="zh-CN"/>
        </w:rPr>
        <w:t>1．适用法律：</w:t>
      </w:r>
      <w:r>
        <w:rPr>
          <w:rFonts w:hint="eastAsia" w:ascii="宋体" w:hAnsi="宋体" w:cs="宋体"/>
          <w:color w:val="auto"/>
          <w:sz w:val="21"/>
          <w:szCs w:val="21"/>
          <w:highlight w:val="none"/>
          <w:lang w:val="zh-CN"/>
        </w:rPr>
        <w:t>本次项目适用法律法规为《中华人民共和国招投标法》、《中华人民共和国政府采购法》及其它相关法规。</w:t>
      </w:r>
    </w:p>
    <w:p>
      <w:pPr>
        <w:keepNext w:val="0"/>
        <w:keepLines w:val="0"/>
        <w:pageBreakBefore w:val="0"/>
        <w:widowControl w:val="0"/>
        <w:kinsoku/>
        <w:wordWrap/>
        <w:overflowPunct/>
        <w:topLinePunct w:val="0"/>
        <w:autoSpaceDE w:val="0"/>
        <w:autoSpaceDN w:val="0"/>
        <w:bidi w:val="0"/>
        <w:adjustRightInd w:val="0"/>
        <w:snapToGrid/>
        <w:spacing w:line="460" w:lineRule="exact"/>
        <w:textAlignment w:val="auto"/>
        <w:rPr>
          <w:rFonts w:ascii="宋体" w:hAnsi="宋体" w:cs="宋体"/>
          <w:b/>
          <w:color w:val="auto"/>
          <w:sz w:val="21"/>
          <w:szCs w:val="21"/>
          <w:highlight w:val="none"/>
          <w:lang w:val="zh-CN"/>
        </w:rPr>
      </w:pPr>
      <w:r>
        <w:rPr>
          <w:rFonts w:hint="eastAsia" w:ascii="宋体" w:hAnsi="宋体" w:cs="宋体"/>
          <w:b/>
          <w:color w:val="auto"/>
          <w:sz w:val="21"/>
          <w:szCs w:val="21"/>
          <w:highlight w:val="none"/>
          <w:lang w:val="zh-CN"/>
        </w:rPr>
        <w:t>2．定义：</w:t>
      </w:r>
    </w:p>
    <w:p>
      <w:pPr>
        <w:keepNext w:val="0"/>
        <w:keepLines w:val="0"/>
        <w:pageBreakBefore w:val="0"/>
        <w:widowControl w:val="0"/>
        <w:kinsoku/>
        <w:wordWrap/>
        <w:overflowPunct/>
        <w:topLinePunct w:val="0"/>
        <w:autoSpaceDE w:val="0"/>
        <w:autoSpaceDN w:val="0"/>
        <w:bidi w:val="0"/>
        <w:adjustRightInd w:val="0"/>
        <w:snapToGrid/>
        <w:spacing w:line="460" w:lineRule="exact"/>
        <w:ind w:firstLine="480"/>
        <w:textAlignment w:val="auto"/>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2.</w:t>
      </w:r>
      <w:r>
        <w:rPr>
          <w:rFonts w:hint="eastAsia" w:ascii="宋体" w:hAnsi="宋体" w:cs="宋体"/>
          <w:color w:val="auto"/>
          <w:sz w:val="21"/>
          <w:szCs w:val="21"/>
          <w:highlight w:val="none"/>
        </w:rPr>
        <w:t>1“</w:t>
      </w:r>
      <w:r>
        <w:rPr>
          <w:rFonts w:hint="eastAsia" w:ascii="宋体" w:hAnsi="宋体" w:cs="宋体"/>
          <w:color w:val="auto"/>
          <w:sz w:val="21"/>
          <w:szCs w:val="21"/>
          <w:highlight w:val="none"/>
          <w:lang w:val="zh-CN"/>
        </w:rPr>
        <w:t>采购人</w:t>
      </w:r>
      <w:r>
        <w:rPr>
          <w:rFonts w:hint="eastAsia" w:ascii="宋体" w:hAnsi="宋体" w:cs="宋体"/>
          <w:color w:val="auto"/>
          <w:sz w:val="21"/>
          <w:szCs w:val="21"/>
          <w:highlight w:val="none"/>
        </w:rPr>
        <w:t>”</w:t>
      </w:r>
      <w:r>
        <w:rPr>
          <w:rFonts w:hint="eastAsia" w:ascii="宋体" w:hAnsi="宋体" w:cs="宋体"/>
          <w:color w:val="auto"/>
          <w:sz w:val="21"/>
          <w:szCs w:val="21"/>
          <w:highlight w:val="none"/>
          <w:lang w:val="zh-CN"/>
        </w:rPr>
        <w:t>指长春市文化广播电视和旅游局（长春市文物局），负责项目的整体规划、需求设计和可行性论证，作为合同的需方，承担质疑答复，合同履行、验收、评价等义务。</w:t>
      </w:r>
    </w:p>
    <w:p>
      <w:pPr>
        <w:keepNext w:val="0"/>
        <w:keepLines w:val="0"/>
        <w:pageBreakBefore w:val="0"/>
        <w:widowControl w:val="0"/>
        <w:kinsoku/>
        <w:wordWrap/>
        <w:overflowPunct/>
        <w:topLinePunct w:val="0"/>
        <w:autoSpaceDE w:val="0"/>
        <w:autoSpaceDN w:val="0"/>
        <w:bidi w:val="0"/>
        <w:adjustRightInd w:val="0"/>
        <w:snapToGrid/>
        <w:spacing w:line="460" w:lineRule="exact"/>
        <w:ind w:firstLine="480"/>
        <w:textAlignment w:val="auto"/>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2.</w:t>
      </w:r>
      <w:r>
        <w:rPr>
          <w:rFonts w:hint="eastAsia" w:ascii="宋体" w:hAnsi="宋体" w:cs="宋体"/>
          <w:color w:val="auto"/>
          <w:sz w:val="21"/>
          <w:szCs w:val="21"/>
          <w:highlight w:val="none"/>
        </w:rPr>
        <w:t>2“</w:t>
      </w:r>
      <w:r>
        <w:rPr>
          <w:rFonts w:hint="eastAsia" w:ascii="宋体" w:hAnsi="宋体" w:cs="宋体"/>
          <w:color w:val="auto"/>
          <w:sz w:val="21"/>
          <w:szCs w:val="21"/>
          <w:highlight w:val="none"/>
          <w:lang w:val="zh-CN"/>
        </w:rPr>
        <w:t>采购代理机构</w:t>
      </w:r>
      <w:r>
        <w:rPr>
          <w:rFonts w:hint="eastAsia" w:ascii="宋体" w:hAnsi="宋体" w:cs="宋体"/>
          <w:color w:val="auto"/>
          <w:sz w:val="21"/>
          <w:szCs w:val="21"/>
          <w:highlight w:val="none"/>
        </w:rPr>
        <w:t>”</w:t>
      </w:r>
      <w:r>
        <w:rPr>
          <w:rFonts w:hint="eastAsia" w:ascii="宋体" w:hAnsi="宋体" w:cs="宋体"/>
          <w:color w:val="auto"/>
          <w:sz w:val="21"/>
          <w:szCs w:val="21"/>
          <w:highlight w:val="none"/>
          <w:lang w:val="zh-CN"/>
        </w:rPr>
        <w:t>指长春中融工程项目管理咨询有限公司，负责活动的组织工作。</w:t>
      </w:r>
    </w:p>
    <w:p>
      <w:pPr>
        <w:keepNext w:val="0"/>
        <w:keepLines w:val="0"/>
        <w:pageBreakBefore w:val="0"/>
        <w:widowControl w:val="0"/>
        <w:tabs>
          <w:tab w:val="left" w:pos="709"/>
        </w:tabs>
        <w:kinsoku/>
        <w:wordWrap/>
        <w:overflowPunct/>
        <w:topLinePunct w:val="0"/>
        <w:autoSpaceDE w:val="0"/>
        <w:autoSpaceDN w:val="0"/>
        <w:bidi w:val="0"/>
        <w:adjustRightInd w:val="0"/>
        <w:snapToGrid/>
        <w:spacing w:line="460" w:lineRule="exact"/>
        <w:ind w:firstLine="470"/>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2.3</w:t>
      </w:r>
      <w:r>
        <w:rPr>
          <w:rFonts w:hint="eastAsia" w:ascii="宋体" w:hAnsi="宋体" w:cs="宋体"/>
          <w:color w:val="auto"/>
          <w:kern w:val="0"/>
          <w:sz w:val="21"/>
          <w:szCs w:val="21"/>
          <w:highlight w:val="none"/>
        </w:rPr>
        <w:t>“</w:t>
      </w:r>
      <w:r>
        <w:rPr>
          <w:rFonts w:hint="eastAsia" w:ascii="宋体" w:hAnsi="宋体" w:cs="宋体"/>
          <w:color w:val="auto"/>
          <w:kern w:val="0"/>
          <w:sz w:val="21"/>
          <w:szCs w:val="21"/>
          <w:highlight w:val="none"/>
          <w:lang w:val="zh-CN"/>
        </w:rPr>
        <w:t>内容</w:t>
      </w:r>
      <w:r>
        <w:rPr>
          <w:rFonts w:hint="eastAsia" w:ascii="宋体" w:hAnsi="宋体" w:cs="宋体"/>
          <w:color w:val="auto"/>
          <w:kern w:val="0"/>
          <w:sz w:val="21"/>
          <w:szCs w:val="21"/>
          <w:highlight w:val="none"/>
        </w:rPr>
        <w:t>”</w:t>
      </w:r>
      <w:r>
        <w:rPr>
          <w:rFonts w:hint="eastAsia" w:ascii="宋体" w:hAnsi="宋体" w:cs="宋体"/>
          <w:color w:val="auto"/>
          <w:kern w:val="0"/>
          <w:sz w:val="21"/>
          <w:szCs w:val="21"/>
          <w:highlight w:val="none"/>
          <w:lang w:val="zh-CN"/>
        </w:rPr>
        <w:t>以项目需求为实际依据。</w:t>
      </w:r>
    </w:p>
    <w:p>
      <w:pPr>
        <w:keepNext w:val="0"/>
        <w:keepLines w:val="0"/>
        <w:pageBreakBefore w:val="0"/>
        <w:widowControl w:val="0"/>
        <w:tabs>
          <w:tab w:val="left" w:pos="709"/>
        </w:tabs>
        <w:kinsoku/>
        <w:wordWrap/>
        <w:overflowPunct/>
        <w:topLinePunct w:val="0"/>
        <w:autoSpaceDE w:val="0"/>
        <w:autoSpaceDN w:val="0"/>
        <w:bidi w:val="0"/>
        <w:adjustRightInd w:val="0"/>
        <w:snapToGrid/>
        <w:spacing w:line="460" w:lineRule="exact"/>
        <w:ind w:firstLine="470"/>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2.4</w:t>
      </w:r>
      <w:r>
        <w:rPr>
          <w:rFonts w:hint="eastAsia" w:ascii="宋体" w:hAnsi="宋体" w:cs="宋体"/>
          <w:color w:val="auto"/>
          <w:kern w:val="0"/>
          <w:sz w:val="21"/>
          <w:szCs w:val="21"/>
          <w:highlight w:val="none"/>
        </w:rPr>
        <w:t>“</w:t>
      </w:r>
      <w:r>
        <w:rPr>
          <w:rFonts w:hint="eastAsia" w:ascii="宋体" w:hAnsi="宋体" w:cs="宋体"/>
          <w:color w:val="auto"/>
          <w:kern w:val="0"/>
          <w:sz w:val="21"/>
          <w:szCs w:val="21"/>
          <w:highlight w:val="none"/>
          <w:lang w:val="zh-CN"/>
        </w:rPr>
        <w:t>潜在供应商</w:t>
      </w:r>
      <w:r>
        <w:rPr>
          <w:rFonts w:hint="eastAsia" w:ascii="宋体" w:hAnsi="宋体" w:cs="宋体"/>
          <w:color w:val="auto"/>
          <w:kern w:val="0"/>
          <w:sz w:val="21"/>
          <w:szCs w:val="21"/>
          <w:highlight w:val="none"/>
        </w:rPr>
        <w:t>”</w:t>
      </w:r>
      <w:r>
        <w:rPr>
          <w:rFonts w:hint="eastAsia" w:ascii="宋体" w:hAnsi="宋体" w:cs="宋体"/>
          <w:color w:val="auto"/>
          <w:kern w:val="0"/>
          <w:sz w:val="21"/>
          <w:szCs w:val="21"/>
          <w:highlight w:val="none"/>
          <w:lang w:val="zh-CN"/>
        </w:rPr>
        <w:t>指确认参加磋商的供应商</w:t>
      </w:r>
      <w:r>
        <w:rPr>
          <w:rFonts w:hint="eastAsia" w:ascii="宋体" w:hAnsi="宋体" w:cs="宋体"/>
          <w:color w:val="auto"/>
          <w:kern w:val="0"/>
          <w:sz w:val="21"/>
          <w:szCs w:val="21"/>
          <w:highlight w:val="none"/>
        </w:rPr>
        <w:t>/</w:t>
      </w:r>
      <w:r>
        <w:rPr>
          <w:rFonts w:hint="eastAsia" w:ascii="宋体" w:hAnsi="宋体" w:cs="宋体"/>
          <w:color w:val="auto"/>
          <w:kern w:val="0"/>
          <w:sz w:val="21"/>
          <w:szCs w:val="21"/>
          <w:highlight w:val="none"/>
          <w:lang w:val="zh-CN"/>
        </w:rPr>
        <w:t>响应人。</w:t>
      </w:r>
    </w:p>
    <w:p>
      <w:pPr>
        <w:keepNext w:val="0"/>
        <w:keepLines w:val="0"/>
        <w:pageBreakBefore w:val="0"/>
        <w:widowControl w:val="0"/>
        <w:tabs>
          <w:tab w:val="left" w:pos="709"/>
        </w:tabs>
        <w:kinsoku/>
        <w:wordWrap/>
        <w:overflowPunct/>
        <w:topLinePunct w:val="0"/>
        <w:autoSpaceDE w:val="0"/>
        <w:autoSpaceDN w:val="0"/>
        <w:bidi w:val="0"/>
        <w:adjustRightInd w:val="0"/>
        <w:snapToGrid/>
        <w:spacing w:line="460" w:lineRule="exact"/>
        <w:ind w:firstLine="470"/>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2.5</w:t>
      </w:r>
      <w:r>
        <w:rPr>
          <w:rFonts w:hint="eastAsia" w:ascii="宋体" w:hAnsi="宋体" w:cs="宋体"/>
          <w:color w:val="auto"/>
          <w:kern w:val="0"/>
          <w:sz w:val="21"/>
          <w:szCs w:val="21"/>
          <w:highlight w:val="none"/>
        </w:rPr>
        <w:t>“</w:t>
      </w:r>
      <w:r>
        <w:rPr>
          <w:rFonts w:hint="eastAsia" w:ascii="宋体" w:hAnsi="宋体" w:cs="宋体"/>
          <w:color w:val="auto"/>
          <w:kern w:val="0"/>
          <w:sz w:val="21"/>
          <w:szCs w:val="21"/>
          <w:highlight w:val="none"/>
          <w:lang w:val="zh-CN"/>
        </w:rPr>
        <w:t>供应商</w:t>
      </w:r>
      <w:r>
        <w:rPr>
          <w:rFonts w:hint="eastAsia" w:ascii="宋体" w:hAnsi="宋体" w:cs="宋体"/>
          <w:color w:val="auto"/>
          <w:kern w:val="0"/>
          <w:sz w:val="21"/>
          <w:szCs w:val="21"/>
          <w:highlight w:val="none"/>
        </w:rPr>
        <w:t>”</w:t>
      </w:r>
      <w:r>
        <w:rPr>
          <w:rFonts w:hint="eastAsia" w:ascii="宋体" w:hAnsi="宋体" w:cs="宋体"/>
          <w:color w:val="auto"/>
          <w:kern w:val="0"/>
          <w:sz w:val="21"/>
          <w:szCs w:val="21"/>
          <w:highlight w:val="none"/>
          <w:lang w:val="zh-CN"/>
        </w:rPr>
        <w:t>指响应本磋商文件参加磋商的供应商</w:t>
      </w:r>
      <w:r>
        <w:rPr>
          <w:rFonts w:hint="eastAsia" w:ascii="宋体" w:hAnsi="宋体" w:cs="宋体"/>
          <w:color w:val="auto"/>
          <w:kern w:val="0"/>
          <w:sz w:val="21"/>
          <w:szCs w:val="21"/>
          <w:highlight w:val="none"/>
        </w:rPr>
        <w:t>/</w:t>
      </w:r>
      <w:r>
        <w:rPr>
          <w:rFonts w:hint="eastAsia" w:ascii="宋体" w:hAnsi="宋体" w:cs="宋体"/>
          <w:color w:val="auto"/>
          <w:kern w:val="0"/>
          <w:sz w:val="21"/>
          <w:szCs w:val="21"/>
          <w:highlight w:val="none"/>
          <w:lang w:val="zh-CN"/>
        </w:rPr>
        <w:t>响应人。</w:t>
      </w:r>
    </w:p>
    <w:p>
      <w:pPr>
        <w:keepNext w:val="0"/>
        <w:keepLines w:val="0"/>
        <w:pageBreakBefore w:val="0"/>
        <w:widowControl w:val="0"/>
        <w:kinsoku/>
        <w:wordWrap/>
        <w:overflowPunct/>
        <w:topLinePunct w:val="0"/>
        <w:autoSpaceDE w:val="0"/>
        <w:autoSpaceDN w:val="0"/>
        <w:bidi w:val="0"/>
        <w:adjustRightInd w:val="0"/>
        <w:snapToGrid/>
        <w:spacing w:line="460" w:lineRule="exact"/>
        <w:textAlignment w:val="auto"/>
        <w:rPr>
          <w:rFonts w:ascii="宋体" w:hAnsi="宋体" w:cs="宋体"/>
          <w:color w:val="auto"/>
          <w:kern w:val="0"/>
          <w:sz w:val="21"/>
          <w:szCs w:val="21"/>
          <w:highlight w:val="none"/>
          <w:lang w:val="zh-CN"/>
        </w:rPr>
      </w:pPr>
      <w:r>
        <w:rPr>
          <w:rFonts w:hint="eastAsia" w:ascii="宋体" w:hAnsi="宋体" w:cs="宋体"/>
          <w:b/>
          <w:color w:val="auto"/>
          <w:sz w:val="21"/>
          <w:szCs w:val="21"/>
          <w:highlight w:val="none"/>
          <w:lang w:val="zh-CN"/>
        </w:rPr>
        <w:t>3</w:t>
      </w:r>
      <w:r>
        <w:rPr>
          <w:rFonts w:hint="eastAsia" w:ascii="宋体" w:hAnsi="宋体" w:cs="宋体"/>
          <w:b/>
          <w:color w:val="auto"/>
          <w:sz w:val="21"/>
          <w:szCs w:val="21"/>
          <w:highlight w:val="none"/>
        </w:rPr>
        <w:t>.</w:t>
      </w:r>
      <w:r>
        <w:rPr>
          <w:rFonts w:hint="eastAsia" w:ascii="宋体" w:hAnsi="宋体" w:cs="宋体"/>
          <w:b/>
          <w:color w:val="auto"/>
          <w:sz w:val="21"/>
          <w:szCs w:val="21"/>
          <w:highlight w:val="none"/>
          <w:lang w:val="zh-CN"/>
        </w:rPr>
        <w:t>合格供应商资格条件要求：见供应商须知前附表</w:t>
      </w:r>
    </w:p>
    <w:p>
      <w:pPr>
        <w:keepNext w:val="0"/>
        <w:keepLines w:val="0"/>
        <w:pageBreakBefore w:val="0"/>
        <w:widowControl w:val="0"/>
        <w:tabs>
          <w:tab w:val="left" w:pos="709"/>
        </w:tabs>
        <w:kinsoku/>
        <w:wordWrap/>
        <w:overflowPunct/>
        <w:topLinePunct w:val="0"/>
        <w:autoSpaceDE w:val="0"/>
        <w:autoSpaceDN w:val="0"/>
        <w:bidi w:val="0"/>
        <w:adjustRightInd w:val="0"/>
        <w:snapToGrid/>
        <w:spacing w:line="460" w:lineRule="exact"/>
        <w:textAlignment w:val="auto"/>
        <w:rPr>
          <w:rFonts w:ascii="宋体" w:hAnsi="宋体" w:cs="宋体"/>
          <w:b/>
          <w:color w:val="auto"/>
          <w:kern w:val="0"/>
          <w:sz w:val="21"/>
          <w:szCs w:val="21"/>
          <w:highlight w:val="none"/>
          <w:lang w:val="zh-CN"/>
        </w:rPr>
      </w:pPr>
      <w:r>
        <w:rPr>
          <w:rFonts w:hint="eastAsia" w:ascii="宋体" w:hAnsi="宋体" w:cs="宋体"/>
          <w:b/>
          <w:color w:val="auto"/>
          <w:sz w:val="21"/>
          <w:szCs w:val="21"/>
          <w:highlight w:val="none"/>
          <w:lang w:val="zh-CN"/>
        </w:rPr>
        <w:t>4.项目答疑会：见供应商须知前附表</w:t>
      </w:r>
    </w:p>
    <w:p>
      <w:pPr>
        <w:keepNext w:val="0"/>
        <w:keepLines w:val="0"/>
        <w:pageBreakBefore w:val="0"/>
        <w:widowControl w:val="0"/>
        <w:kinsoku/>
        <w:wordWrap/>
        <w:overflowPunct/>
        <w:topLinePunct w:val="0"/>
        <w:autoSpaceDE w:val="0"/>
        <w:autoSpaceDN w:val="0"/>
        <w:bidi w:val="0"/>
        <w:adjustRightInd w:val="0"/>
        <w:snapToGrid/>
        <w:spacing w:line="460" w:lineRule="exact"/>
        <w:textAlignment w:val="auto"/>
        <w:rPr>
          <w:rFonts w:ascii="宋体" w:hAnsi="宋体" w:cs="宋体"/>
          <w:color w:val="auto"/>
          <w:sz w:val="21"/>
          <w:szCs w:val="21"/>
          <w:highlight w:val="none"/>
          <w:lang w:val="zh-CN"/>
        </w:rPr>
      </w:pPr>
      <w:r>
        <w:rPr>
          <w:rFonts w:hint="eastAsia" w:ascii="宋体" w:hAnsi="宋体" w:cs="宋体"/>
          <w:b/>
          <w:color w:val="auto"/>
          <w:sz w:val="21"/>
          <w:szCs w:val="21"/>
          <w:highlight w:val="none"/>
          <w:lang w:val="zh-CN"/>
        </w:rPr>
        <w:t>5．磋商费用：</w:t>
      </w:r>
      <w:r>
        <w:rPr>
          <w:rFonts w:hint="eastAsia" w:ascii="宋体" w:hAnsi="宋体" w:cs="宋体"/>
          <w:color w:val="auto"/>
          <w:sz w:val="21"/>
          <w:szCs w:val="21"/>
          <w:highlight w:val="none"/>
          <w:lang w:val="zh-CN"/>
        </w:rPr>
        <w:t>供应商应自行承担所有与编写和提交响应文件有关的费用，无论磋商的结果如何，采购人和采购代理机构在任何情况下均无义务和责任承担这些费用。</w:t>
      </w:r>
    </w:p>
    <w:p>
      <w:pPr>
        <w:keepNext w:val="0"/>
        <w:keepLines w:val="0"/>
        <w:pageBreakBefore w:val="0"/>
        <w:widowControl w:val="0"/>
        <w:kinsoku/>
        <w:wordWrap/>
        <w:overflowPunct/>
        <w:topLinePunct w:val="0"/>
        <w:autoSpaceDE w:val="0"/>
        <w:autoSpaceDN w:val="0"/>
        <w:bidi w:val="0"/>
        <w:adjustRightInd w:val="0"/>
        <w:snapToGrid/>
        <w:spacing w:line="460" w:lineRule="exact"/>
        <w:textAlignment w:val="auto"/>
        <w:rPr>
          <w:rFonts w:ascii="宋体" w:hAnsi="宋体" w:cs="宋体"/>
          <w:b/>
          <w:color w:val="auto"/>
          <w:sz w:val="21"/>
          <w:szCs w:val="21"/>
          <w:highlight w:val="none"/>
          <w:lang w:val="zh-CN"/>
        </w:rPr>
      </w:pPr>
      <w:r>
        <w:rPr>
          <w:rFonts w:hint="eastAsia" w:ascii="宋体" w:hAnsi="宋体" w:cs="宋体"/>
          <w:b/>
          <w:color w:val="auto"/>
          <w:sz w:val="21"/>
          <w:szCs w:val="21"/>
          <w:highlight w:val="none"/>
          <w:lang w:val="zh-CN"/>
        </w:rPr>
        <w:t>6. 竞争性磋商文件：</w:t>
      </w:r>
    </w:p>
    <w:p>
      <w:pPr>
        <w:keepNext w:val="0"/>
        <w:keepLines w:val="0"/>
        <w:pageBreakBefore w:val="0"/>
        <w:widowControl w:val="0"/>
        <w:tabs>
          <w:tab w:val="left" w:pos="1418"/>
        </w:tabs>
        <w:kinsoku/>
        <w:wordWrap/>
        <w:overflowPunct/>
        <w:topLinePunct w:val="0"/>
        <w:autoSpaceDE w:val="0"/>
        <w:autoSpaceDN w:val="0"/>
        <w:bidi w:val="0"/>
        <w:adjustRightInd w:val="0"/>
        <w:snapToGrid/>
        <w:spacing w:line="460" w:lineRule="exact"/>
        <w:ind w:firstLine="480"/>
        <w:textAlignment w:val="auto"/>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6.1 磋商文件的构成：</w:t>
      </w:r>
    </w:p>
    <w:p>
      <w:pPr>
        <w:keepNext w:val="0"/>
        <w:keepLines w:val="0"/>
        <w:pageBreakBefore w:val="0"/>
        <w:widowControl w:val="0"/>
        <w:kinsoku/>
        <w:wordWrap/>
        <w:overflowPunct/>
        <w:topLinePunct w:val="0"/>
        <w:autoSpaceDE w:val="0"/>
        <w:autoSpaceDN w:val="0"/>
        <w:bidi w:val="0"/>
        <w:adjustRightInd w:val="0"/>
        <w:snapToGrid/>
        <w:spacing w:line="460" w:lineRule="exact"/>
        <w:ind w:firstLine="420" w:firstLineChars="200"/>
        <w:textAlignment w:val="auto"/>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第一章   竞争性磋商公告</w:t>
      </w:r>
      <w:r>
        <w:rPr>
          <w:rFonts w:hint="eastAsia" w:ascii="宋体" w:hAnsi="宋体" w:cs="宋体"/>
          <w:color w:val="auto"/>
          <w:sz w:val="21"/>
          <w:szCs w:val="21"/>
          <w:highlight w:val="none"/>
          <w:lang w:val="zh-CN"/>
        </w:rPr>
        <w:tab/>
      </w:r>
    </w:p>
    <w:p>
      <w:pPr>
        <w:keepNext w:val="0"/>
        <w:keepLines w:val="0"/>
        <w:pageBreakBefore w:val="0"/>
        <w:widowControl w:val="0"/>
        <w:kinsoku/>
        <w:wordWrap/>
        <w:overflowPunct/>
        <w:topLinePunct w:val="0"/>
        <w:autoSpaceDE w:val="0"/>
        <w:autoSpaceDN w:val="0"/>
        <w:bidi w:val="0"/>
        <w:adjustRightInd w:val="0"/>
        <w:snapToGrid/>
        <w:spacing w:line="460" w:lineRule="exact"/>
        <w:ind w:firstLine="420" w:firstLineChars="200"/>
        <w:textAlignment w:val="auto"/>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第二章   供应商须知</w:t>
      </w:r>
      <w:r>
        <w:rPr>
          <w:rFonts w:hint="eastAsia" w:ascii="宋体" w:hAnsi="宋体" w:cs="宋体"/>
          <w:color w:val="auto"/>
          <w:sz w:val="21"/>
          <w:szCs w:val="21"/>
          <w:highlight w:val="none"/>
          <w:lang w:val="zh-CN"/>
        </w:rPr>
        <w:tab/>
      </w:r>
    </w:p>
    <w:p>
      <w:pPr>
        <w:keepNext w:val="0"/>
        <w:keepLines w:val="0"/>
        <w:pageBreakBefore w:val="0"/>
        <w:widowControl w:val="0"/>
        <w:kinsoku/>
        <w:wordWrap/>
        <w:overflowPunct/>
        <w:topLinePunct w:val="0"/>
        <w:autoSpaceDE w:val="0"/>
        <w:autoSpaceDN w:val="0"/>
        <w:bidi w:val="0"/>
        <w:adjustRightInd w:val="0"/>
        <w:snapToGrid/>
        <w:spacing w:line="460" w:lineRule="exact"/>
        <w:ind w:firstLine="420" w:firstLineChars="200"/>
        <w:textAlignment w:val="auto"/>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第三章   综合评审办法</w:t>
      </w:r>
      <w:r>
        <w:rPr>
          <w:rFonts w:hint="eastAsia" w:ascii="宋体" w:hAnsi="宋体" w:cs="宋体"/>
          <w:color w:val="auto"/>
          <w:sz w:val="21"/>
          <w:szCs w:val="21"/>
          <w:highlight w:val="none"/>
          <w:lang w:val="zh-CN"/>
        </w:rPr>
        <w:tab/>
      </w:r>
    </w:p>
    <w:p>
      <w:pPr>
        <w:keepNext w:val="0"/>
        <w:keepLines w:val="0"/>
        <w:pageBreakBefore w:val="0"/>
        <w:widowControl w:val="0"/>
        <w:kinsoku/>
        <w:wordWrap/>
        <w:overflowPunct/>
        <w:topLinePunct w:val="0"/>
        <w:autoSpaceDE w:val="0"/>
        <w:autoSpaceDN w:val="0"/>
        <w:bidi w:val="0"/>
        <w:adjustRightInd w:val="0"/>
        <w:snapToGrid/>
        <w:spacing w:line="460" w:lineRule="exact"/>
        <w:ind w:firstLine="420" w:firstLineChars="200"/>
        <w:textAlignment w:val="auto"/>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第四章</w:t>
      </w:r>
      <w:r>
        <w:rPr>
          <w:rFonts w:hint="eastAsia" w:ascii="宋体" w:hAnsi="宋体" w:cs="宋体"/>
          <w:color w:val="auto"/>
          <w:sz w:val="21"/>
          <w:szCs w:val="21"/>
          <w:highlight w:val="none"/>
          <w:lang w:val="zh-CN"/>
        </w:rPr>
        <w:tab/>
      </w:r>
      <w:r>
        <w:rPr>
          <w:rFonts w:hint="eastAsia" w:ascii="宋体" w:hAnsi="宋体" w:cs="宋体"/>
          <w:color w:val="auto"/>
          <w:sz w:val="21"/>
          <w:szCs w:val="21"/>
          <w:highlight w:val="none"/>
        </w:rPr>
        <w:t xml:space="preserve">  </w:t>
      </w:r>
      <w:r>
        <w:rPr>
          <w:rFonts w:hint="eastAsia" w:ascii="宋体" w:hAnsi="宋体" w:cs="宋体"/>
          <w:color w:val="auto"/>
          <w:sz w:val="21"/>
          <w:szCs w:val="21"/>
          <w:highlight w:val="none"/>
          <w:lang w:val="zh-CN"/>
        </w:rPr>
        <w:t>合同格式</w:t>
      </w:r>
      <w:r>
        <w:rPr>
          <w:rFonts w:hint="eastAsia" w:ascii="宋体" w:hAnsi="宋体" w:cs="宋体"/>
          <w:color w:val="auto"/>
          <w:sz w:val="21"/>
          <w:szCs w:val="21"/>
          <w:highlight w:val="none"/>
          <w:lang w:val="zh-CN"/>
        </w:rPr>
        <w:tab/>
      </w:r>
    </w:p>
    <w:p>
      <w:pPr>
        <w:keepNext w:val="0"/>
        <w:keepLines w:val="0"/>
        <w:pageBreakBefore w:val="0"/>
        <w:widowControl w:val="0"/>
        <w:kinsoku/>
        <w:wordWrap/>
        <w:overflowPunct/>
        <w:topLinePunct w:val="0"/>
        <w:autoSpaceDE w:val="0"/>
        <w:autoSpaceDN w:val="0"/>
        <w:bidi w:val="0"/>
        <w:adjustRightInd w:val="0"/>
        <w:snapToGrid/>
        <w:spacing w:line="460" w:lineRule="exact"/>
        <w:ind w:firstLine="420" w:firstLineChars="200"/>
        <w:textAlignment w:val="auto"/>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 xml:space="preserve">第五章  </w:t>
      </w:r>
      <w:r>
        <w:rPr>
          <w:rFonts w:hint="eastAsia" w:ascii="宋体" w:hAnsi="宋体" w:cs="宋体"/>
          <w:color w:val="auto"/>
          <w:sz w:val="21"/>
          <w:szCs w:val="21"/>
          <w:highlight w:val="none"/>
        </w:rPr>
        <w:t xml:space="preserve">技术标准及服务需求 </w:t>
      </w:r>
    </w:p>
    <w:p>
      <w:pPr>
        <w:keepNext w:val="0"/>
        <w:keepLines w:val="0"/>
        <w:pageBreakBefore w:val="0"/>
        <w:widowControl w:val="0"/>
        <w:kinsoku/>
        <w:wordWrap/>
        <w:overflowPunct/>
        <w:topLinePunct w:val="0"/>
        <w:autoSpaceDE w:val="0"/>
        <w:autoSpaceDN w:val="0"/>
        <w:bidi w:val="0"/>
        <w:adjustRightInd w:val="0"/>
        <w:snapToGrid/>
        <w:spacing w:line="46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lang w:val="zh-CN"/>
        </w:rPr>
        <w:t>第六章</w:t>
      </w:r>
      <w:r>
        <w:rPr>
          <w:rFonts w:hint="eastAsia" w:ascii="宋体" w:hAnsi="宋体" w:cs="宋体"/>
          <w:color w:val="auto"/>
          <w:sz w:val="21"/>
          <w:szCs w:val="21"/>
          <w:highlight w:val="none"/>
        </w:rPr>
        <w:t xml:space="preserve">  </w:t>
      </w:r>
      <w:r>
        <w:rPr>
          <w:rFonts w:hint="eastAsia" w:ascii="宋体" w:hAnsi="宋体" w:cs="宋体"/>
          <w:color w:val="auto"/>
          <w:sz w:val="21"/>
          <w:szCs w:val="21"/>
          <w:highlight w:val="none"/>
          <w:lang w:val="zh-CN"/>
        </w:rPr>
        <w:t>响应文件构成、要求及格式</w:t>
      </w:r>
      <w:r>
        <w:rPr>
          <w:rFonts w:hint="eastAsia" w:ascii="宋体" w:hAnsi="宋体" w:cs="宋体"/>
          <w:color w:val="auto"/>
          <w:sz w:val="21"/>
          <w:szCs w:val="21"/>
          <w:highlight w:val="none"/>
          <w:lang w:val="zh-CN"/>
        </w:rPr>
        <w:tab/>
      </w:r>
      <w:r>
        <w:rPr>
          <w:rFonts w:hint="eastAsia" w:ascii="宋体" w:hAnsi="宋体" w:cs="宋体"/>
          <w:color w:val="auto"/>
          <w:sz w:val="21"/>
          <w:szCs w:val="21"/>
          <w:highlight w:val="none"/>
        </w:rPr>
        <w:t xml:space="preserve">  </w:t>
      </w:r>
    </w:p>
    <w:p>
      <w:pPr>
        <w:keepNext w:val="0"/>
        <w:keepLines w:val="0"/>
        <w:pageBreakBefore w:val="0"/>
        <w:widowControl w:val="0"/>
        <w:kinsoku/>
        <w:wordWrap/>
        <w:overflowPunct/>
        <w:topLinePunct w:val="0"/>
        <w:autoSpaceDE w:val="0"/>
        <w:autoSpaceDN w:val="0"/>
        <w:bidi w:val="0"/>
        <w:adjustRightInd w:val="0"/>
        <w:snapToGrid/>
        <w:spacing w:line="460" w:lineRule="exact"/>
        <w:ind w:firstLine="480"/>
        <w:textAlignment w:val="auto"/>
        <w:rPr>
          <w:rFonts w:ascii="宋体" w:hAnsi="宋体" w:cs="宋体"/>
          <w:b/>
          <w:color w:val="auto"/>
          <w:sz w:val="21"/>
          <w:szCs w:val="21"/>
          <w:highlight w:val="none"/>
          <w:lang w:val="zh-CN"/>
        </w:rPr>
      </w:pPr>
      <w:r>
        <w:rPr>
          <w:rFonts w:hint="eastAsia" w:ascii="宋体" w:hAnsi="宋体" w:cs="宋体"/>
          <w:color w:val="auto"/>
          <w:sz w:val="21"/>
          <w:szCs w:val="21"/>
          <w:highlight w:val="none"/>
          <w:lang w:val="zh-CN"/>
        </w:rPr>
        <w:t>6.2 供应商应认真阅读磋商文件中所有事项、格式、条款和规范等要求。如果供应商没有按照磋商文件要求提交全部文件资料或响应文件没有对磋商文件在各方面都做出实质性响应，是供应商的风险。</w:t>
      </w:r>
    </w:p>
    <w:p>
      <w:pPr>
        <w:keepNext w:val="0"/>
        <w:keepLines w:val="0"/>
        <w:pageBreakBefore w:val="0"/>
        <w:widowControl w:val="0"/>
        <w:kinsoku/>
        <w:wordWrap/>
        <w:overflowPunct/>
        <w:topLinePunct w:val="0"/>
        <w:autoSpaceDE w:val="0"/>
        <w:autoSpaceDN w:val="0"/>
        <w:bidi w:val="0"/>
        <w:adjustRightInd w:val="0"/>
        <w:snapToGrid/>
        <w:spacing w:line="460" w:lineRule="exact"/>
        <w:ind w:firstLine="482"/>
        <w:textAlignment w:val="auto"/>
        <w:rPr>
          <w:rFonts w:ascii="宋体" w:hAnsi="宋体" w:cs="宋体"/>
          <w:b/>
          <w:color w:val="auto"/>
          <w:sz w:val="21"/>
          <w:szCs w:val="21"/>
          <w:highlight w:val="none"/>
          <w:lang w:val="zh-CN"/>
        </w:rPr>
      </w:pPr>
      <w:r>
        <w:rPr>
          <w:rFonts w:hint="eastAsia" w:ascii="宋体" w:hAnsi="宋体" w:cs="宋体"/>
          <w:b/>
          <w:color w:val="auto"/>
          <w:sz w:val="21"/>
          <w:szCs w:val="21"/>
          <w:highlight w:val="none"/>
          <w:lang w:val="zh-CN"/>
        </w:rPr>
        <w:t>7. 磋商文件的澄清和修改</w:t>
      </w:r>
    </w:p>
    <w:p>
      <w:pPr>
        <w:keepNext w:val="0"/>
        <w:keepLines w:val="0"/>
        <w:pageBreakBefore w:val="0"/>
        <w:widowControl w:val="0"/>
        <w:kinsoku/>
        <w:wordWrap/>
        <w:overflowPunct/>
        <w:topLinePunct w:val="0"/>
        <w:autoSpaceDE w:val="0"/>
        <w:autoSpaceDN w:val="0"/>
        <w:bidi w:val="0"/>
        <w:adjustRightInd w:val="0"/>
        <w:snapToGrid/>
        <w:spacing w:line="460" w:lineRule="exact"/>
        <w:ind w:firstLine="480"/>
        <w:textAlignment w:val="auto"/>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 xml:space="preserve">7.1 </w:t>
      </w:r>
      <w:r>
        <w:rPr>
          <w:rFonts w:hint="eastAsia" w:ascii="宋体" w:hAnsi="宋体" w:cs="宋体"/>
          <w:color w:val="auto"/>
          <w:sz w:val="21"/>
          <w:szCs w:val="21"/>
          <w:highlight w:val="none"/>
        </w:rPr>
        <w:t>任何要求对磋商文件进行澄清的供应商，均应在响应文件提交截止期5天前以书面形式通知</w:t>
      </w:r>
      <w:r>
        <w:rPr>
          <w:rFonts w:hint="eastAsia" w:ascii="宋体" w:hAnsi="宋体" w:cs="宋体"/>
          <w:color w:val="auto"/>
          <w:sz w:val="21"/>
          <w:szCs w:val="21"/>
          <w:highlight w:val="none"/>
          <w:lang w:val="zh-CN"/>
        </w:rPr>
        <w:t>采购</w:t>
      </w:r>
      <w:r>
        <w:rPr>
          <w:rFonts w:hint="eastAsia" w:ascii="宋体" w:hAnsi="宋体" w:cs="宋体"/>
          <w:color w:val="auto"/>
          <w:sz w:val="21"/>
          <w:szCs w:val="21"/>
          <w:highlight w:val="none"/>
        </w:rPr>
        <w:t>方，</w:t>
      </w:r>
      <w:r>
        <w:rPr>
          <w:rFonts w:hint="eastAsia" w:ascii="宋体" w:hAnsi="宋体" w:cs="宋体"/>
          <w:color w:val="auto"/>
          <w:sz w:val="21"/>
          <w:szCs w:val="21"/>
          <w:highlight w:val="none"/>
          <w:lang w:val="zh-CN"/>
        </w:rPr>
        <w:t>采购</w:t>
      </w:r>
      <w:r>
        <w:rPr>
          <w:rFonts w:hint="eastAsia" w:ascii="宋体" w:hAnsi="宋体" w:cs="宋体"/>
          <w:color w:val="auto"/>
          <w:sz w:val="21"/>
          <w:szCs w:val="21"/>
          <w:highlight w:val="none"/>
        </w:rPr>
        <w:t>方对收到的澄清要求将视所提问题具体情况以书面形式予以答复</w:t>
      </w:r>
      <w:r>
        <w:rPr>
          <w:rFonts w:hint="eastAsia" w:ascii="宋体" w:hAnsi="宋体" w:cs="宋体"/>
          <w:color w:val="auto"/>
          <w:sz w:val="21"/>
          <w:szCs w:val="21"/>
          <w:highlight w:val="none"/>
          <w:lang w:val="zh-CN"/>
        </w:rPr>
        <w:t>澄清</w:t>
      </w:r>
      <w:r>
        <w:rPr>
          <w:rFonts w:hint="eastAsia" w:ascii="宋体" w:hAnsi="宋体" w:cs="宋体"/>
          <w:color w:val="auto"/>
          <w:sz w:val="21"/>
          <w:szCs w:val="21"/>
          <w:highlight w:val="none"/>
        </w:rPr>
        <w:t>，同时寄给每个获取磋商文件的供应商或由供应商直接到</w:t>
      </w:r>
      <w:r>
        <w:rPr>
          <w:rFonts w:hint="eastAsia" w:ascii="宋体" w:hAnsi="宋体" w:cs="宋体"/>
          <w:color w:val="auto"/>
          <w:sz w:val="21"/>
          <w:szCs w:val="21"/>
          <w:highlight w:val="none"/>
          <w:lang w:val="zh-CN"/>
        </w:rPr>
        <w:t>采购</w:t>
      </w:r>
      <w:r>
        <w:rPr>
          <w:rFonts w:hint="eastAsia" w:ascii="宋体" w:hAnsi="宋体" w:cs="宋体"/>
          <w:color w:val="auto"/>
          <w:sz w:val="21"/>
          <w:szCs w:val="21"/>
          <w:highlight w:val="none"/>
        </w:rPr>
        <w:t>代理机构领取。供应商应立即以书面形式确认已收到的答复文件。答复中包括所提的问题，但不包括问题的来源。</w:t>
      </w:r>
      <w:r>
        <w:rPr>
          <w:rFonts w:hint="eastAsia" w:ascii="宋体" w:hAnsi="宋体" w:cs="宋体"/>
          <w:color w:val="auto"/>
          <w:sz w:val="21"/>
          <w:szCs w:val="21"/>
          <w:highlight w:val="none"/>
          <w:lang w:val="zh-CN"/>
        </w:rPr>
        <w:t>采购代理机构对收到的供应商书面质疑，将按照政府采购法律规章的规定处理。</w:t>
      </w:r>
    </w:p>
    <w:p>
      <w:pPr>
        <w:keepNext w:val="0"/>
        <w:keepLines w:val="0"/>
        <w:pageBreakBefore w:val="0"/>
        <w:widowControl w:val="0"/>
        <w:kinsoku/>
        <w:wordWrap/>
        <w:overflowPunct/>
        <w:topLinePunct w:val="0"/>
        <w:autoSpaceDE w:val="0"/>
        <w:autoSpaceDN w:val="0"/>
        <w:bidi w:val="0"/>
        <w:adjustRightInd w:val="0"/>
        <w:snapToGrid/>
        <w:spacing w:line="460" w:lineRule="exact"/>
        <w:ind w:firstLine="480"/>
        <w:textAlignment w:val="auto"/>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7.2 采购人可在响应文件提交截止时间</w:t>
      </w:r>
      <w:r>
        <w:rPr>
          <w:rFonts w:hint="eastAsia" w:ascii="宋体" w:hAnsi="宋体" w:cs="宋体"/>
          <w:color w:val="auto"/>
          <w:sz w:val="21"/>
          <w:szCs w:val="21"/>
          <w:highlight w:val="none"/>
        </w:rPr>
        <w:t>5</w:t>
      </w:r>
      <w:r>
        <w:rPr>
          <w:rFonts w:hint="eastAsia" w:ascii="宋体" w:hAnsi="宋体" w:cs="宋体"/>
          <w:color w:val="auto"/>
          <w:sz w:val="21"/>
          <w:szCs w:val="21"/>
          <w:highlight w:val="none"/>
          <w:lang w:val="zh-CN"/>
        </w:rPr>
        <w:t>日前（含）对磋商文件进行修改、补充。磋商文件的修改、补充文件将以当面交接、传真或电子邮件的方式向潜在供应商发出，并在发布竞争性磋商公告的媒体上公告。</w:t>
      </w:r>
    </w:p>
    <w:p>
      <w:pPr>
        <w:keepNext w:val="0"/>
        <w:keepLines w:val="0"/>
        <w:pageBreakBefore w:val="0"/>
        <w:widowControl w:val="0"/>
        <w:kinsoku/>
        <w:wordWrap/>
        <w:overflowPunct/>
        <w:topLinePunct w:val="0"/>
        <w:autoSpaceDE w:val="0"/>
        <w:autoSpaceDN w:val="0"/>
        <w:bidi w:val="0"/>
        <w:adjustRightInd w:val="0"/>
        <w:snapToGrid/>
        <w:spacing w:line="460" w:lineRule="exact"/>
        <w:ind w:firstLine="480"/>
        <w:textAlignment w:val="auto"/>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7.3 磋商文件的澄清、修改、补充文件均是磋商文件的组成部分，对所有供应商具有约束力，而无论其是否已经实际收到该澄清、修改、补充文件（包括答疑会纪要）。供应商若收到该澄清、修改、补充文件，则应立即以书面形式回复确认已收到。</w:t>
      </w:r>
    </w:p>
    <w:p>
      <w:pPr>
        <w:keepNext w:val="0"/>
        <w:keepLines w:val="0"/>
        <w:pageBreakBefore w:val="0"/>
        <w:widowControl w:val="0"/>
        <w:kinsoku/>
        <w:wordWrap/>
        <w:overflowPunct/>
        <w:topLinePunct w:val="0"/>
        <w:autoSpaceDE w:val="0"/>
        <w:autoSpaceDN w:val="0"/>
        <w:bidi w:val="0"/>
        <w:adjustRightInd w:val="0"/>
        <w:snapToGrid/>
        <w:spacing w:line="460" w:lineRule="exact"/>
        <w:ind w:firstLine="480"/>
        <w:textAlignment w:val="auto"/>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7.4 为使供应商有充分的时间对磋商文件的澄清、修改、补充部分进行研究，采购代理机构可在响应文件提交截止时间</w:t>
      </w:r>
      <w:r>
        <w:rPr>
          <w:rFonts w:hint="eastAsia" w:ascii="宋体" w:hAnsi="宋体" w:cs="宋体"/>
          <w:color w:val="auto"/>
          <w:sz w:val="21"/>
          <w:szCs w:val="21"/>
          <w:highlight w:val="none"/>
        </w:rPr>
        <w:t>5</w:t>
      </w:r>
      <w:r>
        <w:rPr>
          <w:rFonts w:hint="eastAsia" w:ascii="宋体" w:hAnsi="宋体" w:cs="宋体"/>
          <w:color w:val="auto"/>
          <w:sz w:val="21"/>
          <w:szCs w:val="21"/>
          <w:highlight w:val="none"/>
          <w:lang w:val="zh-CN"/>
        </w:rPr>
        <w:t>日前（含）自行决定酌情延长</w:t>
      </w:r>
      <w:r>
        <w:rPr>
          <w:rFonts w:hint="eastAsia" w:ascii="宋体" w:hAnsi="宋体" w:cs="宋体"/>
          <w:color w:val="auto"/>
          <w:sz w:val="21"/>
          <w:szCs w:val="21"/>
          <w:highlight w:val="none"/>
        </w:rPr>
        <w:t>磋商</w:t>
      </w:r>
      <w:r>
        <w:rPr>
          <w:rFonts w:hint="eastAsia" w:ascii="宋体" w:hAnsi="宋体" w:cs="宋体"/>
          <w:color w:val="auto"/>
          <w:sz w:val="21"/>
          <w:szCs w:val="21"/>
          <w:highlight w:val="none"/>
          <w:lang w:val="zh-CN"/>
        </w:rPr>
        <w:t>截止时间，延长响应文件提交截止时间的公告将在发布竞争性磋商公告的媒体上发告，并以当面交接、传真或电子邮件的方式向所有潜在供应商发出。在这种情况下，采购人和供应商受响应文件提交截止时间制约的所有权利和义务均相应延长至新的响应文件提交截止时间。</w:t>
      </w:r>
    </w:p>
    <w:p>
      <w:pPr>
        <w:keepNext w:val="0"/>
        <w:keepLines w:val="0"/>
        <w:pageBreakBefore w:val="0"/>
        <w:widowControl w:val="0"/>
        <w:kinsoku/>
        <w:wordWrap/>
        <w:overflowPunct/>
        <w:topLinePunct w:val="0"/>
        <w:autoSpaceDE w:val="0"/>
        <w:autoSpaceDN w:val="0"/>
        <w:bidi w:val="0"/>
        <w:adjustRightInd w:val="0"/>
        <w:snapToGrid/>
        <w:spacing w:line="460" w:lineRule="exact"/>
        <w:ind w:firstLine="482"/>
        <w:textAlignment w:val="auto"/>
        <w:rPr>
          <w:rFonts w:ascii="宋体" w:hAnsi="宋体" w:cs="宋体"/>
          <w:b/>
          <w:color w:val="auto"/>
          <w:sz w:val="21"/>
          <w:szCs w:val="21"/>
          <w:highlight w:val="none"/>
          <w:lang w:val="zh-CN"/>
        </w:rPr>
      </w:pPr>
      <w:r>
        <w:rPr>
          <w:rFonts w:hint="eastAsia" w:ascii="宋体" w:hAnsi="宋体" w:cs="宋体"/>
          <w:b/>
          <w:color w:val="auto"/>
          <w:sz w:val="21"/>
          <w:szCs w:val="21"/>
          <w:highlight w:val="none"/>
          <w:lang w:val="zh-CN"/>
        </w:rPr>
        <w:t>8. 响应文件构成</w:t>
      </w:r>
    </w:p>
    <w:p>
      <w:pPr>
        <w:keepNext w:val="0"/>
        <w:keepLines w:val="0"/>
        <w:pageBreakBefore w:val="0"/>
        <w:widowControl w:val="0"/>
        <w:tabs>
          <w:tab w:val="left" w:pos="709"/>
        </w:tabs>
        <w:kinsoku/>
        <w:wordWrap/>
        <w:overflowPunct/>
        <w:topLinePunct w:val="0"/>
        <w:autoSpaceDE w:val="0"/>
        <w:autoSpaceDN w:val="0"/>
        <w:bidi w:val="0"/>
        <w:adjustRightInd w:val="0"/>
        <w:snapToGrid/>
        <w:spacing w:line="460" w:lineRule="exact"/>
        <w:ind w:firstLine="480"/>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8.1 响应文件分为商务部分和技术部分。商务部分是供应商提交的证明其具有合格的磋商资格和成交后有能力履行合同的文件。技术部分是能够证明供应商所提供货物和服务的合格性和符合磋商文件规定的文件。</w:t>
      </w:r>
    </w:p>
    <w:p>
      <w:pPr>
        <w:keepNext w:val="0"/>
        <w:keepLines w:val="0"/>
        <w:pageBreakBefore w:val="0"/>
        <w:widowControl w:val="0"/>
        <w:tabs>
          <w:tab w:val="left" w:pos="709"/>
        </w:tabs>
        <w:kinsoku/>
        <w:wordWrap/>
        <w:overflowPunct/>
        <w:topLinePunct w:val="0"/>
        <w:autoSpaceDE w:val="0"/>
        <w:autoSpaceDN w:val="0"/>
        <w:bidi w:val="0"/>
        <w:adjustRightInd w:val="0"/>
        <w:snapToGrid/>
        <w:spacing w:line="460" w:lineRule="exact"/>
        <w:ind w:firstLine="480"/>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8.2 供应商应提交本磋商文件第</w:t>
      </w:r>
      <w:r>
        <w:rPr>
          <w:rFonts w:hint="eastAsia" w:ascii="宋体" w:hAnsi="宋体" w:cs="宋体"/>
          <w:color w:val="auto"/>
          <w:kern w:val="0"/>
          <w:sz w:val="21"/>
          <w:szCs w:val="21"/>
          <w:highlight w:val="none"/>
        </w:rPr>
        <w:t>六</w:t>
      </w:r>
      <w:r>
        <w:rPr>
          <w:rFonts w:hint="eastAsia" w:ascii="宋体" w:hAnsi="宋体" w:cs="宋体"/>
          <w:color w:val="auto"/>
          <w:kern w:val="0"/>
          <w:sz w:val="21"/>
          <w:szCs w:val="21"/>
          <w:highlight w:val="none"/>
          <w:lang w:val="zh-CN"/>
        </w:rPr>
        <w:t>章</w:t>
      </w:r>
      <w:r>
        <w:rPr>
          <w:rFonts w:hint="eastAsia" w:ascii="宋体" w:hAnsi="宋体" w:cs="宋体"/>
          <w:color w:val="auto"/>
          <w:sz w:val="21"/>
          <w:szCs w:val="21"/>
          <w:highlight w:val="none"/>
          <w:lang w:val="zh-CN"/>
        </w:rPr>
        <w:t>《响应文件构成、要求及格式》</w:t>
      </w:r>
      <w:r>
        <w:rPr>
          <w:rFonts w:hint="eastAsia" w:ascii="宋体" w:hAnsi="宋体" w:cs="宋体"/>
          <w:color w:val="auto"/>
          <w:kern w:val="0"/>
          <w:sz w:val="21"/>
          <w:szCs w:val="21"/>
          <w:highlight w:val="none"/>
          <w:lang w:val="zh-CN"/>
        </w:rPr>
        <w:t>规定的全部商务文件和技术文件，若有缺失、无效或者不符合磋商文件要求，将导致其被拒绝。</w:t>
      </w:r>
    </w:p>
    <w:p>
      <w:pPr>
        <w:keepNext w:val="0"/>
        <w:keepLines w:val="0"/>
        <w:pageBreakBefore w:val="0"/>
        <w:widowControl w:val="0"/>
        <w:kinsoku/>
        <w:wordWrap/>
        <w:overflowPunct/>
        <w:topLinePunct w:val="0"/>
        <w:autoSpaceDE w:val="0"/>
        <w:autoSpaceDN w:val="0"/>
        <w:bidi w:val="0"/>
        <w:adjustRightInd w:val="0"/>
        <w:snapToGrid/>
        <w:spacing w:line="460" w:lineRule="exact"/>
        <w:ind w:firstLine="482"/>
        <w:textAlignment w:val="auto"/>
        <w:rPr>
          <w:rFonts w:ascii="宋体" w:hAnsi="宋体" w:cs="宋体"/>
          <w:b/>
          <w:color w:val="auto"/>
          <w:sz w:val="21"/>
          <w:szCs w:val="21"/>
          <w:highlight w:val="none"/>
          <w:lang w:val="zh-CN"/>
        </w:rPr>
      </w:pPr>
      <w:r>
        <w:rPr>
          <w:rFonts w:hint="eastAsia" w:ascii="宋体" w:hAnsi="宋体" w:cs="宋体"/>
          <w:b/>
          <w:color w:val="auto"/>
          <w:sz w:val="21"/>
          <w:szCs w:val="21"/>
          <w:highlight w:val="none"/>
          <w:lang w:val="zh-CN"/>
        </w:rPr>
        <w:t>9. 响应文件的编制</w:t>
      </w:r>
    </w:p>
    <w:p>
      <w:pPr>
        <w:keepNext w:val="0"/>
        <w:keepLines w:val="0"/>
        <w:pageBreakBefore w:val="0"/>
        <w:widowControl w:val="0"/>
        <w:kinsoku/>
        <w:wordWrap/>
        <w:overflowPunct/>
        <w:topLinePunct w:val="0"/>
        <w:autoSpaceDE w:val="0"/>
        <w:autoSpaceDN w:val="0"/>
        <w:bidi w:val="0"/>
        <w:adjustRightInd w:val="0"/>
        <w:snapToGrid/>
        <w:spacing w:line="460" w:lineRule="exact"/>
        <w:ind w:firstLine="480"/>
        <w:textAlignment w:val="auto"/>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 xml:space="preserve">9.1 语言：响应文件以及供应商与采购代理机构就有关投磋商的来往函电均使用中文。 </w:t>
      </w:r>
    </w:p>
    <w:p>
      <w:pPr>
        <w:keepNext w:val="0"/>
        <w:keepLines w:val="0"/>
        <w:pageBreakBefore w:val="0"/>
        <w:widowControl w:val="0"/>
        <w:kinsoku/>
        <w:wordWrap/>
        <w:overflowPunct/>
        <w:topLinePunct w:val="0"/>
        <w:autoSpaceDE w:val="0"/>
        <w:autoSpaceDN w:val="0"/>
        <w:bidi w:val="0"/>
        <w:adjustRightInd w:val="0"/>
        <w:snapToGrid/>
        <w:spacing w:line="460" w:lineRule="exact"/>
        <w:ind w:firstLine="480"/>
        <w:textAlignment w:val="auto"/>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9.2 计量单位：中华人民共和国法定计量单位。</w:t>
      </w:r>
    </w:p>
    <w:p>
      <w:pPr>
        <w:keepNext w:val="0"/>
        <w:keepLines w:val="0"/>
        <w:pageBreakBefore w:val="0"/>
        <w:widowControl w:val="0"/>
        <w:kinsoku/>
        <w:wordWrap/>
        <w:overflowPunct/>
        <w:topLinePunct w:val="0"/>
        <w:autoSpaceDE w:val="0"/>
        <w:autoSpaceDN w:val="0"/>
        <w:bidi w:val="0"/>
        <w:adjustRightInd w:val="0"/>
        <w:snapToGrid/>
        <w:spacing w:line="460" w:lineRule="exact"/>
        <w:ind w:firstLine="480"/>
        <w:textAlignment w:val="auto"/>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9.3 响应文件规格应采用A4幅面打印，按照文件规定的顺序，统一编目编码装订。为便于评审，技术文件中的各项表格应按照磋商文件第六章规定的格式制作。</w:t>
      </w:r>
    </w:p>
    <w:p>
      <w:pPr>
        <w:keepNext w:val="0"/>
        <w:keepLines w:val="0"/>
        <w:pageBreakBefore w:val="0"/>
        <w:widowControl w:val="0"/>
        <w:tabs>
          <w:tab w:val="left" w:pos="709"/>
        </w:tabs>
        <w:kinsoku/>
        <w:wordWrap/>
        <w:overflowPunct/>
        <w:topLinePunct w:val="0"/>
        <w:autoSpaceDE w:val="0"/>
        <w:autoSpaceDN w:val="0"/>
        <w:bidi w:val="0"/>
        <w:adjustRightInd w:val="0"/>
        <w:snapToGrid/>
        <w:spacing w:line="460" w:lineRule="exact"/>
        <w:ind w:firstLine="480"/>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9.4 供应商在响应文件以及在合同签订、履行过程中所签署的相关文件中所加盖的公章，均须按照磋商文件的规定加盖与供应商名称全称相一致的标准公章。</w:t>
      </w:r>
    </w:p>
    <w:p>
      <w:pPr>
        <w:keepNext w:val="0"/>
        <w:keepLines w:val="0"/>
        <w:pageBreakBefore w:val="0"/>
        <w:widowControl w:val="0"/>
        <w:tabs>
          <w:tab w:val="left" w:pos="709"/>
        </w:tabs>
        <w:kinsoku/>
        <w:wordWrap/>
        <w:overflowPunct/>
        <w:topLinePunct w:val="0"/>
        <w:autoSpaceDE w:val="0"/>
        <w:autoSpaceDN w:val="0"/>
        <w:bidi w:val="0"/>
        <w:adjustRightInd w:val="0"/>
        <w:snapToGrid/>
        <w:spacing w:line="460" w:lineRule="exact"/>
        <w:ind w:firstLine="480"/>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9.5 </w:t>
      </w:r>
      <w:r>
        <w:rPr>
          <w:rFonts w:hint="eastAsia" w:ascii="宋体" w:hAnsi="宋体" w:cs="宋体"/>
          <w:color w:val="auto"/>
          <w:sz w:val="21"/>
          <w:szCs w:val="21"/>
          <w:highlight w:val="none"/>
          <w:lang w:val="zh-CN"/>
        </w:rPr>
        <w:t>采购</w:t>
      </w:r>
      <w:r>
        <w:rPr>
          <w:rFonts w:hint="eastAsia" w:ascii="宋体" w:hAnsi="宋体" w:cs="宋体"/>
          <w:color w:val="auto"/>
          <w:kern w:val="0"/>
          <w:sz w:val="21"/>
          <w:szCs w:val="21"/>
          <w:highlight w:val="none"/>
          <w:lang w:val="zh-CN"/>
        </w:rPr>
        <w:t>代理机构不接受采用传真方式提交的响应文件。</w:t>
      </w:r>
    </w:p>
    <w:p>
      <w:pPr>
        <w:keepNext w:val="0"/>
        <w:keepLines w:val="0"/>
        <w:pageBreakBefore w:val="0"/>
        <w:widowControl w:val="0"/>
        <w:kinsoku/>
        <w:wordWrap/>
        <w:overflowPunct/>
        <w:topLinePunct w:val="0"/>
        <w:autoSpaceDE w:val="0"/>
        <w:autoSpaceDN w:val="0"/>
        <w:bidi w:val="0"/>
        <w:adjustRightInd w:val="0"/>
        <w:snapToGrid/>
        <w:spacing w:line="460" w:lineRule="exact"/>
        <w:ind w:firstLine="482"/>
        <w:textAlignment w:val="auto"/>
        <w:rPr>
          <w:rFonts w:ascii="宋体" w:hAnsi="宋体" w:cs="宋体"/>
          <w:b/>
          <w:color w:val="auto"/>
          <w:sz w:val="21"/>
          <w:szCs w:val="21"/>
          <w:highlight w:val="none"/>
          <w:lang w:val="zh-CN"/>
        </w:rPr>
      </w:pPr>
      <w:r>
        <w:rPr>
          <w:rFonts w:hint="eastAsia" w:ascii="宋体" w:hAnsi="宋体" w:cs="宋体"/>
          <w:b/>
          <w:color w:val="auto"/>
          <w:sz w:val="21"/>
          <w:szCs w:val="21"/>
          <w:highlight w:val="none"/>
          <w:lang w:val="zh-CN"/>
        </w:rPr>
        <w:t>10. 磋商报价</w:t>
      </w:r>
    </w:p>
    <w:p>
      <w:pPr>
        <w:keepNext w:val="0"/>
        <w:keepLines w:val="0"/>
        <w:pageBreakBefore w:val="0"/>
        <w:widowControl w:val="0"/>
        <w:kinsoku/>
        <w:wordWrap/>
        <w:overflowPunct/>
        <w:topLinePunct w:val="0"/>
        <w:autoSpaceDE w:val="0"/>
        <w:autoSpaceDN w:val="0"/>
        <w:bidi w:val="0"/>
        <w:adjustRightInd w:val="0"/>
        <w:snapToGrid/>
        <w:spacing w:line="460" w:lineRule="exact"/>
        <w:ind w:firstLine="480"/>
        <w:textAlignment w:val="auto"/>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10.1 供应商的磋商报价应在磋商预算范围内，超出此范围的磋商报价为</w:t>
      </w:r>
      <w:r>
        <w:rPr>
          <w:rFonts w:hint="eastAsia" w:ascii="宋体" w:hAnsi="宋体" w:cs="宋体"/>
          <w:color w:val="auto"/>
          <w:sz w:val="21"/>
          <w:szCs w:val="21"/>
          <w:highlight w:val="none"/>
        </w:rPr>
        <w:t>无效</w:t>
      </w:r>
      <w:r>
        <w:rPr>
          <w:rFonts w:hint="eastAsia" w:ascii="宋体" w:hAnsi="宋体" w:cs="宋体"/>
          <w:color w:val="auto"/>
          <w:sz w:val="21"/>
          <w:szCs w:val="21"/>
          <w:highlight w:val="none"/>
          <w:lang w:val="zh-CN"/>
        </w:rPr>
        <w:t>响应。</w:t>
      </w:r>
    </w:p>
    <w:p>
      <w:pPr>
        <w:keepNext w:val="0"/>
        <w:keepLines w:val="0"/>
        <w:pageBreakBefore w:val="0"/>
        <w:widowControl w:val="0"/>
        <w:kinsoku/>
        <w:wordWrap/>
        <w:overflowPunct/>
        <w:topLinePunct w:val="0"/>
        <w:autoSpaceDE w:val="0"/>
        <w:autoSpaceDN w:val="0"/>
        <w:bidi w:val="0"/>
        <w:adjustRightInd w:val="0"/>
        <w:snapToGrid/>
        <w:spacing w:line="460" w:lineRule="exact"/>
        <w:ind w:firstLine="480"/>
        <w:textAlignment w:val="auto"/>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10.</w:t>
      </w:r>
      <w:r>
        <w:rPr>
          <w:rFonts w:hint="eastAsia" w:ascii="宋体" w:hAnsi="宋体" w:cs="宋体"/>
          <w:color w:val="auto"/>
          <w:sz w:val="21"/>
          <w:szCs w:val="21"/>
          <w:highlight w:val="none"/>
        </w:rPr>
        <w:t>2</w:t>
      </w:r>
      <w:r>
        <w:rPr>
          <w:rFonts w:hint="eastAsia" w:ascii="宋体" w:hAnsi="宋体" w:cs="宋体"/>
          <w:color w:val="auto"/>
          <w:sz w:val="21"/>
          <w:szCs w:val="21"/>
          <w:highlight w:val="none"/>
          <w:lang w:val="zh-CN"/>
        </w:rPr>
        <w:t xml:space="preserve"> 供应商所报的价格在合同执行过程中是固定不变的，不得以任何理由予以变更。以可调整的价格提交的响应文件将作为非响应性磋商予以拒绝。</w:t>
      </w:r>
    </w:p>
    <w:p>
      <w:pPr>
        <w:keepNext w:val="0"/>
        <w:keepLines w:val="0"/>
        <w:pageBreakBefore w:val="0"/>
        <w:widowControl w:val="0"/>
        <w:kinsoku/>
        <w:wordWrap/>
        <w:overflowPunct/>
        <w:topLinePunct w:val="0"/>
        <w:autoSpaceDE w:val="0"/>
        <w:autoSpaceDN w:val="0"/>
        <w:bidi w:val="0"/>
        <w:adjustRightInd w:val="0"/>
        <w:snapToGrid/>
        <w:spacing w:line="460" w:lineRule="exact"/>
        <w:ind w:firstLine="482"/>
        <w:jc w:val="left"/>
        <w:textAlignment w:val="auto"/>
        <w:rPr>
          <w:rFonts w:ascii="宋体" w:hAnsi="宋体" w:cs="宋体"/>
          <w:b/>
          <w:color w:val="auto"/>
          <w:sz w:val="21"/>
          <w:szCs w:val="21"/>
          <w:highlight w:val="none"/>
          <w:lang w:val="zh-CN"/>
        </w:rPr>
      </w:pPr>
      <w:r>
        <w:rPr>
          <w:rFonts w:hint="eastAsia" w:ascii="宋体" w:hAnsi="宋体" w:cs="宋体"/>
          <w:b/>
          <w:color w:val="auto"/>
          <w:sz w:val="21"/>
          <w:szCs w:val="21"/>
          <w:highlight w:val="none"/>
          <w:lang w:val="zh-CN"/>
        </w:rPr>
        <w:t>1</w:t>
      </w:r>
      <w:r>
        <w:rPr>
          <w:rFonts w:hint="eastAsia" w:ascii="宋体" w:hAnsi="宋体" w:cs="宋体"/>
          <w:b/>
          <w:color w:val="auto"/>
          <w:sz w:val="21"/>
          <w:szCs w:val="21"/>
          <w:highlight w:val="none"/>
        </w:rPr>
        <w:t>1</w:t>
      </w:r>
      <w:r>
        <w:rPr>
          <w:rFonts w:hint="eastAsia" w:ascii="宋体" w:hAnsi="宋体" w:cs="宋体"/>
          <w:b/>
          <w:color w:val="auto"/>
          <w:sz w:val="21"/>
          <w:szCs w:val="21"/>
          <w:highlight w:val="none"/>
          <w:lang w:val="zh-CN"/>
        </w:rPr>
        <w:t>. 磋商有效期</w:t>
      </w:r>
    </w:p>
    <w:p>
      <w:pPr>
        <w:keepNext w:val="0"/>
        <w:keepLines w:val="0"/>
        <w:pageBreakBefore w:val="0"/>
        <w:widowControl w:val="0"/>
        <w:kinsoku/>
        <w:wordWrap/>
        <w:overflowPunct/>
        <w:topLinePunct w:val="0"/>
        <w:autoSpaceDE w:val="0"/>
        <w:autoSpaceDN w:val="0"/>
        <w:bidi w:val="0"/>
        <w:adjustRightInd w:val="0"/>
        <w:snapToGrid/>
        <w:spacing w:line="460" w:lineRule="exact"/>
        <w:ind w:firstLine="480"/>
        <w:jc w:val="left"/>
        <w:textAlignment w:val="auto"/>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1</w:t>
      </w:r>
      <w:r>
        <w:rPr>
          <w:rFonts w:hint="eastAsia" w:ascii="宋体" w:hAnsi="宋体" w:cs="宋体"/>
          <w:color w:val="auto"/>
          <w:sz w:val="21"/>
          <w:szCs w:val="21"/>
          <w:highlight w:val="none"/>
        </w:rPr>
        <w:t>1</w:t>
      </w:r>
      <w:r>
        <w:rPr>
          <w:rFonts w:hint="eastAsia" w:ascii="宋体" w:hAnsi="宋体" w:cs="宋体"/>
          <w:color w:val="auto"/>
          <w:sz w:val="21"/>
          <w:szCs w:val="21"/>
          <w:highlight w:val="none"/>
          <w:lang w:val="zh-CN"/>
        </w:rPr>
        <w:t>.1 磋商有效期为</w:t>
      </w:r>
      <w:r>
        <w:rPr>
          <w:rFonts w:hint="eastAsia" w:ascii="宋体" w:hAnsi="宋体" w:cs="宋体"/>
          <w:bCs/>
          <w:color w:val="auto"/>
          <w:kern w:val="15"/>
          <w:sz w:val="21"/>
          <w:szCs w:val="21"/>
          <w:highlight w:val="none"/>
        </w:rPr>
        <w:t>磋商截止之日后</w:t>
      </w:r>
      <w:r>
        <w:rPr>
          <w:rFonts w:hint="eastAsia" w:ascii="宋体" w:hAnsi="宋体" w:cs="宋体"/>
          <w:bCs/>
          <w:color w:val="auto"/>
          <w:sz w:val="21"/>
          <w:szCs w:val="21"/>
          <w:highlight w:val="none"/>
          <w:lang w:val="zh-CN"/>
        </w:rPr>
        <w:t>90天（日历天）</w:t>
      </w:r>
      <w:r>
        <w:rPr>
          <w:rFonts w:hint="eastAsia" w:ascii="宋体" w:hAnsi="宋体" w:cs="宋体"/>
          <w:color w:val="auto"/>
          <w:sz w:val="21"/>
          <w:szCs w:val="21"/>
          <w:highlight w:val="none"/>
          <w:lang w:val="zh-CN"/>
        </w:rPr>
        <w:t>。响应文件在这个规定期限内应保持有效。</w:t>
      </w:r>
    </w:p>
    <w:p>
      <w:pPr>
        <w:keepNext w:val="0"/>
        <w:keepLines w:val="0"/>
        <w:pageBreakBefore w:val="0"/>
        <w:widowControl w:val="0"/>
        <w:kinsoku/>
        <w:wordWrap/>
        <w:overflowPunct/>
        <w:topLinePunct w:val="0"/>
        <w:autoSpaceDE w:val="0"/>
        <w:autoSpaceDN w:val="0"/>
        <w:bidi w:val="0"/>
        <w:adjustRightInd w:val="0"/>
        <w:snapToGrid/>
        <w:spacing w:line="460" w:lineRule="exact"/>
        <w:ind w:firstLine="480"/>
        <w:jc w:val="left"/>
        <w:textAlignment w:val="auto"/>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1</w:t>
      </w:r>
      <w:r>
        <w:rPr>
          <w:rFonts w:hint="eastAsia" w:ascii="宋体" w:hAnsi="宋体" w:cs="宋体"/>
          <w:color w:val="auto"/>
          <w:sz w:val="21"/>
          <w:szCs w:val="21"/>
          <w:highlight w:val="none"/>
        </w:rPr>
        <w:t>1</w:t>
      </w:r>
      <w:r>
        <w:rPr>
          <w:rFonts w:hint="eastAsia" w:ascii="宋体" w:hAnsi="宋体" w:cs="宋体"/>
          <w:color w:val="auto"/>
          <w:sz w:val="21"/>
          <w:szCs w:val="21"/>
          <w:highlight w:val="none"/>
          <w:lang w:val="zh-CN"/>
        </w:rPr>
        <w:t>.2 在特殊情况下，采购人可与供应商协商延长磋商有效期。这种要求和答复都应以书面形式进行。供应商可以拒绝接受延期要求而不会被没收磋商保证金。同意延长磋商有效期的供应商除按照采购人要求修改响应文件的有效期外，不能修改响应文件的其他内容。</w:t>
      </w:r>
    </w:p>
    <w:p>
      <w:pPr>
        <w:keepNext w:val="0"/>
        <w:keepLines w:val="0"/>
        <w:pageBreakBefore w:val="0"/>
        <w:widowControl w:val="0"/>
        <w:kinsoku/>
        <w:wordWrap/>
        <w:overflowPunct/>
        <w:topLinePunct w:val="0"/>
        <w:autoSpaceDE w:val="0"/>
        <w:autoSpaceDN w:val="0"/>
        <w:bidi w:val="0"/>
        <w:adjustRightInd w:val="0"/>
        <w:snapToGrid/>
        <w:spacing w:line="460" w:lineRule="exact"/>
        <w:ind w:firstLine="482"/>
        <w:jc w:val="left"/>
        <w:textAlignment w:val="auto"/>
        <w:rPr>
          <w:rFonts w:ascii="宋体" w:hAnsi="宋体" w:cs="宋体"/>
          <w:b/>
          <w:color w:val="auto"/>
          <w:sz w:val="21"/>
          <w:szCs w:val="21"/>
          <w:highlight w:val="none"/>
          <w:lang w:val="zh-CN"/>
        </w:rPr>
      </w:pPr>
      <w:r>
        <w:rPr>
          <w:rFonts w:hint="eastAsia" w:ascii="宋体" w:hAnsi="宋体" w:cs="宋体"/>
          <w:b/>
          <w:color w:val="auto"/>
          <w:sz w:val="21"/>
          <w:szCs w:val="21"/>
          <w:highlight w:val="none"/>
          <w:lang w:val="zh-CN"/>
        </w:rPr>
        <w:t>1</w:t>
      </w:r>
      <w:r>
        <w:rPr>
          <w:rFonts w:hint="eastAsia" w:ascii="宋体" w:hAnsi="宋体" w:cs="宋体"/>
          <w:b/>
          <w:color w:val="auto"/>
          <w:sz w:val="21"/>
          <w:szCs w:val="21"/>
          <w:highlight w:val="none"/>
        </w:rPr>
        <w:t>2</w:t>
      </w:r>
      <w:r>
        <w:rPr>
          <w:rFonts w:hint="eastAsia" w:ascii="宋体" w:hAnsi="宋体" w:cs="宋体"/>
          <w:b/>
          <w:color w:val="auto"/>
          <w:sz w:val="21"/>
          <w:szCs w:val="21"/>
          <w:highlight w:val="none"/>
          <w:lang w:val="zh-CN"/>
        </w:rPr>
        <w:t>. 响应文件的式样和签署</w:t>
      </w:r>
    </w:p>
    <w:p>
      <w:pPr>
        <w:keepNext w:val="0"/>
        <w:keepLines w:val="0"/>
        <w:pageBreakBefore w:val="0"/>
        <w:widowControl w:val="0"/>
        <w:kinsoku/>
        <w:wordWrap/>
        <w:overflowPunct/>
        <w:topLinePunct w:val="0"/>
        <w:autoSpaceDE w:val="0"/>
        <w:autoSpaceDN w:val="0"/>
        <w:bidi w:val="0"/>
        <w:adjustRightInd w:val="0"/>
        <w:snapToGrid/>
        <w:spacing w:line="460" w:lineRule="exact"/>
        <w:ind w:firstLine="480"/>
        <w:jc w:val="left"/>
        <w:textAlignment w:val="auto"/>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1</w:t>
      </w:r>
      <w:r>
        <w:rPr>
          <w:rFonts w:hint="eastAsia" w:ascii="宋体" w:hAnsi="宋体" w:cs="宋体"/>
          <w:color w:val="auto"/>
          <w:sz w:val="21"/>
          <w:szCs w:val="21"/>
          <w:highlight w:val="none"/>
        </w:rPr>
        <w:t>2</w:t>
      </w:r>
      <w:r>
        <w:rPr>
          <w:rFonts w:hint="eastAsia" w:ascii="宋体" w:hAnsi="宋体" w:cs="宋体"/>
          <w:color w:val="auto"/>
          <w:sz w:val="21"/>
          <w:szCs w:val="21"/>
          <w:highlight w:val="none"/>
          <w:lang w:val="zh-CN"/>
        </w:rPr>
        <w:t>.1 响应文件需打印或用不褪色墨水书写。第六章《响应文件构成、要求及格式》中凡要求签署和/或加盖公章的，均须由供应商的法定代表人或授权代表手书签字和/或加盖供应商公章。响应文件由法定代表人签署的，须与其企业法人营业执照相符；（按第六章规定的格式提交）。</w:t>
      </w:r>
    </w:p>
    <w:p>
      <w:pPr>
        <w:keepNext w:val="0"/>
        <w:keepLines w:val="0"/>
        <w:pageBreakBefore w:val="0"/>
        <w:widowControl w:val="0"/>
        <w:kinsoku/>
        <w:wordWrap/>
        <w:overflowPunct/>
        <w:topLinePunct w:val="0"/>
        <w:autoSpaceDE w:val="0"/>
        <w:autoSpaceDN w:val="0"/>
        <w:bidi w:val="0"/>
        <w:adjustRightInd w:val="0"/>
        <w:snapToGrid/>
        <w:spacing w:line="460" w:lineRule="exact"/>
        <w:ind w:firstLine="480"/>
        <w:jc w:val="left"/>
        <w:textAlignment w:val="auto"/>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1</w:t>
      </w:r>
      <w:r>
        <w:rPr>
          <w:rFonts w:hint="eastAsia" w:ascii="宋体" w:hAnsi="宋体" w:cs="宋体"/>
          <w:color w:val="auto"/>
          <w:sz w:val="21"/>
          <w:szCs w:val="21"/>
          <w:highlight w:val="none"/>
        </w:rPr>
        <w:t>2</w:t>
      </w:r>
      <w:r>
        <w:rPr>
          <w:rFonts w:hint="eastAsia" w:ascii="宋体" w:hAnsi="宋体" w:cs="宋体"/>
          <w:color w:val="auto"/>
          <w:sz w:val="21"/>
          <w:szCs w:val="21"/>
          <w:highlight w:val="none"/>
          <w:lang w:val="zh-CN"/>
        </w:rPr>
        <w:t>.2 响应文件中如有修改错漏处，应在修改处加盖供应商公章。</w:t>
      </w:r>
    </w:p>
    <w:p>
      <w:pPr>
        <w:keepNext w:val="0"/>
        <w:keepLines w:val="0"/>
        <w:pageBreakBefore w:val="0"/>
        <w:widowControl w:val="0"/>
        <w:kinsoku/>
        <w:wordWrap/>
        <w:overflowPunct/>
        <w:topLinePunct w:val="0"/>
        <w:autoSpaceDE w:val="0"/>
        <w:autoSpaceDN w:val="0"/>
        <w:bidi w:val="0"/>
        <w:adjustRightInd w:val="0"/>
        <w:snapToGrid/>
        <w:spacing w:line="460" w:lineRule="exact"/>
        <w:ind w:firstLine="482"/>
        <w:textAlignment w:val="auto"/>
        <w:rPr>
          <w:rFonts w:ascii="宋体" w:hAnsi="宋体" w:cs="宋体"/>
          <w:b/>
          <w:color w:val="auto"/>
          <w:sz w:val="21"/>
          <w:szCs w:val="21"/>
          <w:highlight w:val="none"/>
          <w:lang w:val="zh-CN"/>
        </w:rPr>
      </w:pPr>
      <w:r>
        <w:rPr>
          <w:rFonts w:hint="eastAsia" w:ascii="宋体" w:hAnsi="宋体" w:cs="宋体"/>
          <w:b/>
          <w:color w:val="auto"/>
          <w:sz w:val="21"/>
          <w:szCs w:val="21"/>
          <w:highlight w:val="none"/>
          <w:lang w:val="zh-CN"/>
        </w:rPr>
        <w:t>1</w:t>
      </w:r>
      <w:r>
        <w:rPr>
          <w:rFonts w:hint="eastAsia" w:ascii="宋体" w:hAnsi="宋体" w:cs="宋体"/>
          <w:b/>
          <w:color w:val="auto"/>
          <w:sz w:val="21"/>
          <w:szCs w:val="21"/>
          <w:highlight w:val="none"/>
        </w:rPr>
        <w:t>3</w:t>
      </w:r>
      <w:r>
        <w:rPr>
          <w:rFonts w:hint="eastAsia" w:ascii="宋体" w:hAnsi="宋体" w:cs="宋体"/>
          <w:b/>
          <w:color w:val="auto"/>
          <w:sz w:val="21"/>
          <w:szCs w:val="21"/>
          <w:highlight w:val="none"/>
          <w:lang w:val="zh-CN"/>
        </w:rPr>
        <w:t>. 响应文件的修改和撤回</w:t>
      </w:r>
    </w:p>
    <w:p>
      <w:pPr>
        <w:keepNext w:val="0"/>
        <w:keepLines w:val="0"/>
        <w:pageBreakBefore w:val="0"/>
        <w:widowControl w:val="0"/>
        <w:kinsoku/>
        <w:wordWrap/>
        <w:overflowPunct/>
        <w:topLinePunct w:val="0"/>
        <w:autoSpaceDE w:val="0"/>
        <w:autoSpaceDN w:val="0"/>
        <w:bidi w:val="0"/>
        <w:adjustRightInd w:val="0"/>
        <w:snapToGrid/>
        <w:spacing w:line="460" w:lineRule="exact"/>
        <w:ind w:firstLine="480"/>
        <w:textAlignment w:val="auto"/>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1</w:t>
      </w:r>
      <w:r>
        <w:rPr>
          <w:rFonts w:hint="eastAsia" w:ascii="宋体" w:hAnsi="宋体" w:cs="宋体"/>
          <w:color w:val="auto"/>
          <w:sz w:val="21"/>
          <w:szCs w:val="21"/>
          <w:highlight w:val="none"/>
        </w:rPr>
        <w:t>3</w:t>
      </w:r>
      <w:r>
        <w:rPr>
          <w:rFonts w:hint="eastAsia" w:ascii="宋体" w:hAnsi="宋体" w:cs="宋体"/>
          <w:color w:val="auto"/>
          <w:sz w:val="21"/>
          <w:szCs w:val="21"/>
          <w:highlight w:val="none"/>
          <w:lang w:val="zh-CN"/>
        </w:rPr>
        <w:t>.1 供应商在递交响应文件后，可以修改或撤回其响应文件，但采购代理机构必须在规定的响应文件提交截止时间之前收到供应商的修改或撤回的书面通知。</w:t>
      </w:r>
    </w:p>
    <w:p>
      <w:pPr>
        <w:keepNext w:val="0"/>
        <w:keepLines w:val="0"/>
        <w:pageBreakBefore w:val="0"/>
        <w:widowControl w:val="0"/>
        <w:kinsoku/>
        <w:wordWrap/>
        <w:overflowPunct/>
        <w:topLinePunct w:val="0"/>
        <w:autoSpaceDE w:val="0"/>
        <w:autoSpaceDN w:val="0"/>
        <w:bidi w:val="0"/>
        <w:adjustRightInd w:val="0"/>
        <w:snapToGrid/>
        <w:spacing w:line="460" w:lineRule="exact"/>
        <w:ind w:firstLine="480"/>
        <w:textAlignment w:val="auto"/>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1</w:t>
      </w:r>
      <w:r>
        <w:rPr>
          <w:rFonts w:hint="eastAsia" w:ascii="宋体" w:hAnsi="宋体" w:cs="宋体"/>
          <w:color w:val="auto"/>
          <w:sz w:val="21"/>
          <w:szCs w:val="21"/>
          <w:highlight w:val="none"/>
        </w:rPr>
        <w:t>3</w:t>
      </w:r>
      <w:r>
        <w:rPr>
          <w:rFonts w:hint="eastAsia" w:ascii="宋体" w:hAnsi="宋体" w:cs="宋体"/>
          <w:color w:val="auto"/>
          <w:sz w:val="21"/>
          <w:szCs w:val="21"/>
          <w:highlight w:val="none"/>
          <w:lang w:val="zh-CN"/>
        </w:rPr>
        <w:t>.2 供应商的修改或撤回通知书应按对响应文件的规定一样进行编制、密封、标记和递交，并标明</w:t>
      </w:r>
      <w:r>
        <w:rPr>
          <w:rFonts w:hint="eastAsia" w:ascii="宋体" w:hAnsi="宋体" w:cs="宋体"/>
          <w:color w:val="auto"/>
          <w:sz w:val="21"/>
          <w:szCs w:val="21"/>
          <w:highlight w:val="none"/>
        </w:rPr>
        <w:t>“</w:t>
      </w:r>
      <w:r>
        <w:rPr>
          <w:rFonts w:hint="eastAsia" w:ascii="宋体" w:hAnsi="宋体" w:cs="宋体"/>
          <w:color w:val="auto"/>
          <w:sz w:val="21"/>
          <w:szCs w:val="21"/>
          <w:highlight w:val="none"/>
          <w:lang w:val="zh-CN"/>
        </w:rPr>
        <w:t>修改</w:t>
      </w:r>
      <w:r>
        <w:rPr>
          <w:rFonts w:hint="eastAsia" w:ascii="宋体" w:hAnsi="宋体" w:cs="宋体"/>
          <w:color w:val="auto"/>
          <w:sz w:val="21"/>
          <w:szCs w:val="21"/>
          <w:highlight w:val="none"/>
        </w:rPr>
        <w:t>”</w:t>
      </w:r>
      <w:r>
        <w:rPr>
          <w:rFonts w:hint="eastAsia" w:ascii="宋体" w:hAnsi="宋体" w:cs="宋体"/>
          <w:color w:val="auto"/>
          <w:sz w:val="21"/>
          <w:szCs w:val="21"/>
          <w:highlight w:val="none"/>
          <w:lang w:val="zh-CN"/>
        </w:rPr>
        <w:t>或</w:t>
      </w:r>
      <w:r>
        <w:rPr>
          <w:rFonts w:hint="eastAsia" w:ascii="宋体" w:hAnsi="宋体" w:cs="宋体"/>
          <w:color w:val="auto"/>
          <w:sz w:val="21"/>
          <w:szCs w:val="21"/>
          <w:highlight w:val="none"/>
        </w:rPr>
        <w:t>“</w:t>
      </w:r>
      <w:r>
        <w:rPr>
          <w:rFonts w:hint="eastAsia" w:ascii="宋体" w:hAnsi="宋体" w:cs="宋体"/>
          <w:color w:val="auto"/>
          <w:sz w:val="21"/>
          <w:szCs w:val="21"/>
          <w:highlight w:val="none"/>
          <w:lang w:val="zh-CN"/>
        </w:rPr>
        <w:t>撤回</w:t>
      </w:r>
      <w:r>
        <w:rPr>
          <w:rFonts w:hint="eastAsia" w:ascii="宋体" w:hAnsi="宋体" w:cs="宋体"/>
          <w:color w:val="auto"/>
          <w:sz w:val="21"/>
          <w:szCs w:val="21"/>
          <w:highlight w:val="none"/>
        </w:rPr>
        <w:t>”</w:t>
      </w:r>
      <w:r>
        <w:rPr>
          <w:rFonts w:hint="eastAsia" w:ascii="宋体" w:hAnsi="宋体" w:cs="宋体"/>
          <w:color w:val="auto"/>
          <w:sz w:val="21"/>
          <w:szCs w:val="21"/>
          <w:highlight w:val="none"/>
          <w:lang w:val="zh-CN"/>
        </w:rPr>
        <w:t>字样。</w:t>
      </w:r>
    </w:p>
    <w:p>
      <w:pPr>
        <w:keepNext w:val="0"/>
        <w:keepLines w:val="0"/>
        <w:pageBreakBefore w:val="0"/>
        <w:widowControl w:val="0"/>
        <w:kinsoku/>
        <w:wordWrap/>
        <w:overflowPunct/>
        <w:topLinePunct w:val="0"/>
        <w:autoSpaceDE w:val="0"/>
        <w:autoSpaceDN w:val="0"/>
        <w:bidi w:val="0"/>
        <w:adjustRightInd w:val="0"/>
        <w:snapToGrid/>
        <w:spacing w:line="460" w:lineRule="exact"/>
        <w:ind w:firstLine="482"/>
        <w:textAlignment w:val="auto"/>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1</w:t>
      </w:r>
      <w:r>
        <w:rPr>
          <w:rFonts w:hint="eastAsia" w:ascii="宋体" w:hAnsi="宋体" w:cs="宋体"/>
          <w:color w:val="auto"/>
          <w:sz w:val="21"/>
          <w:szCs w:val="21"/>
          <w:highlight w:val="none"/>
        </w:rPr>
        <w:t>3</w:t>
      </w:r>
      <w:r>
        <w:rPr>
          <w:rFonts w:hint="eastAsia" w:ascii="宋体" w:hAnsi="宋体" w:cs="宋体"/>
          <w:color w:val="auto"/>
          <w:sz w:val="21"/>
          <w:szCs w:val="21"/>
          <w:highlight w:val="none"/>
          <w:lang w:val="zh-CN"/>
        </w:rPr>
        <w:t>.3 在响应文件提交截止时间（磋商时间）之后，供应商不得对其响应文件做任何修改（包括磋商一览表的内容）。</w:t>
      </w:r>
    </w:p>
    <w:p>
      <w:pPr>
        <w:keepNext w:val="0"/>
        <w:keepLines w:val="0"/>
        <w:pageBreakBefore w:val="0"/>
        <w:widowControl w:val="0"/>
        <w:kinsoku/>
        <w:wordWrap/>
        <w:overflowPunct/>
        <w:topLinePunct w:val="0"/>
        <w:autoSpaceDE w:val="0"/>
        <w:autoSpaceDN w:val="0"/>
        <w:bidi w:val="0"/>
        <w:adjustRightInd w:val="0"/>
        <w:snapToGrid/>
        <w:spacing w:line="460" w:lineRule="exact"/>
        <w:ind w:firstLine="482"/>
        <w:textAlignment w:val="auto"/>
        <w:rPr>
          <w:rFonts w:ascii="宋体" w:hAnsi="宋体" w:cs="宋体"/>
          <w:b/>
          <w:color w:val="auto"/>
          <w:sz w:val="21"/>
          <w:szCs w:val="21"/>
          <w:highlight w:val="none"/>
          <w:lang w:val="zh-CN"/>
        </w:rPr>
      </w:pPr>
      <w:r>
        <w:rPr>
          <w:rFonts w:hint="eastAsia" w:ascii="宋体" w:hAnsi="宋体" w:cs="宋体"/>
          <w:b/>
          <w:color w:val="auto"/>
          <w:sz w:val="21"/>
          <w:szCs w:val="21"/>
          <w:highlight w:val="none"/>
          <w:lang w:val="zh-CN"/>
        </w:rPr>
        <w:t>1</w:t>
      </w:r>
      <w:r>
        <w:rPr>
          <w:rFonts w:hint="eastAsia" w:ascii="宋体" w:hAnsi="宋体" w:cs="宋体"/>
          <w:b/>
          <w:color w:val="auto"/>
          <w:sz w:val="21"/>
          <w:szCs w:val="21"/>
          <w:highlight w:val="none"/>
        </w:rPr>
        <w:t>4</w:t>
      </w:r>
      <w:r>
        <w:rPr>
          <w:rFonts w:hint="eastAsia" w:ascii="宋体" w:hAnsi="宋体" w:cs="宋体"/>
          <w:b/>
          <w:color w:val="auto"/>
          <w:sz w:val="21"/>
          <w:szCs w:val="21"/>
          <w:highlight w:val="none"/>
          <w:lang w:val="zh-CN"/>
        </w:rPr>
        <w:t>. 响应文件</w:t>
      </w:r>
    </w:p>
    <w:p>
      <w:pPr>
        <w:keepNext w:val="0"/>
        <w:keepLines w:val="0"/>
        <w:pageBreakBefore w:val="0"/>
        <w:widowControl w:val="0"/>
        <w:kinsoku/>
        <w:wordWrap/>
        <w:overflowPunct/>
        <w:topLinePunct w:val="0"/>
        <w:autoSpaceDE w:val="0"/>
        <w:autoSpaceDN w:val="0"/>
        <w:bidi w:val="0"/>
        <w:adjustRightInd w:val="0"/>
        <w:snapToGrid/>
        <w:spacing w:line="460" w:lineRule="exact"/>
        <w:ind w:firstLine="480"/>
        <w:textAlignment w:val="auto"/>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1</w:t>
      </w:r>
      <w:r>
        <w:rPr>
          <w:rFonts w:hint="eastAsia" w:ascii="宋体" w:hAnsi="宋体" w:cs="宋体"/>
          <w:color w:val="auto"/>
          <w:sz w:val="21"/>
          <w:szCs w:val="21"/>
          <w:highlight w:val="none"/>
        </w:rPr>
        <w:t>4</w:t>
      </w:r>
      <w:r>
        <w:rPr>
          <w:rFonts w:hint="eastAsia" w:ascii="宋体" w:hAnsi="宋体" w:cs="宋体"/>
          <w:color w:val="auto"/>
          <w:sz w:val="21"/>
          <w:szCs w:val="21"/>
          <w:highlight w:val="none"/>
          <w:lang w:val="zh-CN"/>
        </w:rPr>
        <w:t>.1 供应商应将响应文件装订成册、密封，在信封上标明项目名称、</w:t>
      </w:r>
      <w:r>
        <w:rPr>
          <w:rFonts w:hint="eastAsia" w:ascii="宋体" w:hAnsi="宋体" w:cs="宋体"/>
          <w:color w:val="auto"/>
          <w:sz w:val="21"/>
          <w:szCs w:val="21"/>
          <w:highlight w:val="none"/>
        </w:rPr>
        <w:t>招标</w:t>
      </w:r>
      <w:r>
        <w:rPr>
          <w:rFonts w:hint="eastAsia" w:ascii="宋体" w:hAnsi="宋体" w:cs="宋体"/>
          <w:color w:val="auto"/>
          <w:sz w:val="21"/>
          <w:szCs w:val="21"/>
          <w:highlight w:val="none"/>
          <w:lang w:val="zh-CN"/>
        </w:rPr>
        <w:t>编号、供应商名称、地址，并在封口处加盖供应商公章，在规定的地点和响应文件提交截止时间前递交给采购代理机构。如果供应商没有按照要求密封、标记，采购代理机构对于供应商的</w:t>
      </w:r>
      <w:r>
        <w:rPr>
          <w:rFonts w:hint="eastAsia" w:ascii="宋体" w:hAnsi="宋体" w:cs="宋体"/>
          <w:color w:val="auto"/>
          <w:sz w:val="21"/>
          <w:szCs w:val="21"/>
          <w:highlight w:val="none"/>
        </w:rPr>
        <w:t>错误响应</w:t>
      </w:r>
      <w:r>
        <w:rPr>
          <w:rFonts w:hint="eastAsia" w:ascii="宋体" w:hAnsi="宋体" w:cs="宋体"/>
          <w:color w:val="auto"/>
          <w:sz w:val="21"/>
          <w:szCs w:val="21"/>
          <w:highlight w:val="none"/>
          <w:lang w:val="zh-CN"/>
        </w:rPr>
        <w:t>以及提前拆封概不负责。</w:t>
      </w:r>
    </w:p>
    <w:p>
      <w:pPr>
        <w:keepNext w:val="0"/>
        <w:keepLines w:val="0"/>
        <w:pageBreakBefore w:val="0"/>
        <w:widowControl w:val="0"/>
        <w:kinsoku/>
        <w:wordWrap/>
        <w:overflowPunct/>
        <w:topLinePunct w:val="0"/>
        <w:autoSpaceDE w:val="0"/>
        <w:autoSpaceDN w:val="0"/>
        <w:bidi w:val="0"/>
        <w:adjustRightInd w:val="0"/>
        <w:snapToGrid/>
        <w:spacing w:line="460" w:lineRule="exact"/>
        <w:ind w:firstLine="480"/>
        <w:textAlignment w:val="auto"/>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1</w:t>
      </w:r>
      <w:r>
        <w:rPr>
          <w:rFonts w:hint="eastAsia" w:ascii="宋体" w:hAnsi="宋体" w:cs="宋体"/>
          <w:color w:val="auto"/>
          <w:sz w:val="21"/>
          <w:szCs w:val="21"/>
          <w:highlight w:val="none"/>
        </w:rPr>
        <w:t>4</w:t>
      </w:r>
      <w:r>
        <w:rPr>
          <w:rFonts w:hint="eastAsia" w:ascii="宋体" w:hAnsi="宋体" w:cs="宋体"/>
          <w:color w:val="auto"/>
          <w:sz w:val="21"/>
          <w:szCs w:val="21"/>
          <w:highlight w:val="none"/>
          <w:lang w:val="zh-CN"/>
        </w:rPr>
        <w:t>.2 响应文件份数：供应商应提交响应文件正本1份、副本</w:t>
      </w: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lang w:val="zh-CN"/>
        </w:rPr>
        <w:t>份，电子版</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lang w:val="zh-CN"/>
        </w:rPr>
        <w:t>份（单独密封），并标明</w:t>
      </w:r>
      <w:r>
        <w:rPr>
          <w:rFonts w:hint="eastAsia" w:ascii="宋体" w:hAnsi="宋体" w:cs="宋体"/>
          <w:color w:val="auto"/>
          <w:sz w:val="21"/>
          <w:szCs w:val="21"/>
          <w:highlight w:val="none"/>
        </w:rPr>
        <w:t>“</w:t>
      </w:r>
      <w:r>
        <w:rPr>
          <w:rFonts w:hint="eastAsia" w:ascii="宋体" w:hAnsi="宋体" w:cs="宋体"/>
          <w:color w:val="auto"/>
          <w:sz w:val="21"/>
          <w:szCs w:val="21"/>
          <w:highlight w:val="none"/>
          <w:lang w:val="zh-CN"/>
        </w:rPr>
        <w:t>正本</w:t>
      </w:r>
      <w:r>
        <w:rPr>
          <w:rFonts w:hint="eastAsia" w:ascii="宋体" w:hAnsi="宋体" w:cs="宋体"/>
          <w:color w:val="auto"/>
          <w:sz w:val="21"/>
          <w:szCs w:val="21"/>
          <w:highlight w:val="none"/>
        </w:rPr>
        <w:t>”</w:t>
      </w:r>
      <w:r>
        <w:rPr>
          <w:rFonts w:hint="eastAsia" w:ascii="宋体" w:hAnsi="宋体" w:cs="宋体"/>
          <w:color w:val="auto"/>
          <w:sz w:val="21"/>
          <w:szCs w:val="21"/>
          <w:highlight w:val="none"/>
          <w:lang w:val="zh-CN"/>
        </w:rPr>
        <w:t>、</w:t>
      </w:r>
      <w:r>
        <w:rPr>
          <w:rFonts w:hint="eastAsia" w:ascii="宋体" w:hAnsi="宋体" w:cs="宋体"/>
          <w:color w:val="auto"/>
          <w:sz w:val="21"/>
          <w:szCs w:val="21"/>
          <w:highlight w:val="none"/>
        </w:rPr>
        <w:t>“</w:t>
      </w:r>
      <w:r>
        <w:rPr>
          <w:rFonts w:hint="eastAsia" w:ascii="宋体" w:hAnsi="宋体" w:cs="宋体"/>
          <w:color w:val="auto"/>
          <w:sz w:val="21"/>
          <w:szCs w:val="21"/>
          <w:highlight w:val="none"/>
          <w:lang w:val="zh-CN"/>
        </w:rPr>
        <w:t>副本</w:t>
      </w:r>
      <w:r>
        <w:rPr>
          <w:rFonts w:hint="eastAsia" w:ascii="宋体" w:hAnsi="宋体" w:cs="宋体"/>
          <w:color w:val="auto"/>
          <w:sz w:val="21"/>
          <w:szCs w:val="21"/>
          <w:highlight w:val="none"/>
        </w:rPr>
        <w:t>”</w:t>
      </w:r>
      <w:r>
        <w:rPr>
          <w:rFonts w:hint="eastAsia" w:ascii="宋体" w:hAnsi="宋体" w:cs="宋体"/>
          <w:color w:val="auto"/>
          <w:sz w:val="21"/>
          <w:szCs w:val="21"/>
          <w:highlight w:val="none"/>
          <w:lang w:val="zh-CN"/>
        </w:rPr>
        <w:t>字样，</w:t>
      </w:r>
      <w:r>
        <w:rPr>
          <w:rFonts w:hint="eastAsia" w:ascii="宋体" w:hAnsi="宋体" w:cs="宋体"/>
          <w:color w:val="auto"/>
          <w:sz w:val="21"/>
          <w:szCs w:val="21"/>
          <w:highlight w:val="none"/>
          <w:lang w:val="en-US" w:eastAsia="zh-CN"/>
        </w:rPr>
        <w:t>副本可以是正本的复印件，但必须加盖骑缝章。</w:t>
      </w:r>
      <w:r>
        <w:rPr>
          <w:rFonts w:hint="eastAsia" w:ascii="宋体" w:hAnsi="宋体" w:cs="宋体"/>
          <w:color w:val="auto"/>
          <w:sz w:val="21"/>
          <w:szCs w:val="21"/>
          <w:highlight w:val="none"/>
          <w:lang w:val="zh-CN"/>
        </w:rPr>
        <w:t>当正本与副本内容不一致时，以正本为准。</w:t>
      </w:r>
    </w:p>
    <w:p>
      <w:pPr>
        <w:keepNext w:val="0"/>
        <w:keepLines w:val="0"/>
        <w:pageBreakBefore w:val="0"/>
        <w:widowControl w:val="0"/>
        <w:kinsoku/>
        <w:wordWrap/>
        <w:overflowPunct/>
        <w:topLinePunct w:val="0"/>
        <w:autoSpaceDE w:val="0"/>
        <w:autoSpaceDN w:val="0"/>
        <w:bidi w:val="0"/>
        <w:adjustRightInd w:val="0"/>
        <w:snapToGrid/>
        <w:spacing w:line="460" w:lineRule="exact"/>
        <w:ind w:firstLine="482"/>
        <w:textAlignment w:val="auto"/>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1</w:t>
      </w:r>
      <w:r>
        <w:rPr>
          <w:rFonts w:hint="eastAsia" w:ascii="宋体" w:hAnsi="宋体" w:cs="宋体"/>
          <w:color w:val="auto"/>
          <w:sz w:val="21"/>
          <w:szCs w:val="21"/>
          <w:highlight w:val="none"/>
        </w:rPr>
        <w:t>4</w:t>
      </w:r>
      <w:r>
        <w:rPr>
          <w:rFonts w:hint="eastAsia" w:ascii="宋体" w:hAnsi="宋体" w:cs="宋体"/>
          <w:color w:val="auto"/>
          <w:sz w:val="21"/>
          <w:szCs w:val="21"/>
          <w:highlight w:val="none"/>
          <w:lang w:val="zh-CN"/>
        </w:rPr>
        <w:t>.3 供应商应按第</w:t>
      </w:r>
      <w:r>
        <w:rPr>
          <w:rFonts w:hint="eastAsia" w:ascii="宋体" w:hAnsi="宋体" w:cs="宋体"/>
          <w:color w:val="auto"/>
          <w:sz w:val="21"/>
          <w:szCs w:val="21"/>
          <w:highlight w:val="none"/>
        </w:rPr>
        <w:t>六</w:t>
      </w:r>
      <w:r>
        <w:rPr>
          <w:rFonts w:hint="eastAsia" w:ascii="宋体" w:hAnsi="宋体" w:cs="宋体"/>
          <w:color w:val="auto"/>
          <w:sz w:val="21"/>
          <w:szCs w:val="21"/>
          <w:highlight w:val="none"/>
          <w:lang w:val="zh-CN"/>
        </w:rPr>
        <w:t>章《响应文件构成、要求及格式》中的格式和要求单独编制一份《磋商一览表》，按照对响应文件同样的要求单独密封和标记，与响应文件同时递交。</w:t>
      </w:r>
    </w:p>
    <w:p>
      <w:pPr>
        <w:keepNext w:val="0"/>
        <w:keepLines w:val="0"/>
        <w:pageBreakBefore w:val="0"/>
        <w:widowControl w:val="0"/>
        <w:kinsoku/>
        <w:wordWrap/>
        <w:overflowPunct/>
        <w:topLinePunct w:val="0"/>
        <w:autoSpaceDE w:val="0"/>
        <w:autoSpaceDN w:val="0"/>
        <w:bidi w:val="0"/>
        <w:adjustRightInd w:val="0"/>
        <w:snapToGrid/>
        <w:spacing w:line="460" w:lineRule="exact"/>
        <w:ind w:firstLine="480"/>
        <w:textAlignment w:val="auto"/>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1</w:t>
      </w:r>
      <w:r>
        <w:rPr>
          <w:rFonts w:hint="eastAsia" w:ascii="宋体" w:hAnsi="宋体" w:cs="宋体"/>
          <w:color w:val="auto"/>
          <w:sz w:val="21"/>
          <w:szCs w:val="21"/>
          <w:highlight w:val="none"/>
        </w:rPr>
        <w:t>4</w:t>
      </w:r>
      <w:r>
        <w:rPr>
          <w:rFonts w:hint="eastAsia" w:ascii="宋体" w:hAnsi="宋体" w:cs="宋体"/>
          <w:color w:val="auto"/>
          <w:sz w:val="21"/>
          <w:szCs w:val="21"/>
          <w:highlight w:val="none"/>
          <w:lang w:val="zh-CN"/>
        </w:rPr>
        <w:t>.4 采购代理机构将拒绝接受并原封退回在规定的响应文件提交截止时间以后递交的响应文件。</w:t>
      </w:r>
    </w:p>
    <w:p>
      <w:pPr>
        <w:keepNext w:val="0"/>
        <w:keepLines w:val="0"/>
        <w:pageBreakBefore w:val="0"/>
        <w:widowControl w:val="0"/>
        <w:kinsoku/>
        <w:wordWrap/>
        <w:overflowPunct/>
        <w:topLinePunct w:val="0"/>
        <w:autoSpaceDE w:val="0"/>
        <w:autoSpaceDN w:val="0"/>
        <w:bidi w:val="0"/>
        <w:adjustRightInd w:val="0"/>
        <w:snapToGrid/>
        <w:spacing w:line="460" w:lineRule="exact"/>
        <w:ind w:firstLine="482"/>
        <w:textAlignment w:val="auto"/>
        <w:rPr>
          <w:rFonts w:ascii="宋体" w:hAnsi="宋体" w:cs="宋体"/>
          <w:b/>
          <w:color w:val="auto"/>
          <w:sz w:val="21"/>
          <w:szCs w:val="21"/>
          <w:highlight w:val="none"/>
          <w:lang w:val="zh-CN"/>
        </w:rPr>
      </w:pPr>
      <w:r>
        <w:rPr>
          <w:rFonts w:hint="eastAsia" w:ascii="宋体" w:hAnsi="宋体" w:cs="宋体"/>
          <w:b/>
          <w:color w:val="auto"/>
          <w:sz w:val="21"/>
          <w:szCs w:val="21"/>
          <w:highlight w:val="none"/>
          <w:lang w:val="zh-CN"/>
        </w:rPr>
        <w:t>1</w:t>
      </w:r>
      <w:r>
        <w:rPr>
          <w:rFonts w:hint="eastAsia" w:ascii="宋体" w:hAnsi="宋体" w:cs="宋体"/>
          <w:b/>
          <w:color w:val="auto"/>
          <w:sz w:val="21"/>
          <w:szCs w:val="21"/>
          <w:highlight w:val="none"/>
        </w:rPr>
        <w:t>5</w:t>
      </w:r>
      <w:r>
        <w:rPr>
          <w:rFonts w:hint="eastAsia" w:ascii="宋体" w:hAnsi="宋体" w:cs="宋体"/>
          <w:b/>
          <w:color w:val="auto"/>
          <w:sz w:val="21"/>
          <w:szCs w:val="21"/>
          <w:highlight w:val="none"/>
          <w:lang w:val="zh-CN"/>
        </w:rPr>
        <w:t>. 磋商</w:t>
      </w:r>
    </w:p>
    <w:p>
      <w:pPr>
        <w:keepNext w:val="0"/>
        <w:keepLines w:val="0"/>
        <w:pageBreakBefore w:val="0"/>
        <w:widowControl w:val="0"/>
        <w:kinsoku/>
        <w:wordWrap/>
        <w:overflowPunct/>
        <w:topLinePunct w:val="0"/>
        <w:autoSpaceDE w:val="0"/>
        <w:autoSpaceDN w:val="0"/>
        <w:bidi w:val="0"/>
        <w:adjustRightInd w:val="0"/>
        <w:snapToGrid/>
        <w:spacing w:line="460" w:lineRule="exact"/>
        <w:ind w:firstLine="480"/>
        <w:textAlignment w:val="auto"/>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1</w:t>
      </w:r>
      <w:r>
        <w:rPr>
          <w:rFonts w:hint="eastAsia" w:ascii="宋体" w:hAnsi="宋体" w:cs="宋体"/>
          <w:color w:val="auto"/>
          <w:sz w:val="21"/>
          <w:szCs w:val="21"/>
          <w:highlight w:val="none"/>
        </w:rPr>
        <w:t>5</w:t>
      </w:r>
      <w:r>
        <w:rPr>
          <w:rFonts w:hint="eastAsia" w:ascii="宋体" w:hAnsi="宋体" w:cs="宋体"/>
          <w:color w:val="auto"/>
          <w:sz w:val="21"/>
          <w:szCs w:val="21"/>
          <w:highlight w:val="none"/>
          <w:lang w:val="zh-CN"/>
        </w:rPr>
        <w:t>.1采购代理机构将在竞争性磋商公告规定的时间和地点组织磋商活动。供应商法定代表人或其授权代理人应参加并签名报到以证明其出席。</w:t>
      </w:r>
    </w:p>
    <w:p>
      <w:pPr>
        <w:keepNext w:val="0"/>
        <w:keepLines w:val="0"/>
        <w:pageBreakBefore w:val="0"/>
        <w:widowControl w:val="0"/>
        <w:kinsoku/>
        <w:wordWrap/>
        <w:overflowPunct/>
        <w:topLinePunct w:val="0"/>
        <w:autoSpaceDE w:val="0"/>
        <w:autoSpaceDN w:val="0"/>
        <w:bidi w:val="0"/>
        <w:adjustRightInd w:val="0"/>
        <w:snapToGrid/>
        <w:spacing w:line="460" w:lineRule="exact"/>
        <w:ind w:firstLine="480"/>
        <w:textAlignment w:val="auto"/>
        <w:rPr>
          <w:rFonts w:ascii="宋体" w:hAnsi="宋体" w:cs="宋体"/>
          <w:color w:val="auto"/>
          <w:kern w:val="0"/>
          <w:sz w:val="21"/>
          <w:szCs w:val="21"/>
          <w:highlight w:val="none"/>
          <w:lang w:val="zh-CN"/>
        </w:rPr>
      </w:pPr>
      <w:r>
        <w:rPr>
          <w:rFonts w:hint="eastAsia" w:ascii="宋体" w:hAnsi="宋体" w:cs="宋体"/>
          <w:color w:val="auto"/>
          <w:sz w:val="21"/>
          <w:szCs w:val="21"/>
          <w:highlight w:val="none"/>
          <w:lang w:val="zh-CN"/>
        </w:rPr>
        <w:t>1</w:t>
      </w:r>
      <w:r>
        <w:rPr>
          <w:rFonts w:hint="eastAsia" w:ascii="宋体" w:hAnsi="宋体" w:cs="宋体"/>
          <w:color w:val="auto"/>
          <w:sz w:val="21"/>
          <w:szCs w:val="21"/>
          <w:highlight w:val="none"/>
        </w:rPr>
        <w:t>5</w:t>
      </w:r>
      <w:r>
        <w:rPr>
          <w:rFonts w:hint="eastAsia" w:ascii="宋体" w:hAnsi="宋体" w:cs="宋体"/>
          <w:color w:val="auto"/>
          <w:sz w:val="21"/>
          <w:szCs w:val="21"/>
          <w:highlight w:val="none"/>
          <w:lang w:val="zh-CN"/>
        </w:rPr>
        <w:t>.2 磋商会议由采购代理机构组织并主持。开启文件前，</w:t>
      </w:r>
      <w:r>
        <w:rPr>
          <w:rFonts w:hint="eastAsia" w:ascii="宋体" w:hAnsi="宋体" w:cs="宋体"/>
          <w:color w:val="auto"/>
          <w:kern w:val="0"/>
          <w:sz w:val="21"/>
          <w:szCs w:val="21"/>
          <w:highlight w:val="none"/>
          <w:lang w:val="zh-CN"/>
        </w:rPr>
        <w:t>由监督人员或者供应商代表检查响应文件的密封情况并当场宣布检查情况。</w:t>
      </w:r>
    </w:p>
    <w:p>
      <w:pPr>
        <w:keepNext w:val="0"/>
        <w:keepLines w:val="0"/>
        <w:pageBreakBefore w:val="0"/>
        <w:widowControl w:val="0"/>
        <w:kinsoku/>
        <w:wordWrap/>
        <w:overflowPunct/>
        <w:topLinePunct w:val="0"/>
        <w:autoSpaceDE w:val="0"/>
        <w:autoSpaceDN w:val="0"/>
        <w:bidi w:val="0"/>
        <w:adjustRightInd w:val="0"/>
        <w:snapToGrid/>
        <w:spacing w:line="460" w:lineRule="exact"/>
        <w:ind w:firstLine="480"/>
        <w:textAlignment w:val="auto"/>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1</w:t>
      </w:r>
      <w:r>
        <w:rPr>
          <w:rFonts w:hint="eastAsia" w:ascii="宋体" w:hAnsi="宋体" w:cs="宋体"/>
          <w:color w:val="auto"/>
          <w:sz w:val="21"/>
          <w:szCs w:val="21"/>
          <w:highlight w:val="none"/>
        </w:rPr>
        <w:t>5</w:t>
      </w:r>
      <w:r>
        <w:rPr>
          <w:rFonts w:hint="eastAsia" w:ascii="宋体" w:hAnsi="宋体" w:cs="宋体"/>
          <w:color w:val="auto"/>
          <w:sz w:val="21"/>
          <w:szCs w:val="21"/>
          <w:highlight w:val="none"/>
          <w:lang w:val="zh-CN"/>
        </w:rPr>
        <w:t>.</w:t>
      </w:r>
      <w:r>
        <w:rPr>
          <w:rFonts w:hint="eastAsia" w:ascii="宋体" w:hAnsi="宋体" w:cs="宋体"/>
          <w:color w:val="auto"/>
          <w:sz w:val="21"/>
          <w:szCs w:val="21"/>
          <w:highlight w:val="none"/>
        </w:rPr>
        <w:t>3</w:t>
      </w:r>
      <w:r>
        <w:rPr>
          <w:rFonts w:hint="eastAsia" w:ascii="宋体" w:hAnsi="宋体" w:cs="宋体"/>
          <w:color w:val="auto"/>
          <w:sz w:val="21"/>
          <w:szCs w:val="21"/>
          <w:highlight w:val="none"/>
          <w:lang w:val="zh-CN"/>
        </w:rPr>
        <w:t>按照供应商须知第14条的规定，提交了可接受的</w:t>
      </w:r>
      <w:r>
        <w:rPr>
          <w:rFonts w:hint="eastAsia" w:ascii="宋体" w:hAnsi="宋体" w:cs="宋体"/>
          <w:color w:val="auto"/>
          <w:sz w:val="21"/>
          <w:szCs w:val="21"/>
          <w:highlight w:val="none"/>
        </w:rPr>
        <w:t>“</w:t>
      </w:r>
      <w:r>
        <w:rPr>
          <w:rFonts w:hint="eastAsia" w:ascii="宋体" w:hAnsi="宋体" w:cs="宋体"/>
          <w:color w:val="auto"/>
          <w:sz w:val="21"/>
          <w:szCs w:val="21"/>
          <w:highlight w:val="none"/>
          <w:lang w:val="zh-CN"/>
        </w:rPr>
        <w:t>撤回</w:t>
      </w:r>
      <w:r>
        <w:rPr>
          <w:rFonts w:hint="eastAsia" w:ascii="宋体" w:hAnsi="宋体" w:cs="宋体"/>
          <w:color w:val="auto"/>
          <w:sz w:val="21"/>
          <w:szCs w:val="21"/>
          <w:highlight w:val="none"/>
        </w:rPr>
        <w:t>”</w:t>
      </w:r>
      <w:r>
        <w:rPr>
          <w:rFonts w:hint="eastAsia" w:ascii="宋体" w:hAnsi="宋体" w:cs="宋体"/>
          <w:color w:val="auto"/>
          <w:sz w:val="21"/>
          <w:szCs w:val="21"/>
          <w:highlight w:val="none"/>
          <w:lang w:val="zh-CN"/>
        </w:rPr>
        <w:t>通知的响应文件将不予开封。撤回的响应文件将原封退回供应商。</w:t>
      </w:r>
    </w:p>
    <w:p>
      <w:pPr>
        <w:keepNext w:val="0"/>
        <w:keepLines w:val="0"/>
        <w:pageBreakBefore w:val="0"/>
        <w:widowControl w:val="0"/>
        <w:kinsoku/>
        <w:wordWrap/>
        <w:overflowPunct/>
        <w:topLinePunct w:val="0"/>
        <w:autoSpaceDE w:val="0"/>
        <w:autoSpaceDN w:val="0"/>
        <w:bidi w:val="0"/>
        <w:adjustRightInd w:val="0"/>
        <w:snapToGrid/>
        <w:spacing w:line="460" w:lineRule="exact"/>
        <w:ind w:firstLine="482"/>
        <w:textAlignment w:val="auto"/>
        <w:rPr>
          <w:rFonts w:ascii="宋体" w:hAnsi="宋体" w:cs="宋体"/>
          <w:b/>
          <w:color w:val="auto"/>
          <w:sz w:val="21"/>
          <w:szCs w:val="21"/>
          <w:highlight w:val="none"/>
          <w:lang w:val="zh-CN"/>
        </w:rPr>
      </w:pPr>
      <w:r>
        <w:rPr>
          <w:rFonts w:hint="eastAsia" w:ascii="宋体" w:hAnsi="宋体" w:cs="宋体"/>
          <w:bCs/>
          <w:color w:val="auto"/>
          <w:sz w:val="21"/>
          <w:szCs w:val="21"/>
          <w:highlight w:val="none"/>
        </w:rPr>
        <w:t>15.4</w:t>
      </w:r>
      <w:r>
        <w:rPr>
          <w:rFonts w:hint="eastAsia" w:ascii="宋体" w:hAnsi="宋体" w:cs="宋体"/>
          <w:b/>
          <w:color w:val="auto"/>
          <w:sz w:val="21"/>
          <w:szCs w:val="21"/>
          <w:highlight w:val="none"/>
          <w:lang w:val="zh-CN"/>
        </w:rPr>
        <w:t>磋商会议时有下列情形之一的为无效磋商：</w:t>
      </w:r>
    </w:p>
    <w:p>
      <w:pPr>
        <w:keepNext w:val="0"/>
        <w:keepLines w:val="0"/>
        <w:pageBreakBefore w:val="0"/>
        <w:widowControl w:val="0"/>
        <w:kinsoku/>
        <w:wordWrap/>
        <w:overflowPunct/>
        <w:topLinePunct w:val="0"/>
        <w:autoSpaceDE w:val="0"/>
        <w:autoSpaceDN w:val="0"/>
        <w:bidi w:val="0"/>
        <w:adjustRightInd w:val="0"/>
        <w:snapToGrid/>
        <w:spacing w:line="460" w:lineRule="exact"/>
        <w:ind w:firstLine="480"/>
        <w:textAlignment w:val="auto"/>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（1）响应文件在规定的响应文件提交截止时间以后送达的；</w:t>
      </w:r>
    </w:p>
    <w:p>
      <w:pPr>
        <w:keepNext w:val="0"/>
        <w:keepLines w:val="0"/>
        <w:pageBreakBefore w:val="0"/>
        <w:widowControl w:val="0"/>
        <w:kinsoku/>
        <w:wordWrap/>
        <w:overflowPunct/>
        <w:topLinePunct w:val="0"/>
        <w:autoSpaceDE w:val="0"/>
        <w:autoSpaceDN w:val="0"/>
        <w:bidi w:val="0"/>
        <w:adjustRightInd w:val="0"/>
        <w:snapToGrid/>
        <w:spacing w:line="460" w:lineRule="exact"/>
        <w:ind w:firstLine="480"/>
        <w:textAlignment w:val="auto"/>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w:t>
      </w:r>
      <w:r>
        <w:rPr>
          <w:rFonts w:hint="eastAsia" w:ascii="宋体" w:hAnsi="宋体" w:cs="宋体"/>
          <w:color w:val="auto"/>
          <w:sz w:val="21"/>
          <w:szCs w:val="21"/>
          <w:highlight w:val="none"/>
        </w:rPr>
        <w:t>2</w:t>
      </w:r>
      <w:r>
        <w:rPr>
          <w:rFonts w:hint="eastAsia" w:ascii="宋体" w:hAnsi="宋体" w:cs="宋体"/>
          <w:color w:val="auto"/>
          <w:sz w:val="21"/>
          <w:szCs w:val="21"/>
          <w:highlight w:val="none"/>
          <w:lang w:val="zh-CN"/>
        </w:rPr>
        <w:t>）响应文件未按磋商文件规定密封的；</w:t>
      </w:r>
    </w:p>
    <w:p>
      <w:pPr>
        <w:keepNext w:val="0"/>
        <w:keepLines w:val="0"/>
        <w:pageBreakBefore w:val="0"/>
        <w:widowControl w:val="0"/>
        <w:kinsoku/>
        <w:wordWrap/>
        <w:overflowPunct/>
        <w:topLinePunct w:val="0"/>
        <w:autoSpaceDE w:val="0"/>
        <w:autoSpaceDN w:val="0"/>
        <w:bidi w:val="0"/>
        <w:adjustRightInd w:val="0"/>
        <w:snapToGrid/>
        <w:spacing w:line="460" w:lineRule="exact"/>
        <w:ind w:firstLine="482"/>
        <w:textAlignment w:val="auto"/>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w:t>
      </w:r>
      <w:r>
        <w:rPr>
          <w:rFonts w:hint="eastAsia" w:ascii="宋体" w:hAnsi="宋体" w:cs="宋体"/>
          <w:color w:val="auto"/>
          <w:sz w:val="21"/>
          <w:szCs w:val="21"/>
          <w:highlight w:val="none"/>
        </w:rPr>
        <w:t>3</w:t>
      </w:r>
      <w:r>
        <w:rPr>
          <w:rFonts w:hint="eastAsia" w:ascii="宋体" w:hAnsi="宋体" w:cs="宋体"/>
          <w:color w:val="auto"/>
          <w:sz w:val="21"/>
          <w:szCs w:val="21"/>
          <w:highlight w:val="none"/>
          <w:lang w:val="zh-CN"/>
        </w:rPr>
        <w:t>）未提交单独密封的磋商一览表或者磋商一览表未按规定加盖公章和/或有效签署的；</w:t>
      </w:r>
    </w:p>
    <w:p>
      <w:pPr>
        <w:keepNext w:val="0"/>
        <w:keepLines w:val="0"/>
        <w:pageBreakBefore w:val="0"/>
        <w:widowControl w:val="0"/>
        <w:kinsoku/>
        <w:wordWrap/>
        <w:overflowPunct/>
        <w:topLinePunct w:val="0"/>
        <w:autoSpaceDE w:val="0"/>
        <w:autoSpaceDN w:val="0"/>
        <w:bidi w:val="0"/>
        <w:adjustRightInd w:val="0"/>
        <w:snapToGrid/>
        <w:spacing w:line="460" w:lineRule="exact"/>
        <w:ind w:firstLine="480"/>
        <w:textAlignment w:val="auto"/>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w:t>
      </w:r>
      <w:r>
        <w:rPr>
          <w:rFonts w:hint="eastAsia" w:ascii="宋体" w:hAnsi="宋体" w:cs="宋体"/>
          <w:color w:val="auto"/>
          <w:sz w:val="21"/>
          <w:szCs w:val="21"/>
          <w:highlight w:val="none"/>
        </w:rPr>
        <w:t>4</w:t>
      </w:r>
      <w:r>
        <w:rPr>
          <w:rFonts w:hint="eastAsia" w:ascii="宋体" w:hAnsi="宋体" w:cs="宋体"/>
          <w:color w:val="auto"/>
          <w:sz w:val="21"/>
          <w:szCs w:val="21"/>
          <w:highlight w:val="none"/>
          <w:lang w:val="zh-CN"/>
        </w:rPr>
        <w:t>）磋商文件规定磋商时属于无效磋商的其他情形。</w:t>
      </w:r>
    </w:p>
    <w:p>
      <w:pPr>
        <w:keepNext w:val="0"/>
        <w:keepLines w:val="0"/>
        <w:pageBreakBefore w:val="0"/>
        <w:widowControl w:val="0"/>
        <w:kinsoku/>
        <w:wordWrap/>
        <w:overflowPunct/>
        <w:topLinePunct w:val="0"/>
        <w:autoSpaceDE w:val="0"/>
        <w:autoSpaceDN w:val="0"/>
        <w:bidi w:val="0"/>
        <w:adjustRightInd w:val="0"/>
        <w:snapToGrid/>
        <w:spacing w:line="460" w:lineRule="exact"/>
        <w:ind w:firstLine="482"/>
        <w:textAlignment w:val="auto"/>
        <w:rPr>
          <w:rFonts w:ascii="宋体" w:hAnsi="宋体" w:cs="宋体"/>
          <w:b/>
          <w:color w:val="auto"/>
          <w:sz w:val="21"/>
          <w:szCs w:val="21"/>
          <w:highlight w:val="none"/>
          <w:lang w:val="zh-CN"/>
        </w:rPr>
      </w:pPr>
      <w:r>
        <w:rPr>
          <w:rFonts w:hint="eastAsia" w:ascii="宋体" w:hAnsi="宋体" w:cs="宋体"/>
          <w:bCs/>
          <w:color w:val="auto"/>
          <w:sz w:val="21"/>
          <w:szCs w:val="21"/>
          <w:highlight w:val="none"/>
        </w:rPr>
        <w:t>15.5</w:t>
      </w:r>
      <w:r>
        <w:rPr>
          <w:rFonts w:hint="eastAsia" w:ascii="宋体" w:hAnsi="宋体" w:cs="宋体"/>
          <w:bCs/>
          <w:color w:val="auto"/>
          <w:sz w:val="21"/>
          <w:szCs w:val="21"/>
          <w:highlight w:val="none"/>
          <w:lang w:val="zh-CN"/>
        </w:rPr>
        <w:t xml:space="preserve"> </w:t>
      </w:r>
      <w:r>
        <w:rPr>
          <w:rFonts w:hint="eastAsia" w:ascii="宋体" w:hAnsi="宋体" w:cs="宋体"/>
          <w:b/>
          <w:color w:val="auto"/>
          <w:sz w:val="21"/>
          <w:szCs w:val="21"/>
          <w:highlight w:val="none"/>
          <w:lang w:val="zh-CN"/>
        </w:rPr>
        <w:t>磋商会议时有下列情形之一的，采购代理机构有权宣布本项目</w:t>
      </w:r>
      <w:r>
        <w:rPr>
          <w:rFonts w:hint="eastAsia" w:ascii="宋体" w:hAnsi="宋体" w:cs="宋体"/>
          <w:b/>
          <w:color w:val="auto"/>
          <w:sz w:val="21"/>
          <w:szCs w:val="21"/>
          <w:highlight w:val="none"/>
        </w:rPr>
        <w:t>为无效</w:t>
      </w:r>
      <w:r>
        <w:rPr>
          <w:rFonts w:hint="eastAsia" w:ascii="宋体" w:hAnsi="宋体" w:cs="宋体"/>
          <w:b/>
          <w:color w:val="auto"/>
          <w:sz w:val="21"/>
          <w:szCs w:val="21"/>
          <w:highlight w:val="none"/>
          <w:lang w:val="zh-CN"/>
        </w:rPr>
        <w:t>磋商：</w:t>
      </w:r>
    </w:p>
    <w:p>
      <w:pPr>
        <w:keepNext w:val="0"/>
        <w:keepLines w:val="0"/>
        <w:pageBreakBefore w:val="0"/>
        <w:widowControl w:val="0"/>
        <w:kinsoku/>
        <w:wordWrap/>
        <w:overflowPunct/>
        <w:topLinePunct w:val="0"/>
        <w:autoSpaceDE w:val="0"/>
        <w:autoSpaceDN w:val="0"/>
        <w:bidi w:val="0"/>
        <w:adjustRightInd w:val="0"/>
        <w:snapToGrid/>
        <w:spacing w:line="460" w:lineRule="exact"/>
        <w:ind w:firstLine="480"/>
        <w:textAlignment w:val="auto"/>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（1）响应文件提交截止时间符合磋商文件要求的供应商不足</w:t>
      </w:r>
      <w:r>
        <w:rPr>
          <w:rFonts w:hint="eastAsia" w:ascii="宋体" w:hAnsi="宋体" w:cs="宋体"/>
          <w:color w:val="auto"/>
          <w:sz w:val="21"/>
          <w:szCs w:val="21"/>
          <w:highlight w:val="none"/>
        </w:rPr>
        <w:t>三</w:t>
      </w:r>
      <w:r>
        <w:rPr>
          <w:rFonts w:hint="eastAsia" w:ascii="宋体" w:hAnsi="宋体" w:cs="宋体"/>
          <w:color w:val="auto"/>
          <w:sz w:val="21"/>
          <w:szCs w:val="21"/>
          <w:highlight w:val="none"/>
          <w:lang w:val="zh-CN"/>
        </w:rPr>
        <w:t>家的；</w:t>
      </w:r>
    </w:p>
    <w:p>
      <w:pPr>
        <w:keepNext w:val="0"/>
        <w:keepLines w:val="0"/>
        <w:pageBreakBefore w:val="0"/>
        <w:widowControl w:val="0"/>
        <w:kinsoku/>
        <w:wordWrap/>
        <w:overflowPunct/>
        <w:topLinePunct w:val="0"/>
        <w:autoSpaceDE w:val="0"/>
        <w:autoSpaceDN w:val="0"/>
        <w:bidi w:val="0"/>
        <w:adjustRightInd w:val="0"/>
        <w:snapToGrid/>
        <w:spacing w:line="460" w:lineRule="exact"/>
        <w:ind w:firstLine="480"/>
        <w:textAlignment w:val="auto"/>
        <w:rPr>
          <w:rFonts w:ascii="宋体" w:hAnsi="宋体" w:cs="宋体"/>
          <w:b/>
          <w:color w:val="auto"/>
          <w:sz w:val="21"/>
          <w:szCs w:val="21"/>
          <w:highlight w:val="none"/>
          <w:lang w:val="zh-CN"/>
        </w:rPr>
      </w:pPr>
      <w:r>
        <w:rPr>
          <w:rFonts w:hint="eastAsia" w:ascii="宋体" w:hAnsi="宋体" w:cs="宋体"/>
          <w:color w:val="auto"/>
          <w:sz w:val="21"/>
          <w:szCs w:val="21"/>
          <w:highlight w:val="none"/>
          <w:lang w:val="zh-CN"/>
        </w:rPr>
        <w:t>（2）所有供应商的报价均超过项目预算，采购人不能支付的。</w:t>
      </w:r>
    </w:p>
    <w:p>
      <w:pPr>
        <w:keepNext w:val="0"/>
        <w:keepLines w:val="0"/>
        <w:pageBreakBefore w:val="0"/>
        <w:widowControl w:val="0"/>
        <w:kinsoku/>
        <w:wordWrap/>
        <w:overflowPunct/>
        <w:topLinePunct w:val="0"/>
        <w:autoSpaceDE w:val="0"/>
        <w:autoSpaceDN w:val="0"/>
        <w:bidi w:val="0"/>
        <w:adjustRightInd w:val="0"/>
        <w:snapToGrid/>
        <w:spacing w:line="460" w:lineRule="exact"/>
        <w:ind w:firstLine="482"/>
        <w:textAlignment w:val="auto"/>
        <w:rPr>
          <w:rFonts w:ascii="宋体" w:hAnsi="宋体" w:cs="宋体"/>
          <w:color w:val="auto"/>
          <w:sz w:val="21"/>
          <w:szCs w:val="21"/>
          <w:highlight w:val="none"/>
          <w:lang w:val="zh-CN"/>
        </w:rPr>
      </w:pPr>
      <w:r>
        <w:rPr>
          <w:rFonts w:hint="eastAsia" w:ascii="宋体" w:hAnsi="宋体" w:cs="宋体"/>
          <w:b/>
          <w:color w:val="auto"/>
          <w:sz w:val="21"/>
          <w:szCs w:val="21"/>
          <w:highlight w:val="none"/>
          <w:lang w:val="zh-CN"/>
        </w:rPr>
        <w:t>1</w:t>
      </w:r>
      <w:r>
        <w:rPr>
          <w:rFonts w:hint="eastAsia" w:ascii="宋体" w:hAnsi="宋体" w:cs="宋体"/>
          <w:b/>
          <w:color w:val="auto"/>
          <w:sz w:val="21"/>
          <w:szCs w:val="21"/>
          <w:highlight w:val="none"/>
        </w:rPr>
        <w:t>6</w:t>
      </w:r>
      <w:r>
        <w:rPr>
          <w:rFonts w:hint="eastAsia" w:ascii="宋体" w:hAnsi="宋体" w:cs="宋体"/>
          <w:b/>
          <w:color w:val="auto"/>
          <w:sz w:val="21"/>
          <w:szCs w:val="21"/>
          <w:highlight w:val="none"/>
          <w:lang w:val="zh-CN"/>
        </w:rPr>
        <w:t>. 评审过程的保密性：</w:t>
      </w:r>
      <w:r>
        <w:rPr>
          <w:rFonts w:hint="eastAsia" w:ascii="宋体" w:hAnsi="宋体" w:cs="宋体"/>
          <w:color w:val="auto"/>
          <w:sz w:val="21"/>
          <w:szCs w:val="21"/>
          <w:highlight w:val="none"/>
          <w:lang w:val="zh-CN"/>
        </w:rPr>
        <w:t>磋商会议开始后，直至向成交供应商授予合同时止，除按磋商文件规定予以公开的评审结果外，凡与审查、澄清、评价的资料等，均不得向供应商及与评审无关的其他人透露。</w:t>
      </w:r>
    </w:p>
    <w:p>
      <w:pPr>
        <w:keepNext w:val="0"/>
        <w:keepLines w:val="0"/>
        <w:pageBreakBefore w:val="0"/>
        <w:widowControl w:val="0"/>
        <w:kinsoku/>
        <w:wordWrap/>
        <w:overflowPunct/>
        <w:topLinePunct w:val="0"/>
        <w:autoSpaceDE w:val="0"/>
        <w:autoSpaceDN w:val="0"/>
        <w:bidi w:val="0"/>
        <w:adjustRightInd w:val="0"/>
        <w:snapToGrid/>
        <w:spacing w:line="460" w:lineRule="exact"/>
        <w:ind w:firstLine="482"/>
        <w:textAlignment w:val="auto"/>
        <w:rPr>
          <w:rFonts w:ascii="宋体" w:hAnsi="宋体" w:cs="宋体"/>
          <w:b/>
          <w:color w:val="auto"/>
          <w:sz w:val="21"/>
          <w:szCs w:val="21"/>
          <w:highlight w:val="none"/>
          <w:lang w:val="zh-CN"/>
        </w:rPr>
      </w:pPr>
      <w:r>
        <w:rPr>
          <w:rFonts w:hint="eastAsia" w:ascii="宋体" w:hAnsi="宋体" w:cs="宋体"/>
          <w:b/>
          <w:color w:val="auto"/>
          <w:sz w:val="21"/>
          <w:szCs w:val="21"/>
          <w:highlight w:val="none"/>
        </w:rPr>
        <w:t>17</w:t>
      </w:r>
      <w:r>
        <w:rPr>
          <w:rFonts w:hint="eastAsia" w:ascii="宋体" w:hAnsi="宋体" w:cs="宋体"/>
          <w:b/>
          <w:color w:val="auto"/>
          <w:sz w:val="21"/>
          <w:szCs w:val="21"/>
          <w:highlight w:val="none"/>
          <w:lang w:val="zh-CN"/>
        </w:rPr>
        <w:t>. 评审</w:t>
      </w:r>
    </w:p>
    <w:p>
      <w:pPr>
        <w:keepNext w:val="0"/>
        <w:keepLines w:val="0"/>
        <w:pageBreakBefore w:val="0"/>
        <w:widowControl w:val="0"/>
        <w:kinsoku/>
        <w:wordWrap/>
        <w:overflowPunct/>
        <w:topLinePunct w:val="0"/>
        <w:autoSpaceDE w:val="0"/>
        <w:autoSpaceDN w:val="0"/>
        <w:bidi w:val="0"/>
        <w:adjustRightInd w:val="0"/>
        <w:snapToGrid/>
        <w:spacing w:line="460" w:lineRule="exact"/>
        <w:ind w:firstLine="482"/>
        <w:textAlignment w:val="auto"/>
        <w:rPr>
          <w:rFonts w:ascii="宋体" w:hAnsi="宋体" w:cs="宋体"/>
          <w:color w:val="auto"/>
          <w:sz w:val="21"/>
          <w:szCs w:val="21"/>
          <w:highlight w:val="none"/>
          <w:lang w:val="zh-CN"/>
        </w:rPr>
      </w:pPr>
      <w:r>
        <w:rPr>
          <w:rFonts w:hint="eastAsia" w:ascii="宋体" w:hAnsi="宋体" w:cs="宋体"/>
          <w:bCs/>
          <w:color w:val="auto"/>
          <w:sz w:val="21"/>
          <w:szCs w:val="21"/>
          <w:highlight w:val="none"/>
        </w:rPr>
        <w:t>17</w:t>
      </w:r>
      <w:r>
        <w:rPr>
          <w:rFonts w:hint="eastAsia" w:ascii="宋体" w:hAnsi="宋体" w:cs="宋体"/>
          <w:bCs/>
          <w:color w:val="auto"/>
          <w:sz w:val="21"/>
          <w:szCs w:val="21"/>
          <w:highlight w:val="none"/>
          <w:lang w:val="zh-CN"/>
        </w:rPr>
        <w:t>.1</w:t>
      </w:r>
      <w:r>
        <w:rPr>
          <w:rFonts w:hint="eastAsia" w:ascii="宋体" w:hAnsi="宋体" w:cs="宋体"/>
          <w:b/>
          <w:color w:val="auto"/>
          <w:sz w:val="21"/>
          <w:szCs w:val="21"/>
          <w:highlight w:val="none"/>
          <w:lang w:val="zh-CN"/>
        </w:rPr>
        <w:t xml:space="preserve"> 评审工作由采购代理机构负责组织，具体工作由依法组建的磋商小组负责。</w:t>
      </w:r>
      <w:r>
        <w:rPr>
          <w:rFonts w:hint="eastAsia" w:ascii="宋体" w:hAnsi="宋体" w:cs="宋体"/>
          <w:color w:val="auto"/>
          <w:sz w:val="21"/>
          <w:szCs w:val="21"/>
          <w:highlight w:val="none"/>
          <w:lang w:val="zh-CN"/>
        </w:rPr>
        <w:t>磋商小组由有关的技术、经济方面的专家组成。磋商小组的专家成员由专家库中随机抽取产生。需要设立磋商小组主任的，磋商小组主任由专家担任，由磋商小组成员选举产生，负责主持具体评审工作。磋商小组根据有关法律法规和磋商文件规定的方法和标准独立评审，负责完成评审的全过程直至评定成交候选供应商。采购代理机构只负责评审组织工作，不参加评审。</w:t>
      </w:r>
    </w:p>
    <w:p>
      <w:pPr>
        <w:keepNext w:val="0"/>
        <w:keepLines w:val="0"/>
        <w:pageBreakBefore w:val="0"/>
        <w:widowControl w:val="0"/>
        <w:kinsoku/>
        <w:wordWrap/>
        <w:overflowPunct/>
        <w:topLinePunct w:val="0"/>
        <w:autoSpaceDE w:val="0"/>
        <w:autoSpaceDN w:val="0"/>
        <w:bidi w:val="0"/>
        <w:adjustRightInd w:val="0"/>
        <w:snapToGrid/>
        <w:spacing w:line="460" w:lineRule="exact"/>
        <w:ind w:firstLine="482"/>
        <w:textAlignment w:val="auto"/>
        <w:rPr>
          <w:rFonts w:ascii="宋体" w:hAnsi="宋体" w:cs="宋体"/>
          <w:color w:val="auto"/>
          <w:sz w:val="21"/>
          <w:szCs w:val="21"/>
          <w:highlight w:val="none"/>
          <w:lang w:val="zh-CN"/>
        </w:rPr>
      </w:pPr>
      <w:r>
        <w:rPr>
          <w:rFonts w:hint="eastAsia" w:ascii="宋体" w:hAnsi="宋体" w:cs="宋体"/>
          <w:bCs/>
          <w:color w:val="auto"/>
          <w:sz w:val="21"/>
          <w:szCs w:val="21"/>
          <w:highlight w:val="none"/>
        </w:rPr>
        <w:t>17</w:t>
      </w:r>
      <w:r>
        <w:rPr>
          <w:rFonts w:hint="eastAsia" w:ascii="宋体" w:hAnsi="宋体" w:cs="宋体"/>
          <w:bCs/>
          <w:color w:val="auto"/>
          <w:sz w:val="21"/>
          <w:szCs w:val="21"/>
          <w:highlight w:val="none"/>
          <w:lang w:val="zh-CN"/>
        </w:rPr>
        <w:t>.2</w:t>
      </w:r>
      <w:r>
        <w:rPr>
          <w:rFonts w:hint="eastAsia" w:ascii="宋体" w:hAnsi="宋体" w:cs="宋体"/>
          <w:b/>
          <w:color w:val="auto"/>
          <w:sz w:val="21"/>
          <w:szCs w:val="21"/>
          <w:highlight w:val="none"/>
          <w:lang w:val="zh-CN"/>
        </w:rPr>
        <w:t xml:space="preserve"> 审查是否所有供应商的报价均超过预算：</w:t>
      </w:r>
      <w:r>
        <w:rPr>
          <w:rFonts w:hint="eastAsia" w:ascii="宋体" w:hAnsi="宋体" w:cs="宋体"/>
          <w:color w:val="auto"/>
          <w:sz w:val="21"/>
          <w:szCs w:val="21"/>
          <w:highlight w:val="none"/>
          <w:lang w:val="zh-CN"/>
        </w:rPr>
        <w:t>根据《中华人民共和国政府</w:t>
      </w:r>
      <w:r>
        <w:rPr>
          <w:rFonts w:hint="eastAsia" w:ascii="宋体" w:hAnsi="宋体" w:cs="宋体"/>
          <w:bCs/>
          <w:color w:val="auto"/>
          <w:sz w:val="21"/>
          <w:szCs w:val="21"/>
          <w:highlight w:val="none"/>
          <w:lang w:val="zh-CN"/>
        </w:rPr>
        <w:t>采购法》的规定，所有供应商的报价均超过预算，采购人不能支付的，</w:t>
      </w:r>
      <w:r>
        <w:rPr>
          <w:rFonts w:hint="eastAsia" w:ascii="宋体" w:hAnsi="宋体" w:cs="宋体"/>
          <w:bCs/>
          <w:color w:val="auto"/>
          <w:sz w:val="21"/>
          <w:szCs w:val="21"/>
          <w:highlight w:val="none"/>
        </w:rPr>
        <w:t>本项目为无</w:t>
      </w:r>
      <w:r>
        <w:rPr>
          <w:rFonts w:hint="eastAsia" w:ascii="宋体" w:hAnsi="宋体" w:cs="宋体"/>
          <w:color w:val="auto"/>
          <w:sz w:val="21"/>
          <w:szCs w:val="21"/>
          <w:highlight w:val="none"/>
        </w:rPr>
        <w:t>效磋商</w:t>
      </w:r>
      <w:r>
        <w:rPr>
          <w:rFonts w:hint="eastAsia" w:ascii="宋体" w:hAnsi="宋体" w:cs="宋体"/>
          <w:color w:val="auto"/>
          <w:sz w:val="21"/>
          <w:szCs w:val="21"/>
          <w:highlight w:val="none"/>
          <w:lang w:val="zh-CN"/>
        </w:rPr>
        <w:t>。</w:t>
      </w:r>
    </w:p>
    <w:p>
      <w:pPr>
        <w:keepNext w:val="0"/>
        <w:keepLines w:val="0"/>
        <w:pageBreakBefore w:val="0"/>
        <w:widowControl w:val="0"/>
        <w:kinsoku/>
        <w:wordWrap/>
        <w:overflowPunct/>
        <w:topLinePunct w:val="0"/>
        <w:bidi w:val="0"/>
        <w:snapToGrid/>
        <w:spacing w:line="460" w:lineRule="exact"/>
        <w:ind w:firstLine="420" w:firstLineChars="200"/>
        <w:textAlignment w:val="auto"/>
        <w:rPr>
          <w:rFonts w:ascii="宋体" w:hAnsi="宋体" w:cs="宋体"/>
          <w:color w:val="auto"/>
          <w:sz w:val="21"/>
          <w:szCs w:val="21"/>
          <w:highlight w:val="none"/>
        </w:rPr>
      </w:pPr>
      <w:r>
        <w:rPr>
          <w:rFonts w:hint="eastAsia" w:ascii="宋体" w:hAnsi="宋体" w:cs="宋体"/>
          <w:bCs/>
          <w:color w:val="auto"/>
          <w:sz w:val="21"/>
          <w:szCs w:val="21"/>
          <w:highlight w:val="none"/>
          <w:lang w:val="zh-CN"/>
        </w:rPr>
        <w:t>1</w:t>
      </w:r>
      <w:r>
        <w:rPr>
          <w:rFonts w:hint="eastAsia" w:ascii="宋体" w:hAnsi="宋体" w:cs="宋体"/>
          <w:bCs/>
          <w:color w:val="auto"/>
          <w:sz w:val="21"/>
          <w:szCs w:val="21"/>
          <w:highlight w:val="none"/>
        </w:rPr>
        <w:t>7</w:t>
      </w:r>
      <w:r>
        <w:rPr>
          <w:rFonts w:hint="eastAsia" w:ascii="宋体" w:hAnsi="宋体" w:cs="宋体"/>
          <w:bCs/>
          <w:color w:val="auto"/>
          <w:sz w:val="21"/>
          <w:szCs w:val="21"/>
          <w:highlight w:val="none"/>
          <w:lang w:val="zh-CN"/>
        </w:rPr>
        <w:t>.</w:t>
      </w:r>
      <w:r>
        <w:rPr>
          <w:rFonts w:hint="eastAsia" w:ascii="宋体" w:hAnsi="宋体" w:cs="宋体"/>
          <w:bCs/>
          <w:color w:val="auto"/>
          <w:sz w:val="21"/>
          <w:szCs w:val="21"/>
          <w:highlight w:val="none"/>
        </w:rPr>
        <w:t>3</w:t>
      </w:r>
      <w:r>
        <w:rPr>
          <w:rFonts w:hint="eastAsia" w:ascii="宋体" w:hAnsi="宋体" w:cs="宋体"/>
          <w:bCs/>
          <w:color w:val="auto"/>
          <w:sz w:val="21"/>
          <w:szCs w:val="21"/>
          <w:highlight w:val="none"/>
          <w:lang w:val="zh-CN"/>
        </w:rPr>
        <w:t xml:space="preserve"> </w:t>
      </w:r>
      <w:r>
        <w:rPr>
          <w:rFonts w:hint="eastAsia" w:ascii="宋体" w:hAnsi="宋体" w:cs="宋体"/>
          <w:b/>
          <w:color w:val="auto"/>
          <w:sz w:val="21"/>
          <w:szCs w:val="21"/>
          <w:highlight w:val="none"/>
          <w:lang w:val="zh-CN"/>
        </w:rPr>
        <w:t>对响应文件商务部分（供应商资格）进行审查：</w:t>
      </w:r>
      <w:r>
        <w:rPr>
          <w:rFonts w:hint="eastAsia" w:ascii="宋体" w:hAnsi="宋体" w:cs="宋体"/>
          <w:color w:val="auto"/>
          <w:sz w:val="21"/>
          <w:szCs w:val="21"/>
          <w:highlight w:val="none"/>
        </w:rPr>
        <w:t>初步评审。</w:t>
      </w:r>
      <w:r>
        <w:rPr>
          <w:rFonts w:hint="eastAsia" w:ascii="宋体" w:hAnsi="宋体" w:cs="宋体"/>
          <w:color w:val="auto"/>
          <w:sz w:val="21"/>
          <w:szCs w:val="21"/>
          <w:highlight w:val="none"/>
          <w:lang w:val="zh-CN"/>
        </w:rPr>
        <w:t>磋商</w:t>
      </w:r>
      <w:r>
        <w:rPr>
          <w:rFonts w:hint="eastAsia" w:ascii="宋体" w:hAnsi="宋体" w:cs="宋体"/>
          <w:color w:val="auto"/>
          <w:sz w:val="21"/>
          <w:szCs w:val="21"/>
          <w:highlight w:val="none"/>
        </w:rPr>
        <w:t>小组依据有关法律法规和综合</w:t>
      </w:r>
      <w:r>
        <w:rPr>
          <w:rFonts w:hint="eastAsia" w:ascii="宋体" w:hAnsi="宋体" w:cs="宋体"/>
          <w:color w:val="auto"/>
          <w:sz w:val="21"/>
          <w:szCs w:val="21"/>
          <w:highlight w:val="none"/>
          <w:lang w:val="zh-CN"/>
        </w:rPr>
        <w:t>磋商</w:t>
      </w:r>
      <w:r>
        <w:rPr>
          <w:rFonts w:hint="eastAsia" w:ascii="宋体" w:hAnsi="宋体" w:cs="宋体"/>
          <w:color w:val="auto"/>
          <w:sz w:val="21"/>
          <w:szCs w:val="21"/>
          <w:highlight w:val="none"/>
        </w:rPr>
        <w:t>文件的规定，对响应性文件中资质证明、磋商保证金等进行审查，审查每个供应商提交的资质证明材料是否齐全、完整、合法、有效。在评审过程中，</w:t>
      </w:r>
      <w:r>
        <w:rPr>
          <w:rFonts w:hint="eastAsia" w:ascii="宋体" w:hAnsi="宋体" w:cs="宋体"/>
          <w:color w:val="auto"/>
          <w:sz w:val="21"/>
          <w:szCs w:val="21"/>
          <w:highlight w:val="none"/>
          <w:lang w:val="zh-CN"/>
        </w:rPr>
        <w:t>磋商</w:t>
      </w:r>
      <w:r>
        <w:rPr>
          <w:rFonts w:hint="eastAsia" w:ascii="宋体" w:hAnsi="宋体" w:cs="宋体"/>
          <w:color w:val="auto"/>
          <w:sz w:val="21"/>
          <w:szCs w:val="21"/>
          <w:highlight w:val="none"/>
        </w:rPr>
        <w:t>小组可以要求供应商提供磋商文件要求的“原件备查”进行核查，供应商应在</w:t>
      </w:r>
      <w:r>
        <w:rPr>
          <w:rFonts w:hint="eastAsia" w:ascii="宋体" w:hAnsi="宋体" w:cs="宋体"/>
          <w:color w:val="auto"/>
          <w:sz w:val="21"/>
          <w:szCs w:val="21"/>
          <w:highlight w:val="none"/>
          <w:lang w:val="zh-CN"/>
        </w:rPr>
        <w:t>磋商</w:t>
      </w:r>
      <w:r>
        <w:rPr>
          <w:rFonts w:hint="eastAsia" w:ascii="宋体" w:hAnsi="宋体" w:cs="宋体"/>
          <w:color w:val="auto"/>
          <w:sz w:val="21"/>
          <w:szCs w:val="21"/>
          <w:highlight w:val="none"/>
        </w:rPr>
        <w:t>小组规定的时限内提供。供应商拒不提供的，或者不能在规定时限内提供的，视为其不具备该资格条件，其响应性文件将被作为无效处理。</w:t>
      </w:r>
    </w:p>
    <w:p>
      <w:pPr>
        <w:keepNext w:val="0"/>
        <w:keepLines w:val="0"/>
        <w:pageBreakBefore w:val="0"/>
        <w:widowControl w:val="0"/>
        <w:kinsoku/>
        <w:wordWrap/>
        <w:overflowPunct/>
        <w:topLinePunct w:val="0"/>
        <w:autoSpaceDE w:val="0"/>
        <w:autoSpaceDN w:val="0"/>
        <w:bidi w:val="0"/>
        <w:adjustRightInd w:val="0"/>
        <w:snapToGrid/>
        <w:spacing w:line="460" w:lineRule="exact"/>
        <w:ind w:firstLine="482"/>
        <w:textAlignment w:val="auto"/>
        <w:rPr>
          <w:rFonts w:ascii="宋体" w:hAnsi="宋体" w:cs="宋体"/>
          <w:color w:val="auto"/>
          <w:sz w:val="21"/>
          <w:szCs w:val="21"/>
          <w:highlight w:val="none"/>
          <w:lang w:val="zh-CN"/>
        </w:rPr>
      </w:pPr>
      <w:r>
        <w:rPr>
          <w:rFonts w:hint="eastAsia" w:ascii="宋体" w:hAnsi="宋体" w:cs="宋体"/>
          <w:bCs/>
          <w:color w:val="auto"/>
          <w:sz w:val="21"/>
          <w:szCs w:val="21"/>
          <w:highlight w:val="none"/>
        </w:rPr>
        <w:t>17</w:t>
      </w:r>
      <w:r>
        <w:rPr>
          <w:rFonts w:hint="eastAsia" w:ascii="宋体" w:hAnsi="宋体" w:cs="宋体"/>
          <w:bCs/>
          <w:color w:val="auto"/>
          <w:sz w:val="21"/>
          <w:szCs w:val="21"/>
          <w:highlight w:val="none"/>
          <w:lang w:val="zh-CN"/>
        </w:rPr>
        <w:t>.</w:t>
      </w:r>
      <w:r>
        <w:rPr>
          <w:rFonts w:hint="eastAsia" w:ascii="宋体" w:hAnsi="宋体" w:cs="宋体"/>
          <w:bCs/>
          <w:color w:val="auto"/>
          <w:sz w:val="21"/>
          <w:szCs w:val="21"/>
          <w:highlight w:val="none"/>
        </w:rPr>
        <w:t>4</w:t>
      </w:r>
      <w:r>
        <w:rPr>
          <w:rFonts w:hint="eastAsia" w:ascii="宋体" w:hAnsi="宋体" w:cs="宋体"/>
          <w:b/>
          <w:color w:val="auto"/>
          <w:sz w:val="21"/>
          <w:szCs w:val="21"/>
          <w:highlight w:val="none"/>
          <w:lang w:val="zh-CN"/>
        </w:rPr>
        <w:t>对响应文件进行详细审查：</w:t>
      </w:r>
    </w:p>
    <w:p>
      <w:pPr>
        <w:keepNext w:val="0"/>
        <w:keepLines w:val="0"/>
        <w:pageBreakBefore w:val="0"/>
        <w:widowControl w:val="0"/>
        <w:kinsoku/>
        <w:wordWrap/>
        <w:overflowPunct/>
        <w:topLinePunct w:val="0"/>
        <w:autoSpaceDE w:val="0"/>
        <w:autoSpaceDN w:val="0"/>
        <w:bidi w:val="0"/>
        <w:adjustRightInd w:val="0"/>
        <w:snapToGrid/>
        <w:spacing w:line="460" w:lineRule="exact"/>
        <w:ind w:firstLine="482"/>
        <w:textAlignment w:val="auto"/>
        <w:rPr>
          <w:rFonts w:ascii="宋体" w:hAnsi="宋体" w:cs="宋体"/>
          <w:color w:val="auto"/>
          <w:sz w:val="21"/>
          <w:szCs w:val="21"/>
          <w:highlight w:val="none"/>
          <w:lang w:val="zh-CN"/>
        </w:rPr>
      </w:pPr>
      <w:r>
        <w:rPr>
          <w:rFonts w:hint="eastAsia" w:ascii="宋体" w:hAnsi="宋体" w:cs="宋体"/>
          <w:bCs/>
          <w:color w:val="auto"/>
          <w:sz w:val="21"/>
          <w:szCs w:val="21"/>
          <w:highlight w:val="none"/>
          <w:lang w:val="zh-CN"/>
        </w:rPr>
        <w:t>1</w:t>
      </w:r>
      <w:r>
        <w:rPr>
          <w:rFonts w:hint="eastAsia" w:ascii="宋体" w:hAnsi="宋体" w:cs="宋体"/>
          <w:bCs/>
          <w:color w:val="auto"/>
          <w:sz w:val="21"/>
          <w:szCs w:val="21"/>
          <w:highlight w:val="none"/>
        </w:rPr>
        <w:t>7</w:t>
      </w:r>
      <w:r>
        <w:rPr>
          <w:rFonts w:hint="eastAsia" w:ascii="宋体" w:hAnsi="宋体" w:cs="宋体"/>
          <w:bCs/>
          <w:color w:val="auto"/>
          <w:sz w:val="21"/>
          <w:szCs w:val="21"/>
          <w:highlight w:val="none"/>
          <w:lang w:val="zh-CN"/>
        </w:rPr>
        <w:t>.</w:t>
      </w:r>
      <w:r>
        <w:rPr>
          <w:rFonts w:hint="eastAsia" w:ascii="宋体" w:hAnsi="宋体" w:cs="宋体"/>
          <w:bCs/>
          <w:color w:val="auto"/>
          <w:sz w:val="21"/>
          <w:szCs w:val="21"/>
          <w:highlight w:val="none"/>
        </w:rPr>
        <w:t>4</w:t>
      </w:r>
      <w:r>
        <w:rPr>
          <w:rFonts w:hint="eastAsia" w:ascii="宋体" w:hAnsi="宋体" w:cs="宋体"/>
          <w:bCs/>
          <w:color w:val="auto"/>
          <w:sz w:val="21"/>
          <w:szCs w:val="21"/>
          <w:highlight w:val="none"/>
          <w:lang w:val="zh-CN"/>
        </w:rPr>
        <w:t>.1</w:t>
      </w:r>
      <w:r>
        <w:rPr>
          <w:rFonts w:hint="eastAsia" w:ascii="宋体" w:hAnsi="宋体" w:cs="宋体"/>
          <w:b/>
          <w:color w:val="auto"/>
          <w:sz w:val="21"/>
          <w:szCs w:val="21"/>
          <w:highlight w:val="none"/>
          <w:lang w:val="zh-CN"/>
        </w:rPr>
        <w:t xml:space="preserve"> </w:t>
      </w:r>
      <w:r>
        <w:rPr>
          <w:rFonts w:hint="eastAsia" w:ascii="宋体" w:hAnsi="宋体" w:cs="宋体"/>
          <w:color w:val="auto"/>
          <w:sz w:val="21"/>
          <w:szCs w:val="21"/>
          <w:highlight w:val="none"/>
          <w:lang w:val="zh-CN"/>
        </w:rPr>
        <w:t>对于商务审查合格的供应商，磋商小组将审查其响应文件技术部分是否对磋商文件规定的事项、格式、条款和技术规格等要求都做出了实质性响应。</w:t>
      </w:r>
    </w:p>
    <w:p>
      <w:pPr>
        <w:keepNext w:val="0"/>
        <w:keepLines w:val="0"/>
        <w:pageBreakBefore w:val="0"/>
        <w:widowControl w:val="0"/>
        <w:kinsoku/>
        <w:wordWrap/>
        <w:overflowPunct/>
        <w:topLinePunct w:val="0"/>
        <w:autoSpaceDE w:val="0"/>
        <w:autoSpaceDN w:val="0"/>
        <w:bidi w:val="0"/>
        <w:adjustRightInd w:val="0"/>
        <w:snapToGrid/>
        <w:spacing w:line="460" w:lineRule="exact"/>
        <w:ind w:firstLine="482"/>
        <w:textAlignment w:val="auto"/>
        <w:rPr>
          <w:rFonts w:ascii="宋体" w:hAnsi="宋体" w:cs="宋体"/>
          <w:b/>
          <w:color w:val="auto"/>
          <w:sz w:val="21"/>
          <w:szCs w:val="21"/>
          <w:highlight w:val="none"/>
          <w:lang w:val="zh-CN"/>
        </w:rPr>
      </w:pPr>
      <w:r>
        <w:rPr>
          <w:rFonts w:hint="eastAsia" w:ascii="宋体" w:hAnsi="宋体" w:cs="宋体"/>
          <w:bCs/>
          <w:color w:val="auto"/>
          <w:sz w:val="21"/>
          <w:szCs w:val="21"/>
          <w:highlight w:val="none"/>
          <w:lang w:val="zh-CN"/>
        </w:rPr>
        <w:t>1</w:t>
      </w:r>
      <w:r>
        <w:rPr>
          <w:rFonts w:hint="eastAsia" w:ascii="宋体" w:hAnsi="宋体" w:cs="宋体"/>
          <w:bCs/>
          <w:color w:val="auto"/>
          <w:sz w:val="21"/>
          <w:szCs w:val="21"/>
          <w:highlight w:val="none"/>
        </w:rPr>
        <w:t>7</w:t>
      </w:r>
      <w:r>
        <w:rPr>
          <w:rFonts w:hint="eastAsia" w:ascii="宋体" w:hAnsi="宋体" w:cs="宋体"/>
          <w:bCs/>
          <w:color w:val="auto"/>
          <w:sz w:val="21"/>
          <w:szCs w:val="21"/>
          <w:highlight w:val="none"/>
          <w:lang w:val="zh-CN"/>
        </w:rPr>
        <w:t>.</w:t>
      </w:r>
      <w:r>
        <w:rPr>
          <w:rFonts w:hint="eastAsia" w:ascii="宋体" w:hAnsi="宋体" w:cs="宋体"/>
          <w:bCs/>
          <w:color w:val="auto"/>
          <w:sz w:val="21"/>
          <w:szCs w:val="21"/>
          <w:highlight w:val="none"/>
        </w:rPr>
        <w:t>4</w:t>
      </w:r>
      <w:r>
        <w:rPr>
          <w:rFonts w:hint="eastAsia" w:ascii="宋体" w:hAnsi="宋体" w:cs="宋体"/>
          <w:bCs/>
          <w:color w:val="auto"/>
          <w:sz w:val="21"/>
          <w:szCs w:val="21"/>
          <w:highlight w:val="none"/>
          <w:lang w:val="zh-CN"/>
        </w:rPr>
        <w:t xml:space="preserve">.2 </w:t>
      </w:r>
      <w:r>
        <w:rPr>
          <w:rFonts w:hint="eastAsia" w:ascii="宋体" w:hAnsi="宋体" w:cs="宋体"/>
          <w:color w:val="auto"/>
          <w:sz w:val="21"/>
          <w:szCs w:val="21"/>
          <w:highlight w:val="none"/>
          <w:lang w:val="zh-CN"/>
        </w:rPr>
        <w:t>实质性响应的磋商是指与磋商文件规定的事项、条款、条件和技术规格相符，没有重大偏离和保留。没有实质性响应磋商文件要求的将被拒绝。</w:t>
      </w:r>
    </w:p>
    <w:p>
      <w:pPr>
        <w:keepNext w:val="0"/>
        <w:keepLines w:val="0"/>
        <w:pageBreakBefore w:val="0"/>
        <w:widowControl w:val="0"/>
        <w:kinsoku/>
        <w:wordWrap/>
        <w:overflowPunct/>
        <w:topLinePunct w:val="0"/>
        <w:autoSpaceDE w:val="0"/>
        <w:autoSpaceDN w:val="0"/>
        <w:bidi w:val="0"/>
        <w:adjustRightInd w:val="0"/>
        <w:snapToGrid/>
        <w:spacing w:line="460" w:lineRule="exact"/>
        <w:ind w:firstLine="480"/>
        <w:textAlignment w:val="auto"/>
        <w:rPr>
          <w:rFonts w:ascii="宋体" w:hAnsi="宋体" w:cs="宋体"/>
          <w:color w:val="auto"/>
          <w:sz w:val="21"/>
          <w:szCs w:val="21"/>
          <w:highlight w:val="none"/>
          <w:lang w:val="zh-CN"/>
        </w:rPr>
      </w:pPr>
      <w:r>
        <w:rPr>
          <w:rFonts w:hint="eastAsia" w:ascii="宋体" w:hAnsi="宋体" w:cs="宋体"/>
          <w:bCs/>
          <w:color w:val="auto"/>
          <w:sz w:val="21"/>
          <w:szCs w:val="21"/>
          <w:highlight w:val="none"/>
          <w:lang w:val="zh-CN"/>
        </w:rPr>
        <w:t>1</w:t>
      </w:r>
      <w:r>
        <w:rPr>
          <w:rFonts w:hint="eastAsia" w:ascii="宋体" w:hAnsi="宋体" w:cs="宋体"/>
          <w:bCs/>
          <w:color w:val="auto"/>
          <w:sz w:val="21"/>
          <w:szCs w:val="21"/>
          <w:highlight w:val="none"/>
        </w:rPr>
        <w:t>7</w:t>
      </w:r>
      <w:r>
        <w:rPr>
          <w:rFonts w:hint="eastAsia" w:ascii="宋体" w:hAnsi="宋体" w:cs="宋体"/>
          <w:bCs/>
          <w:color w:val="auto"/>
          <w:sz w:val="21"/>
          <w:szCs w:val="21"/>
          <w:highlight w:val="none"/>
          <w:lang w:val="zh-CN"/>
        </w:rPr>
        <w:t>.</w:t>
      </w:r>
      <w:r>
        <w:rPr>
          <w:rFonts w:hint="eastAsia" w:ascii="宋体" w:hAnsi="宋体" w:cs="宋体"/>
          <w:bCs/>
          <w:color w:val="auto"/>
          <w:sz w:val="21"/>
          <w:szCs w:val="21"/>
          <w:highlight w:val="none"/>
        </w:rPr>
        <w:t>5</w:t>
      </w:r>
      <w:r>
        <w:rPr>
          <w:rFonts w:hint="eastAsia" w:ascii="宋体" w:hAnsi="宋体" w:cs="宋体"/>
          <w:b/>
          <w:color w:val="auto"/>
          <w:sz w:val="21"/>
          <w:szCs w:val="21"/>
          <w:highlight w:val="none"/>
          <w:lang w:val="zh-CN"/>
        </w:rPr>
        <w:t xml:space="preserve"> </w:t>
      </w:r>
      <w:r>
        <w:rPr>
          <w:rFonts w:hint="eastAsia" w:ascii="宋体" w:hAnsi="宋体" w:cs="宋体"/>
          <w:color w:val="auto"/>
          <w:sz w:val="21"/>
          <w:szCs w:val="21"/>
          <w:highlight w:val="none"/>
          <w:lang w:val="zh-CN"/>
        </w:rPr>
        <w:t>重大偏离和保留是指实质上影响合同的磋商范围、质量和性能，或者实质上限制了合同中采购人的权利或供应商的义务。响应文件有下列情形之一的属于重大偏离和保留，将作</w:t>
      </w:r>
      <w:r>
        <w:rPr>
          <w:rFonts w:hint="eastAsia" w:ascii="宋体" w:hAnsi="宋体" w:cs="宋体"/>
          <w:color w:val="auto"/>
          <w:sz w:val="21"/>
          <w:szCs w:val="21"/>
          <w:highlight w:val="none"/>
        </w:rPr>
        <w:t>无效</w:t>
      </w:r>
      <w:r>
        <w:rPr>
          <w:rFonts w:hint="eastAsia" w:ascii="宋体" w:hAnsi="宋体" w:cs="宋体"/>
          <w:color w:val="auto"/>
          <w:sz w:val="21"/>
          <w:szCs w:val="21"/>
          <w:highlight w:val="none"/>
          <w:lang w:val="zh-CN"/>
        </w:rPr>
        <w:t>处理：</w:t>
      </w:r>
    </w:p>
    <w:p>
      <w:pPr>
        <w:keepNext w:val="0"/>
        <w:keepLines w:val="0"/>
        <w:pageBreakBefore w:val="0"/>
        <w:widowControl w:val="0"/>
        <w:kinsoku/>
        <w:wordWrap/>
        <w:overflowPunct/>
        <w:topLinePunct w:val="0"/>
        <w:autoSpaceDE w:val="0"/>
        <w:autoSpaceDN w:val="0"/>
        <w:bidi w:val="0"/>
        <w:adjustRightInd w:val="0"/>
        <w:snapToGrid/>
        <w:spacing w:line="460" w:lineRule="exact"/>
        <w:ind w:firstLine="480"/>
        <w:textAlignment w:val="auto"/>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（1）供应商未按磋商文件规定提交所要求提交的全部文件或者提交的文件无效或者不符合磋商文件的规定；</w:t>
      </w:r>
    </w:p>
    <w:p>
      <w:pPr>
        <w:keepNext w:val="0"/>
        <w:keepLines w:val="0"/>
        <w:pageBreakBefore w:val="0"/>
        <w:widowControl w:val="0"/>
        <w:kinsoku/>
        <w:wordWrap/>
        <w:overflowPunct/>
        <w:topLinePunct w:val="0"/>
        <w:autoSpaceDE w:val="0"/>
        <w:autoSpaceDN w:val="0"/>
        <w:bidi w:val="0"/>
        <w:adjustRightInd w:val="0"/>
        <w:snapToGrid/>
        <w:spacing w:line="460" w:lineRule="exact"/>
        <w:ind w:firstLine="480"/>
        <w:textAlignment w:val="auto"/>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（2）响应文件未按磋商文件的规定有效签署和/或加盖公章；</w:t>
      </w:r>
    </w:p>
    <w:p>
      <w:pPr>
        <w:keepNext w:val="0"/>
        <w:keepLines w:val="0"/>
        <w:pageBreakBefore w:val="0"/>
        <w:widowControl w:val="0"/>
        <w:tabs>
          <w:tab w:val="left" w:pos="1920"/>
        </w:tabs>
        <w:kinsoku/>
        <w:wordWrap/>
        <w:overflowPunct/>
        <w:topLinePunct w:val="0"/>
        <w:autoSpaceDE w:val="0"/>
        <w:autoSpaceDN w:val="0"/>
        <w:bidi w:val="0"/>
        <w:adjustRightInd w:val="0"/>
        <w:snapToGrid/>
        <w:spacing w:line="460" w:lineRule="exact"/>
        <w:ind w:firstLine="480"/>
        <w:textAlignment w:val="auto"/>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（3）响应文件载明的项目完成期限超过磋商文件规定的期限；</w:t>
      </w:r>
    </w:p>
    <w:p>
      <w:pPr>
        <w:keepNext w:val="0"/>
        <w:keepLines w:val="0"/>
        <w:pageBreakBefore w:val="0"/>
        <w:widowControl w:val="0"/>
        <w:tabs>
          <w:tab w:val="left" w:pos="1920"/>
        </w:tabs>
        <w:kinsoku/>
        <w:wordWrap/>
        <w:overflowPunct/>
        <w:topLinePunct w:val="0"/>
        <w:autoSpaceDE w:val="0"/>
        <w:autoSpaceDN w:val="0"/>
        <w:bidi w:val="0"/>
        <w:adjustRightInd w:val="0"/>
        <w:snapToGrid/>
        <w:spacing w:line="460" w:lineRule="exact"/>
        <w:ind w:firstLine="480"/>
        <w:textAlignment w:val="auto"/>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（4）响应文件明显不符合磋商文件规定的技术规格、技术标准要求；</w:t>
      </w:r>
    </w:p>
    <w:p>
      <w:pPr>
        <w:keepNext w:val="0"/>
        <w:keepLines w:val="0"/>
        <w:pageBreakBefore w:val="0"/>
        <w:widowControl w:val="0"/>
        <w:tabs>
          <w:tab w:val="left" w:pos="1920"/>
        </w:tabs>
        <w:kinsoku/>
        <w:wordWrap/>
        <w:overflowPunct/>
        <w:topLinePunct w:val="0"/>
        <w:autoSpaceDE w:val="0"/>
        <w:autoSpaceDN w:val="0"/>
        <w:bidi w:val="0"/>
        <w:adjustRightInd w:val="0"/>
        <w:snapToGrid/>
        <w:spacing w:line="460" w:lineRule="exact"/>
        <w:ind w:firstLine="480"/>
        <w:textAlignment w:val="auto"/>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w:t>
      </w:r>
      <w:r>
        <w:rPr>
          <w:rFonts w:hint="eastAsia" w:ascii="宋体" w:hAnsi="宋体" w:cs="宋体"/>
          <w:color w:val="auto"/>
          <w:sz w:val="21"/>
          <w:szCs w:val="21"/>
          <w:highlight w:val="none"/>
        </w:rPr>
        <w:t>5</w:t>
      </w:r>
      <w:r>
        <w:rPr>
          <w:rFonts w:hint="eastAsia" w:ascii="宋体" w:hAnsi="宋体" w:cs="宋体"/>
          <w:color w:val="auto"/>
          <w:sz w:val="21"/>
          <w:szCs w:val="21"/>
          <w:highlight w:val="none"/>
          <w:lang w:val="zh-CN"/>
        </w:rPr>
        <w:t>）响应文件附有采购人不能接受的条件；</w:t>
      </w:r>
    </w:p>
    <w:p>
      <w:pPr>
        <w:keepNext w:val="0"/>
        <w:keepLines w:val="0"/>
        <w:pageBreakBefore w:val="0"/>
        <w:widowControl w:val="0"/>
        <w:kinsoku/>
        <w:wordWrap/>
        <w:overflowPunct/>
        <w:topLinePunct w:val="0"/>
        <w:autoSpaceDE w:val="0"/>
        <w:autoSpaceDN w:val="0"/>
        <w:bidi w:val="0"/>
        <w:adjustRightInd w:val="0"/>
        <w:snapToGrid/>
        <w:spacing w:line="460" w:lineRule="exact"/>
        <w:ind w:firstLine="480"/>
        <w:textAlignment w:val="auto"/>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w:t>
      </w:r>
      <w:r>
        <w:rPr>
          <w:rFonts w:hint="eastAsia" w:ascii="宋体" w:hAnsi="宋体" w:cs="宋体"/>
          <w:color w:val="auto"/>
          <w:sz w:val="21"/>
          <w:szCs w:val="21"/>
          <w:highlight w:val="none"/>
        </w:rPr>
        <w:t>6</w:t>
      </w:r>
      <w:r>
        <w:rPr>
          <w:rFonts w:hint="eastAsia" w:ascii="宋体" w:hAnsi="宋体" w:cs="宋体"/>
          <w:color w:val="auto"/>
          <w:sz w:val="21"/>
          <w:szCs w:val="21"/>
          <w:highlight w:val="none"/>
          <w:lang w:val="zh-CN"/>
        </w:rPr>
        <w:t>）不符合磋商文件规定的其他实质性要求。</w:t>
      </w:r>
    </w:p>
    <w:p>
      <w:pPr>
        <w:keepNext w:val="0"/>
        <w:keepLines w:val="0"/>
        <w:pageBreakBefore w:val="0"/>
        <w:widowControl w:val="0"/>
        <w:kinsoku/>
        <w:wordWrap/>
        <w:overflowPunct/>
        <w:topLinePunct w:val="0"/>
        <w:bidi w:val="0"/>
        <w:snapToGrid/>
        <w:spacing w:line="460" w:lineRule="exact"/>
        <w:ind w:firstLine="420" w:firstLineChars="200"/>
        <w:textAlignment w:val="auto"/>
        <w:rPr>
          <w:rFonts w:ascii="宋体" w:hAnsi="宋体" w:cs="宋体"/>
          <w:color w:val="auto"/>
          <w:sz w:val="21"/>
          <w:szCs w:val="21"/>
          <w:highlight w:val="none"/>
          <w:lang w:val="zh-CN"/>
        </w:rPr>
      </w:pPr>
      <w:r>
        <w:rPr>
          <w:rFonts w:hint="eastAsia" w:ascii="宋体" w:hAnsi="宋体" w:cs="宋体"/>
          <w:bCs/>
          <w:color w:val="auto"/>
          <w:sz w:val="21"/>
          <w:szCs w:val="21"/>
          <w:highlight w:val="none"/>
        </w:rPr>
        <w:t>17.6</w:t>
      </w:r>
      <w:r>
        <w:rPr>
          <w:rFonts w:hint="eastAsia" w:ascii="宋体" w:hAnsi="宋体" w:cs="宋体"/>
          <w:bCs/>
          <w:color w:val="auto"/>
          <w:sz w:val="21"/>
          <w:szCs w:val="21"/>
          <w:highlight w:val="none"/>
          <w:lang w:val="zh-CN"/>
        </w:rPr>
        <w:t xml:space="preserve"> </w:t>
      </w:r>
      <w:r>
        <w:rPr>
          <w:rFonts w:hint="eastAsia" w:ascii="宋体" w:hAnsi="宋体" w:cs="宋体"/>
          <w:color w:val="auto"/>
          <w:sz w:val="21"/>
          <w:szCs w:val="21"/>
          <w:highlight w:val="none"/>
          <w:lang w:val="zh-CN"/>
        </w:rPr>
        <w:t>磋商小组将允许修正响应文件中不构成重大偏离的细微偏离，但这些修正应不会对实质上响应磋商文件要求的供应商的竞争地位（相互排序）产生不公正的影响。</w:t>
      </w:r>
    </w:p>
    <w:p>
      <w:pPr>
        <w:keepNext w:val="0"/>
        <w:keepLines w:val="0"/>
        <w:pageBreakBefore w:val="0"/>
        <w:widowControl w:val="0"/>
        <w:kinsoku/>
        <w:wordWrap/>
        <w:overflowPunct/>
        <w:topLinePunct w:val="0"/>
        <w:autoSpaceDE w:val="0"/>
        <w:autoSpaceDN w:val="0"/>
        <w:bidi w:val="0"/>
        <w:adjustRightInd w:val="0"/>
        <w:snapToGrid/>
        <w:spacing w:line="460" w:lineRule="exact"/>
        <w:ind w:firstLine="480"/>
        <w:textAlignment w:val="auto"/>
        <w:rPr>
          <w:rFonts w:ascii="宋体" w:hAnsi="宋体" w:cs="宋体"/>
          <w:b/>
          <w:color w:val="auto"/>
          <w:sz w:val="21"/>
          <w:szCs w:val="21"/>
          <w:highlight w:val="none"/>
          <w:lang w:val="zh-CN"/>
        </w:rPr>
      </w:pPr>
      <w:r>
        <w:rPr>
          <w:rFonts w:hint="eastAsia" w:ascii="宋体" w:hAnsi="宋体" w:cs="宋体"/>
          <w:bCs/>
          <w:color w:val="auto"/>
          <w:sz w:val="21"/>
          <w:szCs w:val="21"/>
          <w:highlight w:val="none"/>
        </w:rPr>
        <w:t>17.7</w:t>
      </w:r>
      <w:r>
        <w:rPr>
          <w:rFonts w:hint="eastAsia" w:ascii="宋体" w:hAnsi="宋体" w:cs="宋体"/>
          <w:b/>
          <w:color w:val="auto"/>
          <w:sz w:val="21"/>
          <w:szCs w:val="21"/>
          <w:highlight w:val="none"/>
          <w:lang w:val="zh-CN"/>
        </w:rPr>
        <w:t xml:space="preserve"> 磋商小组对响应文件的判定，只依据响应文件内容本身，不依据任何外来证明。</w:t>
      </w:r>
    </w:p>
    <w:p>
      <w:pPr>
        <w:keepNext w:val="0"/>
        <w:keepLines w:val="0"/>
        <w:pageBreakBefore w:val="0"/>
        <w:widowControl w:val="0"/>
        <w:kinsoku/>
        <w:wordWrap/>
        <w:overflowPunct/>
        <w:topLinePunct w:val="0"/>
        <w:autoSpaceDE w:val="0"/>
        <w:autoSpaceDN w:val="0"/>
        <w:bidi w:val="0"/>
        <w:adjustRightInd w:val="0"/>
        <w:snapToGrid/>
        <w:spacing w:line="460" w:lineRule="exact"/>
        <w:ind w:firstLine="482"/>
        <w:textAlignment w:val="auto"/>
        <w:rPr>
          <w:rFonts w:ascii="宋体" w:hAnsi="宋体" w:cs="宋体"/>
          <w:color w:val="auto"/>
          <w:sz w:val="21"/>
          <w:szCs w:val="21"/>
          <w:highlight w:val="none"/>
          <w:lang w:val="zh-CN"/>
        </w:rPr>
      </w:pPr>
      <w:r>
        <w:rPr>
          <w:rFonts w:hint="eastAsia" w:ascii="宋体" w:hAnsi="宋体" w:cs="宋体"/>
          <w:bCs/>
          <w:color w:val="auto"/>
          <w:sz w:val="21"/>
          <w:szCs w:val="21"/>
          <w:highlight w:val="none"/>
        </w:rPr>
        <w:t>17.8</w:t>
      </w:r>
      <w:r>
        <w:rPr>
          <w:rFonts w:hint="eastAsia" w:ascii="宋体" w:hAnsi="宋体" w:cs="宋体"/>
          <w:bCs/>
          <w:color w:val="auto"/>
          <w:sz w:val="21"/>
          <w:szCs w:val="21"/>
          <w:highlight w:val="none"/>
          <w:lang w:val="zh-CN"/>
        </w:rPr>
        <w:t xml:space="preserve"> </w:t>
      </w:r>
      <w:r>
        <w:rPr>
          <w:rFonts w:hint="eastAsia" w:ascii="宋体" w:hAnsi="宋体" w:cs="宋体"/>
          <w:b/>
          <w:color w:val="auto"/>
          <w:sz w:val="21"/>
          <w:szCs w:val="21"/>
          <w:highlight w:val="none"/>
          <w:lang w:val="zh-CN"/>
        </w:rPr>
        <w:t>磋商报价的审查：</w:t>
      </w:r>
      <w:r>
        <w:rPr>
          <w:rFonts w:hint="eastAsia" w:ascii="宋体" w:hAnsi="宋体" w:cs="宋体"/>
          <w:color w:val="auto"/>
          <w:sz w:val="21"/>
          <w:szCs w:val="21"/>
          <w:highlight w:val="none"/>
          <w:lang w:val="zh-CN"/>
        </w:rPr>
        <w:t>磋商小组将对商务审查、技术审查合格的响应文件的报价进行审核，看其是否有计算和累加上的错误。修正错误的原则如下：磋商报价以《报价函》的报价为准，《报价函》的报价与《磋商一览表》的报价不一致的，供应商应按《报价函》的报价相应修改《磋商一览表》的报价。按上述原则调整后的价格为评审价，经供应商法定代表人或授权代理人签字确认后对供应商具有约束力。如果供应商不按照上述原则修正其磋商报价及分项报价，则其磋商将被拒绝。</w:t>
      </w:r>
    </w:p>
    <w:p>
      <w:pPr>
        <w:keepNext w:val="0"/>
        <w:keepLines w:val="0"/>
        <w:pageBreakBefore w:val="0"/>
        <w:widowControl w:val="0"/>
        <w:kinsoku/>
        <w:wordWrap/>
        <w:overflowPunct/>
        <w:topLinePunct w:val="0"/>
        <w:autoSpaceDE w:val="0"/>
        <w:autoSpaceDN w:val="0"/>
        <w:bidi w:val="0"/>
        <w:adjustRightInd w:val="0"/>
        <w:snapToGrid/>
        <w:spacing w:line="460" w:lineRule="exact"/>
        <w:ind w:firstLine="482"/>
        <w:textAlignment w:val="auto"/>
        <w:rPr>
          <w:rFonts w:ascii="宋体" w:hAnsi="宋体" w:cs="宋体"/>
          <w:color w:val="auto"/>
          <w:sz w:val="21"/>
          <w:szCs w:val="21"/>
          <w:highlight w:val="none"/>
          <w:lang w:val="zh-CN"/>
        </w:rPr>
      </w:pPr>
      <w:r>
        <w:rPr>
          <w:rFonts w:hint="eastAsia" w:ascii="宋体" w:hAnsi="宋体" w:cs="宋体"/>
          <w:bCs/>
          <w:color w:val="auto"/>
          <w:sz w:val="21"/>
          <w:szCs w:val="21"/>
          <w:highlight w:val="none"/>
        </w:rPr>
        <w:t>17.9</w:t>
      </w:r>
      <w:r>
        <w:rPr>
          <w:rFonts w:hint="eastAsia" w:ascii="宋体" w:hAnsi="宋体" w:cs="宋体"/>
          <w:bCs/>
          <w:color w:val="auto"/>
          <w:sz w:val="21"/>
          <w:szCs w:val="21"/>
          <w:highlight w:val="none"/>
          <w:lang w:val="zh-CN"/>
        </w:rPr>
        <w:t xml:space="preserve"> </w:t>
      </w:r>
      <w:r>
        <w:rPr>
          <w:rFonts w:hint="eastAsia" w:ascii="宋体" w:hAnsi="宋体" w:cs="宋体"/>
          <w:b/>
          <w:color w:val="auto"/>
          <w:sz w:val="21"/>
          <w:szCs w:val="21"/>
          <w:highlight w:val="none"/>
          <w:lang w:val="zh-CN"/>
        </w:rPr>
        <w:t>澄清：</w:t>
      </w:r>
      <w:r>
        <w:rPr>
          <w:rFonts w:hint="eastAsia" w:ascii="宋体" w:hAnsi="宋体" w:cs="宋体"/>
          <w:color w:val="auto"/>
          <w:sz w:val="21"/>
          <w:szCs w:val="21"/>
          <w:highlight w:val="none"/>
          <w:lang w:val="zh-CN"/>
        </w:rPr>
        <w:t>磋商小组对于响应文件实质性响应了磋商文件要求，但在个别地方提供了不完整的技术信息和数据，以及同类问题表述不一致或者有明显文字和计算错误等细微偏离问题，将以书面形式（澄清细微偏离由磋商小组依据磋商文件集体决定并由磋商小组专家签字）要求供应商在规定的时限内（在评审结束前）作出必要的澄清、说明或者补正。供应商的澄清、说明或者补正应当采用书面形式，由供应商法定代表人或其授权代理人签字（须提交签字人身份证件并与响应文件签字人一致），并不得超出响应文件的范围或者改变响应文件的实质性内容。供应商拒不进行澄清、说明、补正的，或者不能在规定时间内作出书面澄清、说明、补正的，磋商小组将拒绝其磋商。</w:t>
      </w:r>
    </w:p>
    <w:p>
      <w:pPr>
        <w:keepNext w:val="0"/>
        <w:keepLines w:val="0"/>
        <w:pageBreakBefore w:val="0"/>
        <w:widowControl w:val="0"/>
        <w:kinsoku/>
        <w:wordWrap/>
        <w:overflowPunct/>
        <w:topLinePunct w:val="0"/>
        <w:bidi w:val="0"/>
        <w:snapToGrid/>
        <w:spacing w:line="460" w:lineRule="exact"/>
        <w:textAlignment w:val="auto"/>
        <w:rPr>
          <w:rFonts w:ascii="宋体" w:hAnsi="宋体" w:cs="宋体"/>
          <w:color w:val="auto"/>
          <w:sz w:val="21"/>
          <w:szCs w:val="21"/>
          <w:highlight w:val="none"/>
          <w:lang w:val="zh-CN"/>
        </w:rPr>
      </w:pPr>
      <w:r>
        <w:rPr>
          <w:rFonts w:hint="eastAsia" w:ascii="宋体" w:hAnsi="宋体" w:cs="宋体"/>
          <w:b/>
          <w:color w:val="auto"/>
          <w:sz w:val="21"/>
          <w:szCs w:val="21"/>
          <w:highlight w:val="none"/>
        </w:rPr>
        <w:t xml:space="preserve">  </w:t>
      </w:r>
      <w:r>
        <w:rPr>
          <w:rFonts w:hint="eastAsia" w:ascii="宋体" w:hAnsi="宋体" w:cs="宋体"/>
          <w:color w:val="auto"/>
          <w:sz w:val="21"/>
          <w:szCs w:val="21"/>
          <w:highlight w:val="none"/>
        </w:rPr>
        <w:t xml:space="preserve">  接受细微偏离有利于</w:t>
      </w:r>
      <w:r>
        <w:rPr>
          <w:rFonts w:hint="eastAsia" w:ascii="宋体" w:hAnsi="宋体" w:cs="宋体"/>
          <w:color w:val="auto"/>
          <w:sz w:val="21"/>
          <w:szCs w:val="21"/>
          <w:highlight w:val="none"/>
          <w:lang w:val="zh-CN"/>
        </w:rPr>
        <w:t>磋商</w:t>
      </w:r>
      <w:r>
        <w:rPr>
          <w:rFonts w:hint="eastAsia" w:ascii="宋体" w:hAnsi="宋体" w:cs="宋体"/>
          <w:color w:val="auto"/>
          <w:sz w:val="21"/>
          <w:szCs w:val="21"/>
          <w:highlight w:val="none"/>
        </w:rPr>
        <w:t>成功，不应因细微偏离而作为无效磋商。</w:t>
      </w:r>
    </w:p>
    <w:p>
      <w:pPr>
        <w:keepNext w:val="0"/>
        <w:keepLines w:val="0"/>
        <w:pageBreakBefore w:val="0"/>
        <w:widowControl w:val="0"/>
        <w:kinsoku/>
        <w:wordWrap/>
        <w:overflowPunct/>
        <w:topLinePunct w:val="0"/>
        <w:autoSpaceDE w:val="0"/>
        <w:autoSpaceDN w:val="0"/>
        <w:bidi w:val="0"/>
        <w:adjustRightInd w:val="0"/>
        <w:snapToGrid/>
        <w:spacing w:line="460" w:lineRule="exact"/>
        <w:ind w:firstLine="482"/>
        <w:textAlignment w:val="auto"/>
        <w:rPr>
          <w:rFonts w:ascii="宋体" w:hAnsi="宋体" w:cs="宋体"/>
          <w:b/>
          <w:color w:val="auto"/>
          <w:sz w:val="21"/>
          <w:szCs w:val="21"/>
          <w:highlight w:val="none"/>
          <w:lang w:val="zh-CN"/>
        </w:rPr>
      </w:pPr>
      <w:r>
        <w:rPr>
          <w:rFonts w:hint="eastAsia" w:ascii="宋体" w:hAnsi="宋体" w:cs="宋体"/>
          <w:b/>
          <w:color w:val="auto"/>
          <w:sz w:val="21"/>
          <w:szCs w:val="21"/>
          <w:highlight w:val="none"/>
        </w:rPr>
        <w:t>18</w:t>
      </w:r>
      <w:r>
        <w:rPr>
          <w:rFonts w:hint="eastAsia" w:ascii="宋体" w:hAnsi="宋体" w:cs="宋体"/>
          <w:b/>
          <w:color w:val="auto"/>
          <w:sz w:val="21"/>
          <w:szCs w:val="21"/>
          <w:highlight w:val="none"/>
          <w:lang w:val="zh-CN"/>
        </w:rPr>
        <w:t>. 评审方法和标准</w:t>
      </w:r>
    </w:p>
    <w:p>
      <w:pPr>
        <w:keepNext w:val="0"/>
        <w:keepLines w:val="0"/>
        <w:pageBreakBefore w:val="0"/>
        <w:widowControl w:val="0"/>
        <w:kinsoku/>
        <w:wordWrap/>
        <w:overflowPunct/>
        <w:topLinePunct w:val="0"/>
        <w:bidi w:val="0"/>
        <w:snapToGrid/>
        <w:spacing w:line="460" w:lineRule="exact"/>
        <w:ind w:firstLine="420" w:firstLineChars="200"/>
        <w:textAlignment w:val="auto"/>
        <w:rPr>
          <w:rFonts w:ascii="宋体" w:hAnsi="宋体" w:cs="宋体"/>
          <w:bCs/>
          <w:color w:val="auto"/>
          <w:sz w:val="21"/>
          <w:szCs w:val="21"/>
          <w:highlight w:val="none"/>
        </w:rPr>
      </w:pPr>
      <w:r>
        <w:rPr>
          <w:rFonts w:hint="eastAsia" w:ascii="宋体" w:hAnsi="宋体" w:cs="宋体"/>
          <w:bCs/>
          <w:color w:val="auto"/>
          <w:sz w:val="21"/>
          <w:szCs w:val="21"/>
          <w:highlight w:val="none"/>
        </w:rPr>
        <w:t>18.1经</w:t>
      </w:r>
      <w:r>
        <w:rPr>
          <w:rFonts w:hint="eastAsia" w:ascii="宋体" w:hAnsi="宋体" w:cs="宋体"/>
          <w:bCs/>
          <w:color w:val="auto"/>
          <w:sz w:val="21"/>
          <w:szCs w:val="21"/>
          <w:highlight w:val="none"/>
          <w:lang w:val="zh-CN"/>
        </w:rPr>
        <w:t>磋商</w:t>
      </w:r>
      <w:r>
        <w:rPr>
          <w:rFonts w:hint="eastAsia" w:ascii="宋体" w:hAnsi="宋体" w:cs="宋体"/>
          <w:bCs/>
          <w:color w:val="auto"/>
          <w:sz w:val="21"/>
          <w:szCs w:val="21"/>
          <w:highlight w:val="none"/>
        </w:rPr>
        <w:t>确定最终</w:t>
      </w:r>
      <w:r>
        <w:rPr>
          <w:rFonts w:hint="eastAsia" w:ascii="宋体" w:hAnsi="宋体" w:cs="宋体"/>
          <w:bCs/>
          <w:color w:val="auto"/>
          <w:sz w:val="21"/>
          <w:szCs w:val="21"/>
          <w:highlight w:val="none"/>
          <w:lang w:val="zh-CN"/>
        </w:rPr>
        <w:t>磋商</w:t>
      </w:r>
      <w:r>
        <w:rPr>
          <w:rFonts w:hint="eastAsia" w:ascii="宋体" w:hAnsi="宋体" w:cs="宋体"/>
          <w:bCs/>
          <w:color w:val="auto"/>
          <w:sz w:val="21"/>
          <w:szCs w:val="21"/>
          <w:highlight w:val="none"/>
        </w:rPr>
        <w:t>需求和提交最后</w:t>
      </w:r>
      <w:r>
        <w:rPr>
          <w:rFonts w:hint="eastAsia" w:ascii="宋体" w:hAnsi="宋体" w:cs="宋体"/>
          <w:color w:val="auto"/>
          <w:sz w:val="21"/>
          <w:szCs w:val="21"/>
          <w:highlight w:val="none"/>
        </w:rPr>
        <w:t>报价</w:t>
      </w:r>
      <w:r>
        <w:rPr>
          <w:rFonts w:hint="eastAsia" w:ascii="宋体" w:hAnsi="宋体" w:cs="宋体"/>
          <w:bCs/>
          <w:color w:val="auto"/>
          <w:sz w:val="21"/>
          <w:szCs w:val="21"/>
          <w:highlight w:val="none"/>
        </w:rPr>
        <w:t>的供应商后，</w:t>
      </w:r>
      <w:r>
        <w:rPr>
          <w:rFonts w:hint="eastAsia" w:ascii="宋体" w:hAnsi="宋体" w:cs="宋体"/>
          <w:color w:val="auto"/>
          <w:sz w:val="21"/>
          <w:szCs w:val="21"/>
          <w:highlight w:val="none"/>
          <w:lang w:val="zh-CN"/>
        </w:rPr>
        <w:t>磋商</w:t>
      </w:r>
      <w:r>
        <w:rPr>
          <w:rFonts w:hint="eastAsia" w:ascii="宋体" w:hAnsi="宋体" w:cs="宋体"/>
          <w:bCs/>
          <w:color w:val="auto"/>
          <w:sz w:val="21"/>
          <w:szCs w:val="21"/>
          <w:highlight w:val="none"/>
        </w:rPr>
        <w:t>小组采用</w:t>
      </w:r>
      <w:r>
        <w:rPr>
          <w:rFonts w:hint="eastAsia" w:ascii="宋体" w:hAnsi="宋体" w:cs="宋体"/>
          <w:b/>
          <w:color w:val="auto"/>
          <w:sz w:val="21"/>
          <w:szCs w:val="21"/>
          <w:highlight w:val="none"/>
        </w:rPr>
        <w:t>综合评分法</w:t>
      </w:r>
      <w:r>
        <w:rPr>
          <w:rFonts w:hint="eastAsia" w:ascii="宋体" w:hAnsi="宋体" w:cs="宋体"/>
          <w:bCs/>
          <w:color w:val="auto"/>
          <w:sz w:val="21"/>
          <w:szCs w:val="21"/>
          <w:highlight w:val="none"/>
        </w:rPr>
        <w:t>对提交最后报价的供应商的响应文件和最后</w:t>
      </w:r>
      <w:r>
        <w:rPr>
          <w:rFonts w:hint="eastAsia" w:ascii="宋体" w:hAnsi="宋体" w:cs="宋体"/>
          <w:color w:val="auto"/>
          <w:sz w:val="21"/>
          <w:szCs w:val="21"/>
          <w:highlight w:val="none"/>
        </w:rPr>
        <w:t>报价</w:t>
      </w:r>
      <w:r>
        <w:rPr>
          <w:rFonts w:hint="eastAsia" w:ascii="宋体" w:hAnsi="宋体" w:cs="宋体"/>
          <w:bCs/>
          <w:color w:val="auto"/>
          <w:sz w:val="21"/>
          <w:szCs w:val="21"/>
          <w:highlight w:val="none"/>
        </w:rPr>
        <w:t>进行综合评分。</w:t>
      </w:r>
    </w:p>
    <w:p>
      <w:pPr>
        <w:pStyle w:val="27"/>
        <w:keepNext w:val="0"/>
        <w:keepLines w:val="0"/>
        <w:pageBreakBefore w:val="0"/>
        <w:widowControl w:val="0"/>
        <w:kinsoku/>
        <w:wordWrap/>
        <w:overflowPunct/>
        <w:topLinePunct w:val="0"/>
        <w:bidi w:val="0"/>
        <w:snapToGrid/>
        <w:spacing w:after="0" w:line="460" w:lineRule="exact"/>
        <w:ind w:left="0" w:leftChars="0" w:firstLine="420" w:firstLineChars="200"/>
        <w:textAlignment w:val="auto"/>
        <w:rPr>
          <w:rFonts w:ascii="宋体" w:hAnsi="宋体" w:cs="宋体"/>
          <w:color w:val="auto"/>
          <w:sz w:val="21"/>
          <w:szCs w:val="21"/>
          <w:highlight w:val="none"/>
        </w:rPr>
      </w:pPr>
      <w:r>
        <w:rPr>
          <w:rFonts w:hint="eastAsia" w:ascii="宋体" w:hAnsi="宋体" w:cs="宋体"/>
          <w:bCs/>
          <w:color w:val="auto"/>
          <w:sz w:val="21"/>
          <w:szCs w:val="21"/>
          <w:highlight w:val="none"/>
        </w:rPr>
        <w:t>18.2对通过初步审查的响应文件，</w:t>
      </w:r>
      <w:r>
        <w:rPr>
          <w:rFonts w:hint="eastAsia" w:ascii="宋体" w:hAnsi="宋体" w:cs="宋体"/>
          <w:color w:val="auto"/>
          <w:sz w:val="21"/>
          <w:szCs w:val="21"/>
          <w:highlight w:val="none"/>
        </w:rPr>
        <w:t>综合总得分最高者为第一成交候选供应商，详细评审内容详见附表。</w:t>
      </w:r>
    </w:p>
    <w:p>
      <w:pPr>
        <w:keepNext w:val="0"/>
        <w:keepLines w:val="0"/>
        <w:pageBreakBefore w:val="0"/>
        <w:widowControl w:val="0"/>
        <w:kinsoku/>
        <w:wordWrap/>
        <w:overflowPunct/>
        <w:topLinePunct w:val="0"/>
        <w:bidi w:val="0"/>
        <w:snapToGrid/>
        <w:spacing w:line="46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 xml:space="preserve">18.3 </w:t>
      </w:r>
      <w:r>
        <w:rPr>
          <w:rFonts w:hint="eastAsia" w:ascii="宋体" w:hAnsi="宋体" w:cs="宋体"/>
          <w:color w:val="auto"/>
          <w:sz w:val="21"/>
          <w:szCs w:val="21"/>
          <w:highlight w:val="none"/>
          <w:lang w:val="zh-CN"/>
        </w:rPr>
        <w:t>磋商</w:t>
      </w:r>
      <w:r>
        <w:rPr>
          <w:rFonts w:hint="eastAsia" w:ascii="宋体" w:hAnsi="宋体" w:cs="宋体"/>
          <w:color w:val="auto"/>
          <w:sz w:val="21"/>
          <w:szCs w:val="21"/>
          <w:highlight w:val="none"/>
        </w:rPr>
        <w:t>小组根据综合评分情况，按照评审得分由高到低顺序推荐</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家成交候选供应商，并编写评审报告。</w:t>
      </w:r>
    </w:p>
    <w:p>
      <w:pPr>
        <w:keepNext w:val="0"/>
        <w:keepLines w:val="0"/>
        <w:pageBreakBefore w:val="0"/>
        <w:widowControl w:val="0"/>
        <w:kinsoku/>
        <w:wordWrap/>
        <w:overflowPunct/>
        <w:topLinePunct w:val="0"/>
        <w:bidi w:val="0"/>
        <w:snapToGrid/>
        <w:spacing w:line="46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18.4 采购人应当从评审报告提出的成交候选供应商中，按照排序由高到低的原则确定成交供应商，也可以书面授权</w:t>
      </w:r>
      <w:r>
        <w:rPr>
          <w:rFonts w:hint="eastAsia" w:ascii="宋体" w:hAnsi="宋体" w:cs="宋体"/>
          <w:color w:val="auto"/>
          <w:sz w:val="21"/>
          <w:szCs w:val="21"/>
          <w:highlight w:val="none"/>
          <w:lang w:val="zh-CN"/>
        </w:rPr>
        <w:t>磋商</w:t>
      </w:r>
      <w:r>
        <w:rPr>
          <w:rFonts w:hint="eastAsia" w:ascii="宋体" w:hAnsi="宋体" w:cs="宋体"/>
          <w:color w:val="auto"/>
          <w:sz w:val="21"/>
          <w:szCs w:val="21"/>
          <w:highlight w:val="none"/>
        </w:rPr>
        <w:t>小组直接确定成交供应商。采购人逾期未确定成交供应商且不提出异议的，视为确定评审报告提出的排序第一的供应商为成交供应商。</w:t>
      </w:r>
    </w:p>
    <w:p>
      <w:pPr>
        <w:keepNext w:val="0"/>
        <w:keepLines w:val="0"/>
        <w:pageBreakBefore w:val="0"/>
        <w:widowControl w:val="0"/>
        <w:kinsoku/>
        <w:wordWrap/>
        <w:overflowPunct/>
        <w:topLinePunct w:val="0"/>
        <w:bidi w:val="0"/>
        <w:snapToGrid/>
        <w:spacing w:line="460" w:lineRule="exact"/>
        <w:ind w:firstLine="420" w:firstLineChars="200"/>
        <w:textAlignment w:val="auto"/>
        <w:rPr>
          <w:rFonts w:ascii="宋体" w:hAnsi="宋体" w:cs="宋体"/>
          <w:b/>
          <w:color w:val="auto"/>
          <w:sz w:val="21"/>
          <w:szCs w:val="21"/>
          <w:highlight w:val="none"/>
        </w:rPr>
      </w:pPr>
      <w:r>
        <w:rPr>
          <w:rFonts w:hint="eastAsia" w:ascii="宋体" w:hAnsi="宋体" w:cs="宋体"/>
          <w:color w:val="auto"/>
          <w:sz w:val="21"/>
          <w:szCs w:val="21"/>
          <w:highlight w:val="none"/>
        </w:rPr>
        <w:t>18.5若供应商的最后报价</w:t>
      </w:r>
      <w:r>
        <w:rPr>
          <w:rFonts w:hint="eastAsia" w:ascii="宋体" w:hAnsi="宋体" w:cs="宋体"/>
          <w:color w:val="auto"/>
          <w:sz w:val="21"/>
          <w:szCs w:val="21"/>
          <w:highlight w:val="none"/>
          <w:lang w:val="zh-CN"/>
        </w:rPr>
        <w:t>超过</w:t>
      </w:r>
      <w:r>
        <w:rPr>
          <w:rFonts w:hint="eastAsia" w:ascii="宋体" w:hAnsi="宋体" w:cs="宋体"/>
          <w:color w:val="auto"/>
          <w:sz w:val="21"/>
          <w:szCs w:val="21"/>
          <w:highlight w:val="none"/>
        </w:rPr>
        <w:t>各分项单价</w:t>
      </w:r>
      <w:r>
        <w:rPr>
          <w:rFonts w:hint="eastAsia" w:ascii="宋体" w:hAnsi="宋体" w:cs="宋体"/>
          <w:color w:val="auto"/>
          <w:sz w:val="21"/>
          <w:szCs w:val="21"/>
          <w:highlight w:val="none"/>
          <w:lang w:val="zh-CN"/>
        </w:rPr>
        <w:t>将被否决</w:t>
      </w:r>
      <w:r>
        <w:rPr>
          <w:rFonts w:hint="eastAsia" w:ascii="宋体" w:hAnsi="宋体" w:cs="宋体"/>
          <w:color w:val="auto"/>
          <w:sz w:val="21"/>
          <w:szCs w:val="21"/>
          <w:highlight w:val="none"/>
        </w:rPr>
        <w:t>，</w:t>
      </w:r>
      <w:r>
        <w:rPr>
          <w:rFonts w:hint="eastAsia" w:ascii="宋体" w:hAnsi="宋体" w:cs="宋体"/>
          <w:color w:val="auto"/>
          <w:sz w:val="21"/>
          <w:szCs w:val="21"/>
          <w:highlight w:val="none"/>
          <w:lang w:val="zh-CN"/>
        </w:rPr>
        <w:t>磋商</w:t>
      </w:r>
      <w:r>
        <w:rPr>
          <w:rFonts w:hint="eastAsia" w:ascii="宋体" w:hAnsi="宋体" w:cs="宋体"/>
          <w:color w:val="auto"/>
          <w:sz w:val="21"/>
          <w:szCs w:val="21"/>
          <w:highlight w:val="none"/>
        </w:rPr>
        <w:t>小组有权根据采购人意见及其实际情况，拒绝该报价。</w:t>
      </w:r>
    </w:p>
    <w:p>
      <w:pPr>
        <w:keepNext w:val="0"/>
        <w:keepLines w:val="0"/>
        <w:pageBreakBefore w:val="0"/>
        <w:widowControl w:val="0"/>
        <w:kinsoku/>
        <w:wordWrap/>
        <w:overflowPunct/>
        <w:topLinePunct w:val="0"/>
        <w:bidi w:val="0"/>
        <w:snapToGrid/>
        <w:spacing w:line="46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18.6 为保证成交结果的公正性，评审期间直至授予供应商合同时，</w:t>
      </w:r>
      <w:r>
        <w:rPr>
          <w:rFonts w:hint="eastAsia" w:ascii="宋体" w:hAnsi="宋体" w:cs="宋体"/>
          <w:color w:val="auto"/>
          <w:sz w:val="21"/>
          <w:szCs w:val="21"/>
          <w:highlight w:val="none"/>
          <w:lang w:val="zh-CN"/>
        </w:rPr>
        <w:t>磋商</w:t>
      </w:r>
      <w:r>
        <w:rPr>
          <w:rFonts w:hint="eastAsia" w:ascii="宋体" w:hAnsi="宋体" w:cs="宋体"/>
          <w:color w:val="auto"/>
          <w:sz w:val="21"/>
          <w:szCs w:val="21"/>
          <w:highlight w:val="none"/>
        </w:rPr>
        <w:t>小组成员不得与供应商私下交换意见。在评审结束后，凡与评审情况有接触的任何人不得将评审情况扩散出</w:t>
      </w:r>
      <w:r>
        <w:rPr>
          <w:rFonts w:hint="eastAsia" w:ascii="宋体" w:hAnsi="宋体" w:cs="宋体"/>
          <w:color w:val="auto"/>
          <w:sz w:val="21"/>
          <w:szCs w:val="21"/>
          <w:highlight w:val="none"/>
          <w:lang w:val="zh-CN"/>
        </w:rPr>
        <w:t>磋商</w:t>
      </w:r>
      <w:r>
        <w:rPr>
          <w:rFonts w:hint="eastAsia" w:ascii="宋体" w:hAnsi="宋体" w:cs="宋体"/>
          <w:color w:val="auto"/>
          <w:sz w:val="21"/>
          <w:szCs w:val="21"/>
          <w:highlight w:val="none"/>
        </w:rPr>
        <w:t>小组成员之外。</w:t>
      </w:r>
    </w:p>
    <w:p>
      <w:pPr>
        <w:keepNext w:val="0"/>
        <w:keepLines w:val="0"/>
        <w:pageBreakBefore w:val="0"/>
        <w:widowControl w:val="0"/>
        <w:kinsoku/>
        <w:wordWrap/>
        <w:overflowPunct/>
        <w:topLinePunct w:val="0"/>
        <w:bidi w:val="0"/>
        <w:snapToGrid/>
        <w:spacing w:line="46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18.7 在评审期间，供应商不得向</w:t>
      </w:r>
      <w:r>
        <w:rPr>
          <w:rFonts w:hint="eastAsia" w:ascii="宋体" w:hAnsi="宋体" w:cs="宋体"/>
          <w:color w:val="auto"/>
          <w:sz w:val="21"/>
          <w:szCs w:val="21"/>
          <w:highlight w:val="none"/>
          <w:lang w:val="zh-CN"/>
        </w:rPr>
        <w:t>磋商</w:t>
      </w:r>
      <w:r>
        <w:rPr>
          <w:rFonts w:hint="eastAsia" w:ascii="宋体" w:hAnsi="宋体" w:cs="宋体"/>
          <w:color w:val="auto"/>
          <w:sz w:val="21"/>
          <w:szCs w:val="21"/>
          <w:highlight w:val="none"/>
        </w:rPr>
        <w:t>小组成员询问其它供应商评审情况，不得影响成交结果的活动。</w:t>
      </w:r>
    </w:p>
    <w:p>
      <w:pPr>
        <w:keepNext w:val="0"/>
        <w:keepLines w:val="0"/>
        <w:pageBreakBefore w:val="0"/>
        <w:widowControl w:val="0"/>
        <w:kinsoku/>
        <w:wordWrap/>
        <w:overflowPunct/>
        <w:topLinePunct w:val="0"/>
        <w:bidi w:val="0"/>
        <w:snapToGrid/>
        <w:spacing w:line="46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18.8 在评审期间，采购代理机构将有专门人员与供应商进行联络。</w:t>
      </w:r>
    </w:p>
    <w:p>
      <w:pPr>
        <w:keepNext w:val="0"/>
        <w:keepLines w:val="0"/>
        <w:pageBreakBefore w:val="0"/>
        <w:widowControl w:val="0"/>
        <w:tabs>
          <w:tab w:val="left" w:pos="1800"/>
        </w:tabs>
        <w:kinsoku/>
        <w:wordWrap/>
        <w:overflowPunct/>
        <w:topLinePunct w:val="0"/>
        <w:bidi w:val="0"/>
        <w:snapToGrid/>
        <w:spacing w:line="460" w:lineRule="exact"/>
        <w:ind w:firstLine="420" w:firstLineChars="200"/>
        <w:textAlignment w:val="auto"/>
        <w:rPr>
          <w:rFonts w:ascii="宋体" w:hAnsi="宋体" w:cs="宋体"/>
          <w:color w:val="auto"/>
          <w:sz w:val="21"/>
          <w:szCs w:val="21"/>
          <w:highlight w:val="none"/>
        </w:rPr>
      </w:pPr>
      <w:r>
        <w:rPr>
          <w:rFonts w:hint="eastAsia" w:ascii="宋体" w:hAnsi="宋体" w:cs="宋体"/>
          <w:bCs/>
          <w:color w:val="auto"/>
          <w:sz w:val="21"/>
          <w:szCs w:val="21"/>
          <w:highlight w:val="none"/>
        </w:rPr>
        <w:t>18.9</w:t>
      </w:r>
      <w:r>
        <w:rPr>
          <w:rFonts w:hint="eastAsia" w:ascii="宋体" w:hAnsi="宋体" w:cs="宋体"/>
          <w:b/>
          <w:color w:val="auto"/>
          <w:sz w:val="21"/>
          <w:szCs w:val="21"/>
          <w:highlight w:val="none"/>
          <w:lang w:val="zh-CN"/>
        </w:rPr>
        <w:t xml:space="preserve"> </w:t>
      </w:r>
      <w:r>
        <w:rPr>
          <w:rFonts w:hint="eastAsia" w:ascii="宋体" w:hAnsi="宋体" w:cs="宋体"/>
          <w:color w:val="auto"/>
          <w:sz w:val="21"/>
          <w:szCs w:val="21"/>
          <w:highlight w:val="none"/>
        </w:rPr>
        <w:t>确定成交供应商后,采购代理机构将在指定网站上发布成交公告，同时向成交供应商发出成交通知书，成交通知书将作为签订合同的依据。</w:t>
      </w:r>
    </w:p>
    <w:p>
      <w:pPr>
        <w:keepNext w:val="0"/>
        <w:keepLines w:val="0"/>
        <w:pageBreakBefore w:val="0"/>
        <w:widowControl w:val="0"/>
        <w:tabs>
          <w:tab w:val="left" w:pos="1800"/>
        </w:tabs>
        <w:kinsoku/>
        <w:wordWrap/>
        <w:overflowPunct/>
        <w:topLinePunct w:val="0"/>
        <w:bidi w:val="0"/>
        <w:snapToGrid/>
        <w:spacing w:line="460" w:lineRule="exact"/>
        <w:ind w:firstLine="420" w:firstLineChars="200"/>
        <w:textAlignment w:val="auto"/>
        <w:rPr>
          <w:rFonts w:ascii="宋体" w:hAnsi="宋体" w:cs="宋体"/>
          <w:color w:val="auto"/>
          <w:sz w:val="21"/>
          <w:szCs w:val="21"/>
          <w:highlight w:val="none"/>
          <w:lang w:val="zh-CN"/>
        </w:rPr>
      </w:pPr>
      <w:r>
        <w:rPr>
          <w:rFonts w:hint="eastAsia" w:ascii="宋体" w:hAnsi="宋体" w:cs="宋体"/>
          <w:color w:val="auto"/>
          <w:sz w:val="21"/>
          <w:szCs w:val="21"/>
          <w:highlight w:val="none"/>
        </w:rPr>
        <w:t>18.10成交通知书对采购单位和成交供应商具有同等法律效力。成交通知书发出后，采购单位改变成交结果，或者成交供应商放弃成交项目，应当承担相应的法律责任。</w:t>
      </w:r>
    </w:p>
    <w:p>
      <w:pPr>
        <w:keepNext w:val="0"/>
        <w:keepLines w:val="0"/>
        <w:pageBreakBefore w:val="0"/>
        <w:widowControl w:val="0"/>
        <w:kinsoku/>
        <w:wordWrap/>
        <w:overflowPunct/>
        <w:topLinePunct w:val="0"/>
        <w:autoSpaceDE w:val="0"/>
        <w:autoSpaceDN w:val="0"/>
        <w:bidi w:val="0"/>
        <w:adjustRightInd w:val="0"/>
        <w:snapToGrid/>
        <w:spacing w:line="460" w:lineRule="exact"/>
        <w:ind w:firstLine="482"/>
        <w:textAlignment w:val="auto"/>
        <w:rPr>
          <w:rFonts w:ascii="宋体" w:hAnsi="宋体" w:cs="宋体"/>
          <w:b/>
          <w:color w:val="auto"/>
          <w:sz w:val="21"/>
          <w:szCs w:val="21"/>
          <w:highlight w:val="none"/>
          <w:lang w:val="zh-CN"/>
        </w:rPr>
      </w:pPr>
      <w:r>
        <w:rPr>
          <w:rFonts w:hint="eastAsia" w:ascii="宋体" w:hAnsi="宋体" w:cs="宋体"/>
          <w:b/>
          <w:color w:val="auto"/>
          <w:sz w:val="21"/>
          <w:szCs w:val="21"/>
          <w:highlight w:val="none"/>
        </w:rPr>
        <w:t>19</w:t>
      </w:r>
      <w:r>
        <w:rPr>
          <w:rFonts w:hint="eastAsia" w:ascii="宋体" w:hAnsi="宋体" w:cs="宋体"/>
          <w:b/>
          <w:color w:val="auto"/>
          <w:sz w:val="21"/>
          <w:szCs w:val="21"/>
          <w:highlight w:val="none"/>
          <w:lang w:val="zh-CN"/>
        </w:rPr>
        <w:t>. 签订合同</w:t>
      </w:r>
    </w:p>
    <w:p>
      <w:pPr>
        <w:keepNext w:val="0"/>
        <w:keepLines w:val="0"/>
        <w:pageBreakBefore w:val="0"/>
        <w:widowControl w:val="0"/>
        <w:kinsoku/>
        <w:wordWrap/>
        <w:overflowPunct/>
        <w:topLinePunct w:val="0"/>
        <w:autoSpaceDE w:val="0"/>
        <w:autoSpaceDN w:val="0"/>
        <w:bidi w:val="0"/>
        <w:adjustRightInd w:val="0"/>
        <w:snapToGrid/>
        <w:spacing w:line="460" w:lineRule="exact"/>
        <w:ind w:firstLine="482"/>
        <w:textAlignment w:val="auto"/>
        <w:rPr>
          <w:rFonts w:ascii="宋体" w:hAnsi="宋体" w:cs="宋体"/>
          <w:color w:val="auto"/>
          <w:sz w:val="21"/>
          <w:szCs w:val="21"/>
          <w:highlight w:val="none"/>
          <w:lang w:val="zh-CN"/>
        </w:rPr>
      </w:pPr>
      <w:r>
        <w:rPr>
          <w:rFonts w:hint="eastAsia" w:ascii="宋体" w:hAnsi="宋体" w:cs="宋体"/>
          <w:color w:val="auto"/>
          <w:sz w:val="21"/>
          <w:szCs w:val="21"/>
          <w:highlight w:val="none"/>
        </w:rPr>
        <w:t>19</w:t>
      </w:r>
      <w:r>
        <w:rPr>
          <w:rFonts w:hint="eastAsia" w:ascii="宋体" w:hAnsi="宋体" w:cs="宋体"/>
          <w:color w:val="auto"/>
          <w:sz w:val="21"/>
          <w:szCs w:val="21"/>
          <w:highlight w:val="none"/>
          <w:lang w:val="zh-CN"/>
        </w:rPr>
        <w:t>.1 采购代理机构将在磋商有效期期满之前向成交供应商发出《成交通知书》。成交通知书是合同的组成部分，对采购人和成交供应商均具有法律约束力。</w:t>
      </w:r>
    </w:p>
    <w:p>
      <w:pPr>
        <w:keepNext w:val="0"/>
        <w:keepLines w:val="0"/>
        <w:pageBreakBefore w:val="0"/>
        <w:widowControl w:val="0"/>
        <w:kinsoku/>
        <w:wordWrap/>
        <w:overflowPunct/>
        <w:topLinePunct w:val="0"/>
        <w:autoSpaceDE w:val="0"/>
        <w:autoSpaceDN w:val="0"/>
        <w:bidi w:val="0"/>
        <w:adjustRightInd w:val="0"/>
        <w:snapToGrid/>
        <w:spacing w:line="460" w:lineRule="exact"/>
        <w:ind w:firstLine="482"/>
        <w:textAlignment w:val="auto"/>
        <w:rPr>
          <w:rFonts w:ascii="宋体" w:hAnsi="宋体" w:cs="宋体"/>
          <w:color w:val="auto"/>
          <w:sz w:val="21"/>
          <w:szCs w:val="21"/>
          <w:highlight w:val="none"/>
          <w:lang w:val="zh-CN"/>
        </w:rPr>
      </w:pPr>
      <w:r>
        <w:rPr>
          <w:rFonts w:hint="eastAsia" w:ascii="宋体" w:hAnsi="宋体" w:cs="宋体"/>
          <w:color w:val="auto"/>
          <w:sz w:val="21"/>
          <w:szCs w:val="21"/>
          <w:highlight w:val="none"/>
        </w:rPr>
        <w:t>19</w:t>
      </w:r>
      <w:r>
        <w:rPr>
          <w:rFonts w:hint="eastAsia" w:ascii="宋体" w:hAnsi="宋体" w:cs="宋体"/>
          <w:color w:val="auto"/>
          <w:sz w:val="21"/>
          <w:szCs w:val="21"/>
          <w:highlight w:val="none"/>
          <w:lang w:val="zh-CN"/>
        </w:rPr>
        <w:t>.2 成交通知书发出后，采购人改变成交结果的，或者成交供应商放弃成交项目的，应当依法承担法律责任。</w:t>
      </w:r>
    </w:p>
    <w:p>
      <w:pPr>
        <w:keepNext w:val="0"/>
        <w:keepLines w:val="0"/>
        <w:pageBreakBefore w:val="0"/>
        <w:widowControl w:val="0"/>
        <w:kinsoku/>
        <w:wordWrap/>
        <w:overflowPunct/>
        <w:topLinePunct w:val="0"/>
        <w:autoSpaceDE w:val="0"/>
        <w:autoSpaceDN w:val="0"/>
        <w:bidi w:val="0"/>
        <w:adjustRightInd w:val="0"/>
        <w:snapToGrid/>
        <w:spacing w:line="460" w:lineRule="exact"/>
        <w:ind w:firstLine="482"/>
        <w:textAlignment w:val="auto"/>
        <w:rPr>
          <w:rFonts w:ascii="宋体" w:hAnsi="宋体" w:cs="宋体"/>
          <w:color w:val="auto"/>
          <w:sz w:val="21"/>
          <w:szCs w:val="21"/>
          <w:highlight w:val="none"/>
          <w:lang w:val="zh-CN"/>
        </w:rPr>
      </w:pPr>
      <w:r>
        <w:rPr>
          <w:rFonts w:hint="eastAsia" w:ascii="宋体" w:hAnsi="宋体" w:cs="宋体"/>
          <w:color w:val="auto"/>
          <w:sz w:val="21"/>
          <w:szCs w:val="21"/>
          <w:highlight w:val="none"/>
        </w:rPr>
        <w:t>19</w:t>
      </w:r>
      <w:r>
        <w:rPr>
          <w:rFonts w:hint="eastAsia" w:ascii="宋体" w:hAnsi="宋体" w:cs="宋体"/>
          <w:color w:val="auto"/>
          <w:sz w:val="21"/>
          <w:szCs w:val="21"/>
          <w:highlight w:val="none"/>
          <w:lang w:val="zh-CN"/>
        </w:rPr>
        <w:t>.3 成交供应商应按成交通知书规定的时间与采购人签订合同。如果成交供应商不在规定的时间内签署合同，视为自动放弃成交资格。供应商在被磋商小组评定为成交候选供应商（成交供应商）之后、成交通知书发出之前放弃成交的，按本条规定处理。</w:t>
      </w:r>
    </w:p>
    <w:p>
      <w:pPr>
        <w:keepNext w:val="0"/>
        <w:keepLines w:val="0"/>
        <w:pageBreakBefore w:val="0"/>
        <w:widowControl w:val="0"/>
        <w:kinsoku/>
        <w:wordWrap/>
        <w:overflowPunct/>
        <w:topLinePunct w:val="0"/>
        <w:autoSpaceDE w:val="0"/>
        <w:autoSpaceDN w:val="0"/>
        <w:bidi w:val="0"/>
        <w:adjustRightInd w:val="0"/>
        <w:snapToGrid/>
        <w:spacing w:line="460" w:lineRule="exact"/>
        <w:ind w:firstLine="480"/>
        <w:textAlignment w:val="auto"/>
        <w:rPr>
          <w:rFonts w:ascii="宋体" w:hAnsi="宋体" w:cs="宋体"/>
          <w:color w:val="auto"/>
          <w:sz w:val="21"/>
          <w:szCs w:val="21"/>
          <w:highlight w:val="none"/>
          <w:lang w:val="zh-CN"/>
        </w:rPr>
      </w:pPr>
      <w:r>
        <w:rPr>
          <w:rFonts w:hint="eastAsia" w:ascii="宋体" w:hAnsi="宋体" w:cs="宋体"/>
          <w:color w:val="auto"/>
          <w:sz w:val="21"/>
          <w:szCs w:val="21"/>
          <w:highlight w:val="none"/>
        </w:rPr>
        <w:t>19</w:t>
      </w:r>
      <w:r>
        <w:rPr>
          <w:rFonts w:hint="eastAsia" w:ascii="宋体" w:hAnsi="宋体" w:cs="宋体"/>
          <w:color w:val="auto"/>
          <w:sz w:val="21"/>
          <w:szCs w:val="21"/>
          <w:highlight w:val="none"/>
          <w:lang w:val="zh-CN"/>
        </w:rPr>
        <w:t>.4 成交结果将在发布竞争性公告的媒体上公告，不再以书面方式通知未成交供应商。</w:t>
      </w:r>
    </w:p>
    <w:p>
      <w:pPr>
        <w:keepNext w:val="0"/>
        <w:keepLines w:val="0"/>
        <w:pageBreakBefore w:val="0"/>
        <w:widowControl w:val="0"/>
        <w:tabs>
          <w:tab w:val="left" w:pos="709"/>
          <w:tab w:val="left" w:pos="927"/>
        </w:tabs>
        <w:kinsoku/>
        <w:wordWrap/>
        <w:overflowPunct/>
        <w:topLinePunct w:val="0"/>
        <w:autoSpaceDE w:val="0"/>
        <w:autoSpaceDN w:val="0"/>
        <w:bidi w:val="0"/>
        <w:adjustRightInd w:val="0"/>
        <w:snapToGrid/>
        <w:spacing w:line="460" w:lineRule="exact"/>
        <w:ind w:firstLine="472"/>
        <w:textAlignment w:val="auto"/>
        <w:rPr>
          <w:rFonts w:ascii="宋体" w:hAnsi="宋体" w:cs="宋体"/>
          <w:b/>
          <w:color w:val="auto"/>
          <w:kern w:val="0"/>
          <w:sz w:val="21"/>
          <w:szCs w:val="21"/>
          <w:highlight w:val="none"/>
          <w:lang w:val="zh-CN"/>
        </w:rPr>
      </w:pPr>
      <w:r>
        <w:rPr>
          <w:rFonts w:hint="eastAsia" w:ascii="宋体" w:hAnsi="宋体" w:cs="宋体"/>
          <w:b/>
          <w:color w:val="auto"/>
          <w:kern w:val="0"/>
          <w:sz w:val="21"/>
          <w:szCs w:val="21"/>
          <w:highlight w:val="none"/>
        </w:rPr>
        <w:t>21</w:t>
      </w:r>
      <w:r>
        <w:rPr>
          <w:rFonts w:hint="eastAsia" w:ascii="宋体" w:hAnsi="宋体" w:cs="宋体"/>
          <w:b/>
          <w:color w:val="auto"/>
          <w:kern w:val="0"/>
          <w:sz w:val="21"/>
          <w:szCs w:val="21"/>
          <w:highlight w:val="none"/>
          <w:lang w:val="zh-CN"/>
        </w:rPr>
        <w:t>.保密和披露</w:t>
      </w:r>
    </w:p>
    <w:p>
      <w:pPr>
        <w:keepNext w:val="0"/>
        <w:keepLines w:val="0"/>
        <w:pageBreakBefore w:val="0"/>
        <w:widowControl w:val="0"/>
        <w:tabs>
          <w:tab w:val="left" w:pos="709"/>
        </w:tabs>
        <w:kinsoku/>
        <w:wordWrap/>
        <w:overflowPunct/>
        <w:topLinePunct w:val="0"/>
        <w:autoSpaceDE w:val="0"/>
        <w:autoSpaceDN w:val="0"/>
        <w:bidi w:val="0"/>
        <w:adjustRightInd w:val="0"/>
        <w:snapToGrid/>
        <w:spacing w:line="460" w:lineRule="exact"/>
        <w:ind w:firstLine="482"/>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rPr>
        <w:t>21</w:t>
      </w:r>
      <w:r>
        <w:rPr>
          <w:rFonts w:hint="eastAsia" w:ascii="宋体" w:hAnsi="宋体" w:cs="宋体"/>
          <w:color w:val="auto"/>
          <w:kern w:val="0"/>
          <w:sz w:val="21"/>
          <w:szCs w:val="21"/>
          <w:highlight w:val="none"/>
          <w:lang w:val="zh-CN"/>
        </w:rPr>
        <w:t xml:space="preserve">.1 </w:t>
      </w:r>
      <w:r>
        <w:rPr>
          <w:rFonts w:hint="eastAsia" w:ascii="宋体" w:hAnsi="宋体" w:cs="宋体"/>
          <w:color w:val="auto"/>
          <w:sz w:val="21"/>
          <w:szCs w:val="21"/>
          <w:highlight w:val="none"/>
          <w:lang w:val="zh-CN"/>
        </w:rPr>
        <w:t>采购代理机构有权将供应商提供的所有资料向其他政府部门或有关的非政府机构负责评审</w:t>
      </w:r>
      <w:r>
        <w:rPr>
          <w:rFonts w:hint="eastAsia" w:ascii="宋体" w:hAnsi="宋体" w:cs="宋体"/>
          <w:color w:val="auto"/>
          <w:sz w:val="21"/>
          <w:szCs w:val="21"/>
          <w:highlight w:val="none"/>
        </w:rPr>
        <w:t>磋商文件</w:t>
      </w:r>
      <w:r>
        <w:rPr>
          <w:rFonts w:hint="eastAsia" w:ascii="宋体" w:hAnsi="宋体" w:cs="宋体"/>
          <w:color w:val="auto"/>
          <w:sz w:val="21"/>
          <w:szCs w:val="21"/>
          <w:highlight w:val="none"/>
          <w:lang w:val="zh-CN"/>
        </w:rPr>
        <w:t>的人员或与评审有关的人员披露。</w:t>
      </w:r>
    </w:p>
    <w:p>
      <w:pPr>
        <w:keepNext w:val="0"/>
        <w:keepLines w:val="0"/>
        <w:pageBreakBefore w:val="0"/>
        <w:widowControl w:val="0"/>
        <w:kinsoku/>
        <w:wordWrap/>
        <w:overflowPunct/>
        <w:topLinePunct w:val="0"/>
        <w:autoSpaceDE w:val="0"/>
        <w:autoSpaceDN w:val="0"/>
        <w:bidi w:val="0"/>
        <w:adjustRightInd w:val="0"/>
        <w:snapToGrid/>
        <w:spacing w:line="460" w:lineRule="exact"/>
        <w:ind w:firstLine="476"/>
        <w:textAlignment w:val="auto"/>
        <w:rPr>
          <w:rFonts w:ascii="宋体" w:hAnsi="宋体" w:cs="宋体"/>
          <w:color w:val="auto"/>
          <w:sz w:val="21"/>
          <w:szCs w:val="21"/>
          <w:highlight w:val="none"/>
          <w:lang w:val="zh-CN"/>
        </w:rPr>
      </w:pPr>
      <w:r>
        <w:rPr>
          <w:rFonts w:hint="eastAsia" w:ascii="宋体" w:hAnsi="宋体" w:cs="宋体"/>
          <w:color w:val="auto"/>
          <w:sz w:val="21"/>
          <w:szCs w:val="21"/>
          <w:highlight w:val="none"/>
        </w:rPr>
        <w:t>21</w:t>
      </w:r>
      <w:r>
        <w:rPr>
          <w:rFonts w:hint="eastAsia" w:ascii="宋体" w:hAnsi="宋体" w:cs="宋体"/>
          <w:color w:val="auto"/>
          <w:sz w:val="21"/>
          <w:szCs w:val="21"/>
          <w:highlight w:val="none"/>
          <w:lang w:val="zh-CN"/>
        </w:rPr>
        <w:t>.2 在下列情形下：当发布成交结果公告和其它公告时，当国家机关调查、审查、审计时，以及在其他符合法律规定的情形下，</w:t>
      </w:r>
      <w:r>
        <w:rPr>
          <w:rFonts w:hint="eastAsia" w:ascii="宋体" w:hAnsi="宋体" w:cs="宋体"/>
          <w:color w:val="auto"/>
          <w:sz w:val="21"/>
          <w:szCs w:val="21"/>
          <w:highlight w:val="none"/>
        </w:rPr>
        <w:t>采购</w:t>
      </w:r>
      <w:r>
        <w:rPr>
          <w:rFonts w:hint="eastAsia" w:ascii="宋体" w:hAnsi="宋体" w:cs="宋体"/>
          <w:color w:val="auto"/>
          <w:sz w:val="21"/>
          <w:szCs w:val="21"/>
          <w:highlight w:val="none"/>
          <w:lang w:val="zh-CN"/>
        </w:rPr>
        <w:t>代理机构无须事先征求供应商/成交供应商同意而可以披露关于评审过程、响应文件、合同文本、合同签署情况的资料、供应商/成交供应商的名称及地址、磋商内容的有关信息以及补充条款等，并且对任何已经公布过的内容或与之内容相同的资料无须再承担保密责任。</w:t>
      </w:r>
    </w:p>
    <w:p>
      <w:pPr>
        <w:autoSpaceDE w:val="0"/>
        <w:autoSpaceDN w:val="0"/>
        <w:adjustRightInd w:val="0"/>
        <w:spacing w:line="500" w:lineRule="exact"/>
        <w:ind w:firstLine="476"/>
        <w:rPr>
          <w:rFonts w:ascii="宋体" w:hAnsi="宋体" w:cs="宋体"/>
          <w:color w:val="auto"/>
          <w:sz w:val="24"/>
          <w:szCs w:val="24"/>
          <w:highlight w:val="none"/>
          <w:lang w:val="zh-CN"/>
        </w:rPr>
      </w:pPr>
    </w:p>
    <w:p>
      <w:pPr>
        <w:autoSpaceDE w:val="0"/>
        <w:autoSpaceDN w:val="0"/>
        <w:adjustRightInd w:val="0"/>
        <w:spacing w:line="500" w:lineRule="exact"/>
        <w:ind w:firstLine="476"/>
        <w:rPr>
          <w:rFonts w:ascii="宋体" w:hAnsi="宋体" w:cs="宋体"/>
          <w:color w:val="auto"/>
          <w:sz w:val="24"/>
          <w:szCs w:val="24"/>
          <w:highlight w:val="none"/>
          <w:lang w:val="zh-CN"/>
        </w:rPr>
      </w:pPr>
    </w:p>
    <w:p>
      <w:pPr>
        <w:autoSpaceDE w:val="0"/>
        <w:autoSpaceDN w:val="0"/>
        <w:adjustRightInd w:val="0"/>
        <w:spacing w:line="500" w:lineRule="exact"/>
        <w:rPr>
          <w:rFonts w:ascii="宋体" w:hAnsi="宋体" w:cs="宋体"/>
          <w:color w:val="auto"/>
          <w:sz w:val="24"/>
          <w:szCs w:val="24"/>
          <w:highlight w:val="none"/>
          <w:lang w:val="zh-CN"/>
        </w:rPr>
      </w:pPr>
    </w:p>
    <w:p>
      <w:pPr>
        <w:autoSpaceDE w:val="0"/>
        <w:autoSpaceDN w:val="0"/>
        <w:adjustRightInd w:val="0"/>
        <w:spacing w:line="500" w:lineRule="exact"/>
        <w:rPr>
          <w:rFonts w:ascii="宋体" w:hAnsi="宋体" w:cs="宋体"/>
          <w:color w:val="auto"/>
          <w:sz w:val="24"/>
          <w:szCs w:val="24"/>
          <w:highlight w:val="none"/>
          <w:lang w:val="zh-CN"/>
        </w:rPr>
      </w:pPr>
    </w:p>
    <w:p>
      <w:pPr>
        <w:autoSpaceDE w:val="0"/>
        <w:autoSpaceDN w:val="0"/>
        <w:adjustRightInd w:val="0"/>
        <w:spacing w:line="500" w:lineRule="exact"/>
        <w:rPr>
          <w:rFonts w:ascii="宋体" w:hAnsi="宋体" w:cs="宋体"/>
          <w:color w:val="auto"/>
          <w:sz w:val="24"/>
          <w:szCs w:val="24"/>
          <w:highlight w:val="none"/>
          <w:lang w:val="zh-CN"/>
        </w:rPr>
      </w:pPr>
    </w:p>
    <w:p>
      <w:pPr>
        <w:autoSpaceDE w:val="0"/>
        <w:autoSpaceDN w:val="0"/>
        <w:adjustRightInd w:val="0"/>
        <w:spacing w:line="500" w:lineRule="exact"/>
        <w:rPr>
          <w:rFonts w:ascii="宋体" w:hAnsi="宋体" w:cs="宋体"/>
          <w:color w:val="auto"/>
          <w:sz w:val="24"/>
          <w:szCs w:val="24"/>
          <w:highlight w:val="none"/>
          <w:lang w:val="zh-CN"/>
        </w:rPr>
      </w:pPr>
    </w:p>
    <w:p>
      <w:pPr>
        <w:autoSpaceDE w:val="0"/>
        <w:autoSpaceDN w:val="0"/>
        <w:adjustRightInd w:val="0"/>
        <w:spacing w:line="500" w:lineRule="exact"/>
        <w:jc w:val="center"/>
        <w:outlineLvl w:val="0"/>
        <w:rPr>
          <w:rFonts w:ascii="宋体" w:hAnsi="宋体" w:cs="宋体"/>
          <w:color w:val="auto"/>
          <w:sz w:val="32"/>
          <w:szCs w:val="32"/>
          <w:highlight w:val="none"/>
          <w:lang w:val="zh-CN"/>
        </w:rPr>
      </w:pPr>
      <w:r>
        <w:rPr>
          <w:rFonts w:hint="eastAsia" w:ascii="宋体" w:hAnsi="宋体" w:cs="宋体"/>
          <w:color w:val="auto"/>
          <w:sz w:val="24"/>
          <w:szCs w:val="24"/>
          <w:highlight w:val="none"/>
          <w:lang w:val="zh-CN"/>
        </w:rPr>
        <w:br w:type="page"/>
      </w:r>
      <w:bookmarkStart w:id="33" w:name="_Toc29511"/>
      <w:bookmarkStart w:id="34" w:name="_Toc30455"/>
      <w:bookmarkStart w:id="35" w:name="_Toc5370"/>
      <w:bookmarkStart w:id="36" w:name="_Toc27373"/>
      <w:bookmarkStart w:id="37" w:name="_Toc13953"/>
      <w:bookmarkStart w:id="38" w:name="_Toc6942"/>
      <w:bookmarkStart w:id="39" w:name="_Toc1536"/>
      <w:bookmarkStart w:id="40" w:name="_Toc4512"/>
      <w:bookmarkStart w:id="41" w:name="_Toc242"/>
      <w:r>
        <w:rPr>
          <w:rStyle w:val="64"/>
          <w:rFonts w:hint="eastAsia" w:ascii="宋体" w:hAnsi="宋体" w:cs="宋体"/>
          <w:color w:val="auto"/>
          <w:highlight w:val="none"/>
          <w:lang w:val="zh-CN"/>
        </w:rPr>
        <w:t xml:space="preserve">第三章 </w:t>
      </w:r>
      <w:r>
        <w:rPr>
          <w:rStyle w:val="64"/>
          <w:rFonts w:hint="eastAsia" w:ascii="宋体" w:hAnsi="宋体" w:cs="宋体"/>
          <w:color w:val="auto"/>
          <w:highlight w:val="none"/>
        </w:rPr>
        <w:t xml:space="preserve"> </w:t>
      </w:r>
      <w:r>
        <w:rPr>
          <w:rStyle w:val="64"/>
          <w:rFonts w:hint="eastAsia" w:ascii="宋体" w:hAnsi="宋体" w:cs="宋体"/>
          <w:color w:val="auto"/>
          <w:highlight w:val="none"/>
          <w:lang w:val="zh-CN"/>
        </w:rPr>
        <w:t>评审办法</w:t>
      </w:r>
      <w:bookmarkEnd w:id="33"/>
      <w:bookmarkEnd w:id="34"/>
      <w:bookmarkEnd w:id="35"/>
      <w:bookmarkEnd w:id="36"/>
      <w:bookmarkEnd w:id="37"/>
      <w:bookmarkEnd w:id="38"/>
      <w:bookmarkEnd w:id="39"/>
      <w:bookmarkEnd w:id="40"/>
      <w:bookmarkEnd w:id="41"/>
    </w:p>
    <w:p>
      <w:pPr>
        <w:tabs>
          <w:tab w:val="left" w:pos="540"/>
        </w:tabs>
        <w:spacing w:line="500" w:lineRule="exact"/>
        <w:rPr>
          <w:rFonts w:ascii="宋体" w:hAnsi="宋体" w:cs="宋体"/>
          <w:b/>
          <w:bCs/>
          <w:color w:val="auto"/>
          <w:sz w:val="21"/>
          <w:szCs w:val="21"/>
          <w:highlight w:val="none"/>
        </w:rPr>
      </w:pPr>
      <w:r>
        <w:rPr>
          <w:rFonts w:hint="eastAsia" w:ascii="宋体" w:hAnsi="宋体" w:cs="宋体"/>
          <w:b/>
          <w:bCs/>
          <w:color w:val="auto"/>
          <w:sz w:val="21"/>
          <w:szCs w:val="21"/>
          <w:highlight w:val="none"/>
        </w:rPr>
        <w:t>1、综合评审</w:t>
      </w:r>
    </w:p>
    <w:p>
      <w:pPr>
        <w:tabs>
          <w:tab w:val="left" w:pos="540"/>
        </w:tabs>
        <w:spacing w:line="50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采购</w:t>
      </w:r>
      <w:r>
        <w:rPr>
          <w:rFonts w:hint="eastAsia" w:ascii="宋体" w:hAnsi="宋体" w:cs="宋体"/>
          <w:color w:val="auto"/>
          <w:sz w:val="21"/>
          <w:szCs w:val="21"/>
          <w:highlight w:val="none"/>
          <w:lang w:val="zh-CN"/>
        </w:rPr>
        <w:t>代理机构</w:t>
      </w:r>
      <w:r>
        <w:rPr>
          <w:rFonts w:hint="eastAsia" w:ascii="宋体" w:hAnsi="宋体" w:cs="宋体"/>
          <w:color w:val="auto"/>
          <w:sz w:val="21"/>
          <w:szCs w:val="21"/>
          <w:highlight w:val="none"/>
        </w:rPr>
        <w:t>在磋商文件规定的时间和地点组织磋商，供应商须派代表参加。磋商前，采购</w:t>
      </w:r>
      <w:r>
        <w:rPr>
          <w:rFonts w:hint="eastAsia" w:ascii="宋体" w:hAnsi="宋体" w:cs="宋体"/>
          <w:color w:val="auto"/>
          <w:sz w:val="21"/>
          <w:szCs w:val="21"/>
          <w:highlight w:val="none"/>
          <w:lang w:val="zh-CN"/>
        </w:rPr>
        <w:t>代理机构</w:t>
      </w:r>
      <w:r>
        <w:rPr>
          <w:rFonts w:hint="eastAsia" w:ascii="宋体" w:hAnsi="宋体" w:cs="宋体"/>
          <w:color w:val="auto"/>
          <w:sz w:val="21"/>
          <w:szCs w:val="21"/>
          <w:highlight w:val="none"/>
        </w:rPr>
        <w:t xml:space="preserve">将查验响应文件密封情况，确认无误后拆封该响应文件。 </w:t>
      </w:r>
    </w:p>
    <w:p>
      <w:pPr>
        <w:tabs>
          <w:tab w:val="left" w:pos="540"/>
        </w:tabs>
        <w:spacing w:line="500" w:lineRule="exact"/>
        <w:rPr>
          <w:rFonts w:ascii="宋体" w:hAnsi="宋体" w:cs="宋体"/>
          <w:b/>
          <w:bCs/>
          <w:color w:val="auto"/>
          <w:sz w:val="21"/>
          <w:szCs w:val="21"/>
          <w:highlight w:val="none"/>
        </w:rPr>
      </w:pPr>
      <w:r>
        <w:rPr>
          <w:rFonts w:hint="eastAsia" w:ascii="宋体" w:hAnsi="宋体" w:cs="宋体"/>
          <w:b/>
          <w:bCs/>
          <w:color w:val="auto"/>
          <w:sz w:val="21"/>
          <w:szCs w:val="21"/>
          <w:highlight w:val="none"/>
        </w:rPr>
        <w:t>2、磋商小组</w:t>
      </w:r>
    </w:p>
    <w:p>
      <w:pPr>
        <w:tabs>
          <w:tab w:val="left" w:pos="540"/>
        </w:tabs>
        <w:spacing w:line="50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磋商小组由三名专家组成，</w:t>
      </w:r>
      <w:r>
        <w:rPr>
          <w:rFonts w:hint="eastAsia" w:ascii="宋体" w:hAnsi="宋体" w:cs="宋体"/>
          <w:color w:val="auto"/>
          <w:sz w:val="21"/>
          <w:szCs w:val="21"/>
          <w:highlight w:val="none"/>
          <w:lang w:val="zh-CN"/>
        </w:rPr>
        <w:t>磋商</w:t>
      </w:r>
      <w:r>
        <w:rPr>
          <w:rFonts w:hint="eastAsia" w:ascii="宋体" w:hAnsi="宋体" w:cs="宋体"/>
          <w:color w:val="auto"/>
          <w:sz w:val="21"/>
          <w:szCs w:val="21"/>
          <w:highlight w:val="none"/>
        </w:rPr>
        <w:t>小组对响应文件进行审查、质疑、评估和比较。磋商期间，响应方法人代表或法人授权委托人必须在场，负责解答有关事宜。</w:t>
      </w:r>
    </w:p>
    <w:p>
      <w:pPr>
        <w:tabs>
          <w:tab w:val="left" w:pos="540"/>
        </w:tabs>
        <w:spacing w:line="500" w:lineRule="exact"/>
        <w:rPr>
          <w:rFonts w:ascii="宋体" w:hAnsi="宋体" w:cs="宋体"/>
          <w:b/>
          <w:bCs/>
          <w:color w:val="auto"/>
          <w:sz w:val="21"/>
          <w:szCs w:val="21"/>
          <w:highlight w:val="none"/>
        </w:rPr>
      </w:pPr>
      <w:r>
        <w:rPr>
          <w:rFonts w:hint="eastAsia" w:ascii="宋体" w:hAnsi="宋体" w:cs="宋体"/>
          <w:b/>
          <w:bCs/>
          <w:color w:val="auto"/>
          <w:sz w:val="21"/>
          <w:szCs w:val="21"/>
          <w:highlight w:val="none"/>
        </w:rPr>
        <w:t>3、响应方</w:t>
      </w:r>
    </w:p>
    <w:p>
      <w:pPr>
        <w:tabs>
          <w:tab w:val="left" w:pos="540"/>
        </w:tabs>
        <w:spacing w:line="50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磋商期间，响应方法人代表或法人授权委托人必须在场，负责解答有关事宜，根据有关事宜作出书面回复澄清，其书面回复作为签订合同的依据，具有同等法律效力。</w:t>
      </w:r>
    </w:p>
    <w:p>
      <w:pPr>
        <w:tabs>
          <w:tab w:val="left" w:pos="540"/>
        </w:tabs>
        <w:spacing w:line="500" w:lineRule="exact"/>
        <w:rPr>
          <w:rFonts w:ascii="宋体" w:hAnsi="宋体" w:cs="宋体"/>
          <w:b/>
          <w:bCs/>
          <w:color w:val="auto"/>
          <w:sz w:val="21"/>
          <w:szCs w:val="21"/>
          <w:highlight w:val="none"/>
        </w:rPr>
      </w:pPr>
      <w:r>
        <w:rPr>
          <w:rFonts w:hint="eastAsia" w:ascii="宋体" w:hAnsi="宋体" w:cs="宋体"/>
          <w:b/>
          <w:bCs/>
          <w:color w:val="auto"/>
          <w:sz w:val="21"/>
          <w:szCs w:val="21"/>
          <w:highlight w:val="none"/>
        </w:rPr>
        <w:t>4、对响应文件的审查和响应性的确定</w:t>
      </w:r>
    </w:p>
    <w:p>
      <w:pPr>
        <w:tabs>
          <w:tab w:val="left" w:pos="540"/>
        </w:tabs>
        <w:spacing w:line="50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采购</w:t>
      </w:r>
      <w:r>
        <w:rPr>
          <w:rFonts w:hint="eastAsia" w:ascii="宋体" w:hAnsi="宋体" w:cs="宋体"/>
          <w:color w:val="auto"/>
          <w:sz w:val="21"/>
          <w:szCs w:val="21"/>
          <w:highlight w:val="none"/>
          <w:lang w:val="zh-CN"/>
        </w:rPr>
        <w:t>代理机构</w:t>
      </w:r>
      <w:r>
        <w:rPr>
          <w:rFonts w:hint="eastAsia" w:ascii="宋体" w:hAnsi="宋体" w:cs="宋体"/>
          <w:color w:val="auto"/>
          <w:sz w:val="21"/>
          <w:szCs w:val="21"/>
          <w:highlight w:val="none"/>
        </w:rPr>
        <w:t>将组织审查响应文件是否完整，是否有计算错误，文件是否恰当地签署。《</w:t>
      </w:r>
      <w:r>
        <w:rPr>
          <w:rFonts w:hint="eastAsia" w:ascii="宋体" w:hAnsi="宋体" w:cs="宋体"/>
          <w:color w:val="auto"/>
          <w:sz w:val="21"/>
          <w:szCs w:val="21"/>
          <w:highlight w:val="none"/>
          <w:lang w:val="zh-CN"/>
        </w:rPr>
        <w:t>磋商一览表</w:t>
      </w:r>
      <w:r>
        <w:rPr>
          <w:rFonts w:hint="eastAsia" w:ascii="宋体" w:hAnsi="宋体" w:cs="宋体"/>
          <w:color w:val="auto"/>
          <w:sz w:val="21"/>
          <w:szCs w:val="21"/>
          <w:highlight w:val="none"/>
        </w:rPr>
        <w:t>》上写明的大写和小写如有出入，以大写为准。如果确定响应方无资格履行合同，将取消其</w:t>
      </w:r>
      <w:r>
        <w:rPr>
          <w:rFonts w:hint="eastAsia" w:ascii="宋体" w:hAnsi="宋体" w:cs="宋体"/>
          <w:color w:val="auto"/>
          <w:sz w:val="21"/>
          <w:szCs w:val="21"/>
          <w:highlight w:val="none"/>
          <w:lang w:val="zh-CN"/>
        </w:rPr>
        <w:t>磋商</w:t>
      </w:r>
      <w:r>
        <w:rPr>
          <w:rFonts w:hint="eastAsia" w:ascii="宋体" w:hAnsi="宋体" w:cs="宋体"/>
          <w:color w:val="auto"/>
          <w:sz w:val="21"/>
          <w:szCs w:val="21"/>
          <w:highlight w:val="none"/>
        </w:rPr>
        <w:t>资格。</w:t>
      </w:r>
    </w:p>
    <w:p>
      <w:pPr>
        <w:tabs>
          <w:tab w:val="left" w:pos="540"/>
        </w:tabs>
        <w:spacing w:line="500" w:lineRule="exact"/>
        <w:rPr>
          <w:rFonts w:ascii="宋体" w:hAnsi="宋体" w:cs="宋体"/>
          <w:b/>
          <w:bCs/>
          <w:color w:val="auto"/>
          <w:sz w:val="21"/>
          <w:szCs w:val="21"/>
          <w:highlight w:val="none"/>
        </w:rPr>
      </w:pPr>
      <w:r>
        <w:rPr>
          <w:rFonts w:hint="eastAsia" w:ascii="宋体" w:hAnsi="宋体" w:cs="宋体"/>
          <w:b/>
          <w:bCs/>
          <w:color w:val="auto"/>
          <w:sz w:val="21"/>
          <w:szCs w:val="21"/>
          <w:highlight w:val="none"/>
        </w:rPr>
        <w:t>5、综合评审原则和方法</w:t>
      </w:r>
    </w:p>
    <w:p>
      <w:pPr>
        <w:tabs>
          <w:tab w:val="left" w:pos="540"/>
        </w:tabs>
        <w:spacing w:line="500" w:lineRule="exact"/>
        <w:rPr>
          <w:rFonts w:ascii="宋体" w:hAnsi="宋体" w:cs="宋体"/>
          <w:color w:val="auto"/>
          <w:sz w:val="21"/>
          <w:szCs w:val="21"/>
          <w:highlight w:val="none"/>
        </w:rPr>
      </w:pPr>
      <w:r>
        <w:rPr>
          <w:rFonts w:hint="eastAsia" w:ascii="宋体" w:hAnsi="宋体" w:cs="宋体"/>
          <w:color w:val="auto"/>
          <w:sz w:val="21"/>
          <w:szCs w:val="21"/>
          <w:highlight w:val="none"/>
        </w:rPr>
        <w:t xml:space="preserve">    </w:t>
      </w:r>
      <w:r>
        <w:rPr>
          <w:rFonts w:hint="eastAsia" w:ascii="宋体" w:hAnsi="宋体" w:cs="宋体"/>
          <w:color w:val="auto"/>
          <w:sz w:val="21"/>
          <w:szCs w:val="21"/>
          <w:highlight w:val="none"/>
          <w:lang w:val="zh-CN"/>
        </w:rPr>
        <w:t>磋商</w:t>
      </w:r>
      <w:r>
        <w:rPr>
          <w:rFonts w:hint="eastAsia" w:ascii="宋体" w:hAnsi="宋体" w:cs="宋体"/>
          <w:color w:val="auto"/>
          <w:sz w:val="21"/>
          <w:szCs w:val="21"/>
          <w:highlight w:val="none"/>
        </w:rPr>
        <w:t>小组将遵循公开、公平、公正的原则，对综合响应方的技术性能、合同履行期限、质量标准、售后服务、资信情况、履约能力和报价（报价可以一次或多次进行，以最终报价为准。每轮报价不得高于上一轮磋商报价，否则将视为无效报价。）等进行综合分析评审，由</w:t>
      </w:r>
      <w:r>
        <w:rPr>
          <w:rFonts w:hint="eastAsia" w:ascii="宋体" w:hAnsi="宋体" w:cs="宋体"/>
          <w:color w:val="auto"/>
          <w:sz w:val="21"/>
          <w:szCs w:val="21"/>
          <w:highlight w:val="none"/>
          <w:lang w:val="zh-CN"/>
        </w:rPr>
        <w:t>磋商</w:t>
      </w:r>
      <w:r>
        <w:rPr>
          <w:rFonts w:hint="eastAsia" w:ascii="宋体" w:hAnsi="宋体" w:cs="宋体"/>
          <w:color w:val="auto"/>
          <w:sz w:val="21"/>
          <w:szCs w:val="21"/>
          <w:highlight w:val="none"/>
        </w:rPr>
        <w:t>小组以综合评分法，推荐成交候选人。</w:t>
      </w:r>
    </w:p>
    <w:p>
      <w:pPr>
        <w:tabs>
          <w:tab w:val="left" w:pos="540"/>
        </w:tabs>
        <w:spacing w:line="500" w:lineRule="exact"/>
        <w:rPr>
          <w:rFonts w:ascii="宋体" w:hAnsi="宋体" w:cs="宋体"/>
          <w:color w:val="auto"/>
          <w:sz w:val="21"/>
          <w:szCs w:val="21"/>
          <w:highlight w:val="none"/>
        </w:rPr>
      </w:pPr>
      <w:r>
        <w:rPr>
          <w:rFonts w:hint="eastAsia" w:ascii="宋体" w:hAnsi="宋体" w:cs="宋体"/>
          <w:color w:val="auto"/>
          <w:sz w:val="21"/>
          <w:szCs w:val="21"/>
          <w:highlight w:val="none"/>
        </w:rPr>
        <w:t xml:space="preserve">    客观﹑公正的对待所有响应方，对所有评价，均采用相同的程序和标准。在磋商期间，响应方不得向</w:t>
      </w:r>
      <w:r>
        <w:rPr>
          <w:rFonts w:hint="eastAsia" w:ascii="宋体" w:hAnsi="宋体" w:cs="宋体"/>
          <w:color w:val="auto"/>
          <w:sz w:val="21"/>
          <w:szCs w:val="21"/>
          <w:highlight w:val="none"/>
          <w:lang w:val="zh-CN"/>
        </w:rPr>
        <w:t>磋商</w:t>
      </w:r>
      <w:r>
        <w:rPr>
          <w:rFonts w:hint="eastAsia" w:ascii="宋体" w:hAnsi="宋体" w:cs="宋体"/>
          <w:color w:val="auto"/>
          <w:sz w:val="21"/>
          <w:szCs w:val="21"/>
          <w:highlight w:val="none"/>
        </w:rPr>
        <w:t>小组成员询问磋商情况，不得影响评审结果的活动。否则将废除其参加资格。</w:t>
      </w:r>
    </w:p>
    <w:p>
      <w:pPr>
        <w:tabs>
          <w:tab w:val="left" w:pos="540"/>
        </w:tabs>
        <w:spacing w:line="50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在评审过程中，</w:t>
      </w:r>
      <w:r>
        <w:rPr>
          <w:rFonts w:hint="eastAsia" w:ascii="宋体" w:hAnsi="宋体" w:cs="宋体"/>
          <w:color w:val="auto"/>
          <w:sz w:val="21"/>
          <w:szCs w:val="21"/>
          <w:highlight w:val="none"/>
          <w:lang w:val="zh-CN"/>
        </w:rPr>
        <w:t>磋商</w:t>
      </w:r>
      <w:r>
        <w:rPr>
          <w:rFonts w:hint="eastAsia" w:ascii="宋体" w:hAnsi="宋体" w:cs="宋体"/>
          <w:color w:val="auto"/>
          <w:sz w:val="21"/>
          <w:szCs w:val="21"/>
          <w:highlight w:val="none"/>
        </w:rPr>
        <w:t>小组成员不得与响应方私下交换意见。在评审直至授予合同的整个时间内，任何评审人员和工作人员不得对外公布评审的一切内容，若确有需要则需经</w:t>
      </w:r>
      <w:r>
        <w:rPr>
          <w:rFonts w:hint="eastAsia" w:ascii="宋体" w:hAnsi="宋体" w:cs="宋体"/>
          <w:color w:val="auto"/>
          <w:sz w:val="21"/>
          <w:szCs w:val="21"/>
          <w:highlight w:val="none"/>
          <w:lang w:val="zh-CN"/>
        </w:rPr>
        <w:t>磋商</w:t>
      </w:r>
      <w:r>
        <w:rPr>
          <w:rFonts w:hint="eastAsia" w:ascii="宋体" w:hAnsi="宋体" w:cs="宋体"/>
          <w:color w:val="auto"/>
          <w:sz w:val="21"/>
          <w:szCs w:val="21"/>
          <w:highlight w:val="none"/>
        </w:rPr>
        <w:t>小组组长批准，统一对外。</w:t>
      </w:r>
    </w:p>
    <w:p>
      <w:pPr>
        <w:tabs>
          <w:tab w:val="left" w:pos="540"/>
        </w:tabs>
        <w:spacing w:line="500" w:lineRule="exact"/>
        <w:rPr>
          <w:rFonts w:ascii="宋体" w:hAnsi="宋体" w:cs="宋体"/>
          <w:b/>
          <w:bCs/>
          <w:color w:val="auto"/>
          <w:sz w:val="21"/>
          <w:szCs w:val="21"/>
          <w:highlight w:val="none"/>
        </w:rPr>
      </w:pPr>
      <w:r>
        <w:rPr>
          <w:rFonts w:hint="eastAsia" w:ascii="宋体" w:hAnsi="宋体" w:cs="宋体"/>
          <w:b/>
          <w:bCs/>
          <w:color w:val="auto"/>
          <w:sz w:val="21"/>
          <w:szCs w:val="21"/>
          <w:highlight w:val="none"/>
        </w:rPr>
        <w:t>6、成交通知</w:t>
      </w:r>
    </w:p>
    <w:p>
      <w:pPr>
        <w:tabs>
          <w:tab w:val="left" w:pos="540"/>
        </w:tabs>
        <w:spacing w:line="500" w:lineRule="exact"/>
        <w:ind w:firstLine="480"/>
        <w:rPr>
          <w:rFonts w:ascii="宋体" w:hAnsi="宋体" w:cs="宋体"/>
          <w:color w:val="auto"/>
          <w:sz w:val="21"/>
          <w:szCs w:val="21"/>
          <w:highlight w:val="none"/>
        </w:rPr>
      </w:pPr>
      <w:r>
        <w:rPr>
          <w:rFonts w:hint="eastAsia" w:ascii="宋体" w:hAnsi="宋体" w:cs="宋体"/>
          <w:color w:val="auto"/>
          <w:sz w:val="21"/>
          <w:szCs w:val="21"/>
          <w:highlight w:val="none"/>
        </w:rPr>
        <w:t>评审结束后，</w:t>
      </w:r>
      <w:r>
        <w:rPr>
          <w:rFonts w:hint="eastAsia" w:ascii="宋体" w:hAnsi="宋体" w:cs="宋体"/>
          <w:color w:val="auto"/>
          <w:sz w:val="21"/>
          <w:szCs w:val="21"/>
          <w:highlight w:val="none"/>
          <w:lang w:val="zh-CN"/>
        </w:rPr>
        <w:t>采购代理机构</w:t>
      </w:r>
      <w:r>
        <w:rPr>
          <w:rFonts w:hint="eastAsia" w:ascii="宋体" w:hAnsi="宋体" w:cs="宋体"/>
          <w:color w:val="auto"/>
          <w:sz w:val="21"/>
          <w:szCs w:val="21"/>
          <w:highlight w:val="none"/>
        </w:rPr>
        <w:t>将预成交结果公示</w:t>
      </w:r>
      <w:r>
        <w:rPr>
          <w:rFonts w:hint="eastAsia" w:ascii="宋体" w:hAnsi="宋体" w:cs="宋体"/>
          <w:color w:val="auto"/>
          <w:sz w:val="21"/>
          <w:szCs w:val="21"/>
          <w:highlight w:val="none"/>
          <w:lang w:eastAsia="zh-CN"/>
        </w:rPr>
        <w:t>1日</w:t>
      </w:r>
      <w:r>
        <w:rPr>
          <w:rFonts w:hint="eastAsia" w:ascii="宋体" w:hAnsi="宋体" w:cs="宋体"/>
          <w:color w:val="auto"/>
          <w:sz w:val="21"/>
          <w:szCs w:val="21"/>
          <w:highlight w:val="none"/>
        </w:rPr>
        <w:t>，公示期结束且并无异议提出后，正式发出成交通知。</w:t>
      </w:r>
    </w:p>
    <w:p>
      <w:pPr>
        <w:pStyle w:val="45"/>
        <w:rPr>
          <w:color w:val="auto"/>
          <w:highlight w:val="none"/>
        </w:rPr>
      </w:pPr>
    </w:p>
    <w:p>
      <w:pPr>
        <w:pStyle w:val="2"/>
        <w:spacing w:before="0" w:after="0"/>
        <w:rPr>
          <w:rFonts w:hint="eastAsia" w:ascii="宋体" w:hAnsi="宋体" w:cs="宋体"/>
          <w:bCs/>
          <w:color w:val="auto"/>
          <w:kern w:val="0"/>
          <w:sz w:val="32"/>
          <w:szCs w:val="32"/>
          <w:highlight w:val="none"/>
        </w:rPr>
      </w:pPr>
      <w:bookmarkStart w:id="42" w:name="_Toc19785"/>
      <w:bookmarkStart w:id="43" w:name="OLE_LINK1"/>
      <w:r>
        <w:rPr>
          <w:rFonts w:hint="eastAsia" w:ascii="宋体" w:hAnsi="宋体" w:cs="宋体"/>
          <w:bCs/>
          <w:color w:val="auto"/>
          <w:kern w:val="0"/>
          <w:sz w:val="32"/>
          <w:szCs w:val="32"/>
          <w:highlight w:val="none"/>
        </w:rPr>
        <w:t>评审办法</w:t>
      </w:r>
      <w:bookmarkEnd w:id="42"/>
    </w:p>
    <w:p>
      <w:pPr>
        <w:jc w:val="center"/>
        <w:rPr>
          <w:rFonts w:hint="default" w:ascii="宋体" w:hAnsi="宋体" w:eastAsia="宋体"/>
          <w:b/>
          <w:color w:val="auto"/>
          <w:kern w:val="0"/>
          <w:sz w:val="24"/>
          <w:szCs w:val="24"/>
          <w:highlight w:val="none"/>
          <w:lang w:val="en-US" w:eastAsia="zh-CN"/>
        </w:rPr>
      </w:pPr>
      <w:r>
        <w:rPr>
          <w:rFonts w:hint="eastAsia" w:ascii="宋体" w:hAnsi="宋体"/>
          <w:b/>
          <w:color w:val="auto"/>
          <w:kern w:val="0"/>
          <w:sz w:val="24"/>
          <w:szCs w:val="24"/>
          <w:highlight w:val="none"/>
          <w:lang w:val="en-US" w:eastAsia="zh-CN"/>
        </w:rPr>
        <w:t>资格性审查表、符合性审查表</w:t>
      </w:r>
    </w:p>
    <w:tbl>
      <w:tblPr>
        <w:tblStyle w:val="46"/>
        <w:tblW w:w="101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7"/>
        <w:gridCol w:w="1853"/>
        <w:gridCol w:w="7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0" w:hRule="atLeast"/>
          <w:jc w:val="center"/>
        </w:trPr>
        <w:tc>
          <w:tcPr>
            <w:tcW w:w="1037" w:type="dxa"/>
            <w:vMerge w:val="restart"/>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宋体"/>
                <w:color w:val="auto"/>
                <w:szCs w:val="20"/>
                <w:highlight w:val="none"/>
                <w:lang w:val="en-US" w:eastAsia="zh-CN"/>
              </w:rPr>
            </w:pPr>
            <w:bookmarkStart w:id="44" w:name="_Toc7116"/>
            <w:r>
              <w:rPr>
                <w:rFonts w:hint="eastAsia" w:ascii="宋体" w:hAnsi="宋体" w:eastAsia="宋体" w:cs="宋体"/>
                <w:color w:val="auto"/>
                <w:szCs w:val="20"/>
                <w:highlight w:val="none"/>
                <w:lang w:val="en-US" w:eastAsia="zh-CN"/>
              </w:rPr>
              <w:t>资格性审查表</w:t>
            </w:r>
            <w:bookmarkEnd w:id="44"/>
          </w:p>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宋体"/>
                <w:color w:val="auto"/>
                <w:szCs w:val="20"/>
                <w:highlight w:val="none"/>
                <w:lang w:val="en-US" w:eastAsia="zh-CN"/>
              </w:rPr>
            </w:pPr>
          </w:p>
        </w:tc>
        <w:tc>
          <w:tcPr>
            <w:tcW w:w="1853" w:type="dxa"/>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eastAsia="zh-CN"/>
              </w:rPr>
              <w:t>营业执照</w:t>
            </w:r>
          </w:p>
        </w:tc>
        <w:tc>
          <w:tcPr>
            <w:tcW w:w="7304" w:type="dxa"/>
            <w:noWrap w:val="0"/>
            <w:vAlign w:val="center"/>
          </w:tcPr>
          <w:p>
            <w:pPr>
              <w:keepNext w:val="0"/>
              <w:keepLines w:val="0"/>
              <w:suppressLineNumbers w:val="0"/>
              <w:adjustRightInd w:val="0"/>
              <w:snapToGrid w:val="0"/>
              <w:spacing w:before="0" w:beforeAutospacing="0" w:after="0" w:afterAutospacing="0" w:line="300" w:lineRule="exact"/>
              <w:ind w:left="0" w:right="0"/>
              <w:rPr>
                <w:rFonts w:hint="eastAsia" w:ascii="宋体" w:hAnsi="宋体" w:eastAsia="宋体" w:cs="宋体"/>
                <w:i w:val="0"/>
                <w:iCs w:val="0"/>
                <w:color w:val="auto"/>
                <w:sz w:val="21"/>
                <w:szCs w:val="21"/>
                <w:highlight w:val="none"/>
                <w:u w:val="none"/>
                <w:lang w:val="zh-CN" w:eastAsia="zh-CN"/>
              </w:rPr>
            </w:pPr>
            <w:r>
              <w:rPr>
                <w:rFonts w:hint="eastAsia" w:ascii="宋体" w:hAnsi="宋体" w:eastAsia="宋体" w:cs="宋体"/>
                <w:i w:val="0"/>
                <w:iCs w:val="0"/>
                <w:color w:val="auto"/>
                <w:sz w:val="21"/>
                <w:szCs w:val="21"/>
                <w:highlight w:val="none"/>
                <w:u w:val="none"/>
                <w:lang w:val="zh-CN" w:eastAsia="zh-CN"/>
              </w:rPr>
              <w:t>投标人为企业（包括合伙企业）的，应提供有效的“营业执照”；</w:t>
            </w:r>
          </w:p>
          <w:p>
            <w:pPr>
              <w:keepNext w:val="0"/>
              <w:keepLines w:val="0"/>
              <w:suppressLineNumbers w:val="0"/>
              <w:adjustRightInd w:val="0"/>
              <w:snapToGrid w:val="0"/>
              <w:spacing w:before="0" w:beforeAutospacing="0" w:after="0" w:afterAutospacing="0" w:line="300" w:lineRule="exact"/>
              <w:ind w:left="0" w:right="0"/>
              <w:rPr>
                <w:rFonts w:hint="eastAsia" w:ascii="宋体" w:hAnsi="宋体" w:eastAsia="宋体" w:cs="宋体"/>
                <w:i w:val="0"/>
                <w:iCs w:val="0"/>
                <w:color w:val="auto"/>
                <w:sz w:val="21"/>
                <w:szCs w:val="21"/>
                <w:highlight w:val="none"/>
                <w:u w:val="none"/>
                <w:lang w:val="zh-CN" w:eastAsia="zh-CN"/>
              </w:rPr>
            </w:pPr>
            <w:r>
              <w:rPr>
                <w:rFonts w:hint="eastAsia" w:ascii="宋体" w:hAnsi="宋体" w:eastAsia="宋体" w:cs="宋体"/>
                <w:i w:val="0"/>
                <w:iCs w:val="0"/>
                <w:color w:val="auto"/>
                <w:sz w:val="21"/>
                <w:szCs w:val="21"/>
                <w:highlight w:val="none"/>
                <w:u w:val="none"/>
                <w:lang w:val="zh-CN" w:eastAsia="zh-CN"/>
              </w:rPr>
              <w:t>投标人为事业单位的，应提供有效的“事业单位法人证书”；</w:t>
            </w:r>
          </w:p>
          <w:p>
            <w:pPr>
              <w:keepNext w:val="0"/>
              <w:keepLines w:val="0"/>
              <w:suppressLineNumbers w:val="0"/>
              <w:adjustRightInd w:val="0"/>
              <w:snapToGrid w:val="0"/>
              <w:spacing w:before="0" w:beforeAutospacing="0" w:after="0" w:afterAutospacing="0" w:line="300" w:lineRule="exact"/>
              <w:ind w:left="0" w:right="0"/>
              <w:rPr>
                <w:rFonts w:hint="eastAsia" w:ascii="宋体" w:hAnsi="宋体" w:eastAsia="宋体" w:cs="宋体"/>
                <w:i w:val="0"/>
                <w:iCs w:val="0"/>
                <w:color w:val="auto"/>
                <w:sz w:val="21"/>
                <w:szCs w:val="21"/>
                <w:highlight w:val="none"/>
                <w:u w:val="none"/>
                <w:lang w:val="zh-CN" w:eastAsia="zh-CN"/>
              </w:rPr>
            </w:pPr>
            <w:r>
              <w:rPr>
                <w:rFonts w:hint="eastAsia" w:ascii="宋体" w:hAnsi="宋体" w:eastAsia="宋体" w:cs="宋体"/>
                <w:i w:val="0"/>
                <w:iCs w:val="0"/>
                <w:color w:val="auto"/>
                <w:sz w:val="21"/>
                <w:szCs w:val="21"/>
                <w:highlight w:val="none"/>
                <w:u w:val="none"/>
                <w:lang w:val="zh-CN" w:eastAsia="zh-CN"/>
              </w:rPr>
              <w:t>投标人是非企业机构的，应提供有效的“执业许可证”、“登记证书”等证明文件；</w:t>
            </w:r>
          </w:p>
          <w:p>
            <w:pPr>
              <w:keepNext w:val="0"/>
              <w:keepLines w:val="0"/>
              <w:suppressLineNumbers w:val="0"/>
              <w:adjustRightInd w:val="0"/>
              <w:snapToGrid w:val="0"/>
              <w:spacing w:before="0" w:beforeAutospacing="0" w:after="0" w:afterAutospacing="0" w:line="300" w:lineRule="exact"/>
              <w:ind w:left="0" w:right="0"/>
              <w:rPr>
                <w:rFonts w:hint="eastAsia" w:ascii="宋体" w:hAnsi="宋体" w:eastAsia="宋体" w:cs="宋体"/>
                <w:i w:val="0"/>
                <w:iCs w:val="0"/>
                <w:color w:val="auto"/>
                <w:sz w:val="21"/>
                <w:szCs w:val="21"/>
                <w:highlight w:val="none"/>
                <w:u w:val="none"/>
                <w:lang w:val="zh-CN" w:eastAsia="zh-CN"/>
              </w:rPr>
            </w:pPr>
            <w:r>
              <w:rPr>
                <w:rFonts w:hint="eastAsia" w:ascii="宋体" w:hAnsi="宋体" w:eastAsia="宋体" w:cs="宋体"/>
                <w:i w:val="0"/>
                <w:iCs w:val="0"/>
                <w:color w:val="auto"/>
                <w:sz w:val="21"/>
                <w:szCs w:val="21"/>
                <w:highlight w:val="none"/>
                <w:u w:val="none"/>
                <w:lang w:val="zh-CN" w:eastAsia="zh-CN"/>
              </w:rPr>
              <w:t>投标人是个体工商户的，应提供有效的“个体工商户营业执照”；</w:t>
            </w:r>
          </w:p>
          <w:p>
            <w:pPr>
              <w:keepNext w:val="0"/>
              <w:keepLines w:val="0"/>
              <w:suppressLineNumbers w:val="0"/>
              <w:adjustRightInd w:val="0"/>
              <w:snapToGrid w:val="0"/>
              <w:spacing w:before="0" w:beforeAutospacing="0" w:after="0" w:afterAutospacing="0" w:line="300" w:lineRule="exact"/>
              <w:ind w:left="0" w:right="0"/>
              <w:rPr>
                <w:rFonts w:hint="eastAsia" w:ascii="宋体" w:hAnsi="宋体" w:eastAsia="宋体" w:cs="宋体"/>
                <w:color w:val="auto"/>
                <w:szCs w:val="21"/>
                <w:highlight w:val="none"/>
                <w:lang w:val="zh-CN"/>
              </w:rPr>
            </w:pPr>
            <w:r>
              <w:rPr>
                <w:rFonts w:hint="eastAsia" w:ascii="宋体" w:hAnsi="宋体" w:eastAsia="宋体" w:cs="宋体"/>
                <w:i w:val="0"/>
                <w:iCs w:val="0"/>
                <w:color w:val="auto"/>
                <w:sz w:val="21"/>
                <w:szCs w:val="21"/>
                <w:highlight w:val="none"/>
                <w:u w:val="none"/>
                <w:lang w:val="zh-CN" w:eastAsia="zh-CN"/>
              </w:rPr>
              <w:t>投标人是自然人的，应提供有效的自然人身份证明。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5" w:hRule="atLeast"/>
          <w:jc w:val="center"/>
        </w:trPr>
        <w:tc>
          <w:tcPr>
            <w:tcW w:w="1037" w:type="dxa"/>
            <w:vMerge w:val="continue"/>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宋体"/>
                <w:color w:val="auto"/>
                <w:szCs w:val="20"/>
                <w:highlight w:val="none"/>
                <w:lang w:val="en-US" w:eastAsia="zh-CN"/>
              </w:rPr>
            </w:pPr>
          </w:p>
        </w:tc>
        <w:tc>
          <w:tcPr>
            <w:tcW w:w="1853" w:type="dxa"/>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财务状况</w:t>
            </w:r>
            <w:r>
              <w:rPr>
                <w:rFonts w:hint="eastAsia" w:ascii="宋体" w:hAnsi="宋体" w:cs="宋体"/>
                <w:color w:val="auto"/>
                <w:szCs w:val="21"/>
                <w:highlight w:val="none"/>
                <w:lang w:eastAsia="zh-CN"/>
              </w:rPr>
              <w:t>、</w:t>
            </w:r>
            <w:r>
              <w:rPr>
                <w:rFonts w:hint="eastAsia" w:ascii="宋体" w:hAnsi="宋体" w:cs="宋体"/>
                <w:color w:val="auto"/>
                <w:szCs w:val="21"/>
                <w:highlight w:val="none"/>
                <w:lang w:val="zh-CN"/>
              </w:rPr>
              <w:t>依法缴纳税收和社会保障资金</w:t>
            </w:r>
          </w:p>
        </w:tc>
        <w:tc>
          <w:tcPr>
            <w:tcW w:w="7304" w:type="dxa"/>
            <w:noWrap w:val="0"/>
            <w:vAlign w:val="top"/>
          </w:tcPr>
          <w:p>
            <w:pPr>
              <w:keepNext w:val="0"/>
              <w:keepLines w:val="0"/>
              <w:suppressLineNumbers w:val="0"/>
              <w:adjustRightInd w:val="0"/>
              <w:snapToGrid w:val="0"/>
              <w:spacing w:before="0" w:beforeAutospacing="0" w:after="0" w:afterAutospacing="0" w:line="300" w:lineRule="exact"/>
              <w:ind w:left="0" w:right="0"/>
              <w:rPr>
                <w:rFonts w:hint="eastAsia" w:ascii="宋体" w:hAnsi="宋体" w:cs="宋体"/>
                <w:color w:val="auto"/>
                <w:szCs w:val="21"/>
                <w:highlight w:val="none"/>
              </w:rPr>
            </w:pPr>
            <w:r>
              <w:rPr>
                <w:rFonts w:hint="eastAsia" w:ascii="宋体" w:hAnsi="宋体" w:eastAsia="宋体" w:cs="宋体"/>
                <w:i w:val="0"/>
                <w:iCs w:val="0"/>
                <w:color w:val="auto"/>
                <w:sz w:val="21"/>
                <w:szCs w:val="21"/>
                <w:highlight w:val="none"/>
                <w:u w:val="none"/>
                <w:lang w:val="zh-CN" w:eastAsia="zh-CN"/>
              </w:rPr>
              <w:t>供应商应按照《长春市财政局关于加强政府采购信用体系建设简化投标人资格条件有关事项的通知》（长财采购[2022]2066号）文件要求在</w:t>
            </w:r>
            <w:r>
              <w:rPr>
                <w:rFonts w:hint="eastAsia" w:ascii="宋体" w:hAnsi="宋体" w:eastAsia="宋体" w:cs="宋体"/>
                <w:i w:val="0"/>
                <w:iCs w:val="0"/>
                <w:color w:val="auto"/>
                <w:sz w:val="21"/>
                <w:szCs w:val="21"/>
                <w:highlight w:val="none"/>
                <w:u w:val="none"/>
                <w:lang w:val="en-US" w:eastAsia="zh-CN"/>
              </w:rPr>
              <w:t>投标文件</w:t>
            </w:r>
            <w:r>
              <w:rPr>
                <w:rFonts w:hint="eastAsia" w:ascii="宋体" w:hAnsi="宋体" w:eastAsia="宋体" w:cs="宋体"/>
                <w:i w:val="0"/>
                <w:iCs w:val="0"/>
                <w:color w:val="auto"/>
                <w:sz w:val="21"/>
                <w:szCs w:val="21"/>
                <w:highlight w:val="none"/>
                <w:u w:val="none"/>
                <w:lang w:val="zh-CN" w:eastAsia="zh-CN"/>
              </w:rPr>
              <w:t>中提交反映其财务状况、依法缴纳税收和社</w:t>
            </w:r>
            <w:r>
              <w:rPr>
                <w:rFonts w:hint="eastAsia" w:ascii="宋体" w:hAnsi="宋体" w:eastAsia="宋体" w:cs="宋体"/>
                <w:i w:val="0"/>
                <w:iCs w:val="0"/>
                <w:color w:val="auto"/>
                <w:sz w:val="21"/>
                <w:szCs w:val="21"/>
                <w:highlight w:val="none"/>
                <w:u w:val="none"/>
                <w:lang w:val="en-US" w:eastAsia="zh-CN"/>
              </w:rPr>
              <w:t>会</w:t>
            </w:r>
            <w:r>
              <w:rPr>
                <w:rFonts w:hint="eastAsia" w:ascii="宋体" w:hAnsi="宋体" w:eastAsia="宋体" w:cs="宋体"/>
                <w:i w:val="0"/>
                <w:iCs w:val="0"/>
                <w:color w:val="auto"/>
                <w:sz w:val="21"/>
                <w:szCs w:val="21"/>
                <w:highlight w:val="none"/>
                <w:u w:val="none"/>
                <w:lang w:val="zh-CN" w:eastAsia="zh-CN"/>
              </w:rPr>
              <w:t>保障资金情况的资格条件承诺函，并对资格条件承诺函有关内容的真实性、有效性、合法性负责</w:t>
            </w:r>
            <w:r>
              <w:rPr>
                <w:rFonts w:hint="eastAsia" w:ascii="宋体" w:hAnsi="宋体" w:eastAsia="宋体" w:cs="宋体"/>
                <w:color w:val="auto"/>
                <w:szCs w:val="20"/>
                <w:highlight w:val="none"/>
                <w:lang w:val="en-US" w:eastAsia="zh-CN"/>
              </w:rPr>
              <w:t>，</w:t>
            </w:r>
            <w:r>
              <w:rPr>
                <w:rFonts w:hint="eastAsia" w:ascii="宋体" w:hAnsi="宋体" w:eastAsia="宋体" w:cs="宋体"/>
                <w:b/>
                <w:bCs/>
                <w:color w:val="auto"/>
                <w:szCs w:val="20"/>
                <w:highlight w:val="none"/>
                <w:lang w:val="en-US" w:eastAsia="zh-CN"/>
              </w:rPr>
              <w:t>标书内提供资格条件承诺函盖章原件</w:t>
            </w:r>
            <w:r>
              <w:rPr>
                <w:rFonts w:hint="eastAsia" w:ascii="宋体" w:hAnsi="宋体" w:eastAsia="宋体" w:cs="宋体"/>
                <w:color w:val="auto"/>
                <w:szCs w:val="20"/>
                <w:highlight w:val="none"/>
                <w:lang w:val="zh-CN"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6" w:hRule="atLeast"/>
          <w:jc w:val="center"/>
        </w:trPr>
        <w:tc>
          <w:tcPr>
            <w:tcW w:w="1037" w:type="dxa"/>
            <w:vMerge w:val="continue"/>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宋体"/>
                <w:color w:val="auto"/>
                <w:szCs w:val="20"/>
                <w:highlight w:val="none"/>
                <w:lang w:val="en-US" w:eastAsia="zh-CN"/>
              </w:rPr>
            </w:pPr>
          </w:p>
        </w:tc>
        <w:tc>
          <w:tcPr>
            <w:tcW w:w="1853" w:type="dxa"/>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信誉</w:t>
            </w:r>
          </w:p>
        </w:tc>
        <w:tc>
          <w:tcPr>
            <w:tcW w:w="7304" w:type="dxa"/>
            <w:noWrap w:val="0"/>
            <w:vAlign w:val="top"/>
          </w:tcPr>
          <w:p>
            <w:pPr>
              <w:keepNext w:val="0"/>
              <w:keepLines w:val="0"/>
              <w:suppressLineNumbers w:val="0"/>
              <w:spacing w:before="0" w:beforeAutospacing="0" w:after="0" w:afterAutospacing="0"/>
              <w:ind w:left="0" w:right="0"/>
              <w:rPr>
                <w:rFonts w:hint="eastAsia" w:ascii="宋体" w:hAnsi="宋体" w:eastAsia="宋体" w:cs="Times New Roman"/>
                <w:color w:val="auto"/>
                <w:kern w:val="0"/>
                <w:szCs w:val="21"/>
                <w:highlight w:val="none"/>
                <w:lang w:val="zh-CN" w:eastAsia="zh-CN"/>
              </w:rPr>
            </w:pPr>
            <w:r>
              <w:rPr>
                <w:rFonts w:hint="eastAsia" w:ascii="宋体" w:hAnsi="宋体" w:eastAsia="宋体" w:cs="Times New Roman"/>
                <w:color w:val="auto"/>
                <w:kern w:val="0"/>
                <w:szCs w:val="21"/>
                <w:highlight w:val="none"/>
                <w:lang w:val="zh-CN" w:eastAsia="zh-CN"/>
              </w:rPr>
              <w:t>参加政府采购活动前三年内，在经营活动中没有重大违法记录；拒绝列入政府取消投标资格记录期间的企业或个人投标；对在“信用中国”网站(www.creditchina.gov.cn)存在失信被执行人、重大税收违法失信主体、政府采购严重违法失信行为记录名单，被中国政府采购网(www.ccgp.gov.cn)列入政府采购严重违法失信行为记录名单，被工商行政管理机关在国家企业信用信息公示系统（http://www.gsxt.gov.cn/index.html）中列入经营异常名录或严重违法失信企业名单及其他不符合《中华人民共和国政府采购法》第二十二条规定条件的供应商，不得参与政府采购活动（查询截止时点：本项目采购公告发布之日起到响应文件提交截止时间期间）；</w:t>
            </w:r>
          </w:p>
          <w:p>
            <w:pPr>
              <w:keepNext w:val="0"/>
              <w:keepLines w:val="0"/>
              <w:suppressLineNumbers w:val="0"/>
              <w:adjustRightInd w:val="0"/>
              <w:snapToGrid w:val="0"/>
              <w:spacing w:before="0" w:beforeAutospacing="0" w:after="0" w:afterAutospacing="0" w:line="300" w:lineRule="exact"/>
              <w:ind w:left="0" w:right="0"/>
              <w:rPr>
                <w:rFonts w:hint="eastAsia" w:ascii="宋体" w:hAnsi="宋体" w:cs="宋体"/>
                <w:color w:val="auto"/>
                <w:szCs w:val="21"/>
                <w:highlight w:val="none"/>
              </w:rPr>
            </w:pPr>
            <w:r>
              <w:rPr>
                <w:rFonts w:hint="eastAsia" w:ascii="宋体" w:hAnsi="宋体" w:eastAsia="宋体" w:cs="宋体"/>
                <w:b/>
                <w:bCs w:val="0"/>
                <w:color w:val="auto"/>
                <w:sz w:val="21"/>
                <w:szCs w:val="21"/>
                <w:highlight w:val="none"/>
                <w:lang w:val="zh-CN" w:eastAsia="zh-CN"/>
              </w:rPr>
              <w:t>提供信誉良好承诺书（格式自拟）并加盖供应商公章。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1037" w:type="dxa"/>
            <w:vMerge w:val="continue"/>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宋体"/>
                <w:color w:val="auto"/>
                <w:szCs w:val="20"/>
                <w:highlight w:val="none"/>
                <w:lang w:val="en-US" w:eastAsia="zh-CN"/>
              </w:rPr>
            </w:pPr>
          </w:p>
        </w:tc>
        <w:tc>
          <w:tcPr>
            <w:tcW w:w="1853" w:type="dxa"/>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不接受联合体投标</w:t>
            </w:r>
          </w:p>
        </w:tc>
        <w:tc>
          <w:tcPr>
            <w:tcW w:w="7304" w:type="dxa"/>
            <w:noWrap w:val="0"/>
            <w:vAlign w:val="center"/>
          </w:tcPr>
          <w:p>
            <w:pPr>
              <w:keepNext w:val="0"/>
              <w:keepLines w:val="0"/>
              <w:suppressLineNumbers w:val="0"/>
              <w:spacing w:before="0" w:beforeAutospacing="0" w:after="0" w:afterAutospacing="0"/>
              <w:ind w:left="0" w:right="0"/>
              <w:rPr>
                <w:rFonts w:hint="eastAsia" w:ascii="宋体" w:hAnsi="宋体" w:eastAsia="宋体" w:cs="Times New Roman"/>
                <w:color w:val="auto"/>
                <w:kern w:val="0"/>
                <w:szCs w:val="21"/>
                <w:highlight w:val="none"/>
                <w:lang w:val="zh-CN" w:eastAsia="zh-CN"/>
              </w:rPr>
            </w:pPr>
            <w:r>
              <w:rPr>
                <w:rFonts w:hint="eastAsia" w:ascii="宋体" w:hAnsi="宋体" w:eastAsia="宋体" w:cs="Times New Roman"/>
                <w:color w:val="auto"/>
                <w:kern w:val="0"/>
                <w:szCs w:val="21"/>
                <w:highlight w:val="none"/>
                <w:lang w:val="zh-CN" w:eastAsia="zh-CN"/>
              </w:rPr>
              <w:t>非联合体投标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1037" w:type="dxa"/>
            <w:vMerge w:val="continue"/>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宋体"/>
                <w:color w:val="auto"/>
                <w:szCs w:val="20"/>
                <w:highlight w:val="none"/>
                <w:lang w:val="en-US" w:eastAsia="zh-CN"/>
              </w:rPr>
            </w:pPr>
          </w:p>
        </w:tc>
        <w:tc>
          <w:tcPr>
            <w:tcW w:w="1853" w:type="dxa"/>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按招标文件中的要求提交了投标保证金，保证金金额和形式符合招标文件要求</w:t>
            </w:r>
          </w:p>
        </w:tc>
        <w:tc>
          <w:tcPr>
            <w:tcW w:w="7304" w:type="dxa"/>
            <w:noWrap w:val="0"/>
            <w:vAlign w:val="center"/>
          </w:tcPr>
          <w:p>
            <w:pPr>
              <w:keepNext w:val="0"/>
              <w:keepLines w:val="0"/>
              <w:suppressLineNumbers w:val="0"/>
              <w:spacing w:before="0" w:beforeAutospacing="0" w:after="0" w:afterAutospacing="0"/>
              <w:ind w:left="0" w:right="0"/>
              <w:rPr>
                <w:rFonts w:hint="eastAsia" w:ascii="宋体" w:hAnsi="宋体" w:eastAsia="宋体" w:cs="Times New Roman"/>
                <w:color w:val="auto"/>
                <w:kern w:val="0"/>
                <w:szCs w:val="21"/>
                <w:highlight w:val="none"/>
                <w:lang w:val="zh-CN" w:eastAsia="zh-CN"/>
              </w:rPr>
            </w:pPr>
            <w:r>
              <w:rPr>
                <w:rFonts w:hint="eastAsia" w:ascii="宋体" w:hAnsi="宋体" w:eastAsia="宋体" w:cs="Times New Roman"/>
                <w:color w:val="auto"/>
                <w:kern w:val="0"/>
                <w:szCs w:val="21"/>
                <w:highlight w:val="none"/>
                <w:lang w:val="en-US" w:eastAsia="zh-CN"/>
              </w:rPr>
              <w:t>注：依据长财采购【2021】695号文件的规定，对于满足《中华人民共和国政府采购法》第二十二条有关规定，经“信用中国”网站查询不存在行政处罚信息的、诚信记录良好的投标人，无需交纳投标保证金。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7" w:type="dxa"/>
            <w:vMerge w:val="restart"/>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宋体"/>
                <w:color w:val="auto"/>
                <w:szCs w:val="20"/>
                <w:highlight w:val="none"/>
                <w:lang w:val="en-US" w:eastAsia="zh-CN"/>
              </w:rPr>
            </w:pPr>
            <w:r>
              <w:rPr>
                <w:rFonts w:hint="eastAsia" w:ascii="宋体" w:hAnsi="宋体" w:eastAsia="宋体" w:cs="宋体"/>
                <w:color w:val="auto"/>
                <w:szCs w:val="20"/>
                <w:highlight w:val="none"/>
                <w:lang w:val="en-US" w:eastAsia="zh-CN"/>
              </w:rPr>
              <w:t>符合性审查表</w:t>
            </w:r>
          </w:p>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宋体"/>
                <w:color w:val="auto"/>
                <w:szCs w:val="20"/>
                <w:highlight w:val="none"/>
                <w:lang w:val="en-US" w:eastAsia="zh-CN"/>
              </w:rPr>
            </w:pPr>
          </w:p>
        </w:tc>
        <w:tc>
          <w:tcPr>
            <w:tcW w:w="1853" w:type="dxa"/>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供应商名称</w:t>
            </w:r>
          </w:p>
        </w:tc>
        <w:tc>
          <w:tcPr>
            <w:tcW w:w="7304" w:type="dxa"/>
            <w:noWrap w:val="0"/>
            <w:vAlign w:val="center"/>
          </w:tcPr>
          <w:p>
            <w:pPr>
              <w:keepNext w:val="0"/>
              <w:keepLines w:val="0"/>
              <w:suppressLineNumbers w:val="0"/>
              <w:adjustRightInd w:val="0"/>
              <w:snapToGrid w:val="0"/>
              <w:spacing w:before="0" w:beforeAutospacing="0" w:after="0" w:afterAutospacing="0" w:line="300" w:lineRule="exact"/>
              <w:ind w:left="0" w:right="0"/>
              <w:rPr>
                <w:rFonts w:hint="eastAsia" w:ascii="宋体" w:hAnsi="宋体" w:cs="宋体"/>
                <w:color w:val="auto"/>
                <w:szCs w:val="21"/>
                <w:highlight w:val="none"/>
              </w:rPr>
            </w:pPr>
            <w:r>
              <w:rPr>
                <w:rFonts w:hint="eastAsia" w:ascii="宋体" w:hAnsi="宋体" w:cs="宋体"/>
                <w:color w:val="auto"/>
                <w:szCs w:val="21"/>
                <w:highlight w:val="none"/>
              </w:rPr>
              <w:t>与营业执照一致；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7" w:type="dxa"/>
            <w:vMerge w:val="continue"/>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宋体"/>
                <w:color w:val="auto"/>
                <w:szCs w:val="20"/>
                <w:highlight w:val="none"/>
                <w:lang w:val="en-US" w:eastAsia="zh-CN"/>
              </w:rPr>
            </w:pPr>
          </w:p>
        </w:tc>
        <w:tc>
          <w:tcPr>
            <w:tcW w:w="1853" w:type="dxa"/>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报价函签字盖章</w:t>
            </w:r>
          </w:p>
        </w:tc>
        <w:tc>
          <w:tcPr>
            <w:tcW w:w="7304" w:type="dxa"/>
            <w:noWrap w:val="0"/>
            <w:vAlign w:val="center"/>
          </w:tcPr>
          <w:p>
            <w:pPr>
              <w:keepNext w:val="0"/>
              <w:keepLines w:val="0"/>
              <w:suppressLineNumbers w:val="0"/>
              <w:adjustRightInd w:val="0"/>
              <w:snapToGrid w:val="0"/>
              <w:spacing w:before="0" w:beforeAutospacing="0" w:after="0" w:afterAutospacing="0" w:line="300" w:lineRule="exact"/>
              <w:ind w:left="0" w:right="0"/>
              <w:rPr>
                <w:rFonts w:hint="eastAsia" w:ascii="宋体" w:hAnsi="宋体" w:cs="宋体"/>
                <w:color w:val="auto"/>
                <w:szCs w:val="21"/>
                <w:highlight w:val="none"/>
              </w:rPr>
            </w:pPr>
            <w:r>
              <w:rPr>
                <w:rFonts w:hint="eastAsia" w:ascii="宋体" w:hAnsi="宋体" w:cs="宋体"/>
                <w:color w:val="auto"/>
                <w:szCs w:val="21"/>
                <w:highlight w:val="none"/>
              </w:rPr>
              <w:t>有法定代表人或其委托代理人签字或加盖单位章；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7" w:type="dxa"/>
            <w:vMerge w:val="continue"/>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宋体"/>
                <w:color w:val="auto"/>
                <w:szCs w:val="20"/>
                <w:highlight w:val="none"/>
                <w:lang w:val="en-US" w:eastAsia="zh-CN"/>
              </w:rPr>
            </w:pPr>
          </w:p>
        </w:tc>
        <w:tc>
          <w:tcPr>
            <w:tcW w:w="1853" w:type="dxa"/>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响应文件格式</w:t>
            </w:r>
          </w:p>
        </w:tc>
        <w:tc>
          <w:tcPr>
            <w:tcW w:w="7304" w:type="dxa"/>
            <w:noWrap w:val="0"/>
            <w:vAlign w:val="center"/>
          </w:tcPr>
          <w:p>
            <w:pPr>
              <w:keepNext w:val="0"/>
              <w:keepLines w:val="0"/>
              <w:suppressLineNumbers w:val="0"/>
              <w:adjustRightInd w:val="0"/>
              <w:snapToGrid w:val="0"/>
              <w:spacing w:before="0" w:beforeAutospacing="0" w:after="0" w:afterAutospacing="0" w:line="300" w:lineRule="exact"/>
              <w:ind w:left="0" w:right="0"/>
              <w:rPr>
                <w:rFonts w:hint="eastAsia" w:ascii="宋体" w:hAnsi="宋体" w:cs="宋体"/>
                <w:color w:val="auto"/>
                <w:szCs w:val="21"/>
                <w:highlight w:val="none"/>
              </w:rPr>
            </w:pPr>
            <w:r>
              <w:rPr>
                <w:rFonts w:hint="eastAsia" w:ascii="宋体" w:hAnsi="宋体" w:cs="宋体"/>
                <w:color w:val="auto"/>
                <w:szCs w:val="21"/>
                <w:highlight w:val="none"/>
              </w:rPr>
              <w:t>符合第六章“响应文件格式”的要求；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7" w:type="dxa"/>
            <w:vMerge w:val="continue"/>
            <w:noWrap w:val="0"/>
            <w:vAlign w:val="top"/>
          </w:tcPr>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宋体"/>
                <w:color w:val="auto"/>
                <w:szCs w:val="20"/>
                <w:highlight w:val="none"/>
                <w:lang w:val="en-US" w:eastAsia="zh-CN"/>
              </w:rPr>
            </w:pPr>
          </w:p>
        </w:tc>
        <w:tc>
          <w:tcPr>
            <w:tcW w:w="1853" w:type="dxa"/>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报价唯一</w:t>
            </w:r>
          </w:p>
        </w:tc>
        <w:tc>
          <w:tcPr>
            <w:tcW w:w="7304" w:type="dxa"/>
            <w:noWrap w:val="0"/>
            <w:vAlign w:val="center"/>
          </w:tcPr>
          <w:p>
            <w:pPr>
              <w:keepNext w:val="0"/>
              <w:keepLines w:val="0"/>
              <w:suppressLineNumbers w:val="0"/>
              <w:adjustRightInd w:val="0"/>
              <w:snapToGrid w:val="0"/>
              <w:spacing w:before="0" w:beforeAutospacing="0" w:after="0" w:afterAutospacing="0" w:line="300" w:lineRule="exact"/>
              <w:ind w:left="0" w:right="0"/>
              <w:rPr>
                <w:rFonts w:hint="eastAsia" w:ascii="宋体" w:hAnsi="宋体" w:cs="宋体"/>
                <w:color w:val="auto"/>
                <w:szCs w:val="21"/>
                <w:highlight w:val="none"/>
              </w:rPr>
            </w:pPr>
            <w:r>
              <w:rPr>
                <w:rFonts w:hint="eastAsia" w:ascii="宋体" w:hAnsi="宋体" w:cs="宋体"/>
                <w:color w:val="auto"/>
                <w:szCs w:val="21"/>
                <w:highlight w:val="none"/>
              </w:rPr>
              <w:t>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7" w:type="dxa"/>
            <w:vMerge w:val="continue"/>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宋体"/>
                <w:color w:val="auto"/>
                <w:szCs w:val="20"/>
                <w:highlight w:val="none"/>
                <w:lang w:val="en-US" w:eastAsia="zh-CN"/>
              </w:rPr>
            </w:pPr>
          </w:p>
        </w:tc>
        <w:tc>
          <w:tcPr>
            <w:tcW w:w="1853" w:type="dxa"/>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投标内容</w:t>
            </w:r>
          </w:p>
        </w:tc>
        <w:tc>
          <w:tcPr>
            <w:tcW w:w="7304" w:type="dxa"/>
            <w:noWrap w:val="0"/>
            <w:vAlign w:val="center"/>
          </w:tcPr>
          <w:p>
            <w:pPr>
              <w:keepNext w:val="0"/>
              <w:keepLines w:val="0"/>
              <w:suppressLineNumbers w:val="0"/>
              <w:adjustRightInd w:val="0"/>
              <w:snapToGrid w:val="0"/>
              <w:spacing w:before="0" w:beforeAutospacing="0" w:after="0" w:afterAutospacing="0" w:line="300" w:lineRule="exact"/>
              <w:ind w:left="0" w:right="0"/>
              <w:rPr>
                <w:rFonts w:hint="eastAsia" w:ascii="宋体" w:hAnsi="宋体" w:cs="宋体"/>
                <w:color w:val="auto"/>
                <w:szCs w:val="21"/>
                <w:highlight w:val="none"/>
              </w:rPr>
            </w:pPr>
            <w:r>
              <w:rPr>
                <w:rFonts w:hint="eastAsia" w:ascii="宋体" w:hAnsi="宋体" w:cs="宋体"/>
                <w:color w:val="auto"/>
                <w:szCs w:val="21"/>
                <w:highlight w:val="none"/>
              </w:rPr>
              <w:t>符合第二章“供应商须知”规定，响应文件主要内容字迹清晰、无不可辨认内容。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7" w:type="dxa"/>
            <w:vMerge w:val="continue"/>
            <w:noWrap w:val="0"/>
            <w:vAlign w:val="center"/>
          </w:tcPr>
          <w:p>
            <w:pPr>
              <w:keepNext w:val="0"/>
              <w:keepLines w:val="0"/>
              <w:widowControl/>
              <w:suppressLineNumbers w:val="0"/>
              <w:adjustRightInd w:val="0"/>
              <w:snapToGrid w:val="0"/>
              <w:spacing w:before="0" w:beforeAutospacing="0" w:after="0" w:afterAutospacing="0" w:line="300" w:lineRule="exact"/>
              <w:ind w:left="0" w:right="0"/>
              <w:jc w:val="left"/>
              <w:rPr>
                <w:rFonts w:hint="eastAsia" w:ascii="宋体" w:hAnsi="宋体" w:cs="宋体"/>
                <w:color w:val="auto"/>
                <w:szCs w:val="20"/>
                <w:highlight w:val="none"/>
              </w:rPr>
            </w:pPr>
          </w:p>
        </w:tc>
        <w:tc>
          <w:tcPr>
            <w:tcW w:w="1853" w:type="dxa"/>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合同履行期限</w:t>
            </w:r>
          </w:p>
        </w:tc>
        <w:tc>
          <w:tcPr>
            <w:tcW w:w="7304" w:type="dxa"/>
            <w:noWrap w:val="0"/>
            <w:vAlign w:val="center"/>
          </w:tcPr>
          <w:p>
            <w:pPr>
              <w:keepNext w:val="0"/>
              <w:keepLines w:val="0"/>
              <w:suppressLineNumbers w:val="0"/>
              <w:adjustRightInd w:val="0"/>
              <w:snapToGrid w:val="0"/>
              <w:spacing w:before="0" w:beforeAutospacing="0" w:after="0" w:afterAutospacing="0" w:line="300" w:lineRule="exact"/>
              <w:ind w:left="0" w:right="0"/>
              <w:jc w:val="left"/>
              <w:rPr>
                <w:rFonts w:hint="eastAsia" w:ascii="宋体" w:hAnsi="宋体" w:cs="宋体"/>
                <w:color w:val="auto"/>
                <w:szCs w:val="21"/>
                <w:highlight w:val="none"/>
              </w:rPr>
            </w:pPr>
            <w:r>
              <w:rPr>
                <w:rFonts w:hint="eastAsia" w:ascii="宋体" w:hAnsi="宋体" w:cs="宋体"/>
                <w:color w:val="auto"/>
                <w:kern w:val="2"/>
                <w:szCs w:val="20"/>
                <w:highlight w:val="none"/>
                <w:lang w:val="zh-CN" w:eastAsia="zh-CN"/>
              </w:rPr>
              <w:t>自合同签订之日起至项目结束止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7" w:type="dxa"/>
            <w:vMerge w:val="continue"/>
            <w:noWrap w:val="0"/>
            <w:vAlign w:val="center"/>
          </w:tcPr>
          <w:p>
            <w:pPr>
              <w:keepNext w:val="0"/>
              <w:keepLines w:val="0"/>
              <w:widowControl/>
              <w:suppressLineNumbers w:val="0"/>
              <w:adjustRightInd w:val="0"/>
              <w:snapToGrid w:val="0"/>
              <w:spacing w:before="0" w:beforeAutospacing="0" w:after="0" w:afterAutospacing="0" w:line="300" w:lineRule="exact"/>
              <w:ind w:left="0" w:right="0"/>
              <w:jc w:val="left"/>
              <w:rPr>
                <w:rFonts w:hint="eastAsia" w:ascii="宋体" w:hAnsi="宋体" w:cs="宋体"/>
                <w:color w:val="auto"/>
                <w:szCs w:val="20"/>
                <w:highlight w:val="none"/>
              </w:rPr>
            </w:pPr>
          </w:p>
        </w:tc>
        <w:tc>
          <w:tcPr>
            <w:tcW w:w="1853" w:type="dxa"/>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宋体"/>
                <w:color w:val="auto"/>
                <w:szCs w:val="20"/>
                <w:highlight w:val="none"/>
                <w:lang w:eastAsia="zh-CN"/>
              </w:rPr>
            </w:pPr>
            <w:r>
              <w:rPr>
                <w:rFonts w:hint="eastAsia" w:ascii="宋体" w:hAnsi="宋体" w:cs="宋体"/>
                <w:color w:val="auto"/>
                <w:szCs w:val="20"/>
                <w:highlight w:val="none"/>
                <w:lang w:eastAsia="zh-CN"/>
              </w:rPr>
              <w:t>服务标准</w:t>
            </w:r>
          </w:p>
        </w:tc>
        <w:tc>
          <w:tcPr>
            <w:tcW w:w="7304" w:type="dxa"/>
            <w:noWrap w:val="0"/>
            <w:vAlign w:val="center"/>
          </w:tcPr>
          <w:p>
            <w:pPr>
              <w:keepNext w:val="0"/>
              <w:keepLines w:val="0"/>
              <w:suppressLineNumbers w:val="0"/>
              <w:adjustRightInd w:val="0"/>
              <w:snapToGrid w:val="0"/>
              <w:spacing w:before="0" w:beforeAutospacing="0" w:after="0" w:afterAutospacing="0" w:line="300" w:lineRule="exact"/>
              <w:ind w:left="0" w:right="0"/>
              <w:jc w:val="left"/>
              <w:rPr>
                <w:rFonts w:hint="eastAsia" w:ascii="宋体" w:hAnsi="宋体" w:eastAsia="宋体" w:cs="宋体"/>
                <w:color w:val="auto"/>
                <w:szCs w:val="21"/>
                <w:highlight w:val="none"/>
                <w:lang w:eastAsia="zh-CN"/>
              </w:rPr>
            </w:pPr>
            <w:r>
              <w:rPr>
                <w:rFonts w:hint="eastAsia" w:ascii="宋体" w:hAnsi="宋体" w:eastAsia="宋体" w:cs="宋体"/>
                <w:color w:val="auto"/>
                <w:kern w:val="2"/>
                <w:szCs w:val="20"/>
                <w:highlight w:val="none"/>
                <w:lang w:val="zh-CN" w:eastAsia="zh-CN"/>
              </w:rPr>
              <w:t>符合国家及行业规定的合格标准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7" w:type="dxa"/>
            <w:vMerge w:val="continue"/>
            <w:noWrap w:val="0"/>
            <w:vAlign w:val="center"/>
          </w:tcPr>
          <w:p>
            <w:pPr>
              <w:keepNext w:val="0"/>
              <w:keepLines w:val="0"/>
              <w:widowControl/>
              <w:suppressLineNumbers w:val="0"/>
              <w:adjustRightInd w:val="0"/>
              <w:snapToGrid w:val="0"/>
              <w:spacing w:before="0" w:beforeAutospacing="0" w:after="0" w:afterAutospacing="0" w:line="300" w:lineRule="exact"/>
              <w:ind w:left="0" w:right="0"/>
              <w:jc w:val="left"/>
              <w:rPr>
                <w:rFonts w:hint="eastAsia" w:ascii="宋体" w:hAnsi="宋体" w:cs="宋体"/>
                <w:color w:val="auto"/>
                <w:szCs w:val="20"/>
                <w:highlight w:val="none"/>
              </w:rPr>
            </w:pPr>
          </w:p>
        </w:tc>
        <w:tc>
          <w:tcPr>
            <w:tcW w:w="1853" w:type="dxa"/>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cs="宋体"/>
                <w:color w:val="auto"/>
                <w:szCs w:val="21"/>
                <w:highlight w:val="none"/>
              </w:rPr>
            </w:pPr>
            <w:r>
              <w:rPr>
                <w:rFonts w:hint="eastAsia" w:ascii="宋体" w:hAnsi="宋体" w:cs="宋体"/>
                <w:color w:val="auto"/>
                <w:szCs w:val="21"/>
                <w:highlight w:val="none"/>
                <w:lang w:eastAsia="zh-CN"/>
              </w:rPr>
              <w:t>磋商</w:t>
            </w:r>
            <w:r>
              <w:rPr>
                <w:rFonts w:hint="eastAsia" w:ascii="宋体" w:hAnsi="宋体" w:cs="宋体"/>
                <w:color w:val="auto"/>
                <w:szCs w:val="21"/>
                <w:highlight w:val="none"/>
              </w:rPr>
              <w:t>有效期</w:t>
            </w:r>
          </w:p>
        </w:tc>
        <w:tc>
          <w:tcPr>
            <w:tcW w:w="7304" w:type="dxa"/>
            <w:noWrap w:val="0"/>
            <w:vAlign w:val="center"/>
          </w:tcPr>
          <w:p>
            <w:pPr>
              <w:keepNext w:val="0"/>
              <w:keepLines w:val="0"/>
              <w:suppressLineNumbers w:val="0"/>
              <w:adjustRightInd w:val="0"/>
              <w:snapToGrid w:val="0"/>
              <w:spacing w:before="0" w:beforeAutospacing="0" w:after="0" w:afterAutospacing="0" w:line="300" w:lineRule="exact"/>
              <w:ind w:left="0" w:right="0"/>
              <w:rPr>
                <w:rFonts w:hint="eastAsia" w:ascii="宋体" w:hAnsi="宋体" w:cs="宋体"/>
                <w:color w:val="auto"/>
                <w:szCs w:val="21"/>
                <w:highlight w:val="none"/>
              </w:rPr>
            </w:pPr>
            <w:r>
              <w:rPr>
                <w:rFonts w:hint="eastAsia" w:ascii="宋体" w:hAnsi="宋体" w:cs="宋体"/>
                <w:color w:val="auto"/>
                <w:szCs w:val="21"/>
                <w:highlight w:val="none"/>
              </w:rPr>
              <w:t>提交响应文件截止时间后90天（日历日）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7" w:type="dxa"/>
            <w:vMerge w:val="continue"/>
            <w:noWrap w:val="0"/>
            <w:vAlign w:val="center"/>
          </w:tcPr>
          <w:p>
            <w:pPr>
              <w:keepNext w:val="0"/>
              <w:keepLines w:val="0"/>
              <w:widowControl/>
              <w:suppressLineNumbers w:val="0"/>
              <w:adjustRightInd w:val="0"/>
              <w:snapToGrid w:val="0"/>
              <w:spacing w:before="0" w:beforeAutospacing="0" w:after="0" w:afterAutospacing="0" w:line="300" w:lineRule="exact"/>
              <w:ind w:left="0" w:right="0"/>
              <w:jc w:val="left"/>
              <w:rPr>
                <w:rFonts w:hint="eastAsia" w:ascii="宋体" w:hAnsi="宋体" w:cs="宋体"/>
                <w:color w:val="auto"/>
                <w:szCs w:val="20"/>
                <w:highlight w:val="none"/>
              </w:rPr>
            </w:pPr>
          </w:p>
        </w:tc>
        <w:tc>
          <w:tcPr>
            <w:tcW w:w="1853" w:type="dxa"/>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权利义务</w:t>
            </w:r>
          </w:p>
        </w:tc>
        <w:tc>
          <w:tcPr>
            <w:tcW w:w="7304" w:type="dxa"/>
            <w:noWrap w:val="0"/>
            <w:vAlign w:val="center"/>
          </w:tcPr>
          <w:p>
            <w:pPr>
              <w:keepNext w:val="0"/>
              <w:keepLines w:val="0"/>
              <w:suppressLineNumbers w:val="0"/>
              <w:adjustRightInd w:val="0"/>
              <w:snapToGrid w:val="0"/>
              <w:spacing w:before="0" w:beforeAutospacing="0" w:after="0" w:afterAutospacing="0" w:line="300" w:lineRule="exact"/>
              <w:ind w:left="0" w:right="0"/>
              <w:rPr>
                <w:rFonts w:hint="eastAsia" w:ascii="宋体" w:hAnsi="宋体" w:cs="宋体"/>
                <w:color w:val="auto"/>
                <w:szCs w:val="21"/>
                <w:highlight w:val="none"/>
              </w:rPr>
            </w:pPr>
            <w:r>
              <w:rPr>
                <w:rFonts w:hint="eastAsia" w:ascii="宋体" w:hAnsi="宋体" w:cs="宋体"/>
                <w:color w:val="auto"/>
                <w:szCs w:val="21"/>
                <w:highlight w:val="none"/>
              </w:rPr>
              <w:t>符合第</w:t>
            </w:r>
            <w:r>
              <w:rPr>
                <w:rFonts w:hint="eastAsia" w:ascii="宋体" w:hAnsi="宋体" w:cs="宋体"/>
                <w:color w:val="auto"/>
                <w:szCs w:val="21"/>
                <w:highlight w:val="none"/>
                <w:lang w:val="en-US" w:eastAsia="zh-CN"/>
              </w:rPr>
              <w:t>四</w:t>
            </w:r>
            <w:r>
              <w:rPr>
                <w:rFonts w:hint="eastAsia" w:ascii="宋体" w:hAnsi="宋体" w:cs="宋体"/>
                <w:color w:val="auto"/>
                <w:szCs w:val="21"/>
                <w:highlight w:val="none"/>
              </w:rPr>
              <w:t>章“合同条款及格式”的相关规定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7" w:type="dxa"/>
            <w:vMerge w:val="continue"/>
            <w:noWrap w:val="0"/>
            <w:vAlign w:val="center"/>
          </w:tcPr>
          <w:p>
            <w:pPr>
              <w:keepNext w:val="0"/>
              <w:keepLines w:val="0"/>
              <w:widowControl/>
              <w:suppressLineNumbers w:val="0"/>
              <w:adjustRightInd w:val="0"/>
              <w:snapToGrid w:val="0"/>
              <w:spacing w:before="0" w:beforeAutospacing="0" w:after="0" w:afterAutospacing="0" w:line="300" w:lineRule="exact"/>
              <w:ind w:left="0" w:right="0"/>
              <w:jc w:val="left"/>
              <w:rPr>
                <w:rFonts w:hint="eastAsia" w:ascii="宋体" w:hAnsi="宋体" w:cs="宋体"/>
                <w:color w:val="auto"/>
                <w:szCs w:val="20"/>
                <w:highlight w:val="none"/>
              </w:rPr>
            </w:pPr>
          </w:p>
        </w:tc>
        <w:tc>
          <w:tcPr>
            <w:tcW w:w="1853" w:type="dxa"/>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cs="宋体"/>
                <w:color w:val="auto"/>
                <w:szCs w:val="20"/>
                <w:highlight w:val="none"/>
              </w:rPr>
            </w:pPr>
            <w:r>
              <w:rPr>
                <w:rFonts w:hint="eastAsia" w:ascii="宋体" w:hAnsi="宋体" w:cs="宋体"/>
                <w:color w:val="auto"/>
                <w:szCs w:val="21"/>
                <w:highlight w:val="none"/>
              </w:rPr>
              <w:t>技术标准和要求</w:t>
            </w:r>
          </w:p>
        </w:tc>
        <w:tc>
          <w:tcPr>
            <w:tcW w:w="7304" w:type="dxa"/>
            <w:noWrap w:val="0"/>
            <w:vAlign w:val="center"/>
          </w:tcPr>
          <w:p>
            <w:pPr>
              <w:keepNext w:val="0"/>
              <w:keepLines w:val="0"/>
              <w:suppressLineNumbers w:val="0"/>
              <w:adjustRightInd w:val="0"/>
              <w:snapToGrid w:val="0"/>
              <w:spacing w:before="0" w:beforeAutospacing="0" w:after="0" w:afterAutospacing="0" w:line="300" w:lineRule="exact"/>
              <w:ind w:left="0" w:right="0"/>
              <w:jc w:val="left"/>
              <w:rPr>
                <w:rFonts w:hint="eastAsia" w:ascii="Times New Roman" w:hAnsi="Times New Roman" w:eastAsia="宋体" w:cs="Times New Roman"/>
                <w:color w:val="auto"/>
                <w:szCs w:val="20"/>
                <w:highlight w:val="none"/>
                <w:lang w:eastAsia="zh-CN"/>
              </w:rPr>
            </w:pPr>
            <w:r>
              <w:rPr>
                <w:rFonts w:hint="eastAsia" w:ascii="Times New Roman" w:hAnsi="Times New Roman" w:eastAsia="宋体" w:cs="Times New Roman"/>
                <w:color w:val="auto"/>
                <w:szCs w:val="20"/>
                <w:highlight w:val="none"/>
                <w:lang w:val="en-US" w:eastAsia="zh-CN"/>
              </w:rPr>
              <w:t>符合</w:t>
            </w:r>
            <w:r>
              <w:rPr>
                <w:rFonts w:hint="eastAsia" w:ascii="Times New Roman" w:hAnsi="Times New Roman" w:eastAsia="宋体" w:cs="Times New Roman"/>
                <w:color w:val="auto"/>
                <w:szCs w:val="20"/>
                <w:highlight w:val="none"/>
                <w:lang w:eastAsia="zh-CN"/>
              </w:rPr>
              <w:t>第</w:t>
            </w:r>
            <w:r>
              <w:rPr>
                <w:rFonts w:hint="eastAsia" w:ascii="Times New Roman" w:hAnsi="Times New Roman" w:eastAsia="宋体" w:cs="Times New Roman"/>
                <w:color w:val="auto"/>
                <w:szCs w:val="20"/>
                <w:highlight w:val="none"/>
                <w:lang w:val="en-US" w:eastAsia="zh-CN"/>
              </w:rPr>
              <w:t>五</w:t>
            </w:r>
            <w:r>
              <w:rPr>
                <w:rFonts w:hint="eastAsia" w:ascii="Times New Roman" w:hAnsi="Times New Roman" w:eastAsia="宋体" w:cs="Times New Roman"/>
                <w:color w:val="auto"/>
                <w:szCs w:val="20"/>
                <w:highlight w:val="none"/>
                <w:lang w:eastAsia="zh-CN"/>
              </w:rPr>
              <w:t>章“</w:t>
            </w:r>
            <w:r>
              <w:rPr>
                <w:rFonts w:hint="eastAsia" w:ascii="Times New Roman" w:hAnsi="Times New Roman" w:eastAsia="宋体" w:cs="Times New Roman"/>
                <w:color w:val="auto"/>
                <w:szCs w:val="20"/>
                <w:highlight w:val="none"/>
                <w:lang w:val="en-US" w:eastAsia="zh-CN"/>
              </w:rPr>
              <w:t>技术标准及服务需求”</w:t>
            </w:r>
            <w:r>
              <w:rPr>
                <w:rFonts w:hint="eastAsia" w:ascii="Times New Roman" w:hAnsi="Times New Roman" w:eastAsia="宋体" w:cs="Times New Roman"/>
                <w:color w:val="auto"/>
                <w:szCs w:val="20"/>
                <w:highlight w:val="none"/>
                <w:lang w:eastAsia="zh-CN"/>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037" w:type="dxa"/>
            <w:vMerge w:val="continue"/>
            <w:noWrap w:val="0"/>
            <w:vAlign w:val="center"/>
          </w:tcPr>
          <w:p>
            <w:pPr>
              <w:keepNext w:val="0"/>
              <w:keepLines w:val="0"/>
              <w:widowControl/>
              <w:suppressLineNumbers w:val="0"/>
              <w:adjustRightInd w:val="0"/>
              <w:snapToGrid w:val="0"/>
              <w:spacing w:before="0" w:beforeAutospacing="0" w:after="0" w:afterAutospacing="0" w:line="300" w:lineRule="exact"/>
              <w:ind w:left="0" w:right="0"/>
              <w:jc w:val="left"/>
              <w:rPr>
                <w:rFonts w:hint="eastAsia" w:ascii="宋体" w:hAnsi="宋体" w:cs="宋体"/>
                <w:color w:val="auto"/>
                <w:szCs w:val="20"/>
                <w:highlight w:val="none"/>
              </w:rPr>
            </w:pPr>
          </w:p>
        </w:tc>
        <w:tc>
          <w:tcPr>
            <w:tcW w:w="1853" w:type="dxa"/>
            <w:noWrap w:val="0"/>
            <w:vAlign w:val="center"/>
          </w:tcPr>
          <w:p>
            <w:pPr>
              <w:pStyle w:val="30"/>
              <w:keepNext w:val="0"/>
              <w:keepLines w:val="0"/>
              <w:suppressLineNumbers w:val="0"/>
              <w:tabs>
                <w:tab w:val="clear" w:pos="4153"/>
                <w:tab w:val="clear" w:pos="8306"/>
              </w:tabs>
              <w:autoSpaceDE w:val="0"/>
              <w:autoSpaceDN w:val="0"/>
              <w:adjustRightInd w:val="0"/>
              <w:spacing w:before="0" w:beforeAutospacing="0" w:after="0" w:afterAutospacing="0" w:line="300" w:lineRule="exact"/>
              <w:ind w:left="0" w:right="0" w:firstLine="189" w:firstLineChars="90"/>
              <w:jc w:val="center"/>
              <w:outlineLvl w:val="1"/>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最终报价</w:t>
            </w:r>
          </w:p>
        </w:tc>
        <w:tc>
          <w:tcPr>
            <w:tcW w:w="7304" w:type="dxa"/>
            <w:noWrap w:val="0"/>
            <w:vAlign w:val="center"/>
          </w:tcPr>
          <w:p>
            <w:pPr>
              <w:keepNext w:val="0"/>
              <w:keepLines w:val="0"/>
              <w:suppressLineNumbers w:val="0"/>
              <w:adjustRightInd w:val="0"/>
              <w:snapToGrid w:val="0"/>
              <w:spacing w:before="0" w:beforeAutospacing="0" w:after="0" w:afterAutospacing="0" w:line="300" w:lineRule="exact"/>
              <w:ind w:left="0" w:right="0"/>
              <w:jc w:val="left"/>
              <w:rPr>
                <w:rFonts w:hint="default" w:ascii="Times New Roman" w:hAnsi="Times New Roman" w:eastAsia="宋体" w:cs="Times New Roman"/>
                <w:color w:val="auto"/>
                <w:szCs w:val="20"/>
                <w:highlight w:val="none"/>
                <w:lang w:val="zh-CN" w:eastAsia="zh-CN"/>
              </w:rPr>
            </w:pPr>
            <w:r>
              <w:rPr>
                <w:rFonts w:hint="eastAsia" w:ascii="Times New Roman" w:hAnsi="Times New Roman" w:eastAsia="宋体" w:cs="Times New Roman"/>
                <w:color w:val="auto"/>
                <w:szCs w:val="20"/>
                <w:highlight w:val="none"/>
                <w:lang w:val="zh-CN" w:eastAsia="zh-CN"/>
              </w:rPr>
              <w:t>本项目最高限价为：</w:t>
            </w:r>
            <w:r>
              <w:rPr>
                <w:rFonts w:hint="eastAsia" w:cs="Times New Roman"/>
                <w:color w:val="auto"/>
                <w:szCs w:val="20"/>
                <w:highlight w:val="none"/>
                <w:lang w:val="en-US" w:eastAsia="zh-CN"/>
              </w:rPr>
              <w:t>60万</w:t>
            </w:r>
            <w:r>
              <w:rPr>
                <w:rFonts w:hint="eastAsia" w:ascii="Times New Roman" w:hAnsi="Times New Roman" w:eastAsia="宋体" w:cs="Times New Roman"/>
                <w:color w:val="auto"/>
                <w:szCs w:val="20"/>
                <w:highlight w:val="none"/>
                <w:lang w:val="zh-CN" w:eastAsia="zh-CN"/>
              </w:rPr>
              <w:t>；</w:t>
            </w:r>
          </w:p>
          <w:p>
            <w:pPr>
              <w:keepNext w:val="0"/>
              <w:keepLines w:val="0"/>
              <w:suppressLineNumbers w:val="0"/>
              <w:adjustRightInd w:val="0"/>
              <w:snapToGrid w:val="0"/>
              <w:spacing w:before="0" w:beforeAutospacing="0" w:after="0" w:afterAutospacing="0" w:line="300" w:lineRule="exact"/>
              <w:ind w:left="0" w:right="0"/>
              <w:jc w:val="left"/>
              <w:rPr>
                <w:rFonts w:hint="eastAsia" w:ascii="Times New Roman" w:hAnsi="Times New Roman" w:eastAsia="宋体" w:cs="Times New Roman"/>
                <w:color w:val="auto"/>
                <w:szCs w:val="20"/>
                <w:highlight w:val="none"/>
                <w:lang w:eastAsia="zh-CN"/>
              </w:rPr>
            </w:pPr>
            <w:r>
              <w:rPr>
                <w:rFonts w:hint="eastAsia" w:ascii="Times New Roman" w:hAnsi="Times New Roman" w:eastAsia="宋体" w:cs="Times New Roman"/>
                <w:b/>
                <w:bCs/>
                <w:color w:val="auto"/>
                <w:szCs w:val="20"/>
                <w:highlight w:val="none"/>
                <w:lang w:val="zh-CN" w:eastAsia="zh-CN"/>
              </w:rPr>
              <w:t>（超过预算</w:t>
            </w:r>
            <w:r>
              <w:rPr>
                <w:rFonts w:hint="eastAsia" w:ascii="Times New Roman" w:hAnsi="Times New Roman" w:eastAsia="宋体" w:cs="Times New Roman"/>
                <w:b/>
                <w:bCs/>
                <w:color w:val="auto"/>
                <w:szCs w:val="20"/>
                <w:highlight w:val="none"/>
                <w:lang w:eastAsia="zh-CN"/>
              </w:rPr>
              <w:t>金额</w:t>
            </w:r>
            <w:r>
              <w:rPr>
                <w:rFonts w:hint="eastAsia" w:ascii="Times New Roman" w:hAnsi="Times New Roman" w:eastAsia="宋体" w:cs="Times New Roman"/>
                <w:b/>
                <w:bCs/>
                <w:color w:val="auto"/>
                <w:szCs w:val="20"/>
                <w:highlight w:val="none"/>
                <w:lang w:val="zh-CN" w:eastAsia="zh-CN"/>
              </w:rPr>
              <w:t>的文件其报价无效处理）</w:t>
            </w:r>
          </w:p>
        </w:tc>
      </w:tr>
    </w:tbl>
    <w:p>
      <w:pPr>
        <w:rPr>
          <w:rFonts w:hint="eastAsia" w:ascii="宋体" w:hAnsi="宋体" w:eastAsia="宋体" w:cs="Times New Roman"/>
          <w:b/>
          <w:bCs/>
          <w:color w:val="auto"/>
          <w:kern w:val="0"/>
          <w:sz w:val="22"/>
          <w:highlight w:val="none"/>
        </w:rPr>
      </w:pPr>
    </w:p>
    <w:p>
      <w:pPr>
        <w:ind w:firstLine="442" w:firstLineChars="200"/>
        <w:rPr>
          <w:rFonts w:hint="eastAsia" w:ascii="宋体" w:hAnsi="宋体" w:eastAsia="宋体" w:cs="Times New Roman"/>
          <w:b/>
          <w:bCs/>
          <w:color w:val="auto"/>
          <w:kern w:val="0"/>
          <w:sz w:val="22"/>
          <w:highlight w:val="none"/>
        </w:rPr>
      </w:pPr>
      <w:r>
        <w:rPr>
          <w:rFonts w:hint="eastAsia" w:ascii="宋体" w:hAnsi="宋体" w:eastAsia="宋体" w:cs="Times New Roman"/>
          <w:b/>
          <w:bCs/>
          <w:color w:val="auto"/>
          <w:kern w:val="0"/>
          <w:sz w:val="22"/>
          <w:highlight w:val="none"/>
        </w:rPr>
        <w:t>1、供应商审查有一项不合格则视为不符合审查标准，将不再进入后续评审。</w:t>
      </w:r>
    </w:p>
    <w:p>
      <w:pPr>
        <w:ind w:firstLine="442" w:firstLineChars="200"/>
        <w:rPr>
          <w:rFonts w:hint="eastAsia" w:ascii="宋体" w:hAnsi="宋体" w:eastAsia="宋体" w:cs="Times New Roman"/>
          <w:b/>
          <w:bCs/>
          <w:color w:val="auto"/>
          <w:kern w:val="0"/>
          <w:sz w:val="22"/>
          <w:highlight w:val="none"/>
        </w:rPr>
      </w:pPr>
      <w:r>
        <w:rPr>
          <w:rFonts w:hint="eastAsia" w:ascii="宋体" w:hAnsi="宋体" w:eastAsia="宋体" w:cs="Times New Roman"/>
          <w:b/>
          <w:bCs/>
          <w:color w:val="auto"/>
          <w:kern w:val="0"/>
          <w:sz w:val="22"/>
          <w:highlight w:val="none"/>
        </w:rPr>
        <w:t>2、本表由全体评委在共同商议基础上给出结论，意见不一致时，按照少数服从多数的原则确定。</w:t>
      </w:r>
    </w:p>
    <w:p>
      <w:pPr>
        <w:ind w:firstLine="442" w:firstLineChars="200"/>
        <w:rPr>
          <w:rFonts w:hint="eastAsia" w:ascii="宋体" w:hAnsi="宋体" w:eastAsia="宋体" w:cs="Times New Roman"/>
          <w:b/>
          <w:bCs/>
          <w:color w:val="auto"/>
          <w:kern w:val="0"/>
          <w:sz w:val="22"/>
          <w:highlight w:val="none"/>
        </w:rPr>
      </w:pPr>
      <w:r>
        <w:rPr>
          <w:rFonts w:hint="eastAsia" w:ascii="宋体" w:hAnsi="宋体" w:eastAsia="宋体" w:cs="Times New Roman"/>
          <w:b/>
          <w:bCs/>
          <w:color w:val="auto"/>
          <w:kern w:val="0"/>
          <w:sz w:val="22"/>
          <w:highlight w:val="none"/>
        </w:rPr>
        <w:t>3、不存在打√，存在打×，结论为合格或不合格。</w:t>
      </w:r>
    </w:p>
    <w:p>
      <w:pPr>
        <w:spacing w:line="360" w:lineRule="auto"/>
        <w:ind w:firstLine="482" w:firstLineChars="200"/>
        <w:rPr>
          <w:rFonts w:ascii="宋体" w:hAnsi="宋体" w:cs="宋体"/>
          <w:b/>
          <w:color w:val="auto"/>
          <w:sz w:val="24"/>
          <w:szCs w:val="24"/>
          <w:highlight w:val="none"/>
          <w:u w:val="single"/>
        </w:rPr>
      </w:pPr>
    </w:p>
    <w:p>
      <w:pPr>
        <w:ind w:firstLine="442" w:firstLineChars="200"/>
        <w:rPr>
          <w:rFonts w:hint="eastAsia" w:ascii="宋体" w:hAnsi="宋体" w:eastAsia="宋体" w:cs="Times New Roman"/>
          <w:b/>
          <w:bCs/>
          <w:color w:val="auto"/>
          <w:kern w:val="0"/>
          <w:sz w:val="22"/>
          <w:highlight w:val="none"/>
        </w:rPr>
      </w:pPr>
      <w:r>
        <w:rPr>
          <w:rFonts w:hint="eastAsia" w:ascii="宋体" w:hAnsi="宋体" w:eastAsia="宋体" w:cs="Times New Roman"/>
          <w:b/>
          <w:bCs/>
          <w:color w:val="auto"/>
          <w:kern w:val="0"/>
          <w:sz w:val="22"/>
          <w:highlight w:val="none"/>
        </w:rPr>
        <w:t>注：（1）以上形式</w:t>
      </w:r>
      <w:r>
        <w:rPr>
          <w:rFonts w:hint="eastAsia" w:ascii="宋体" w:hAnsi="宋体" w:eastAsia="宋体" w:cs="Times New Roman"/>
          <w:b/>
          <w:bCs/>
          <w:color w:val="auto"/>
          <w:kern w:val="0"/>
          <w:sz w:val="22"/>
          <w:highlight w:val="none"/>
          <w:lang w:val="en-US" w:eastAsia="zh-CN"/>
        </w:rPr>
        <w:t>性</w:t>
      </w:r>
      <w:r>
        <w:rPr>
          <w:rFonts w:hint="eastAsia" w:ascii="宋体" w:hAnsi="宋体" w:eastAsia="宋体" w:cs="Times New Roman"/>
          <w:b/>
          <w:bCs/>
          <w:color w:val="auto"/>
          <w:kern w:val="0"/>
          <w:sz w:val="22"/>
          <w:highlight w:val="none"/>
        </w:rPr>
        <w:t>评</w:t>
      </w:r>
      <w:r>
        <w:rPr>
          <w:rFonts w:hint="eastAsia" w:ascii="宋体" w:hAnsi="宋体" w:eastAsia="宋体" w:cs="Times New Roman"/>
          <w:b/>
          <w:bCs/>
          <w:color w:val="auto"/>
          <w:kern w:val="0"/>
          <w:sz w:val="22"/>
          <w:highlight w:val="none"/>
          <w:lang w:val="en-US" w:eastAsia="zh-CN"/>
        </w:rPr>
        <w:t>磋商、</w:t>
      </w:r>
      <w:r>
        <w:rPr>
          <w:rFonts w:hint="eastAsia" w:ascii="宋体" w:hAnsi="宋体" w:eastAsia="宋体" w:cs="Times New Roman"/>
          <w:b/>
          <w:bCs/>
          <w:color w:val="auto"/>
          <w:kern w:val="0"/>
          <w:sz w:val="22"/>
          <w:highlight w:val="none"/>
        </w:rPr>
        <w:t>资格性磋商</w:t>
      </w:r>
      <w:r>
        <w:rPr>
          <w:rFonts w:hint="eastAsia" w:ascii="宋体" w:hAnsi="宋体" w:eastAsia="宋体" w:cs="Times New Roman"/>
          <w:b/>
          <w:bCs/>
          <w:color w:val="auto"/>
          <w:kern w:val="0"/>
          <w:sz w:val="22"/>
          <w:highlight w:val="none"/>
          <w:lang w:eastAsia="zh-CN"/>
        </w:rPr>
        <w:t>、</w:t>
      </w:r>
      <w:r>
        <w:rPr>
          <w:rFonts w:hint="eastAsia" w:ascii="宋体" w:hAnsi="宋体" w:eastAsia="宋体" w:cs="Times New Roman"/>
          <w:b/>
          <w:bCs/>
          <w:color w:val="auto"/>
          <w:kern w:val="0"/>
          <w:sz w:val="22"/>
          <w:highlight w:val="none"/>
          <w:lang w:val="en-US" w:eastAsia="zh-CN"/>
        </w:rPr>
        <w:t>响应</w:t>
      </w:r>
      <w:r>
        <w:rPr>
          <w:rFonts w:hint="eastAsia" w:ascii="宋体" w:hAnsi="宋体" w:eastAsia="宋体" w:cs="Times New Roman"/>
          <w:b/>
          <w:bCs/>
          <w:color w:val="auto"/>
          <w:kern w:val="0"/>
          <w:sz w:val="22"/>
          <w:highlight w:val="none"/>
        </w:rPr>
        <w:t>性磋商中内容只要有一条不满足，则响应文件无效。</w:t>
      </w:r>
    </w:p>
    <w:p>
      <w:pPr>
        <w:ind w:firstLine="883" w:firstLineChars="400"/>
        <w:rPr>
          <w:rFonts w:hint="eastAsia" w:ascii="宋体" w:hAnsi="宋体" w:eastAsia="宋体" w:cs="Times New Roman"/>
          <w:b/>
          <w:bCs/>
          <w:color w:val="auto"/>
          <w:kern w:val="0"/>
          <w:sz w:val="22"/>
          <w:highlight w:val="none"/>
        </w:rPr>
      </w:pPr>
      <w:r>
        <w:rPr>
          <w:rFonts w:hint="eastAsia" w:ascii="宋体" w:hAnsi="宋体" w:eastAsia="宋体" w:cs="Times New Roman"/>
          <w:b/>
          <w:bCs/>
          <w:color w:val="auto"/>
          <w:kern w:val="0"/>
          <w:sz w:val="22"/>
          <w:highlight w:val="none"/>
        </w:rPr>
        <w:t>（2）磋商结束后，磋商小组将要求所有供应商在规定时间内确定并提交最终报价（第二次报价）。</w:t>
      </w:r>
    </w:p>
    <w:p>
      <w:pPr>
        <w:ind w:firstLine="883" w:firstLineChars="400"/>
        <w:rPr>
          <w:rFonts w:hint="eastAsia" w:ascii="宋体" w:hAnsi="宋体" w:eastAsia="宋体" w:cs="Times New Roman"/>
          <w:b/>
          <w:bCs/>
          <w:color w:val="auto"/>
          <w:kern w:val="0"/>
          <w:sz w:val="22"/>
          <w:highlight w:val="none"/>
        </w:rPr>
        <w:sectPr>
          <w:pgSz w:w="11907" w:h="16840"/>
          <w:pgMar w:top="1134" w:right="1418" w:bottom="1134" w:left="1418" w:header="567" w:footer="567" w:gutter="0"/>
          <w:cols w:space="720" w:num="1"/>
          <w:titlePg/>
          <w:docGrid w:linePitch="312" w:charSpace="0"/>
        </w:sectPr>
      </w:pPr>
      <w:r>
        <w:rPr>
          <w:rFonts w:hint="eastAsia" w:ascii="宋体" w:hAnsi="宋体" w:eastAsia="宋体" w:cs="Times New Roman"/>
          <w:b/>
          <w:bCs/>
          <w:color w:val="auto"/>
          <w:kern w:val="0"/>
          <w:sz w:val="22"/>
          <w:highlight w:val="none"/>
        </w:rPr>
        <w:t>（3）根据各单位最终报价和合格磋商单位的响应文件进行综合打分，按照汇总得分由高到低的顺序推荐候选人。</w:t>
      </w:r>
    </w:p>
    <w:p>
      <w:pPr>
        <w:spacing w:line="500" w:lineRule="exact"/>
        <w:jc w:val="center"/>
        <w:rPr>
          <w:rFonts w:ascii="宋体" w:hAnsi="宋体"/>
          <w:b/>
          <w:color w:val="auto"/>
          <w:kern w:val="0"/>
          <w:sz w:val="24"/>
          <w:szCs w:val="24"/>
          <w:highlight w:val="none"/>
        </w:rPr>
      </w:pPr>
      <w:r>
        <w:rPr>
          <w:rFonts w:hint="eastAsia" w:ascii="宋体" w:hAnsi="宋体" w:cs="宋体"/>
          <w:b/>
          <w:color w:val="auto"/>
          <w:sz w:val="24"/>
          <w:szCs w:val="24"/>
          <w:highlight w:val="none"/>
        </w:rPr>
        <w:t>详细评审表</w:t>
      </w:r>
      <w:bookmarkEnd w:id="43"/>
      <w:bookmarkStart w:id="45" w:name="_Toc25215"/>
      <w:bookmarkStart w:id="46" w:name="_Toc5400"/>
      <w:bookmarkStart w:id="47" w:name="_Toc23059"/>
      <w:bookmarkStart w:id="48" w:name="_Toc11746"/>
      <w:bookmarkStart w:id="49" w:name="_Toc12837"/>
      <w:bookmarkStart w:id="50" w:name="_Toc3466"/>
    </w:p>
    <w:p>
      <w:pPr>
        <w:autoSpaceDE w:val="0"/>
        <w:autoSpaceDN w:val="0"/>
        <w:adjustRightInd w:val="0"/>
        <w:spacing w:line="360" w:lineRule="auto"/>
        <w:jc w:val="center"/>
        <w:rPr>
          <w:color w:val="auto"/>
          <w:highlight w:val="none"/>
          <w:lang w:val="zh-CN"/>
        </w:rPr>
      </w:pPr>
      <w:r>
        <w:rPr>
          <w:rFonts w:hint="eastAsia" w:ascii="宋体" w:hAnsi="宋体"/>
          <w:b/>
          <w:color w:val="auto"/>
          <w:kern w:val="0"/>
          <w:sz w:val="24"/>
          <w:szCs w:val="24"/>
          <w:highlight w:val="none"/>
          <w:lang w:val="zh-CN"/>
        </w:rPr>
        <w:t>评审方法和标准</w:t>
      </w:r>
    </w:p>
    <w:tbl>
      <w:tblPr>
        <w:tblStyle w:val="46"/>
        <w:tblW w:w="1036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0"/>
        <w:gridCol w:w="737"/>
        <w:gridCol w:w="1341"/>
        <w:gridCol w:w="7037"/>
        <w:gridCol w:w="56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1427" w:type="dxa"/>
            <w:gridSpan w:val="2"/>
            <w:vAlign w:val="center"/>
          </w:tcPr>
          <w:p>
            <w:pPr>
              <w:keepNext w:val="0"/>
              <w:keepLines w:val="0"/>
              <w:suppressLineNumbers w:val="0"/>
              <w:spacing w:before="0" w:beforeAutospacing="0" w:after="0" w:afterAutospacing="0"/>
              <w:ind w:left="0" w:right="0"/>
              <w:jc w:val="center"/>
              <w:rPr>
                <w:rFonts w:hint="default" w:ascii="宋体" w:hAnsi="宋体" w:cs="宋体"/>
                <w:b/>
                <w:bCs/>
                <w:color w:val="auto"/>
                <w:kern w:val="22"/>
                <w:szCs w:val="21"/>
              </w:rPr>
            </w:pPr>
            <w:r>
              <w:rPr>
                <w:rFonts w:hint="eastAsia" w:ascii="宋体" w:hAnsi="宋体" w:cs="宋体"/>
                <w:b/>
                <w:bCs/>
                <w:color w:val="auto"/>
                <w:kern w:val="22"/>
                <w:szCs w:val="21"/>
              </w:rPr>
              <w:t>条款号</w:t>
            </w:r>
          </w:p>
        </w:tc>
        <w:tc>
          <w:tcPr>
            <w:tcW w:w="1341" w:type="dxa"/>
            <w:vAlign w:val="center"/>
          </w:tcPr>
          <w:p>
            <w:pPr>
              <w:keepNext w:val="0"/>
              <w:keepLines w:val="0"/>
              <w:suppressLineNumbers w:val="0"/>
              <w:spacing w:before="0" w:beforeAutospacing="0" w:after="0" w:afterAutospacing="0"/>
              <w:ind w:left="0" w:right="0"/>
              <w:jc w:val="center"/>
              <w:rPr>
                <w:rFonts w:hint="default" w:ascii="宋体" w:hAnsi="宋体" w:cs="宋体"/>
                <w:b/>
                <w:bCs/>
                <w:color w:val="auto"/>
                <w:kern w:val="22"/>
                <w:szCs w:val="21"/>
              </w:rPr>
            </w:pPr>
            <w:r>
              <w:rPr>
                <w:rFonts w:hint="eastAsia" w:ascii="宋体" w:hAnsi="宋体" w:cs="宋体"/>
                <w:b/>
                <w:bCs/>
                <w:color w:val="auto"/>
                <w:kern w:val="22"/>
                <w:szCs w:val="21"/>
              </w:rPr>
              <w:t>评审因素</w:t>
            </w:r>
          </w:p>
        </w:tc>
        <w:tc>
          <w:tcPr>
            <w:tcW w:w="7599" w:type="dxa"/>
            <w:gridSpan w:val="2"/>
            <w:vAlign w:val="center"/>
          </w:tcPr>
          <w:p>
            <w:pPr>
              <w:keepNext w:val="0"/>
              <w:keepLines w:val="0"/>
              <w:suppressLineNumbers w:val="0"/>
              <w:spacing w:before="0" w:beforeAutospacing="0" w:after="0" w:afterAutospacing="0"/>
              <w:ind w:left="0" w:right="0"/>
              <w:jc w:val="center"/>
              <w:rPr>
                <w:rFonts w:hint="default" w:ascii="宋体" w:hAnsi="宋体" w:cs="宋体"/>
                <w:b/>
                <w:bCs/>
                <w:color w:val="auto"/>
                <w:kern w:val="22"/>
                <w:szCs w:val="21"/>
              </w:rPr>
            </w:pPr>
            <w:r>
              <w:rPr>
                <w:rFonts w:hint="eastAsia" w:ascii="宋体" w:hAnsi="宋体" w:cs="宋体"/>
                <w:b/>
                <w:bCs/>
                <w:color w:val="auto"/>
                <w:kern w:val="22"/>
                <w:szCs w:val="21"/>
              </w:rPr>
              <w:t>评审标准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1427" w:type="dxa"/>
            <w:gridSpan w:val="2"/>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22"/>
                <w:szCs w:val="21"/>
              </w:rPr>
            </w:pPr>
            <w:r>
              <w:rPr>
                <w:rFonts w:hint="eastAsia" w:ascii="宋体" w:hAnsi="宋体" w:cs="宋体"/>
                <w:color w:val="auto"/>
                <w:kern w:val="22"/>
                <w:szCs w:val="21"/>
              </w:rPr>
              <w:t>2.2.1</w:t>
            </w:r>
          </w:p>
        </w:tc>
        <w:tc>
          <w:tcPr>
            <w:tcW w:w="1341" w:type="dxa"/>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22"/>
                <w:szCs w:val="21"/>
              </w:rPr>
            </w:pPr>
            <w:r>
              <w:rPr>
                <w:rFonts w:hint="eastAsia" w:ascii="宋体" w:hAnsi="宋体" w:cs="宋体"/>
                <w:color w:val="auto"/>
                <w:kern w:val="22"/>
                <w:szCs w:val="21"/>
              </w:rPr>
              <w:t>分值构成</w:t>
            </w:r>
          </w:p>
          <w:p>
            <w:pPr>
              <w:keepNext w:val="0"/>
              <w:keepLines w:val="0"/>
              <w:suppressLineNumbers w:val="0"/>
              <w:spacing w:before="0" w:beforeAutospacing="0" w:after="0" w:afterAutospacing="0"/>
              <w:ind w:left="0" w:right="0"/>
              <w:rPr>
                <w:rFonts w:hint="default" w:ascii="宋体" w:hAnsi="宋体" w:cs="宋体"/>
                <w:color w:val="auto"/>
                <w:kern w:val="22"/>
                <w:szCs w:val="21"/>
              </w:rPr>
            </w:pPr>
            <w:r>
              <w:rPr>
                <w:rFonts w:hint="eastAsia" w:ascii="宋体" w:hAnsi="宋体" w:cs="宋体"/>
                <w:color w:val="auto"/>
                <w:kern w:val="22"/>
                <w:szCs w:val="21"/>
              </w:rPr>
              <w:t>(总分100分)</w:t>
            </w:r>
          </w:p>
        </w:tc>
        <w:tc>
          <w:tcPr>
            <w:tcW w:w="7599" w:type="dxa"/>
            <w:gridSpan w:val="2"/>
          </w:tcPr>
          <w:p>
            <w:pPr>
              <w:keepNext w:val="0"/>
              <w:keepLines w:val="0"/>
              <w:suppressLineNumbers w:val="0"/>
              <w:spacing w:before="0" w:beforeAutospacing="0" w:after="0" w:afterAutospacing="0"/>
              <w:ind w:left="0" w:right="0"/>
              <w:rPr>
                <w:rFonts w:hint="default" w:ascii="宋体" w:hAnsi="宋体" w:cs="宋体"/>
                <w:color w:val="auto"/>
                <w:kern w:val="22"/>
                <w:szCs w:val="21"/>
              </w:rPr>
            </w:pPr>
            <w:r>
              <w:rPr>
                <w:rFonts w:hint="eastAsia" w:ascii="宋体" w:hAnsi="宋体" w:cs="宋体"/>
                <w:color w:val="auto"/>
                <w:kern w:val="22"/>
                <w:szCs w:val="21"/>
              </w:rPr>
              <w:t>技术部分：60分</w:t>
            </w:r>
          </w:p>
          <w:p>
            <w:pPr>
              <w:keepNext w:val="0"/>
              <w:keepLines w:val="0"/>
              <w:suppressLineNumbers w:val="0"/>
              <w:spacing w:before="0" w:beforeAutospacing="0" w:after="0" w:afterAutospacing="0"/>
              <w:ind w:left="0" w:right="0"/>
              <w:rPr>
                <w:rFonts w:hint="default" w:ascii="宋体" w:hAnsi="宋体" w:cs="宋体"/>
                <w:color w:val="auto"/>
                <w:kern w:val="22"/>
                <w:szCs w:val="21"/>
              </w:rPr>
            </w:pPr>
            <w:r>
              <w:rPr>
                <w:rFonts w:hint="eastAsia" w:ascii="宋体" w:hAnsi="宋体" w:cs="宋体"/>
                <w:color w:val="auto"/>
                <w:kern w:val="22"/>
                <w:szCs w:val="21"/>
              </w:rPr>
              <w:t>商务部分：30分</w:t>
            </w:r>
          </w:p>
          <w:p>
            <w:pPr>
              <w:keepNext w:val="0"/>
              <w:keepLines w:val="0"/>
              <w:suppressLineNumbers w:val="0"/>
              <w:spacing w:before="0" w:beforeAutospacing="0" w:after="0" w:afterAutospacing="0"/>
              <w:ind w:left="0" w:right="0"/>
              <w:rPr>
                <w:rFonts w:hint="default" w:ascii="宋体" w:hAnsi="宋体" w:cs="宋体"/>
                <w:color w:val="auto"/>
                <w:kern w:val="22"/>
                <w:szCs w:val="21"/>
              </w:rPr>
            </w:pPr>
            <w:r>
              <w:rPr>
                <w:rFonts w:hint="eastAsia" w:ascii="宋体" w:hAnsi="宋体" w:cs="宋体"/>
                <w:color w:val="auto"/>
                <w:kern w:val="22"/>
                <w:szCs w:val="21"/>
              </w:rPr>
              <w:t>价格部分：10分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3" w:hRule="atLeast"/>
          <w:jc w:val="center"/>
        </w:trPr>
        <w:tc>
          <w:tcPr>
            <w:tcW w:w="1427" w:type="dxa"/>
            <w:gridSpan w:val="2"/>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22"/>
                <w:szCs w:val="21"/>
              </w:rPr>
            </w:pPr>
            <w:r>
              <w:rPr>
                <w:rFonts w:hint="eastAsia" w:ascii="宋体" w:hAnsi="宋体" w:cs="宋体"/>
                <w:color w:val="auto"/>
                <w:kern w:val="22"/>
                <w:szCs w:val="21"/>
              </w:rPr>
              <w:t>2.2.2</w:t>
            </w:r>
          </w:p>
        </w:tc>
        <w:tc>
          <w:tcPr>
            <w:tcW w:w="1341" w:type="dxa"/>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22"/>
                <w:szCs w:val="21"/>
              </w:rPr>
            </w:pPr>
            <w:r>
              <w:rPr>
                <w:rFonts w:hint="eastAsia" w:ascii="宋体" w:hAnsi="宋体" w:cs="宋体"/>
                <w:color w:val="auto"/>
                <w:kern w:val="22"/>
                <w:szCs w:val="21"/>
              </w:rPr>
              <w:t>磋商基准价计算方法</w:t>
            </w:r>
          </w:p>
        </w:tc>
        <w:tc>
          <w:tcPr>
            <w:tcW w:w="7599" w:type="dxa"/>
            <w:gridSpan w:val="2"/>
            <w:vAlign w:val="center"/>
          </w:tcPr>
          <w:p>
            <w:pPr>
              <w:keepNext w:val="0"/>
              <w:keepLines w:val="0"/>
              <w:suppressLineNumbers w:val="0"/>
              <w:spacing w:before="0" w:beforeAutospacing="0" w:after="0" w:afterAutospacing="0"/>
              <w:ind w:left="0" w:right="0"/>
              <w:rPr>
                <w:rFonts w:hint="default" w:ascii="宋体" w:hAnsi="宋体" w:cs="宋体"/>
                <w:color w:val="auto"/>
                <w:kern w:val="22"/>
                <w:szCs w:val="21"/>
              </w:rPr>
            </w:pPr>
            <w:r>
              <w:rPr>
                <w:rFonts w:hint="eastAsia" w:ascii="宋体" w:hAnsi="宋体" w:cs="宋体"/>
                <w:color w:val="auto"/>
                <w:kern w:val="22"/>
                <w:szCs w:val="21"/>
              </w:rPr>
              <w:t>采用低价优先法计算，即满足磋商文件要求且最后报价最低的供应商的价格为磋商基准价，其价格分为满分。其他供应商的价格分统一按照下列公式计算：</w:t>
            </w:r>
          </w:p>
          <w:p>
            <w:pPr>
              <w:keepNext w:val="0"/>
              <w:keepLines w:val="0"/>
              <w:suppressLineNumbers w:val="0"/>
              <w:spacing w:before="0" w:beforeAutospacing="0" w:after="0" w:afterAutospacing="0"/>
              <w:ind w:left="0" w:right="0"/>
              <w:rPr>
                <w:rFonts w:hint="default" w:ascii="宋体" w:hAnsi="宋体" w:cs="宋体"/>
                <w:color w:val="auto"/>
                <w:kern w:val="22"/>
                <w:szCs w:val="21"/>
              </w:rPr>
            </w:pPr>
            <w:r>
              <w:rPr>
                <w:rFonts w:hint="eastAsia" w:ascii="宋体" w:hAnsi="宋体" w:cs="宋体"/>
                <w:color w:val="auto"/>
                <w:kern w:val="22"/>
                <w:szCs w:val="21"/>
              </w:rPr>
              <w:t>磋商报价得分=(评审基准价／投标报价)×价格权值(10%)×100。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1427" w:type="dxa"/>
            <w:gridSpan w:val="2"/>
            <w:tcBorders>
              <w:bottom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b/>
                <w:bCs/>
                <w:color w:val="auto"/>
                <w:kern w:val="22"/>
                <w:szCs w:val="21"/>
              </w:rPr>
            </w:pPr>
            <w:r>
              <w:rPr>
                <w:rFonts w:hint="eastAsia" w:ascii="宋体" w:hAnsi="宋体" w:cs="宋体"/>
                <w:b/>
                <w:bCs/>
                <w:color w:val="auto"/>
                <w:kern w:val="22"/>
                <w:szCs w:val="21"/>
              </w:rPr>
              <w:t>条款号</w:t>
            </w:r>
          </w:p>
        </w:tc>
        <w:tc>
          <w:tcPr>
            <w:tcW w:w="1341" w:type="dxa"/>
            <w:tcBorders>
              <w:bottom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b/>
                <w:bCs/>
                <w:color w:val="auto"/>
                <w:kern w:val="22"/>
                <w:szCs w:val="21"/>
              </w:rPr>
            </w:pPr>
            <w:r>
              <w:rPr>
                <w:rFonts w:hint="eastAsia" w:ascii="宋体" w:hAnsi="宋体" w:cs="宋体"/>
                <w:b/>
                <w:bCs/>
                <w:color w:val="auto"/>
                <w:kern w:val="22"/>
                <w:szCs w:val="21"/>
              </w:rPr>
              <w:t>评分因素</w:t>
            </w:r>
          </w:p>
        </w:tc>
        <w:tc>
          <w:tcPr>
            <w:tcW w:w="7037" w:type="dxa"/>
            <w:tcBorders>
              <w:bottom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b/>
                <w:bCs/>
                <w:color w:val="auto"/>
                <w:kern w:val="22"/>
                <w:szCs w:val="21"/>
              </w:rPr>
            </w:pPr>
            <w:r>
              <w:rPr>
                <w:rFonts w:hint="eastAsia" w:ascii="宋体" w:hAnsi="宋体" w:cs="宋体"/>
                <w:b/>
                <w:bCs/>
                <w:color w:val="auto"/>
                <w:kern w:val="22"/>
                <w:szCs w:val="21"/>
              </w:rPr>
              <w:t>评分标准</w:t>
            </w:r>
          </w:p>
        </w:tc>
        <w:tc>
          <w:tcPr>
            <w:tcW w:w="562" w:type="dxa"/>
            <w:vAlign w:val="center"/>
          </w:tcPr>
          <w:p>
            <w:pPr>
              <w:keepNext w:val="0"/>
              <w:keepLines w:val="0"/>
              <w:suppressLineNumbers w:val="0"/>
              <w:spacing w:before="0" w:beforeAutospacing="0" w:after="0" w:afterAutospacing="0"/>
              <w:ind w:left="0" w:right="0"/>
              <w:jc w:val="center"/>
              <w:rPr>
                <w:rFonts w:hint="default" w:ascii="宋体" w:hAnsi="宋体" w:cs="宋体"/>
                <w:b/>
                <w:bCs/>
                <w:color w:val="auto"/>
                <w:kern w:val="22"/>
                <w:szCs w:val="21"/>
              </w:rPr>
            </w:pPr>
            <w:r>
              <w:rPr>
                <w:rFonts w:hint="eastAsia" w:ascii="宋体" w:hAnsi="宋体" w:cs="宋体"/>
                <w:b/>
                <w:bCs/>
                <w:color w:val="auto"/>
                <w:kern w:val="22"/>
                <w:szCs w:val="21"/>
              </w:rPr>
              <w:t>分值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69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22"/>
                <w:szCs w:val="21"/>
              </w:rPr>
            </w:pPr>
            <w:r>
              <w:rPr>
                <w:rFonts w:hint="eastAsia" w:ascii="宋体" w:hAnsi="宋体" w:cs="宋体"/>
                <w:color w:val="auto"/>
                <w:kern w:val="22"/>
                <w:szCs w:val="21"/>
              </w:rPr>
              <w:t>2.2.3</w:t>
            </w:r>
          </w:p>
          <w:p>
            <w:pPr>
              <w:keepNext w:val="0"/>
              <w:keepLines w:val="0"/>
              <w:suppressLineNumbers w:val="0"/>
              <w:spacing w:before="0" w:beforeAutospacing="0" w:after="0" w:afterAutospacing="0"/>
              <w:ind w:left="0" w:right="0"/>
              <w:jc w:val="center"/>
              <w:rPr>
                <w:rFonts w:hint="default" w:ascii="宋体" w:hAnsi="宋体" w:cs="宋体"/>
                <w:color w:val="auto"/>
                <w:kern w:val="22"/>
                <w:szCs w:val="21"/>
              </w:rPr>
            </w:pPr>
            <w:r>
              <w:rPr>
                <w:rFonts w:hint="eastAsia" w:ascii="宋体" w:hAnsi="宋体" w:cs="宋体"/>
                <w:color w:val="auto"/>
                <w:kern w:val="22"/>
                <w:szCs w:val="21"/>
              </w:rPr>
              <w:t>(1)</w:t>
            </w:r>
          </w:p>
        </w:tc>
        <w:tc>
          <w:tcPr>
            <w:tcW w:w="737"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22"/>
                <w:szCs w:val="21"/>
              </w:rPr>
            </w:pPr>
            <w:r>
              <w:rPr>
                <w:rFonts w:hint="eastAsia" w:ascii="宋体" w:hAnsi="宋体" w:cs="宋体"/>
                <w:color w:val="auto"/>
                <w:kern w:val="22"/>
                <w:szCs w:val="21"/>
              </w:rPr>
              <w:t>技术</w:t>
            </w:r>
          </w:p>
          <w:p>
            <w:pPr>
              <w:keepNext w:val="0"/>
              <w:keepLines w:val="0"/>
              <w:suppressLineNumbers w:val="0"/>
              <w:spacing w:before="0" w:beforeAutospacing="0" w:after="0" w:afterAutospacing="0"/>
              <w:ind w:left="0" w:right="0"/>
              <w:jc w:val="center"/>
              <w:rPr>
                <w:rFonts w:hint="default" w:ascii="宋体" w:hAnsi="宋体" w:cs="宋体"/>
                <w:color w:val="auto"/>
                <w:kern w:val="22"/>
                <w:szCs w:val="21"/>
              </w:rPr>
            </w:pPr>
            <w:r>
              <w:rPr>
                <w:rFonts w:hint="eastAsia" w:ascii="宋体" w:hAnsi="宋体" w:cs="宋体"/>
                <w:color w:val="auto"/>
                <w:kern w:val="22"/>
                <w:szCs w:val="21"/>
              </w:rPr>
              <w:t>部分(60分)</w:t>
            </w:r>
          </w:p>
        </w:tc>
        <w:tc>
          <w:tcPr>
            <w:tcW w:w="1341" w:type="dxa"/>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22"/>
                <w:szCs w:val="21"/>
              </w:rPr>
            </w:pPr>
            <w:r>
              <w:rPr>
                <w:rFonts w:hint="eastAsia" w:ascii="宋体" w:hAnsi="宋体" w:cs="宋体"/>
                <w:color w:val="auto"/>
                <w:szCs w:val="16"/>
              </w:rPr>
              <w:t>总体方案</w:t>
            </w:r>
          </w:p>
        </w:tc>
        <w:tc>
          <w:tcPr>
            <w:tcW w:w="703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default" w:ascii="宋体" w:hAnsi="宋体" w:cs="宋体"/>
                <w:color w:val="auto"/>
                <w:kern w:val="0"/>
                <w:szCs w:val="16"/>
              </w:rPr>
            </w:pPr>
            <w:r>
              <w:rPr>
                <w:rFonts w:hint="eastAsia" w:ascii="宋体" w:hAnsi="宋体" w:cs="宋体"/>
                <w:color w:val="auto"/>
                <w:kern w:val="0"/>
                <w:szCs w:val="16"/>
              </w:rPr>
              <w:t>根据供应商提供的项目</w:t>
            </w:r>
            <w:r>
              <w:rPr>
                <w:rFonts w:hint="eastAsia" w:ascii="宋体" w:hAnsi="宋体" w:cs="宋体"/>
                <w:color w:val="auto"/>
                <w:szCs w:val="16"/>
              </w:rPr>
              <w:t>总体方案（包含但不限于活动主题策划、活动主视觉设计、活动整体氛围设计等）</w:t>
            </w:r>
            <w:r>
              <w:rPr>
                <w:rFonts w:hint="eastAsia" w:ascii="宋体" w:hAnsi="宋体" w:cs="宋体"/>
                <w:color w:val="auto"/>
                <w:kern w:val="0"/>
                <w:szCs w:val="16"/>
              </w:rPr>
              <w:t>给出得分：</w:t>
            </w:r>
          </w:p>
          <w:p>
            <w:pPr>
              <w:keepNext w:val="0"/>
              <w:keepLines w:val="0"/>
              <w:suppressLineNumbers w:val="0"/>
              <w:spacing w:before="0" w:beforeAutospacing="0" w:after="0" w:afterAutospacing="0"/>
              <w:ind w:left="0" w:right="0"/>
              <w:jc w:val="left"/>
              <w:rPr>
                <w:rFonts w:hint="default" w:ascii="宋体" w:hAnsi="宋体" w:cs="宋体"/>
                <w:color w:val="auto"/>
                <w:kern w:val="0"/>
                <w:szCs w:val="16"/>
              </w:rPr>
            </w:pPr>
            <w:r>
              <w:rPr>
                <w:rFonts w:hint="eastAsia" w:ascii="宋体" w:hAnsi="宋体" w:cs="宋体"/>
                <w:color w:val="auto"/>
                <w:kern w:val="0"/>
                <w:szCs w:val="16"/>
              </w:rPr>
              <w:t>方案全面、合理、有针对性，符合实际情况，执行性强，得</w:t>
            </w:r>
            <w:r>
              <w:rPr>
                <w:rFonts w:hint="default" w:ascii="宋体" w:hAnsi="宋体" w:cs="宋体"/>
                <w:color w:val="auto"/>
                <w:kern w:val="0"/>
                <w:szCs w:val="16"/>
                <w:lang w:val="en-GB"/>
              </w:rPr>
              <w:t>20</w:t>
            </w:r>
            <w:r>
              <w:rPr>
                <w:rFonts w:hint="eastAsia" w:ascii="宋体" w:hAnsi="宋体" w:cs="宋体"/>
                <w:color w:val="auto"/>
                <w:kern w:val="0"/>
                <w:szCs w:val="16"/>
              </w:rPr>
              <w:t>-</w:t>
            </w:r>
            <w:r>
              <w:rPr>
                <w:rFonts w:hint="default" w:ascii="宋体" w:hAnsi="宋体" w:cs="宋体"/>
                <w:color w:val="auto"/>
                <w:kern w:val="0"/>
                <w:szCs w:val="16"/>
                <w:lang w:val="en-GB"/>
              </w:rPr>
              <w:t>15</w:t>
            </w:r>
            <w:r>
              <w:rPr>
                <w:rFonts w:hint="eastAsia" w:ascii="宋体" w:hAnsi="宋体" w:cs="宋体"/>
                <w:color w:val="auto"/>
                <w:kern w:val="0"/>
                <w:szCs w:val="16"/>
              </w:rPr>
              <w:t>分；</w:t>
            </w:r>
          </w:p>
          <w:p>
            <w:pPr>
              <w:keepNext w:val="0"/>
              <w:keepLines w:val="0"/>
              <w:suppressLineNumbers w:val="0"/>
              <w:spacing w:before="0" w:beforeAutospacing="0" w:after="0" w:afterAutospacing="0"/>
              <w:ind w:left="0" w:right="0"/>
              <w:jc w:val="left"/>
              <w:rPr>
                <w:rFonts w:hint="default" w:ascii="宋体" w:hAnsi="宋体" w:cs="宋体"/>
                <w:color w:val="auto"/>
                <w:kern w:val="0"/>
                <w:szCs w:val="16"/>
              </w:rPr>
            </w:pPr>
            <w:r>
              <w:rPr>
                <w:rFonts w:hint="eastAsia" w:ascii="宋体" w:hAnsi="宋体" w:cs="宋体"/>
                <w:color w:val="auto"/>
                <w:kern w:val="0"/>
                <w:szCs w:val="16"/>
              </w:rPr>
              <w:t>方案比较全面、比较合理、比较有针对性，比较符合实际情况,执行性较强，得14-8分；</w:t>
            </w:r>
          </w:p>
          <w:p>
            <w:pPr>
              <w:keepNext w:val="0"/>
              <w:keepLines w:val="0"/>
              <w:suppressLineNumbers w:val="0"/>
              <w:spacing w:before="0" w:beforeAutospacing="0" w:after="0" w:afterAutospacing="0"/>
              <w:ind w:left="0" w:right="0"/>
              <w:jc w:val="left"/>
              <w:rPr>
                <w:rFonts w:hint="default" w:ascii="宋体" w:hAnsi="宋体" w:cs="宋体"/>
                <w:color w:val="auto"/>
                <w:kern w:val="0"/>
                <w:szCs w:val="16"/>
              </w:rPr>
            </w:pPr>
            <w:r>
              <w:rPr>
                <w:rFonts w:hint="eastAsia" w:ascii="宋体" w:hAnsi="宋体" w:cs="宋体"/>
                <w:color w:val="auto"/>
                <w:kern w:val="0"/>
                <w:szCs w:val="16"/>
              </w:rPr>
              <w:t>方案基本全面、基本合理、针对性一般，基本符合实际情况,执行性一般，得7-1分；</w:t>
            </w:r>
          </w:p>
          <w:p>
            <w:pPr>
              <w:keepNext w:val="0"/>
              <w:keepLines w:val="0"/>
              <w:suppressLineNumbers w:val="0"/>
              <w:spacing w:before="0" w:beforeAutospacing="0" w:after="0" w:afterAutospacing="0"/>
              <w:ind w:left="0" w:right="0"/>
              <w:jc w:val="left"/>
              <w:rPr>
                <w:rFonts w:hint="default" w:ascii="宋体" w:hAnsi="宋体" w:cs="宋体"/>
                <w:color w:val="auto"/>
                <w:kern w:val="22"/>
                <w:szCs w:val="21"/>
                <w:lang w:val="zh-CN"/>
              </w:rPr>
            </w:pPr>
            <w:r>
              <w:rPr>
                <w:rFonts w:hint="eastAsia" w:ascii="宋体" w:hAnsi="宋体" w:cs="宋体"/>
                <w:color w:val="auto"/>
                <w:kern w:val="0"/>
                <w:szCs w:val="16"/>
              </w:rPr>
              <w:t>严重缺项或无此项内容得0分。</w:t>
            </w:r>
          </w:p>
        </w:tc>
        <w:tc>
          <w:tcPr>
            <w:tcW w:w="562" w:type="dxa"/>
            <w:tcBorders>
              <w:lef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szCs w:val="21"/>
              </w:rPr>
            </w:pPr>
            <w:r>
              <w:rPr>
                <w:rFonts w:hint="eastAsia" w:ascii="宋体" w:hAnsi="宋体" w:cs="宋体"/>
                <w:color w:val="auto"/>
                <w:kern w:val="0"/>
                <w:szCs w:val="16"/>
              </w:rPr>
              <w:t>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690"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22"/>
                <w:szCs w:val="21"/>
              </w:rPr>
            </w:pPr>
          </w:p>
        </w:tc>
        <w:tc>
          <w:tcPr>
            <w:tcW w:w="737"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22"/>
                <w:szCs w:val="21"/>
              </w:rPr>
            </w:pPr>
          </w:p>
        </w:tc>
        <w:tc>
          <w:tcPr>
            <w:tcW w:w="1341" w:type="dxa"/>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22"/>
                <w:szCs w:val="21"/>
              </w:rPr>
            </w:pPr>
            <w:r>
              <w:rPr>
                <w:rFonts w:hint="eastAsia" w:ascii="宋体" w:hAnsi="宋体" w:cs="宋体"/>
                <w:color w:val="auto"/>
                <w:kern w:val="0"/>
                <w:szCs w:val="16"/>
              </w:rPr>
              <w:t>亮点活动策划</w:t>
            </w:r>
          </w:p>
        </w:tc>
        <w:tc>
          <w:tcPr>
            <w:tcW w:w="703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default" w:ascii="宋体" w:hAnsi="宋体" w:cs="宋体"/>
                <w:color w:val="auto"/>
                <w:kern w:val="0"/>
                <w:szCs w:val="16"/>
              </w:rPr>
            </w:pPr>
            <w:r>
              <w:rPr>
                <w:rFonts w:hint="eastAsia" w:ascii="宋体" w:hAnsi="宋体" w:cs="宋体"/>
                <w:color w:val="auto"/>
                <w:kern w:val="0"/>
                <w:szCs w:val="16"/>
              </w:rPr>
              <w:t>根据整体活动调性策划创意亮点活动给出得分：</w:t>
            </w:r>
          </w:p>
          <w:p>
            <w:pPr>
              <w:keepNext w:val="0"/>
              <w:keepLines w:val="0"/>
              <w:suppressLineNumbers w:val="0"/>
              <w:spacing w:before="0" w:beforeAutospacing="0" w:after="0" w:afterAutospacing="0"/>
              <w:ind w:left="0" w:right="0"/>
              <w:jc w:val="left"/>
              <w:rPr>
                <w:rFonts w:hint="default" w:ascii="宋体" w:hAnsi="宋体" w:cs="宋体"/>
                <w:color w:val="auto"/>
                <w:kern w:val="0"/>
                <w:szCs w:val="16"/>
              </w:rPr>
            </w:pPr>
            <w:r>
              <w:rPr>
                <w:rFonts w:hint="eastAsia" w:ascii="宋体" w:hAnsi="宋体" w:cs="宋体"/>
                <w:color w:val="auto"/>
                <w:szCs w:val="16"/>
              </w:rPr>
              <w:t>活动创意符合主题</w:t>
            </w:r>
            <w:r>
              <w:rPr>
                <w:rFonts w:hint="eastAsia" w:ascii="宋体" w:hAnsi="宋体" w:cs="宋体"/>
                <w:color w:val="auto"/>
                <w:kern w:val="0"/>
                <w:szCs w:val="16"/>
              </w:rPr>
              <w:t>性强，合理性强，设计理念新颖，并策划数量满足5个，得</w:t>
            </w:r>
            <w:r>
              <w:rPr>
                <w:rFonts w:hint="default" w:ascii="宋体" w:hAnsi="宋体" w:cs="宋体"/>
                <w:color w:val="auto"/>
                <w:kern w:val="0"/>
                <w:szCs w:val="16"/>
                <w:lang w:val="en-GB"/>
              </w:rPr>
              <w:t>15</w:t>
            </w:r>
            <w:r>
              <w:rPr>
                <w:rFonts w:hint="eastAsia" w:ascii="宋体" w:hAnsi="宋体" w:cs="宋体"/>
                <w:color w:val="auto"/>
                <w:kern w:val="0"/>
                <w:szCs w:val="16"/>
              </w:rPr>
              <w:t>-</w:t>
            </w:r>
            <w:r>
              <w:rPr>
                <w:rFonts w:hint="default" w:ascii="宋体" w:hAnsi="宋体" w:cs="宋体"/>
                <w:color w:val="auto"/>
                <w:kern w:val="0"/>
                <w:szCs w:val="16"/>
              </w:rPr>
              <w:t>10</w:t>
            </w:r>
            <w:r>
              <w:rPr>
                <w:rFonts w:hint="eastAsia" w:ascii="宋体" w:hAnsi="宋体" w:cs="宋体"/>
                <w:color w:val="auto"/>
                <w:kern w:val="0"/>
                <w:szCs w:val="16"/>
              </w:rPr>
              <w:t>分；</w:t>
            </w:r>
          </w:p>
          <w:p>
            <w:pPr>
              <w:keepNext w:val="0"/>
              <w:keepLines w:val="0"/>
              <w:suppressLineNumbers w:val="0"/>
              <w:spacing w:before="0" w:beforeAutospacing="0" w:after="0" w:afterAutospacing="0"/>
              <w:ind w:left="0" w:right="0"/>
              <w:jc w:val="left"/>
              <w:rPr>
                <w:rFonts w:hint="default" w:ascii="宋体" w:hAnsi="宋体" w:cs="宋体"/>
                <w:color w:val="auto"/>
                <w:kern w:val="0"/>
                <w:szCs w:val="16"/>
              </w:rPr>
            </w:pPr>
            <w:r>
              <w:rPr>
                <w:rFonts w:hint="eastAsia" w:ascii="宋体" w:hAnsi="宋体" w:cs="宋体"/>
                <w:color w:val="auto"/>
                <w:szCs w:val="16"/>
              </w:rPr>
              <w:t>活动创意</w:t>
            </w:r>
            <w:r>
              <w:rPr>
                <w:rFonts w:hint="eastAsia" w:ascii="宋体" w:hAnsi="宋体" w:cs="宋体"/>
                <w:color w:val="auto"/>
                <w:kern w:val="0"/>
                <w:szCs w:val="16"/>
              </w:rPr>
              <w:t>主题性比较强，比较有创新性，比较合理，比较有设计理念，并策划数量满足</w:t>
            </w:r>
            <w:r>
              <w:rPr>
                <w:rFonts w:hint="default" w:ascii="宋体" w:hAnsi="宋体" w:cs="宋体"/>
                <w:color w:val="auto"/>
                <w:kern w:val="0"/>
                <w:szCs w:val="16"/>
              </w:rPr>
              <w:t>3</w:t>
            </w:r>
            <w:r>
              <w:rPr>
                <w:rFonts w:hint="eastAsia" w:ascii="宋体" w:hAnsi="宋体" w:cs="宋体"/>
                <w:color w:val="auto"/>
                <w:kern w:val="0"/>
                <w:szCs w:val="16"/>
              </w:rPr>
              <w:t>个，得</w:t>
            </w:r>
            <w:r>
              <w:rPr>
                <w:rFonts w:hint="default" w:ascii="宋体" w:hAnsi="宋体" w:cs="宋体"/>
                <w:color w:val="auto"/>
                <w:kern w:val="0"/>
                <w:szCs w:val="16"/>
              </w:rPr>
              <w:t>9</w:t>
            </w:r>
            <w:r>
              <w:rPr>
                <w:rFonts w:hint="eastAsia" w:ascii="宋体" w:hAnsi="宋体" w:cs="宋体"/>
                <w:color w:val="auto"/>
                <w:kern w:val="0"/>
                <w:szCs w:val="16"/>
              </w:rPr>
              <w:t>-5分；</w:t>
            </w:r>
          </w:p>
          <w:p>
            <w:pPr>
              <w:keepNext w:val="0"/>
              <w:keepLines w:val="0"/>
              <w:suppressLineNumbers w:val="0"/>
              <w:spacing w:before="0" w:beforeAutospacing="0" w:after="0" w:afterAutospacing="0"/>
              <w:ind w:left="0" w:right="0"/>
              <w:jc w:val="left"/>
              <w:rPr>
                <w:rFonts w:hint="default" w:ascii="宋体" w:hAnsi="宋体" w:cs="宋体"/>
                <w:color w:val="auto"/>
                <w:kern w:val="0"/>
                <w:szCs w:val="16"/>
              </w:rPr>
            </w:pPr>
            <w:r>
              <w:rPr>
                <w:rFonts w:hint="eastAsia" w:ascii="宋体" w:hAnsi="宋体" w:cs="宋体"/>
                <w:color w:val="auto"/>
                <w:szCs w:val="16"/>
              </w:rPr>
              <w:t>活动创意</w:t>
            </w:r>
            <w:r>
              <w:rPr>
                <w:rFonts w:hint="eastAsia" w:ascii="宋体" w:hAnsi="宋体" w:cs="宋体"/>
                <w:color w:val="auto"/>
                <w:kern w:val="0"/>
                <w:szCs w:val="16"/>
              </w:rPr>
              <w:t>主题性一般，创新性一般，合理性一般，设计理念一般，并策划数量满足</w:t>
            </w:r>
            <w:r>
              <w:rPr>
                <w:rFonts w:hint="default" w:ascii="宋体" w:hAnsi="宋体" w:cs="宋体"/>
                <w:color w:val="auto"/>
                <w:kern w:val="0"/>
                <w:szCs w:val="16"/>
              </w:rPr>
              <w:t>1</w:t>
            </w:r>
            <w:r>
              <w:rPr>
                <w:rFonts w:hint="eastAsia" w:ascii="宋体" w:hAnsi="宋体" w:cs="宋体"/>
                <w:color w:val="auto"/>
                <w:kern w:val="0"/>
                <w:szCs w:val="16"/>
              </w:rPr>
              <w:t>个，得4-1分</w:t>
            </w:r>
          </w:p>
          <w:p>
            <w:pPr>
              <w:keepNext w:val="0"/>
              <w:keepLines w:val="0"/>
              <w:suppressLineNumbers w:val="0"/>
              <w:spacing w:before="0" w:beforeAutospacing="0" w:after="0" w:afterAutospacing="0"/>
              <w:ind w:left="0" w:right="0"/>
              <w:jc w:val="left"/>
              <w:rPr>
                <w:rFonts w:hint="default" w:ascii="宋体" w:hAnsi="宋体" w:cs="宋体"/>
                <w:color w:val="auto"/>
                <w:kern w:val="22"/>
                <w:szCs w:val="21"/>
                <w:lang w:val="zh-CN"/>
              </w:rPr>
            </w:pPr>
            <w:r>
              <w:rPr>
                <w:rFonts w:hint="eastAsia" w:ascii="宋体" w:hAnsi="宋体" w:cs="宋体"/>
                <w:color w:val="auto"/>
                <w:kern w:val="0"/>
                <w:szCs w:val="16"/>
              </w:rPr>
              <w:t>严重缺项或无此项内容得0分。</w:t>
            </w:r>
          </w:p>
        </w:tc>
        <w:tc>
          <w:tcPr>
            <w:tcW w:w="562" w:type="dxa"/>
            <w:tcBorders>
              <w:lef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color w:val="auto"/>
                <w:szCs w:val="21"/>
                <w:lang w:val="zh-CN"/>
              </w:rPr>
            </w:pPr>
            <w:r>
              <w:rPr>
                <w:rFonts w:hint="eastAsia" w:ascii="宋体" w:hAnsi="宋体" w:cs="宋体"/>
                <w:color w:val="auto"/>
                <w:kern w:val="0"/>
                <w:szCs w:val="16"/>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690"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22"/>
                <w:szCs w:val="21"/>
              </w:rPr>
            </w:pPr>
          </w:p>
        </w:tc>
        <w:tc>
          <w:tcPr>
            <w:tcW w:w="737"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22"/>
                <w:szCs w:val="21"/>
              </w:rPr>
            </w:pPr>
          </w:p>
        </w:tc>
        <w:tc>
          <w:tcPr>
            <w:tcW w:w="134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22"/>
                <w:szCs w:val="21"/>
                <w:highlight w:val="yellow"/>
              </w:rPr>
            </w:pPr>
            <w:r>
              <w:rPr>
                <w:rFonts w:hint="eastAsia" w:ascii="宋体" w:hAnsi="宋体" w:cs="宋体"/>
                <w:color w:val="auto"/>
                <w:kern w:val="22"/>
                <w:szCs w:val="21"/>
              </w:rPr>
              <w:t>运营招商方案</w:t>
            </w:r>
          </w:p>
        </w:tc>
        <w:tc>
          <w:tcPr>
            <w:tcW w:w="703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20" w:lineRule="exact"/>
              <w:ind w:left="0" w:right="0"/>
              <w:jc w:val="left"/>
              <w:rPr>
                <w:rFonts w:hint="eastAsia" w:ascii="宋体" w:hAnsi="宋体" w:cs="宋体"/>
                <w:color w:val="auto"/>
                <w:szCs w:val="21"/>
              </w:rPr>
            </w:pPr>
            <w:r>
              <w:rPr>
                <w:rFonts w:hint="eastAsia" w:ascii="宋体" w:hAnsi="宋体" w:cs="宋体"/>
                <w:color w:val="auto"/>
                <w:szCs w:val="21"/>
              </w:rPr>
              <w:t>根据本项目来拟定运营招商方案，方案全面、合理、有针对性，符合实际情况，可执行性强，得</w:t>
            </w:r>
            <w:r>
              <w:rPr>
                <w:rFonts w:hint="default" w:ascii="宋体" w:hAnsi="宋体" w:cs="宋体"/>
                <w:color w:val="auto"/>
                <w:szCs w:val="21"/>
              </w:rPr>
              <w:t>10</w:t>
            </w:r>
            <w:r>
              <w:rPr>
                <w:rFonts w:hint="eastAsia" w:ascii="宋体" w:hAnsi="宋体" w:cs="宋体"/>
                <w:color w:val="auto"/>
                <w:szCs w:val="21"/>
              </w:rPr>
              <w:t>-</w:t>
            </w:r>
            <w:r>
              <w:rPr>
                <w:rFonts w:hint="default" w:ascii="宋体" w:hAnsi="宋体" w:cs="宋体"/>
                <w:color w:val="auto"/>
                <w:szCs w:val="21"/>
              </w:rPr>
              <w:t>7</w:t>
            </w:r>
            <w:r>
              <w:rPr>
                <w:rFonts w:hint="eastAsia" w:ascii="宋体" w:hAnsi="宋体" w:cs="宋体"/>
                <w:color w:val="auto"/>
                <w:szCs w:val="21"/>
              </w:rPr>
              <w:t>分；</w:t>
            </w:r>
          </w:p>
          <w:p>
            <w:pPr>
              <w:keepNext w:val="0"/>
              <w:keepLines w:val="0"/>
              <w:widowControl/>
              <w:suppressLineNumbers w:val="0"/>
              <w:spacing w:before="0" w:beforeAutospacing="0" w:after="0" w:afterAutospacing="0" w:line="420" w:lineRule="exact"/>
              <w:ind w:left="0" w:right="0"/>
              <w:jc w:val="left"/>
              <w:rPr>
                <w:rFonts w:hint="eastAsia" w:ascii="宋体" w:hAnsi="宋体" w:cs="宋体"/>
                <w:color w:val="auto"/>
                <w:szCs w:val="21"/>
              </w:rPr>
            </w:pPr>
            <w:r>
              <w:rPr>
                <w:rFonts w:hint="eastAsia" w:ascii="宋体" w:hAnsi="宋体" w:cs="宋体"/>
                <w:color w:val="auto"/>
                <w:szCs w:val="21"/>
              </w:rPr>
              <w:t>方案比较全面、比较合理、比较有针对性，比较符合实际情况,可执行较强，得</w:t>
            </w:r>
            <w:r>
              <w:rPr>
                <w:rFonts w:hint="default" w:ascii="宋体" w:hAnsi="宋体" w:cs="宋体"/>
                <w:color w:val="auto"/>
                <w:szCs w:val="21"/>
              </w:rPr>
              <w:t>6</w:t>
            </w:r>
            <w:r>
              <w:rPr>
                <w:rFonts w:hint="eastAsia" w:ascii="宋体" w:hAnsi="宋体" w:cs="宋体"/>
                <w:color w:val="auto"/>
                <w:szCs w:val="21"/>
              </w:rPr>
              <w:t>-3分；</w:t>
            </w:r>
          </w:p>
          <w:p>
            <w:pPr>
              <w:keepNext w:val="0"/>
              <w:keepLines w:val="0"/>
              <w:widowControl/>
              <w:suppressLineNumbers w:val="0"/>
              <w:spacing w:before="0" w:beforeAutospacing="0" w:after="0" w:afterAutospacing="0" w:line="420" w:lineRule="exact"/>
              <w:ind w:left="0" w:right="0"/>
              <w:jc w:val="left"/>
              <w:rPr>
                <w:rFonts w:hint="eastAsia" w:ascii="宋体" w:hAnsi="宋体" w:cs="宋体"/>
                <w:color w:val="auto"/>
                <w:szCs w:val="21"/>
              </w:rPr>
            </w:pPr>
            <w:r>
              <w:rPr>
                <w:rFonts w:hint="eastAsia" w:ascii="宋体" w:hAnsi="宋体" w:cs="宋体"/>
                <w:color w:val="auto"/>
                <w:szCs w:val="21"/>
              </w:rPr>
              <w:t>方案内容基本合理、针对性一般，执行性一般，基本符合实际情况,得2-1分；</w:t>
            </w:r>
          </w:p>
          <w:p>
            <w:pPr>
              <w:keepNext w:val="0"/>
              <w:keepLines w:val="0"/>
              <w:suppressLineNumbers w:val="0"/>
              <w:spacing w:before="0" w:beforeAutospacing="0" w:after="0" w:afterAutospacing="0"/>
              <w:ind w:left="0" w:right="0"/>
              <w:jc w:val="left"/>
              <w:rPr>
                <w:rFonts w:hint="default" w:ascii="宋体" w:hAnsi="宋体" w:cs="宋体"/>
                <w:color w:val="auto"/>
                <w:kern w:val="22"/>
                <w:szCs w:val="21"/>
                <w:highlight w:val="yellow"/>
              </w:rPr>
            </w:pPr>
            <w:r>
              <w:rPr>
                <w:rFonts w:hint="eastAsia" w:ascii="宋体" w:hAnsi="宋体" w:cs="宋体"/>
                <w:color w:val="auto"/>
                <w:szCs w:val="21"/>
              </w:rPr>
              <w:t>方案严重缺项或无此项内容得0分。</w:t>
            </w:r>
          </w:p>
        </w:tc>
        <w:tc>
          <w:tcPr>
            <w:tcW w:w="562" w:type="dxa"/>
            <w:tcBorders>
              <w:lef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bCs/>
                <w:color w:val="auto"/>
                <w:szCs w:val="21"/>
              </w:rPr>
            </w:pPr>
            <w:r>
              <w:rPr>
                <w:rFonts w:hint="eastAsia" w:ascii="宋体" w:hAnsi="宋体" w:cs="宋体"/>
                <w:color w:val="auto"/>
                <w:kern w:val="0"/>
                <w:szCs w:val="16"/>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690"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22"/>
                <w:szCs w:val="21"/>
              </w:rPr>
            </w:pPr>
          </w:p>
        </w:tc>
        <w:tc>
          <w:tcPr>
            <w:tcW w:w="737"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22"/>
                <w:szCs w:val="21"/>
              </w:rPr>
            </w:pPr>
          </w:p>
        </w:tc>
        <w:tc>
          <w:tcPr>
            <w:tcW w:w="134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22"/>
                <w:szCs w:val="21"/>
              </w:rPr>
            </w:pPr>
            <w:r>
              <w:rPr>
                <w:rFonts w:hint="eastAsia" w:ascii="宋体" w:hAnsi="宋体" w:cs="宋体"/>
                <w:color w:val="auto"/>
                <w:szCs w:val="16"/>
              </w:rPr>
              <w:t>开幕式方案</w:t>
            </w:r>
          </w:p>
        </w:tc>
        <w:tc>
          <w:tcPr>
            <w:tcW w:w="703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default" w:ascii="宋体" w:hAnsi="宋体" w:cs="宋体"/>
                <w:color w:val="auto"/>
                <w:kern w:val="0"/>
                <w:szCs w:val="16"/>
              </w:rPr>
            </w:pPr>
            <w:r>
              <w:rPr>
                <w:rFonts w:hint="eastAsia" w:ascii="宋体" w:hAnsi="宋体" w:cs="宋体"/>
                <w:color w:val="auto"/>
                <w:kern w:val="0"/>
                <w:szCs w:val="16"/>
              </w:rPr>
              <w:t>根据供应商提供的开幕式方案（包含但不限于舞台搭建方案、活动流程方案）得给出得分：</w:t>
            </w:r>
          </w:p>
          <w:p>
            <w:pPr>
              <w:keepNext w:val="0"/>
              <w:keepLines w:val="0"/>
              <w:suppressLineNumbers w:val="0"/>
              <w:spacing w:before="0" w:beforeAutospacing="0" w:after="0" w:afterAutospacing="0"/>
              <w:ind w:left="0" w:right="0"/>
              <w:jc w:val="left"/>
              <w:rPr>
                <w:rFonts w:hint="default" w:ascii="宋体" w:hAnsi="宋体" w:cs="宋体"/>
                <w:color w:val="auto"/>
                <w:kern w:val="0"/>
                <w:szCs w:val="16"/>
              </w:rPr>
            </w:pPr>
            <w:r>
              <w:rPr>
                <w:rFonts w:hint="eastAsia" w:ascii="宋体" w:hAnsi="宋体" w:cs="宋体"/>
                <w:color w:val="auto"/>
                <w:kern w:val="0"/>
                <w:szCs w:val="16"/>
              </w:rPr>
              <w:t>方案全面、合理、有针对性，符合实际情况，可执行性强，得5分；</w:t>
            </w:r>
          </w:p>
          <w:p>
            <w:pPr>
              <w:keepNext w:val="0"/>
              <w:keepLines w:val="0"/>
              <w:suppressLineNumbers w:val="0"/>
              <w:spacing w:before="0" w:beforeAutospacing="0" w:after="0" w:afterAutospacing="0"/>
              <w:ind w:left="0" w:right="0"/>
              <w:jc w:val="left"/>
              <w:rPr>
                <w:rFonts w:hint="default" w:ascii="宋体" w:hAnsi="宋体" w:cs="宋体"/>
                <w:color w:val="auto"/>
                <w:kern w:val="0"/>
                <w:szCs w:val="16"/>
              </w:rPr>
            </w:pPr>
            <w:r>
              <w:rPr>
                <w:rFonts w:hint="eastAsia" w:ascii="宋体" w:hAnsi="宋体" w:cs="宋体"/>
                <w:color w:val="auto"/>
                <w:kern w:val="0"/>
                <w:szCs w:val="16"/>
              </w:rPr>
              <w:t>方案比较全面、比较合理、比较有针对性，比较符合实际情况,可执行较强，得4-3分；</w:t>
            </w:r>
          </w:p>
          <w:p>
            <w:pPr>
              <w:keepNext w:val="0"/>
              <w:keepLines w:val="0"/>
              <w:suppressLineNumbers w:val="0"/>
              <w:spacing w:before="0" w:beforeAutospacing="0" w:after="0" w:afterAutospacing="0"/>
              <w:ind w:left="0" w:right="0"/>
              <w:jc w:val="left"/>
              <w:rPr>
                <w:rFonts w:hint="default" w:ascii="宋体" w:hAnsi="宋体" w:cs="宋体"/>
                <w:color w:val="auto"/>
                <w:kern w:val="0"/>
                <w:szCs w:val="16"/>
              </w:rPr>
            </w:pPr>
            <w:r>
              <w:rPr>
                <w:rFonts w:hint="eastAsia" w:ascii="宋体" w:hAnsi="宋体" w:cs="宋体"/>
                <w:color w:val="auto"/>
                <w:kern w:val="0"/>
                <w:szCs w:val="16"/>
              </w:rPr>
              <w:t>方案内容基本合理、针对性一般，执行性一般，基本符合实际情况,得2-1分；</w:t>
            </w:r>
          </w:p>
          <w:p>
            <w:pPr>
              <w:keepNext w:val="0"/>
              <w:keepLines w:val="0"/>
              <w:suppressLineNumbers w:val="0"/>
              <w:spacing w:before="0" w:beforeAutospacing="0" w:after="0" w:afterAutospacing="0"/>
              <w:ind w:left="0" w:right="0"/>
              <w:jc w:val="left"/>
              <w:rPr>
                <w:rFonts w:hint="default" w:ascii="宋体" w:hAnsi="宋体" w:cs="宋体"/>
                <w:color w:val="auto"/>
                <w:kern w:val="22"/>
                <w:szCs w:val="21"/>
                <w:lang w:val="zh-CN"/>
              </w:rPr>
            </w:pPr>
            <w:r>
              <w:rPr>
                <w:rFonts w:hint="eastAsia" w:ascii="宋体" w:hAnsi="宋体" w:cs="宋体"/>
                <w:color w:val="auto"/>
                <w:kern w:val="0"/>
                <w:szCs w:val="16"/>
              </w:rPr>
              <w:t>方案严重缺项或无此项内容得0分。</w:t>
            </w:r>
          </w:p>
        </w:tc>
        <w:tc>
          <w:tcPr>
            <w:tcW w:w="562" w:type="dxa"/>
            <w:tcBorders>
              <w:lef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bCs/>
                <w:color w:val="auto"/>
                <w:szCs w:val="21"/>
              </w:rPr>
            </w:pPr>
            <w:r>
              <w:rPr>
                <w:rFonts w:hint="eastAsia" w:ascii="宋体" w:hAnsi="宋体" w:cs="宋体"/>
                <w:color w:val="auto"/>
                <w:kern w:val="0"/>
                <w:szCs w:val="16"/>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690"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22"/>
                <w:szCs w:val="21"/>
              </w:rPr>
            </w:pPr>
          </w:p>
        </w:tc>
        <w:tc>
          <w:tcPr>
            <w:tcW w:w="737"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22"/>
                <w:szCs w:val="21"/>
              </w:rPr>
            </w:pPr>
          </w:p>
        </w:tc>
        <w:tc>
          <w:tcPr>
            <w:tcW w:w="134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22"/>
                <w:szCs w:val="21"/>
              </w:rPr>
            </w:pPr>
            <w:r>
              <w:rPr>
                <w:rFonts w:hint="eastAsia" w:ascii="宋体" w:hAnsi="宋体" w:cs="宋体"/>
                <w:color w:val="auto"/>
                <w:szCs w:val="16"/>
              </w:rPr>
              <w:t>后勤保障方案</w:t>
            </w:r>
          </w:p>
        </w:tc>
        <w:tc>
          <w:tcPr>
            <w:tcW w:w="703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default" w:ascii="宋体" w:hAnsi="宋体" w:cs="宋体"/>
                <w:color w:val="auto"/>
                <w:kern w:val="0"/>
                <w:szCs w:val="16"/>
              </w:rPr>
            </w:pPr>
            <w:r>
              <w:rPr>
                <w:rFonts w:hint="eastAsia" w:ascii="宋体" w:hAnsi="宋体" w:cs="宋体"/>
                <w:color w:val="auto"/>
                <w:kern w:val="0"/>
                <w:szCs w:val="16"/>
              </w:rPr>
              <w:t>根据供应商提供的后勤保障方案得给出得分：</w:t>
            </w:r>
          </w:p>
          <w:p>
            <w:pPr>
              <w:keepNext w:val="0"/>
              <w:keepLines w:val="0"/>
              <w:suppressLineNumbers w:val="0"/>
              <w:spacing w:before="0" w:beforeAutospacing="0" w:after="0" w:afterAutospacing="0"/>
              <w:ind w:left="0" w:right="0"/>
              <w:jc w:val="left"/>
              <w:rPr>
                <w:rFonts w:hint="default" w:ascii="宋体" w:hAnsi="宋体" w:cs="宋体"/>
                <w:color w:val="auto"/>
                <w:kern w:val="0"/>
                <w:szCs w:val="16"/>
              </w:rPr>
            </w:pPr>
            <w:r>
              <w:rPr>
                <w:rFonts w:hint="eastAsia" w:ascii="宋体" w:hAnsi="宋体" w:cs="宋体"/>
                <w:color w:val="auto"/>
                <w:kern w:val="0"/>
                <w:szCs w:val="16"/>
              </w:rPr>
              <w:t>方案全面、合理、有针对性，符合实际情况，可执行性强，得5分；</w:t>
            </w:r>
          </w:p>
          <w:p>
            <w:pPr>
              <w:keepNext w:val="0"/>
              <w:keepLines w:val="0"/>
              <w:suppressLineNumbers w:val="0"/>
              <w:spacing w:before="0" w:beforeAutospacing="0" w:after="0" w:afterAutospacing="0"/>
              <w:ind w:left="0" w:right="0"/>
              <w:jc w:val="left"/>
              <w:rPr>
                <w:rFonts w:hint="default" w:ascii="宋体" w:hAnsi="宋体" w:cs="宋体"/>
                <w:color w:val="auto"/>
                <w:kern w:val="0"/>
                <w:szCs w:val="16"/>
              </w:rPr>
            </w:pPr>
            <w:r>
              <w:rPr>
                <w:rFonts w:hint="eastAsia" w:ascii="宋体" w:hAnsi="宋体" w:cs="宋体"/>
                <w:color w:val="auto"/>
                <w:kern w:val="0"/>
                <w:szCs w:val="16"/>
              </w:rPr>
              <w:t>方案比较全面、比较合理、比较有针对性，比较符合实际情况,可执行较强，得4-3分；</w:t>
            </w:r>
          </w:p>
          <w:p>
            <w:pPr>
              <w:keepNext w:val="0"/>
              <w:keepLines w:val="0"/>
              <w:suppressLineNumbers w:val="0"/>
              <w:spacing w:before="0" w:beforeAutospacing="0" w:after="0" w:afterAutospacing="0"/>
              <w:ind w:left="0" w:right="0"/>
              <w:jc w:val="left"/>
              <w:rPr>
                <w:rFonts w:hint="default" w:ascii="宋体" w:hAnsi="宋体" w:cs="宋体"/>
                <w:color w:val="auto"/>
                <w:kern w:val="0"/>
                <w:szCs w:val="16"/>
              </w:rPr>
            </w:pPr>
            <w:r>
              <w:rPr>
                <w:rFonts w:hint="eastAsia" w:ascii="宋体" w:hAnsi="宋体" w:cs="宋体"/>
                <w:color w:val="auto"/>
                <w:kern w:val="0"/>
                <w:szCs w:val="16"/>
              </w:rPr>
              <w:t>方案内容基本合理、针对性一般，执行性一般，基本符合实际情况,得2-1分；</w:t>
            </w:r>
          </w:p>
          <w:p>
            <w:pPr>
              <w:keepNext w:val="0"/>
              <w:keepLines w:val="0"/>
              <w:suppressLineNumbers w:val="0"/>
              <w:spacing w:before="0" w:beforeAutospacing="0" w:after="0" w:afterAutospacing="0"/>
              <w:ind w:left="0" w:right="0"/>
              <w:jc w:val="left"/>
              <w:rPr>
                <w:rFonts w:hint="default" w:ascii="宋体" w:hAnsi="宋体" w:cs="宋体"/>
                <w:color w:val="auto"/>
                <w:kern w:val="22"/>
                <w:szCs w:val="21"/>
                <w:lang w:val="zh-CN"/>
              </w:rPr>
            </w:pPr>
            <w:r>
              <w:rPr>
                <w:rFonts w:hint="eastAsia" w:ascii="宋体" w:hAnsi="宋体" w:cs="宋体"/>
                <w:color w:val="auto"/>
                <w:kern w:val="0"/>
                <w:szCs w:val="16"/>
              </w:rPr>
              <w:t>方案严重缺项或无此项内容得0分。</w:t>
            </w:r>
          </w:p>
        </w:tc>
        <w:tc>
          <w:tcPr>
            <w:tcW w:w="562" w:type="dxa"/>
            <w:tcBorders>
              <w:lef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bCs/>
                <w:color w:val="auto"/>
                <w:szCs w:val="21"/>
              </w:rPr>
            </w:pPr>
            <w:r>
              <w:rPr>
                <w:rFonts w:hint="eastAsia" w:ascii="宋体" w:hAnsi="宋体" w:cs="宋体"/>
                <w:color w:val="auto"/>
                <w:kern w:val="0"/>
                <w:szCs w:val="16"/>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690"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22"/>
                <w:szCs w:val="21"/>
              </w:rPr>
            </w:pPr>
            <w:r>
              <w:rPr>
                <w:rFonts w:hint="eastAsia" w:ascii="宋体" w:hAnsi="宋体" w:cs="宋体"/>
                <w:color w:val="auto"/>
                <w:kern w:val="22"/>
                <w:szCs w:val="21"/>
              </w:rPr>
              <w:t>、</w:t>
            </w:r>
          </w:p>
        </w:tc>
        <w:tc>
          <w:tcPr>
            <w:tcW w:w="737"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22"/>
                <w:szCs w:val="21"/>
              </w:rPr>
            </w:pPr>
          </w:p>
        </w:tc>
        <w:tc>
          <w:tcPr>
            <w:tcW w:w="134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22"/>
                <w:szCs w:val="21"/>
              </w:rPr>
            </w:pPr>
            <w:r>
              <w:rPr>
                <w:rFonts w:hint="eastAsia" w:ascii="宋体" w:hAnsi="宋体" w:cs="宋体"/>
                <w:color w:val="auto"/>
                <w:szCs w:val="16"/>
              </w:rPr>
              <w:t>安保保障方案</w:t>
            </w:r>
          </w:p>
        </w:tc>
        <w:tc>
          <w:tcPr>
            <w:tcW w:w="703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default" w:ascii="宋体" w:hAnsi="宋体" w:cs="宋体"/>
                <w:color w:val="auto"/>
                <w:kern w:val="0"/>
                <w:szCs w:val="16"/>
              </w:rPr>
            </w:pPr>
            <w:r>
              <w:rPr>
                <w:rFonts w:hint="eastAsia" w:ascii="宋体" w:hAnsi="宋体" w:cs="宋体"/>
                <w:color w:val="auto"/>
                <w:kern w:val="0"/>
                <w:szCs w:val="16"/>
              </w:rPr>
              <w:t>根据供应商提供的安保保障方案得给出得分：</w:t>
            </w:r>
          </w:p>
          <w:p>
            <w:pPr>
              <w:keepNext w:val="0"/>
              <w:keepLines w:val="0"/>
              <w:suppressLineNumbers w:val="0"/>
              <w:spacing w:before="0" w:beforeAutospacing="0" w:after="0" w:afterAutospacing="0"/>
              <w:ind w:left="0" w:right="0"/>
              <w:jc w:val="left"/>
              <w:rPr>
                <w:rFonts w:hint="default" w:ascii="宋体" w:hAnsi="宋体" w:cs="宋体"/>
                <w:color w:val="auto"/>
                <w:kern w:val="0"/>
                <w:szCs w:val="16"/>
              </w:rPr>
            </w:pPr>
            <w:r>
              <w:rPr>
                <w:rFonts w:hint="eastAsia" w:ascii="宋体" w:hAnsi="宋体" w:cs="宋体"/>
                <w:color w:val="auto"/>
                <w:kern w:val="0"/>
                <w:szCs w:val="16"/>
              </w:rPr>
              <w:t>方案全面、合理、有针对性，符合实际情况，可执行性强，得5分；</w:t>
            </w:r>
          </w:p>
          <w:p>
            <w:pPr>
              <w:keepNext w:val="0"/>
              <w:keepLines w:val="0"/>
              <w:suppressLineNumbers w:val="0"/>
              <w:spacing w:before="0" w:beforeAutospacing="0" w:after="0" w:afterAutospacing="0"/>
              <w:ind w:left="0" w:right="0"/>
              <w:jc w:val="left"/>
              <w:rPr>
                <w:rFonts w:hint="default" w:ascii="宋体" w:hAnsi="宋体" w:cs="宋体"/>
                <w:color w:val="auto"/>
                <w:kern w:val="0"/>
                <w:szCs w:val="16"/>
              </w:rPr>
            </w:pPr>
            <w:r>
              <w:rPr>
                <w:rFonts w:hint="eastAsia" w:ascii="宋体" w:hAnsi="宋体" w:cs="宋体"/>
                <w:color w:val="auto"/>
                <w:kern w:val="0"/>
                <w:szCs w:val="16"/>
              </w:rPr>
              <w:t>方案比较全面、比较合理、比较有针对性，比较符合实际情况,可执行较强，得4-3分；</w:t>
            </w:r>
          </w:p>
          <w:p>
            <w:pPr>
              <w:keepNext w:val="0"/>
              <w:keepLines w:val="0"/>
              <w:suppressLineNumbers w:val="0"/>
              <w:spacing w:before="0" w:beforeAutospacing="0" w:after="0" w:afterAutospacing="0"/>
              <w:ind w:left="0" w:right="0"/>
              <w:jc w:val="left"/>
              <w:rPr>
                <w:rFonts w:hint="default" w:ascii="宋体" w:hAnsi="宋体" w:cs="宋体"/>
                <w:color w:val="auto"/>
                <w:kern w:val="0"/>
                <w:szCs w:val="16"/>
              </w:rPr>
            </w:pPr>
            <w:r>
              <w:rPr>
                <w:rFonts w:hint="eastAsia" w:ascii="宋体" w:hAnsi="宋体" w:cs="宋体"/>
                <w:color w:val="auto"/>
                <w:kern w:val="0"/>
                <w:szCs w:val="16"/>
              </w:rPr>
              <w:t>方案内容基本合理、针对性一般，执行性一般，基本符合实际情况,得2-1分；</w:t>
            </w:r>
          </w:p>
          <w:p>
            <w:pPr>
              <w:keepNext w:val="0"/>
              <w:keepLines w:val="0"/>
              <w:suppressLineNumbers w:val="0"/>
              <w:spacing w:before="0" w:beforeAutospacing="0" w:after="0" w:afterAutospacing="0"/>
              <w:ind w:left="0" w:right="0"/>
              <w:jc w:val="left"/>
              <w:rPr>
                <w:rFonts w:hint="default" w:ascii="宋体" w:hAnsi="宋体" w:cs="宋体"/>
                <w:color w:val="auto"/>
                <w:kern w:val="22"/>
                <w:szCs w:val="21"/>
                <w:lang w:val="zh-CN"/>
              </w:rPr>
            </w:pPr>
            <w:r>
              <w:rPr>
                <w:rFonts w:hint="eastAsia" w:ascii="宋体" w:hAnsi="宋体" w:cs="宋体"/>
                <w:color w:val="auto"/>
                <w:kern w:val="0"/>
                <w:szCs w:val="16"/>
              </w:rPr>
              <w:t>方案严重缺项或无此项内容得0分。</w:t>
            </w:r>
          </w:p>
        </w:tc>
        <w:tc>
          <w:tcPr>
            <w:tcW w:w="562" w:type="dxa"/>
            <w:tcBorders>
              <w:lef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color w:val="auto"/>
                <w:szCs w:val="21"/>
              </w:rPr>
            </w:pPr>
            <w:r>
              <w:rPr>
                <w:rFonts w:hint="eastAsia" w:ascii="宋体" w:hAnsi="宋体" w:cs="宋体"/>
                <w:color w:val="auto"/>
                <w:kern w:val="0"/>
                <w:szCs w:val="16"/>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69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22"/>
                <w:szCs w:val="21"/>
              </w:rPr>
            </w:pPr>
            <w:r>
              <w:rPr>
                <w:rFonts w:hint="eastAsia" w:ascii="宋体" w:hAnsi="宋体" w:cs="宋体"/>
                <w:color w:val="auto"/>
                <w:kern w:val="22"/>
                <w:szCs w:val="21"/>
              </w:rPr>
              <w:t>2.2.3</w:t>
            </w:r>
          </w:p>
          <w:p>
            <w:pPr>
              <w:keepNext w:val="0"/>
              <w:keepLines w:val="0"/>
              <w:suppressLineNumbers w:val="0"/>
              <w:spacing w:before="0" w:beforeAutospacing="0" w:after="0" w:afterAutospacing="0"/>
              <w:ind w:left="0" w:right="0"/>
              <w:jc w:val="center"/>
              <w:rPr>
                <w:rFonts w:hint="default" w:ascii="宋体" w:hAnsi="宋体" w:cs="宋体"/>
                <w:color w:val="auto"/>
                <w:kern w:val="22"/>
                <w:szCs w:val="21"/>
              </w:rPr>
            </w:pPr>
            <w:r>
              <w:rPr>
                <w:rFonts w:hint="eastAsia" w:ascii="宋体" w:hAnsi="宋体" w:cs="宋体"/>
                <w:color w:val="auto"/>
                <w:kern w:val="22"/>
                <w:szCs w:val="21"/>
              </w:rPr>
              <w:t>(2)</w:t>
            </w:r>
          </w:p>
        </w:tc>
        <w:tc>
          <w:tcPr>
            <w:tcW w:w="737"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22"/>
                <w:szCs w:val="21"/>
              </w:rPr>
            </w:pPr>
            <w:r>
              <w:rPr>
                <w:rFonts w:hint="eastAsia" w:ascii="宋体" w:hAnsi="宋体" w:cs="宋体"/>
                <w:color w:val="auto"/>
                <w:kern w:val="22"/>
                <w:szCs w:val="21"/>
              </w:rPr>
              <w:t>商务</w:t>
            </w:r>
          </w:p>
          <w:p>
            <w:pPr>
              <w:keepNext w:val="0"/>
              <w:keepLines w:val="0"/>
              <w:suppressLineNumbers w:val="0"/>
              <w:spacing w:before="0" w:beforeAutospacing="0" w:after="0" w:afterAutospacing="0"/>
              <w:ind w:left="0" w:right="0"/>
              <w:jc w:val="center"/>
              <w:rPr>
                <w:rFonts w:hint="default" w:ascii="宋体" w:hAnsi="宋体" w:cs="宋体"/>
                <w:color w:val="auto"/>
                <w:kern w:val="22"/>
                <w:szCs w:val="21"/>
              </w:rPr>
            </w:pPr>
            <w:r>
              <w:rPr>
                <w:rFonts w:hint="eastAsia" w:ascii="宋体" w:hAnsi="宋体" w:cs="宋体"/>
                <w:color w:val="auto"/>
                <w:kern w:val="22"/>
                <w:szCs w:val="21"/>
              </w:rPr>
              <w:t>部分(30分)</w:t>
            </w:r>
          </w:p>
        </w:tc>
        <w:tc>
          <w:tcPr>
            <w:tcW w:w="134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Cs w:val="16"/>
              </w:rPr>
            </w:pPr>
            <w:r>
              <w:rPr>
                <w:rFonts w:hint="eastAsia" w:ascii="宋体" w:hAnsi="宋体" w:cs="宋体"/>
                <w:color w:val="auto"/>
                <w:kern w:val="0"/>
                <w:szCs w:val="16"/>
              </w:rPr>
              <w:t>项目团队人员配备</w:t>
            </w:r>
          </w:p>
        </w:tc>
        <w:tc>
          <w:tcPr>
            <w:tcW w:w="703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default" w:ascii="宋体" w:hAnsi="宋体" w:cs="宋体"/>
                <w:color w:val="auto"/>
                <w:szCs w:val="16"/>
              </w:rPr>
            </w:pPr>
            <w:r>
              <w:rPr>
                <w:rFonts w:hint="eastAsia" w:ascii="宋体" w:hAnsi="宋体" w:cs="宋体"/>
                <w:color w:val="auto"/>
                <w:szCs w:val="16"/>
              </w:rPr>
              <w:t>根据项目团队组织架构、人员配备、技术能力等情况，给出得分：</w:t>
            </w:r>
          </w:p>
          <w:p>
            <w:pPr>
              <w:keepNext w:val="0"/>
              <w:keepLines w:val="0"/>
              <w:suppressLineNumbers w:val="0"/>
              <w:spacing w:before="0" w:beforeAutospacing="0" w:after="0" w:afterAutospacing="0"/>
              <w:ind w:left="0" w:right="0"/>
              <w:jc w:val="left"/>
              <w:rPr>
                <w:rFonts w:hint="default" w:ascii="宋体" w:hAnsi="宋体" w:cs="宋体"/>
                <w:color w:val="auto"/>
                <w:szCs w:val="18"/>
              </w:rPr>
            </w:pPr>
            <w:r>
              <w:rPr>
                <w:rFonts w:hint="eastAsia" w:ascii="宋体" w:hAnsi="宋体" w:cs="宋体"/>
                <w:color w:val="auto"/>
                <w:szCs w:val="18"/>
              </w:rPr>
              <w:t>项目团队组织架构合理，人员配备齐全，专业技术能力强，完全满足项目需要的，得10-8分；</w:t>
            </w:r>
          </w:p>
          <w:p>
            <w:pPr>
              <w:keepNext w:val="0"/>
              <w:keepLines w:val="0"/>
              <w:suppressLineNumbers w:val="0"/>
              <w:spacing w:before="0" w:beforeAutospacing="0" w:after="0" w:afterAutospacing="0"/>
              <w:ind w:left="0" w:right="0"/>
              <w:jc w:val="left"/>
              <w:rPr>
                <w:rFonts w:hint="default" w:ascii="宋体" w:hAnsi="宋体" w:cs="宋体"/>
                <w:color w:val="auto"/>
                <w:szCs w:val="18"/>
              </w:rPr>
            </w:pPr>
            <w:r>
              <w:rPr>
                <w:rFonts w:hint="eastAsia" w:ascii="宋体" w:hAnsi="宋体" w:cs="宋体"/>
                <w:color w:val="auto"/>
                <w:szCs w:val="18"/>
              </w:rPr>
              <w:t>项目团队组织架构比较合理，人员配备比较齐全，专业技术能力较强，比较能满足项目需要的，得7-5分；</w:t>
            </w:r>
          </w:p>
          <w:p>
            <w:pPr>
              <w:keepNext w:val="0"/>
              <w:keepLines w:val="0"/>
              <w:suppressLineNumbers w:val="0"/>
              <w:spacing w:before="0" w:beforeAutospacing="0" w:after="0" w:afterAutospacing="0"/>
              <w:ind w:left="0" w:right="0"/>
              <w:jc w:val="left"/>
              <w:rPr>
                <w:rFonts w:hint="default" w:ascii="宋体" w:hAnsi="宋体" w:cs="宋体"/>
                <w:color w:val="auto"/>
                <w:szCs w:val="18"/>
              </w:rPr>
            </w:pPr>
            <w:r>
              <w:rPr>
                <w:rFonts w:hint="eastAsia" w:ascii="宋体" w:hAnsi="宋体" w:cs="宋体"/>
                <w:color w:val="auto"/>
                <w:szCs w:val="18"/>
              </w:rPr>
              <w:t>项目团队组织架构基本合理，人员配备基本齐全，专业技术能力一般，基本满足项目需要的，得4-1分；</w:t>
            </w:r>
          </w:p>
          <w:p>
            <w:pPr>
              <w:keepNext w:val="0"/>
              <w:keepLines w:val="0"/>
              <w:suppressLineNumbers w:val="0"/>
              <w:spacing w:before="0" w:beforeAutospacing="0" w:after="0" w:afterAutospacing="0"/>
              <w:ind w:left="0" w:right="0"/>
              <w:jc w:val="left"/>
              <w:rPr>
                <w:rFonts w:hint="default" w:ascii="宋体" w:hAnsi="宋体" w:cs="宋体"/>
                <w:color w:val="auto"/>
                <w:szCs w:val="18"/>
              </w:rPr>
            </w:pPr>
            <w:r>
              <w:rPr>
                <w:rFonts w:hint="eastAsia" w:ascii="宋体" w:hAnsi="宋体" w:cs="宋体"/>
                <w:color w:val="auto"/>
                <w:szCs w:val="18"/>
              </w:rPr>
              <w:t>严重缺项或无此项内容得0分</w:t>
            </w:r>
          </w:p>
        </w:tc>
        <w:tc>
          <w:tcPr>
            <w:tcW w:w="562" w:type="dxa"/>
            <w:tcBorders>
              <w:lef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Cs w:val="16"/>
              </w:rPr>
            </w:pPr>
            <w:r>
              <w:rPr>
                <w:rFonts w:hint="eastAsia" w:ascii="宋体" w:hAnsi="宋体" w:cs="宋体"/>
                <w:color w:val="auto"/>
                <w:kern w:val="0"/>
                <w:szCs w:val="16"/>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7" w:hRule="atLeast"/>
          <w:jc w:val="center"/>
        </w:trPr>
        <w:tc>
          <w:tcPr>
            <w:tcW w:w="690"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22"/>
                <w:szCs w:val="21"/>
              </w:rPr>
            </w:pPr>
          </w:p>
        </w:tc>
        <w:tc>
          <w:tcPr>
            <w:tcW w:w="737"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22"/>
                <w:szCs w:val="21"/>
              </w:rPr>
            </w:pPr>
          </w:p>
        </w:tc>
        <w:tc>
          <w:tcPr>
            <w:tcW w:w="1341" w:type="dxa"/>
            <w:tcBorders>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Cs w:val="16"/>
              </w:rPr>
            </w:pPr>
            <w:r>
              <w:rPr>
                <w:rFonts w:hint="eastAsia" w:ascii="宋体" w:hAnsi="宋体" w:cs="宋体"/>
                <w:color w:val="auto"/>
                <w:kern w:val="0"/>
                <w:szCs w:val="16"/>
              </w:rPr>
              <w:t>供应商业绩</w:t>
            </w:r>
          </w:p>
        </w:tc>
        <w:tc>
          <w:tcPr>
            <w:tcW w:w="703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default" w:ascii="宋体" w:hAnsi="宋体" w:cs="宋体"/>
                <w:color w:val="auto"/>
                <w:kern w:val="0"/>
                <w:szCs w:val="16"/>
              </w:rPr>
            </w:pPr>
            <w:r>
              <w:rPr>
                <w:rFonts w:hint="eastAsia" w:ascii="宋体" w:hAnsi="宋体" w:cs="宋体"/>
                <w:color w:val="auto"/>
                <w:szCs w:val="16"/>
              </w:rPr>
              <w:t>202</w:t>
            </w:r>
            <w:r>
              <w:rPr>
                <w:rFonts w:hint="eastAsia" w:ascii="宋体" w:hAnsi="宋体" w:cs="宋体"/>
                <w:color w:val="auto"/>
                <w:szCs w:val="16"/>
                <w:lang w:val="en-US" w:eastAsia="zh-CN"/>
              </w:rPr>
              <w:t>1</w:t>
            </w:r>
            <w:r>
              <w:rPr>
                <w:rFonts w:hint="eastAsia" w:ascii="宋体" w:hAnsi="宋体" w:cs="宋体"/>
                <w:color w:val="auto"/>
                <w:szCs w:val="16"/>
              </w:rPr>
              <w:t>年至今完成</w:t>
            </w:r>
            <w:r>
              <w:rPr>
                <w:rFonts w:hint="eastAsia" w:ascii="宋体" w:hAnsi="宋体" w:cs="宋体"/>
                <w:color w:val="auto"/>
                <w:kern w:val="0"/>
                <w:szCs w:val="16"/>
              </w:rPr>
              <w:t>的类似项目业绩，</w:t>
            </w:r>
            <w:r>
              <w:rPr>
                <w:rFonts w:hint="eastAsia" w:ascii="宋体" w:hAnsi="宋体" w:cs="宋体"/>
                <w:color w:val="auto"/>
                <w:szCs w:val="16"/>
              </w:rPr>
              <w:t>每提供一项得</w:t>
            </w:r>
            <w:r>
              <w:rPr>
                <w:rFonts w:hint="eastAsia" w:ascii="宋体" w:hAnsi="宋体" w:cs="宋体"/>
                <w:color w:val="auto"/>
                <w:kern w:val="0"/>
                <w:szCs w:val="16"/>
              </w:rPr>
              <w:t>2分，最高得10分。</w:t>
            </w:r>
            <w:r>
              <w:rPr>
                <w:rFonts w:hint="eastAsia" w:ascii="宋体" w:hAnsi="宋体" w:cs="宋体"/>
                <w:b/>
                <w:bCs/>
                <w:color w:val="auto"/>
                <w:szCs w:val="16"/>
              </w:rPr>
              <w:t>（以响应文件中加盖供应商公章的合同复印件或中标通知书为评分依据）</w:t>
            </w:r>
          </w:p>
        </w:tc>
        <w:tc>
          <w:tcPr>
            <w:tcW w:w="562" w:type="dxa"/>
            <w:tcBorders>
              <w:lef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Cs w:val="16"/>
              </w:rPr>
            </w:pPr>
            <w:r>
              <w:rPr>
                <w:rFonts w:hint="eastAsia" w:ascii="宋体" w:hAnsi="宋体" w:cs="宋体"/>
                <w:color w:val="auto"/>
                <w:kern w:val="0"/>
                <w:szCs w:val="16"/>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jc w:val="center"/>
        </w:trPr>
        <w:tc>
          <w:tcPr>
            <w:tcW w:w="69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s="宋体"/>
                <w:color w:val="auto"/>
                <w:kern w:val="22"/>
                <w:szCs w:val="21"/>
              </w:rPr>
            </w:pPr>
          </w:p>
        </w:tc>
        <w:tc>
          <w:tcPr>
            <w:tcW w:w="73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22"/>
                <w:szCs w:val="21"/>
              </w:rPr>
            </w:pPr>
          </w:p>
        </w:tc>
        <w:tc>
          <w:tcPr>
            <w:tcW w:w="1341" w:type="dxa"/>
            <w:tcBorders>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color w:val="auto"/>
                <w:szCs w:val="16"/>
              </w:rPr>
            </w:pPr>
            <w:r>
              <w:rPr>
                <w:rFonts w:hint="eastAsia" w:ascii="宋体" w:hAnsi="宋体" w:cs="宋体"/>
                <w:color w:val="auto"/>
                <w:kern w:val="0"/>
                <w:szCs w:val="16"/>
              </w:rPr>
              <w:t>项目负责人业绩</w:t>
            </w:r>
          </w:p>
        </w:tc>
        <w:tc>
          <w:tcPr>
            <w:tcW w:w="703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default" w:ascii="宋体" w:hAnsi="宋体" w:cs="宋体"/>
                <w:color w:val="auto"/>
                <w:kern w:val="0"/>
                <w:szCs w:val="16"/>
              </w:rPr>
            </w:pPr>
            <w:r>
              <w:rPr>
                <w:rFonts w:hint="eastAsia" w:ascii="宋体" w:hAnsi="宋体" w:cs="宋体"/>
                <w:color w:val="auto"/>
                <w:szCs w:val="16"/>
              </w:rPr>
              <w:t>202</w:t>
            </w:r>
            <w:r>
              <w:rPr>
                <w:rFonts w:hint="eastAsia" w:ascii="宋体" w:hAnsi="宋体" w:cs="宋体"/>
                <w:color w:val="auto"/>
                <w:szCs w:val="16"/>
                <w:lang w:val="en-US" w:eastAsia="zh-CN"/>
              </w:rPr>
              <w:t>1</w:t>
            </w:r>
            <w:r>
              <w:rPr>
                <w:rFonts w:hint="eastAsia" w:ascii="宋体" w:hAnsi="宋体" w:cs="宋体"/>
                <w:color w:val="auto"/>
                <w:szCs w:val="16"/>
              </w:rPr>
              <w:t>年至今担任过类似项目负责人的，每提供一项业绩得2分，最高得10分。</w:t>
            </w:r>
            <w:r>
              <w:rPr>
                <w:rFonts w:hint="eastAsia" w:ascii="宋体" w:hAnsi="宋体" w:cs="宋体"/>
                <w:b/>
                <w:bCs/>
                <w:color w:val="auto"/>
                <w:szCs w:val="16"/>
              </w:rPr>
              <w:t>（以响应文件中加盖供应商公章的合同复印件为评分依据）</w:t>
            </w:r>
          </w:p>
        </w:tc>
        <w:tc>
          <w:tcPr>
            <w:tcW w:w="562" w:type="dxa"/>
            <w:tcBorders>
              <w:top w:val="single" w:color="auto" w:sz="4" w:space="0"/>
              <w:lef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Cs w:val="16"/>
              </w:rPr>
            </w:pPr>
            <w:r>
              <w:rPr>
                <w:rFonts w:hint="eastAsia" w:ascii="宋体" w:hAnsi="宋体" w:cs="宋体"/>
                <w:color w:val="auto"/>
                <w:kern w:val="0"/>
                <w:szCs w:val="16"/>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22"/>
                <w:szCs w:val="21"/>
              </w:rPr>
            </w:pPr>
            <w:r>
              <w:rPr>
                <w:rFonts w:hint="eastAsia" w:ascii="宋体" w:hAnsi="宋体" w:cs="宋体"/>
                <w:color w:val="auto"/>
                <w:kern w:val="22"/>
                <w:szCs w:val="21"/>
              </w:rPr>
              <w:t>2.2.3</w:t>
            </w:r>
          </w:p>
          <w:p>
            <w:pPr>
              <w:keepNext w:val="0"/>
              <w:keepLines w:val="0"/>
              <w:suppressLineNumbers w:val="0"/>
              <w:spacing w:before="0" w:beforeAutospacing="0" w:after="0" w:afterAutospacing="0"/>
              <w:ind w:left="0" w:right="0"/>
              <w:jc w:val="center"/>
              <w:rPr>
                <w:rFonts w:hint="default" w:ascii="宋体" w:hAnsi="宋体" w:cs="宋体"/>
                <w:color w:val="auto"/>
                <w:kern w:val="22"/>
                <w:szCs w:val="21"/>
              </w:rPr>
            </w:pPr>
            <w:r>
              <w:rPr>
                <w:rFonts w:hint="eastAsia" w:ascii="宋体" w:hAnsi="宋体" w:cs="宋体"/>
                <w:color w:val="auto"/>
                <w:kern w:val="22"/>
                <w:szCs w:val="21"/>
              </w:rPr>
              <w:t>(3)</w:t>
            </w:r>
          </w:p>
        </w:tc>
        <w:tc>
          <w:tcPr>
            <w:tcW w:w="73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22"/>
                <w:szCs w:val="21"/>
              </w:rPr>
            </w:pPr>
            <w:r>
              <w:rPr>
                <w:rFonts w:hint="eastAsia" w:ascii="宋体" w:hAnsi="宋体" w:cs="宋体"/>
                <w:color w:val="auto"/>
                <w:kern w:val="22"/>
                <w:szCs w:val="21"/>
              </w:rPr>
              <w:t>价格</w:t>
            </w:r>
          </w:p>
          <w:p>
            <w:pPr>
              <w:keepNext w:val="0"/>
              <w:keepLines w:val="0"/>
              <w:suppressLineNumbers w:val="0"/>
              <w:spacing w:before="0" w:beforeAutospacing="0" w:after="0" w:afterAutospacing="0"/>
              <w:ind w:left="0" w:right="0"/>
              <w:jc w:val="center"/>
              <w:rPr>
                <w:rFonts w:hint="default" w:ascii="宋体" w:hAnsi="宋体" w:cs="宋体"/>
                <w:color w:val="auto"/>
                <w:kern w:val="22"/>
                <w:szCs w:val="21"/>
              </w:rPr>
            </w:pPr>
            <w:r>
              <w:rPr>
                <w:rFonts w:hint="eastAsia" w:ascii="宋体" w:hAnsi="宋体" w:cs="宋体"/>
                <w:color w:val="auto"/>
                <w:kern w:val="22"/>
                <w:szCs w:val="21"/>
              </w:rPr>
              <w:t>部分(10分)</w:t>
            </w:r>
          </w:p>
        </w:tc>
        <w:tc>
          <w:tcPr>
            <w:tcW w:w="134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22"/>
                <w:szCs w:val="21"/>
              </w:rPr>
            </w:pPr>
            <w:r>
              <w:rPr>
                <w:rFonts w:hint="eastAsia" w:ascii="宋体" w:hAnsi="宋体" w:cs="宋体"/>
                <w:color w:val="auto"/>
                <w:kern w:val="22"/>
                <w:szCs w:val="21"/>
              </w:rPr>
              <w:t>磋商报价得分</w:t>
            </w:r>
          </w:p>
        </w:tc>
        <w:tc>
          <w:tcPr>
            <w:tcW w:w="7037"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default" w:ascii="宋体" w:hAnsi="宋体" w:cs="宋体"/>
                <w:color w:val="auto"/>
                <w:kern w:val="22"/>
                <w:szCs w:val="21"/>
              </w:rPr>
            </w:pPr>
            <w:r>
              <w:rPr>
                <w:rFonts w:hint="eastAsia" w:ascii="宋体" w:hAnsi="宋体" w:cs="宋体"/>
                <w:color w:val="auto"/>
                <w:kern w:val="22"/>
                <w:szCs w:val="21"/>
              </w:rPr>
              <w:t>综合评分法中的价格分统一采用低价优先法计算，即满足磋商文件要求且最后报价最低的响应单位的价格为磋商基准价，其价格分为满分。</w:t>
            </w:r>
          </w:p>
          <w:p>
            <w:pPr>
              <w:keepNext w:val="0"/>
              <w:keepLines w:val="0"/>
              <w:suppressLineNumbers w:val="0"/>
              <w:spacing w:before="0" w:beforeAutospacing="0" w:after="0" w:afterAutospacing="0"/>
              <w:ind w:left="0" w:right="0"/>
              <w:rPr>
                <w:rFonts w:hint="default" w:ascii="宋体" w:hAnsi="宋体" w:cs="宋体"/>
                <w:color w:val="auto"/>
                <w:kern w:val="22"/>
                <w:szCs w:val="21"/>
              </w:rPr>
            </w:pPr>
            <w:r>
              <w:rPr>
                <w:rFonts w:hint="eastAsia" w:ascii="宋体" w:hAnsi="宋体" w:cs="宋体"/>
                <w:color w:val="auto"/>
                <w:kern w:val="22"/>
                <w:szCs w:val="21"/>
              </w:rPr>
              <w:t>报价得分计算：以满足磋商文件要求且最低法的报价为基准价，其报价得分为满分10分。</w:t>
            </w:r>
          </w:p>
          <w:p>
            <w:pPr>
              <w:keepNext w:val="0"/>
              <w:keepLines w:val="0"/>
              <w:suppressLineNumbers w:val="0"/>
              <w:spacing w:before="0" w:beforeAutospacing="0" w:after="0" w:afterAutospacing="0"/>
              <w:ind w:left="0" w:right="0"/>
              <w:rPr>
                <w:rFonts w:hint="default" w:ascii="宋体" w:hAnsi="宋体" w:cs="宋体"/>
                <w:color w:val="auto"/>
                <w:kern w:val="22"/>
                <w:szCs w:val="21"/>
              </w:rPr>
            </w:pPr>
            <w:r>
              <w:rPr>
                <w:rFonts w:hint="eastAsia" w:ascii="宋体" w:hAnsi="宋体" w:cs="宋体"/>
                <w:color w:val="auto"/>
                <w:kern w:val="22"/>
                <w:szCs w:val="21"/>
              </w:rPr>
              <w:t>其他单位报价得分计算公式：报价得分=（基准价/供应商报价）×10</w:t>
            </w:r>
          </w:p>
        </w:tc>
        <w:tc>
          <w:tcPr>
            <w:tcW w:w="562" w:type="dxa"/>
            <w:tcBorders>
              <w:lef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22"/>
                <w:szCs w:val="21"/>
              </w:rPr>
            </w:pPr>
            <w:r>
              <w:rPr>
                <w:rFonts w:hint="eastAsia" w:ascii="宋体" w:hAnsi="宋体" w:cs="宋体"/>
                <w:color w:val="auto"/>
                <w:kern w:val="22"/>
                <w:szCs w:val="21"/>
              </w:rPr>
              <w:t>10</w:t>
            </w:r>
          </w:p>
        </w:tc>
      </w:tr>
    </w:tbl>
    <w:p>
      <w:pPr>
        <w:rPr>
          <w:color w:val="auto"/>
          <w:highlight w:val="none"/>
        </w:rPr>
      </w:pPr>
    </w:p>
    <w:p>
      <w:pPr>
        <w:rPr>
          <w:rFonts w:hint="eastAsia" w:ascii="宋体" w:hAnsi="宋体" w:cs="宋体"/>
          <w:color w:val="auto"/>
          <w:kern w:val="2"/>
          <w:sz w:val="36"/>
          <w:szCs w:val="36"/>
          <w:highlight w:val="none"/>
        </w:rPr>
      </w:pPr>
      <w:bookmarkStart w:id="51" w:name="_Toc444680791"/>
      <w:bookmarkStart w:id="52" w:name="_Toc373772561"/>
      <w:r>
        <w:rPr>
          <w:rFonts w:hint="eastAsia" w:ascii="宋体" w:hAnsi="宋体" w:cs="宋体"/>
          <w:color w:val="auto"/>
          <w:kern w:val="2"/>
          <w:sz w:val="36"/>
          <w:szCs w:val="36"/>
          <w:highlight w:val="none"/>
        </w:rPr>
        <w:br w:type="page"/>
      </w:r>
    </w:p>
    <w:p>
      <w:pPr>
        <w:autoSpaceDE w:val="0"/>
        <w:autoSpaceDN w:val="0"/>
        <w:adjustRightInd w:val="0"/>
        <w:spacing w:line="400" w:lineRule="exact"/>
        <w:jc w:val="left"/>
        <w:rPr>
          <w:rFonts w:hint="eastAsia" w:ascii="宋体" w:hAnsi="宋体" w:cs="宋体"/>
          <w:color w:val="auto"/>
          <w:szCs w:val="21"/>
          <w:highlight w:val="none"/>
          <w:lang w:val="zh-CN"/>
        </w:rPr>
      </w:pPr>
      <w:r>
        <w:rPr>
          <w:rFonts w:hint="eastAsia" w:ascii="宋体" w:hAnsi="宋体" w:cs="宋体"/>
          <w:color w:val="auto"/>
          <w:szCs w:val="21"/>
          <w:highlight w:val="none"/>
          <w:lang w:val="zh-CN"/>
        </w:rPr>
        <w:t xml:space="preserve">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lang w:val="zh-CN"/>
        </w:rPr>
        <w:t>本次评标采用综合评分法，评标委员会对满足招标文件实质性要求的投标文件，按照本章规定的评分标准进行打分，并按得分由高到低顺序推荐中标候选人， 但投标报价低于其成本的除外。综合评分相等时，以投标报价低的优先；投标报价也相等的，企业实力、其他因素逐项对比以各项分数高者优先。如各项分数都相等时，由采购人代表随机抽取确定。</w:t>
      </w:r>
    </w:p>
    <w:p>
      <w:pPr>
        <w:autoSpaceDE w:val="0"/>
        <w:autoSpaceDN w:val="0"/>
        <w:adjustRightInd w:val="0"/>
        <w:spacing w:line="400" w:lineRule="exact"/>
        <w:jc w:val="left"/>
        <w:rPr>
          <w:rFonts w:hint="eastAsia" w:ascii="宋体" w:hAnsi="宋体" w:cs="宋体"/>
          <w:color w:val="auto"/>
          <w:szCs w:val="21"/>
          <w:highlight w:val="none"/>
          <w:lang w:val="zh-CN"/>
        </w:rPr>
      </w:pPr>
      <w:r>
        <w:rPr>
          <w:rFonts w:hint="eastAsia" w:ascii="宋体" w:hAnsi="宋体" w:cs="宋体"/>
          <w:color w:val="auto"/>
          <w:szCs w:val="21"/>
          <w:highlight w:val="none"/>
          <w:lang w:val="zh-CN"/>
        </w:rPr>
        <w:t>2.1初步评审标准</w:t>
      </w:r>
    </w:p>
    <w:p>
      <w:pPr>
        <w:autoSpaceDE w:val="0"/>
        <w:autoSpaceDN w:val="0"/>
        <w:adjustRightInd w:val="0"/>
        <w:spacing w:line="400" w:lineRule="exact"/>
        <w:jc w:val="left"/>
        <w:rPr>
          <w:rFonts w:hint="eastAsia" w:ascii="宋体" w:hAnsi="宋体" w:cs="宋体"/>
          <w:color w:val="auto"/>
          <w:szCs w:val="21"/>
          <w:highlight w:val="none"/>
          <w:lang w:val="zh-CN"/>
        </w:rPr>
      </w:pPr>
      <w:r>
        <w:rPr>
          <w:rFonts w:hint="eastAsia" w:ascii="宋体" w:hAnsi="宋体" w:cs="宋体"/>
          <w:color w:val="auto"/>
          <w:szCs w:val="21"/>
          <w:highlight w:val="none"/>
          <w:lang w:val="zh-CN"/>
        </w:rPr>
        <w:t>2.1.1 形式评审标准：见评标办法前附表。</w:t>
      </w:r>
    </w:p>
    <w:p>
      <w:pPr>
        <w:autoSpaceDE w:val="0"/>
        <w:autoSpaceDN w:val="0"/>
        <w:adjustRightInd w:val="0"/>
        <w:spacing w:line="400" w:lineRule="exact"/>
        <w:jc w:val="left"/>
        <w:rPr>
          <w:rFonts w:hint="eastAsia" w:ascii="宋体" w:hAnsi="宋体" w:cs="宋体"/>
          <w:color w:val="auto"/>
          <w:szCs w:val="21"/>
          <w:highlight w:val="none"/>
          <w:lang w:val="zh-CN"/>
        </w:rPr>
      </w:pPr>
      <w:r>
        <w:rPr>
          <w:rFonts w:hint="eastAsia" w:ascii="宋体" w:hAnsi="宋体" w:cs="宋体"/>
          <w:color w:val="auto"/>
          <w:szCs w:val="21"/>
          <w:highlight w:val="none"/>
          <w:lang w:val="zh-CN"/>
        </w:rPr>
        <w:t>投标单位有任何一项不满足形式评审标准，视为未通过形式评审，不再进入后续评标。</w:t>
      </w:r>
    </w:p>
    <w:p>
      <w:pPr>
        <w:autoSpaceDE w:val="0"/>
        <w:autoSpaceDN w:val="0"/>
        <w:adjustRightInd w:val="0"/>
        <w:spacing w:line="400" w:lineRule="exact"/>
        <w:jc w:val="left"/>
        <w:rPr>
          <w:rFonts w:hint="eastAsia" w:ascii="宋体" w:hAnsi="宋体" w:cs="宋体"/>
          <w:color w:val="auto"/>
          <w:szCs w:val="21"/>
          <w:highlight w:val="none"/>
          <w:lang w:val="zh-CN"/>
        </w:rPr>
      </w:pPr>
      <w:r>
        <w:rPr>
          <w:rFonts w:hint="eastAsia" w:ascii="宋体" w:hAnsi="宋体" w:cs="宋体"/>
          <w:color w:val="auto"/>
          <w:szCs w:val="21"/>
          <w:highlight w:val="none"/>
          <w:lang w:val="zh-CN"/>
        </w:rPr>
        <w:t>2.1.2 资格评审标准：见评标办法前附表。</w:t>
      </w:r>
    </w:p>
    <w:p>
      <w:pPr>
        <w:autoSpaceDE w:val="0"/>
        <w:autoSpaceDN w:val="0"/>
        <w:adjustRightInd w:val="0"/>
        <w:spacing w:line="400" w:lineRule="exact"/>
        <w:jc w:val="left"/>
        <w:rPr>
          <w:rFonts w:hint="eastAsia" w:ascii="宋体" w:hAnsi="宋体" w:cs="宋体"/>
          <w:color w:val="auto"/>
          <w:szCs w:val="21"/>
          <w:highlight w:val="none"/>
          <w:lang w:val="zh-CN"/>
        </w:rPr>
      </w:pPr>
      <w:r>
        <w:rPr>
          <w:rFonts w:hint="eastAsia" w:ascii="宋体" w:hAnsi="宋体" w:cs="宋体"/>
          <w:color w:val="auto"/>
          <w:szCs w:val="21"/>
          <w:highlight w:val="none"/>
          <w:lang w:val="zh-CN"/>
        </w:rPr>
        <w:t>投标单位有任何一项不满足 资格评审标准，视为未通过资格评审，不再进入后续评标。</w:t>
      </w:r>
    </w:p>
    <w:p>
      <w:pPr>
        <w:autoSpaceDE w:val="0"/>
        <w:autoSpaceDN w:val="0"/>
        <w:adjustRightInd w:val="0"/>
        <w:spacing w:line="400" w:lineRule="exact"/>
        <w:jc w:val="left"/>
        <w:rPr>
          <w:rFonts w:hint="eastAsia" w:ascii="宋体" w:hAnsi="宋体" w:cs="宋体"/>
          <w:color w:val="auto"/>
          <w:szCs w:val="21"/>
          <w:highlight w:val="none"/>
          <w:lang w:val="zh-CN"/>
        </w:rPr>
      </w:pPr>
      <w:r>
        <w:rPr>
          <w:rFonts w:hint="eastAsia" w:ascii="宋体" w:hAnsi="宋体" w:cs="宋体"/>
          <w:color w:val="auto"/>
          <w:szCs w:val="21"/>
          <w:highlight w:val="none"/>
          <w:lang w:val="zh-CN"/>
        </w:rPr>
        <w:t>2.1.2 响应性评审标准：见评标办法前附表。</w:t>
      </w:r>
    </w:p>
    <w:p>
      <w:pPr>
        <w:autoSpaceDE w:val="0"/>
        <w:autoSpaceDN w:val="0"/>
        <w:adjustRightInd w:val="0"/>
        <w:spacing w:line="400" w:lineRule="exact"/>
        <w:jc w:val="left"/>
        <w:rPr>
          <w:rFonts w:hint="eastAsia" w:ascii="宋体" w:hAnsi="宋体" w:cs="宋体"/>
          <w:color w:val="auto"/>
          <w:szCs w:val="21"/>
          <w:highlight w:val="none"/>
          <w:lang w:val="zh-CN"/>
        </w:rPr>
      </w:pPr>
      <w:r>
        <w:rPr>
          <w:rFonts w:hint="eastAsia" w:ascii="宋体" w:hAnsi="宋体" w:cs="宋体"/>
          <w:color w:val="auto"/>
          <w:szCs w:val="21"/>
          <w:highlight w:val="none"/>
          <w:lang w:val="zh-CN"/>
        </w:rPr>
        <w:t>投标单位有任何一项不满足响应性评审标准，视为未通过响应性评审，不再进入后续评标。</w:t>
      </w:r>
    </w:p>
    <w:p>
      <w:pPr>
        <w:autoSpaceDE w:val="0"/>
        <w:autoSpaceDN w:val="0"/>
        <w:adjustRightInd w:val="0"/>
        <w:spacing w:line="400" w:lineRule="exact"/>
        <w:jc w:val="left"/>
        <w:rPr>
          <w:rFonts w:hint="eastAsia" w:ascii="宋体" w:hAnsi="宋体" w:cs="宋体"/>
          <w:color w:val="auto"/>
          <w:szCs w:val="21"/>
          <w:highlight w:val="none"/>
          <w:lang w:val="zh-CN"/>
        </w:rPr>
      </w:pPr>
      <w:r>
        <w:rPr>
          <w:rFonts w:hint="eastAsia" w:ascii="宋体" w:hAnsi="宋体" w:cs="宋体"/>
          <w:color w:val="auto"/>
          <w:szCs w:val="21"/>
          <w:highlight w:val="none"/>
          <w:lang w:val="zh-CN"/>
        </w:rPr>
        <w:t>2.2 分值构成与评分标准</w:t>
      </w:r>
    </w:p>
    <w:p>
      <w:pPr>
        <w:autoSpaceDE w:val="0"/>
        <w:autoSpaceDN w:val="0"/>
        <w:adjustRightInd w:val="0"/>
        <w:spacing w:line="400" w:lineRule="exact"/>
        <w:jc w:val="left"/>
        <w:rPr>
          <w:rFonts w:hint="eastAsia" w:ascii="宋体" w:hAnsi="宋体" w:cs="宋体"/>
          <w:color w:val="auto"/>
          <w:szCs w:val="21"/>
          <w:highlight w:val="none"/>
          <w:lang w:val="zh-CN"/>
        </w:rPr>
      </w:pPr>
      <w:r>
        <w:rPr>
          <w:rFonts w:hint="eastAsia" w:ascii="宋体" w:hAnsi="宋体" w:cs="宋体"/>
          <w:color w:val="auto"/>
          <w:szCs w:val="21"/>
          <w:highlight w:val="none"/>
          <w:lang w:val="zh-CN"/>
        </w:rPr>
        <w:t xml:space="preserve">    2.2.1 分值构成</w:t>
      </w:r>
    </w:p>
    <w:p>
      <w:pPr>
        <w:autoSpaceDE w:val="0"/>
        <w:autoSpaceDN w:val="0"/>
        <w:adjustRightInd w:val="0"/>
        <w:spacing w:line="400" w:lineRule="exact"/>
        <w:jc w:val="left"/>
        <w:rPr>
          <w:rFonts w:hint="eastAsia" w:ascii="宋体" w:hAnsi="宋体" w:cs="宋体"/>
          <w:color w:val="auto"/>
          <w:szCs w:val="21"/>
          <w:highlight w:val="none"/>
          <w:lang w:val="zh-CN"/>
        </w:rPr>
      </w:pPr>
      <w:r>
        <w:rPr>
          <w:rFonts w:hint="eastAsia" w:ascii="宋体" w:hAnsi="宋体" w:cs="宋体"/>
          <w:color w:val="auto"/>
          <w:szCs w:val="21"/>
          <w:highlight w:val="none"/>
          <w:lang w:val="zh-CN"/>
        </w:rPr>
        <w:t xml:space="preserve">        (1)技术部分：见评标办法前附表；</w:t>
      </w:r>
    </w:p>
    <w:p>
      <w:pPr>
        <w:autoSpaceDE w:val="0"/>
        <w:autoSpaceDN w:val="0"/>
        <w:adjustRightInd w:val="0"/>
        <w:spacing w:line="400" w:lineRule="exact"/>
        <w:jc w:val="left"/>
        <w:rPr>
          <w:rFonts w:hint="eastAsia" w:ascii="宋体" w:hAnsi="宋体" w:cs="宋体"/>
          <w:color w:val="auto"/>
          <w:szCs w:val="21"/>
          <w:highlight w:val="none"/>
          <w:lang w:val="zh-CN"/>
        </w:rPr>
      </w:pPr>
      <w:r>
        <w:rPr>
          <w:rFonts w:hint="eastAsia" w:ascii="宋体" w:hAnsi="宋体" w:cs="宋体"/>
          <w:color w:val="auto"/>
          <w:szCs w:val="21"/>
          <w:highlight w:val="none"/>
          <w:lang w:val="zh-CN"/>
        </w:rPr>
        <w:t xml:space="preserve">        (2)投标报价：见评标办法前附表；</w:t>
      </w:r>
    </w:p>
    <w:p>
      <w:pPr>
        <w:autoSpaceDE w:val="0"/>
        <w:autoSpaceDN w:val="0"/>
        <w:adjustRightInd w:val="0"/>
        <w:spacing w:line="400" w:lineRule="exact"/>
        <w:jc w:val="left"/>
        <w:rPr>
          <w:rFonts w:hint="eastAsia" w:ascii="宋体" w:hAnsi="宋体" w:cs="宋体"/>
          <w:color w:val="auto"/>
          <w:szCs w:val="21"/>
          <w:highlight w:val="none"/>
          <w:lang w:val="zh-CN"/>
        </w:rPr>
      </w:pPr>
      <w:r>
        <w:rPr>
          <w:rFonts w:hint="eastAsia" w:ascii="宋体" w:hAnsi="宋体" w:cs="宋体"/>
          <w:color w:val="auto"/>
          <w:szCs w:val="21"/>
          <w:highlight w:val="none"/>
          <w:lang w:val="zh-CN"/>
        </w:rPr>
        <w:t xml:space="preserve">        (3)其他评分因素：见评标办法前附表。</w:t>
      </w:r>
    </w:p>
    <w:p>
      <w:pPr>
        <w:autoSpaceDE w:val="0"/>
        <w:autoSpaceDN w:val="0"/>
        <w:adjustRightInd w:val="0"/>
        <w:spacing w:line="400" w:lineRule="exact"/>
        <w:jc w:val="left"/>
        <w:rPr>
          <w:rFonts w:hint="eastAsia" w:ascii="宋体" w:hAnsi="宋体" w:cs="宋体"/>
          <w:color w:val="auto"/>
          <w:szCs w:val="21"/>
          <w:highlight w:val="none"/>
          <w:lang w:val="zh-CN"/>
        </w:rPr>
      </w:pPr>
      <w:r>
        <w:rPr>
          <w:rFonts w:hint="eastAsia" w:ascii="宋体" w:hAnsi="宋体" w:cs="宋体"/>
          <w:color w:val="auto"/>
          <w:szCs w:val="21"/>
          <w:highlight w:val="none"/>
          <w:lang w:val="zh-CN"/>
        </w:rPr>
        <w:t xml:space="preserve">    2.2.2 评标基准价计算</w:t>
      </w:r>
    </w:p>
    <w:p>
      <w:pPr>
        <w:autoSpaceDE w:val="0"/>
        <w:autoSpaceDN w:val="0"/>
        <w:adjustRightInd w:val="0"/>
        <w:spacing w:line="400" w:lineRule="exact"/>
        <w:jc w:val="left"/>
        <w:rPr>
          <w:rFonts w:hint="eastAsia" w:ascii="宋体" w:hAnsi="宋体" w:cs="宋体"/>
          <w:color w:val="auto"/>
          <w:szCs w:val="21"/>
          <w:highlight w:val="none"/>
          <w:lang w:val="zh-CN"/>
        </w:rPr>
      </w:pPr>
      <w:r>
        <w:rPr>
          <w:rFonts w:hint="eastAsia" w:ascii="宋体" w:hAnsi="宋体" w:cs="宋体"/>
          <w:color w:val="auto"/>
          <w:szCs w:val="21"/>
          <w:highlight w:val="none"/>
          <w:lang w:val="zh-CN"/>
        </w:rPr>
        <w:t xml:space="preserve">    评标基准价计算方法：见评标办法前附表。</w:t>
      </w:r>
    </w:p>
    <w:p>
      <w:pPr>
        <w:autoSpaceDE w:val="0"/>
        <w:autoSpaceDN w:val="0"/>
        <w:adjustRightInd w:val="0"/>
        <w:spacing w:line="400" w:lineRule="exact"/>
        <w:jc w:val="left"/>
        <w:rPr>
          <w:rFonts w:hint="eastAsia" w:ascii="宋体" w:hAnsi="宋体" w:cs="宋体"/>
          <w:color w:val="auto"/>
          <w:szCs w:val="21"/>
          <w:highlight w:val="none"/>
          <w:lang w:val="zh-CN"/>
        </w:rPr>
      </w:pPr>
      <w:r>
        <w:rPr>
          <w:rFonts w:hint="eastAsia" w:ascii="宋体" w:hAnsi="宋体" w:cs="宋体"/>
          <w:color w:val="auto"/>
          <w:szCs w:val="21"/>
          <w:highlight w:val="none"/>
          <w:lang w:val="zh-CN"/>
        </w:rPr>
        <w:t xml:space="preserve">    2.2.3 评分标准</w:t>
      </w:r>
    </w:p>
    <w:p>
      <w:pPr>
        <w:autoSpaceDE w:val="0"/>
        <w:autoSpaceDN w:val="0"/>
        <w:adjustRightInd w:val="0"/>
        <w:spacing w:line="400" w:lineRule="exact"/>
        <w:jc w:val="left"/>
        <w:rPr>
          <w:rFonts w:hint="eastAsia" w:ascii="宋体" w:hAnsi="宋体" w:cs="宋体"/>
          <w:color w:val="auto"/>
          <w:szCs w:val="21"/>
          <w:highlight w:val="none"/>
          <w:lang w:val="zh-CN"/>
        </w:rPr>
      </w:pPr>
      <w:r>
        <w:rPr>
          <w:rFonts w:hint="eastAsia" w:ascii="宋体" w:hAnsi="宋体" w:cs="宋体"/>
          <w:color w:val="auto"/>
          <w:szCs w:val="21"/>
          <w:highlight w:val="none"/>
          <w:lang w:val="zh-CN"/>
        </w:rPr>
        <w:t xml:space="preserve">        (1)技术部分评分标准：见评标办法前附表；</w:t>
      </w:r>
    </w:p>
    <w:p>
      <w:pPr>
        <w:autoSpaceDE w:val="0"/>
        <w:autoSpaceDN w:val="0"/>
        <w:adjustRightInd w:val="0"/>
        <w:spacing w:line="400" w:lineRule="exact"/>
        <w:jc w:val="left"/>
        <w:rPr>
          <w:rFonts w:hint="eastAsia" w:ascii="宋体" w:hAnsi="宋体" w:cs="宋体"/>
          <w:color w:val="auto"/>
          <w:szCs w:val="21"/>
          <w:highlight w:val="none"/>
          <w:lang w:val="zh-CN"/>
        </w:rPr>
      </w:pPr>
      <w:r>
        <w:rPr>
          <w:rFonts w:hint="eastAsia" w:ascii="宋体" w:hAnsi="宋体" w:cs="宋体"/>
          <w:color w:val="auto"/>
          <w:szCs w:val="21"/>
          <w:highlight w:val="none"/>
          <w:lang w:val="zh-CN"/>
        </w:rPr>
        <w:t xml:space="preserve">        (2)商务投标报价评分标准：见评标办法前附表；</w:t>
      </w:r>
    </w:p>
    <w:p>
      <w:pPr>
        <w:autoSpaceDE w:val="0"/>
        <w:autoSpaceDN w:val="0"/>
        <w:adjustRightInd w:val="0"/>
        <w:spacing w:line="400" w:lineRule="exact"/>
        <w:jc w:val="left"/>
        <w:rPr>
          <w:rFonts w:hint="eastAsia" w:ascii="宋体" w:hAnsi="宋体" w:cs="宋体"/>
          <w:color w:val="auto"/>
          <w:szCs w:val="21"/>
          <w:highlight w:val="none"/>
          <w:lang w:val="zh-CN"/>
        </w:rPr>
      </w:pPr>
      <w:r>
        <w:rPr>
          <w:rFonts w:hint="eastAsia" w:ascii="宋体" w:hAnsi="宋体" w:cs="宋体"/>
          <w:color w:val="auto"/>
          <w:szCs w:val="21"/>
          <w:highlight w:val="none"/>
          <w:lang w:val="zh-CN"/>
        </w:rPr>
        <w:t xml:space="preserve">        (3)其他因素评分标准：见评标办法前附表。</w:t>
      </w:r>
    </w:p>
    <w:p>
      <w:pPr>
        <w:autoSpaceDE w:val="0"/>
        <w:autoSpaceDN w:val="0"/>
        <w:adjustRightInd w:val="0"/>
        <w:spacing w:line="400" w:lineRule="exact"/>
        <w:ind w:firstLine="420" w:firstLineChars="200"/>
        <w:jc w:val="left"/>
        <w:rPr>
          <w:rFonts w:hint="eastAsia" w:ascii="宋体" w:hAnsi="宋体" w:cs="宋体"/>
          <w:color w:val="auto"/>
          <w:szCs w:val="21"/>
          <w:highlight w:val="none"/>
          <w:lang w:val="zh-CN"/>
        </w:rPr>
      </w:pPr>
      <w:r>
        <w:rPr>
          <w:rFonts w:hint="eastAsia" w:ascii="宋体" w:hAnsi="宋体" w:cs="宋体"/>
          <w:color w:val="auto"/>
          <w:szCs w:val="21"/>
          <w:highlight w:val="none"/>
          <w:lang w:val="zh-CN"/>
        </w:rPr>
        <w:t>2.2.4小型和微型企业产品价格扣除：</w:t>
      </w:r>
    </w:p>
    <w:p>
      <w:pPr>
        <w:autoSpaceDE w:val="0"/>
        <w:autoSpaceDN w:val="0"/>
        <w:adjustRightInd w:val="0"/>
        <w:spacing w:line="400" w:lineRule="exact"/>
        <w:ind w:left="630" w:leftChars="300" w:firstLine="210" w:firstLineChars="100"/>
        <w:jc w:val="left"/>
        <w:rPr>
          <w:rFonts w:hint="eastAsia" w:ascii="宋体" w:hAnsi="宋体" w:cs="宋体"/>
          <w:color w:val="auto"/>
          <w:szCs w:val="21"/>
          <w:highlight w:val="none"/>
          <w:lang w:val="zh-CN"/>
        </w:rPr>
      </w:pPr>
      <w:r>
        <w:rPr>
          <w:rFonts w:hint="eastAsia" w:ascii="宋体" w:hAnsi="宋体" w:cs="宋体"/>
          <w:color w:val="auto"/>
          <w:szCs w:val="21"/>
          <w:highlight w:val="none"/>
          <w:lang w:val="zh-CN"/>
        </w:rPr>
        <w:t>（1）投标人为小型或微型企业（包括成员均为小型或微型企业的联合体）且投标产品/服务含小型或微型企业产品/服务时，报价给予K1的价格扣除（K1的取值为6%），即：评标价=核实后的投标价-小微企业产品核实价×K1；</w:t>
      </w:r>
    </w:p>
    <w:p>
      <w:pPr>
        <w:autoSpaceDE w:val="0"/>
        <w:autoSpaceDN w:val="0"/>
        <w:adjustRightInd w:val="0"/>
        <w:spacing w:line="400" w:lineRule="exact"/>
        <w:ind w:left="630" w:leftChars="300" w:firstLine="210" w:firstLineChars="100"/>
        <w:jc w:val="left"/>
        <w:rPr>
          <w:rFonts w:hint="eastAsia" w:ascii="宋体" w:hAnsi="宋体" w:cs="宋体"/>
          <w:color w:val="auto"/>
          <w:szCs w:val="21"/>
          <w:highlight w:val="none"/>
          <w:lang w:val="zh-CN"/>
        </w:rPr>
      </w:pPr>
      <w:r>
        <w:rPr>
          <w:rFonts w:hint="eastAsia" w:ascii="宋体" w:hAnsi="宋体" w:cs="宋体"/>
          <w:color w:val="auto"/>
          <w:szCs w:val="21"/>
          <w:highlight w:val="none"/>
          <w:lang w:val="zh-CN"/>
        </w:rPr>
        <w:t>（2）投标人为大中型企业和其他自然人、法人或者其他组织与小型、微型企业组成是联合体，且联合体协议中约定小型、微型企业的协议合同金额（必须为本企业承担的服务）占到联合体协议合同总金额30%以上的，对联合体报价给予K2的价格扣除（K2的取值为2%），即：评标价=核实后的投标价-小微企业产品核实价×K2；</w:t>
      </w:r>
    </w:p>
    <w:p>
      <w:pPr>
        <w:autoSpaceDE w:val="0"/>
        <w:autoSpaceDN w:val="0"/>
        <w:adjustRightInd w:val="0"/>
        <w:spacing w:line="400" w:lineRule="exact"/>
        <w:ind w:left="630" w:leftChars="300" w:firstLine="210" w:firstLineChars="100"/>
        <w:jc w:val="left"/>
        <w:rPr>
          <w:rFonts w:hint="eastAsia" w:ascii="宋体" w:hAnsi="宋体" w:cs="宋体"/>
          <w:color w:val="auto"/>
          <w:szCs w:val="21"/>
          <w:highlight w:val="none"/>
          <w:lang w:val="zh-CN"/>
        </w:rPr>
      </w:pPr>
      <w:r>
        <w:rPr>
          <w:rFonts w:hint="eastAsia" w:ascii="宋体" w:hAnsi="宋体" w:cs="宋体"/>
          <w:color w:val="auto"/>
          <w:szCs w:val="21"/>
          <w:highlight w:val="none"/>
          <w:lang w:val="zh-CN"/>
        </w:rPr>
        <w:t>（3）本条款所称小型或微型企业应当符合以下条件：符合《工业和信息化部、国家统计局、国家发展改革委员会、财政部关于印发中小企业划型标准规定的通知》（工信部联企业【2011】300号）规定的对小型或微型企业的划分标准，并且提供本企业承担的服务；</w:t>
      </w:r>
    </w:p>
    <w:p>
      <w:pPr>
        <w:autoSpaceDE w:val="0"/>
        <w:autoSpaceDN w:val="0"/>
        <w:adjustRightInd w:val="0"/>
        <w:spacing w:line="400" w:lineRule="exact"/>
        <w:ind w:firstLine="630" w:firstLineChars="300"/>
        <w:jc w:val="left"/>
        <w:rPr>
          <w:rFonts w:hint="eastAsia" w:ascii="宋体" w:hAnsi="宋体" w:cs="宋体"/>
          <w:color w:val="auto"/>
          <w:szCs w:val="21"/>
          <w:highlight w:val="none"/>
          <w:lang w:val="zh-CN"/>
        </w:rPr>
      </w:pPr>
      <w:r>
        <w:rPr>
          <w:rFonts w:hint="eastAsia" w:ascii="宋体" w:hAnsi="宋体" w:cs="宋体"/>
          <w:color w:val="auto"/>
          <w:szCs w:val="21"/>
          <w:highlight w:val="none"/>
          <w:lang w:val="zh-CN"/>
        </w:rPr>
        <w:t>（4）参加政府采购活动的中小微企业应当提供《中小微企业声明函》（见第</w:t>
      </w:r>
      <w:r>
        <w:rPr>
          <w:rFonts w:hint="eastAsia" w:ascii="宋体" w:hAnsi="宋体" w:cs="宋体"/>
          <w:color w:val="auto"/>
          <w:szCs w:val="21"/>
          <w:highlight w:val="none"/>
        </w:rPr>
        <w:t>六</w:t>
      </w:r>
      <w:r>
        <w:rPr>
          <w:rFonts w:hint="eastAsia" w:ascii="宋体" w:hAnsi="宋体" w:cs="宋体"/>
          <w:color w:val="auto"/>
          <w:szCs w:val="21"/>
          <w:highlight w:val="none"/>
          <w:lang w:val="zh-CN"/>
        </w:rPr>
        <w:t>章投标文件参考格式）。</w:t>
      </w:r>
    </w:p>
    <w:p>
      <w:pPr>
        <w:autoSpaceDE w:val="0"/>
        <w:autoSpaceDN w:val="0"/>
        <w:adjustRightInd w:val="0"/>
        <w:spacing w:line="400" w:lineRule="exact"/>
        <w:ind w:firstLine="630" w:firstLineChars="300"/>
        <w:jc w:val="left"/>
        <w:rPr>
          <w:rFonts w:hint="eastAsia" w:ascii="宋体" w:hAnsi="宋体" w:cs="宋体"/>
          <w:color w:val="auto"/>
          <w:szCs w:val="21"/>
          <w:highlight w:val="none"/>
          <w:lang w:val="zh-CN"/>
        </w:rPr>
      </w:pPr>
      <w:r>
        <w:rPr>
          <w:rFonts w:hint="eastAsia" w:ascii="宋体" w:hAnsi="宋体" w:cs="宋体"/>
          <w:color w:val="auto"/>
          <w:szCs w:val="21"/>
          <w:highlight w:val="none"/>
          <w:lang w:val="zh-CN"/>
        </w:rPr>
        <w:t>（5）组成联合体的大中型企业和其他自然人、法人或者其他组织，与联合体中的小型、微型企业之间不得存在投资关系；</w:t>
      </w:r>
    </w:p>
    <w:p>
      <w:pPr>
        <w:autoSpaceDE w:val="0"/>
        <w:autoSpaceDN w:val="0"/>
        <w:adjustRightInd w:val="0"/>
        <w:spacing w:line="400" w:lineRule="exact"/>
        <w:ind w:firstLine="630" w:firstLineChars="300"/>
        <w:jc w:val="left"/>
        <w:rPr>
          <w:rFonts w:hint="eastAsia" w:ascii="宋体" w:hAnsi="宋体" w:cs="宋体"/>
          <w:color w:val="auto"/>
          <w:szCs w:val="21"/>
          <w:highlight w:val="none"/>
          <w:lang w:val="zh-CN"/>
        </w:rPr>
      </w:pPr>
      <w:r>
        <w:rPr>
          <w:rFonts w:hint="eastAsia" w:ascii="宋体" w:hAnsi="宋体" w:cs="宋体"/>
          <w:color w:val="auto"/>
          <w:szCs w:val="21"/>
          <w:highlight w:val="none"/>
          <w:lang w:val="zh-CN"/>
        </w:rPr>
        <w:t>（6）本条款中（1）和（2）两种价格扣除规则不得同时适用。</w:t>
      </w:r>
    </w:p>
    <w:p>
      <w:pPr>
        <w:autoSpaceDE w:val="0"/>
        <w:autoSpaceDN w:val="0"/>
        <w:adjustRightInd w:val="0"/>
        <w:spacing w:line="400" w:lineRule="exact"/>
        <w:jc w:val="left"/>
        <w:rPr>
          <w:rFonts w:hint="eastAsia" w:ascii="宋体" w:hAnsi="宋体" w:cs="宋体"/>
          <w:color w:val="auto"/>
          <w:szCs w:val="21"/>
          <w:highlight w:val="none"/>
          <w:lang w:val="zh-CN"/>
        </w:rPr>
      </w:pPr>
      <w:r>
        <w:rPr>
          <w:rFonts w:hint="eastAsia" w:ascii="宋体" w:hAnsi="宋体" w:cs="宋体"/>
          <w:color w:val="auto"/>
          <w:szCs w:val="21"/>
          <w:highlight w:val="none"/>
          <w:lang w:val="zh-CN"/>
        </w:rPr>
        <w:t>3.评标程序</w:t>
      </w:r>
    </w:p>
    <w:p>
      <w:pPr>
        <w:autoSpaceDE w:val="0"/>
        <w:autoSpaceDN w:val="0"/>
        <w:adjustRightInd w:val="0"/>
        <w:spacing w:line="400" w:lineRule="exact"/>
        <w:jc w:val="left"/>
        <w:rPr>
          <w:rFonts w:hint="eastAsia" w:ascii="宋体" w:hAnsi="宋体" w:cs="宋体"/>
          <w:color w:val="auto"/>
          <w:szCs w:val="21"/>
          <w:highlight w:val="none"/>
          <w:lang w:val="zh-CN"/>
        </w:rPr>
      </w:pPr>
      <w:r>
        <w:rPr>
          <w:rFonts w:hint="eastAsia" w:ascii="宋体" w:hAnsi="宋体" w:cs="宋体"/>
          <w:color w:val="auto"/>
          <w:szCs w:val="21"/>
          <w:highlight w:val="none"/>
          <w:lang w:val="zh-CN"/>
        </w:rPr>
        <w:t>3.1初步评审</w:t>
      </w:r>
    </w:p>
    <w:p>
      <w:pPr>
        <w:autoSpaceDE w:val="0"/>
        <w:autoSpaceDN w:val="0"/>
        <w:adjustRightInd w:val="0"/>
        <w:spacing w:line="400" w:lineRule="exact"/>
        <w:jc w:val="left"/>
        <w:rPr>
          <w:rFonts w:hint="eastAsia" w:ascii="宋体" w:hAnsi="宋体" w:cs="宋体"/>
          <w:color w:val="auto"/>
          <w:szCs w:val="21"/>
          <w:highlight w:val="none"/>
          <w:lang w:val="zh-CN"/>
        </w:rPr>
      </w:pPr>
      <w:r>
        <w:rPr>
          <w:rFonts w:hint="eastAsia" w:ascii="宋体" w:hAnsi="宋体" w:cs="宋体"/>
          <w:color w:val="auto"/>
          <w:szCs w:val="21"/>
          <w:highlight w:val="none"/>
          <w:lang w:val="zh-CN"/>
        </w:rPr>
        <w:t xml:space="preserve">    3.1.1 评标委员会可以要求投标人提交第二章“投标人须知”规定的有关证明和证件，以便核验。评标委员会依据本章第2.1款规定的标准对投标文件进行初步评审。有一项不符合评审标准的，作投标被否决处理。</w:t>
      </w:r>
    </w:p>
    <w:p>
      <w:pPr>
        <w:autoSpaceDE w:val="0"/>
        <w:autoSpaceDN w:val="0"/>
        <w:adjustRightInd w:val="0"/>
        <w:spacing w:line="400" w:lineRule="exact"/>
        <w:jc w:val="left"/>
        <w:rPr>
          <w:rFonts w:hint="eastAsia" w:ascii="宋体" w:hAnsi="宋体" w:cs="宋体"/>
          <w:color w:val="auto"/>
          <w:szCs w:val="21"/>
          <w:highlight w:val="none"/>
          <w:lang w:val="zh-CN"/>
        </w:rPr>
      </w:pPr>
      <w:r>
        <w:rPr>
          <w:rFonts w:hint="eastAsia" w:ascii="宋体" w:hAnsi="宋体" w:cs="宋体"/>
          <w:color w:val="auto"/>
          <w:szCs w:val="21"/>
          <w:highlight w:val="none"/>
          <w:lang w:val="zh-CN"/>
        </w:rPr>
        <w:t xml:space="preserve">    3.1.2 投标人有以下情形之一的，其投标作否决处理：</w:t>
      </w:r>
    </w:p>
    <w:p>
      <w:pPr>
        <w:autoSpaceDE w:val="0"/>
        <w:autoSpaceDN w:val="0"/>
        <w:adjustRightInd w:val="0"/>
        <w:spacing w:line="400" w:lineRule="exact"/>
        <w:jc w:val="left"/>
        <w:rPr>
          <w:rFonts w:hint="eastAsia" w:ascii="宋体" w:hAnsi="宋体" w:cs="宋体"/>
          <w:color w:val="auto"/>
          <w:szCs w:val="21"/>
          <w:highlight w:val="none"/>
          <w:lang w:val="zh-CN"/>
        </w:rPr>
      </w:pPr>
      <w:r>
        <w:rPr>
          <w:rFonts w:hint="eastAsia" w:ascii="宋体" w:hAnsi="宋体" w:cs="宋体"/>
          <w:color w:val="auto"/>
          <w:szCs w:val="21"/>
          <w:highlight w:val="none"/>
          <w:lang w:val="zh-CN"/>
        </w:rPr>
        <w:t xml:space="preserve">        (1)第二章“投标人须知”中规定的任何一种情形的；</w:t>
      </w:r>
    </w:p>
    <w:p>
      <w:pPr>
        <w:autoSpaceDE w:val="0"/>
        <w:autoSpaceDN w:val="0"/>
        <w:adjustRightInd w:val="0"/>
        <w:spacing w:line="400" w:lineRule="exact"/>
        <w:jc w:val="left"/>
        <w:rPr>
          <w:rFonts w:hint="eastAsia" w:ascii="宋体" w:hAnsi="宋体" w:cs="宋体"/>
          <w:color w:val="auto"/>
          <w:szCs w:val="21"/>
          <w:highlight w:val="none"/>
          <w:lang w:val="zh-CN"/>
        </w:rPr>
      </w:pPr>
      <w:r>
        <w:rPr>
          <w:rFonts w:hint="eastAsia" w:ascii="宋体" w:hAnsi="宋体" w:cs="宋体"/>
          <w:color w:val="auto"/>
          <w:szCs w:val="21"/>
          <w:highlight w:val="none"/>
          <w:lang w:val="zh-CN"/>
        </w:rPr>
        <w:t xml:space="preserve">        (2)串通投标或弄虚作假或有其他违法行为的：</w:t>
      </w:r>
    </w:p>
    <w:p>
      <w:pPr>
        <w:autoSpaceDE w:val="0"/>
        <w:autoSpaceDN w:val="0"/>
        <w:adjustRightInd w:val="0"/>
        <w:spacing w:line="400" w:lineRule="exact"/>
        <w:jc w:val="left"/>
        <w:rPr>
          <w:rFonts w:hint="eastAsia" w:ascii="宋体" w:hAnsi="宋体" w:cs="宋体"/>
          <w:color w:val="auto"/>
          <w:szCs w:val="21"/>
          <w:highlight w:val="none"/>
          <w:lang w:val="zh-CN"/>
        </w:rPr>
      </w:pPr>
      <w:r>
        <w:rPr>
          <w:rFonts w:hint="eastAsia" w:ascii="宋体" w:hAnsi="宋体" w:cs="宋体"/>
          <w:color w:val="auto"/>
          <w:szCs w:val="21"/>
          <w:highlight w:val="none"/>
          <w:lang w:val="zh-CN"/>
        </w:rPr>
        <w:t xml:space="preserve">        (3)不按评标委员会要求澄清、说明或补正的。</w:t>
      </w:r>
    </w:p>
    <w:p>
      <w:pPr>
        <w:autoSpaceDE w:val="0"/>
        <w:autoSpaceDN w:val="0"/>
        <w:adjustRightInd w:val="0"/>
        <w:spacing w:line="400" w:lineRule="exact"/>
        <w:jc w:val="left"/>
        <w:rPr>
          <w:rFonts w:hint="eastAsia" w:ascii="宋体" w:hAnsi="宋体" w:cs="宋体"/>
          <w:color w:val="auto"/>
          <w:szCs w:val="21"/>
          <w:highlight w:val="none"/>
          <w:lang w:val="zh-CN"/>
        </w:rPr>
      </w:pPr>
      <w:r>
        <w:rPr>
          <w:rFonts w:hint="eastAsia" w:ascii="宋体" w:hAnsi="宋体" w:cs="宋体"/>
          <w:color w:val="auto"/>
          <w:szCs w:val="21"/>
          <w:highlight w:val="none"/>
          <w:lang w:val="zh-CN"/>
        </w:rPr>
        <w:t xml:space="preserve">    3.1.3 投标报价有算术错误的，评标委员会按以下原则对投标报价进行修正，修正的价格经投标人书面确认后具有约束力。投标人不接受修正价格的，其投标作否决处理。</w:t>
      </w:r>
    </w:p>
    <w:p>
      <w:pPr>
        <w:autoSpaceDE w:val="0"/>
        <w:autoSpaceDN w:val="0"/>
        <w:adjustRightInd w:val="0"/>
        <w:spacing w:line="400" w:lineRule="exact"/>
        <w:jc w:val="left"/>
        <w:rPr>
          <w:rFonts w:hint="eastAsia" w:ascii="宋体" w:hAnsi="宋体" w:cs="宋体"/>
          <w:color w:val="auto"/>
          <w:szCs w:val="21"/>
          <w:highlight w:val="none"/>
          <w:lang w:val="zh-CN"/>
        </w:rPr>
      </w:pPr>
      <w:r>
        <w:rPr>
          <w:rFonts w:hint="eastAsia" w:ascii="宋体" w:hAnsi="宋体" w:cs="宋体"/>
          <w:color w:val="auto"/>
          <w:szCs w:val="21"/>
          <w:highlight w:val="none"/>
          <w:lang w:val="zh-CN"/>
        </w:rPr>
        <w:t xml:space="preserve">        (1)投标文件中的大写金额与小写金额不一致的，以大写金额为准：</w:t>
      </w:r>
    </w:p>
    <w:p>
      <w:pPr>
        <w:autoSpaceDE w:val="0"/>
        <w:autoSpaceDN w:val="0"/>
        <w:adjustRightInd w:val="0"/>
        <w:spacing w:line="400" w:lineRule="exact"/>
        <w:jc w:val="left"/>
        <w:rPr>
          <w:rFonts w:hint="eastAsia" w:ascii="宋体" w:hAnsi="宋体" w:cs="宋体"/>
          <w:color w:val="auto"/>
          <w:szCs w:val="21"/>
          <w:highlight w:val="none"/>
          <w:lang w:val="zh-CN"/>
        </w:rPr>
      </w:pPr>
      <w:r>
        <w:rPr>
          <w:rFonts w:hint="eastAsia" w:ascii="宋体" w:hAnsi="宋体" w:cs="宋体"/>
          <w:color w:val="auto"/>
          <w:szCs w:val="21"/>
          <w:highlight w:val="none"/>
          <w:lang w:val="zh-CN"/>
        </w:rPr>
        <w:t xml:space="preserve">        (2)总价金额与依据单价计算出的结果不一致的，以单价金额为准修正总价，但单</w:t>
      </w:r>
    </w:p>
    <w:p>
      <w:pPr>
        <w:autoSpaceDE w:val="0"/>
        <w:autoSpaceDN w:val="0"/>
        <w:adjustRightInd w:val="0"/>
        <w:spacing w:line="400" w:lineRule="exact"/>
        <w:jc w:val="left"/>
        <w:rPr>
          <w:rFonts w:hint="eastAsia" w:ascii="宋体" w:hAnsi="宋体" w:cs="宋体"/>
          <w:color w:val="auto"/>
          <w:szCs w:val="21"/>
          <w:highlight w:val="none"/>
          <w:lang w:val="zh-CN"/>
        </w:rPr>
      </w:pPr>
      <w:r>
        <w:rPr>
          <w:rFonts w:hint="eastAsia" w:ascii="宋体" w:hAnsi="宋体" w:cs="宋体"/>
          <w:color w:val="auto"/>
          <w:szCs w:val="21"/>
          <w:highlight w:val="none"/>
          <w:lang w:val="zh-CN"/>
        </w:rPr>
        <w:t>价金额小数点有明显错误的除外。</w:t>
      </w:r>
    </w:p>
    <w:p>
      <w:pPr>
        <w:autoSpaceDE w:val="0"/>
        <w:autoSpaceDN w:val="0"/>
        <w:adjustRightInd w:val="0"/>
        <w:spacing w:line="400" w:lineRule="exact"/>
        <w:jc w:val="left"/>
        <w:rPr>
          <w:rFonts w:hint="eastAsia" w:ascii="宋体" w:hAnsi="宋体" w:cs="宋体"/>
          <w:color w:val="auto"/>
          <w:szCs w:val="21"/>
          <w:highlight w:val="none"/>
          <w:lang w:val="zh-CN"/>
        </w:rPr>
      </w:pPr>
      <w:r>
        <w:rPr>
          <w:rFonts w:hint="eastAsia" w:ascii="宋体" w:hAnsi="宋体" w:cs="宋体"/>
          <w:color w:val="auto"/>
          <w:szCs w:val="21"/>
          <w:highlight w:val="none"/>
          <w:lang w:val="zh-CN"/>
        </w:rPr>
        <w:t>3.2 详细评审</w:t>
      </w:r>
    </w:p>
    <w:p>
      <w:pPr>
        <w:autoSpaceDE w:val="0"/>
        <w:autoSpaceDN w:val="0"/>
        <w:adjustRightInd w:val="0"/>
        <w:spacing w:line="400" w:lineRule="exact"/>
        <w:jc w:val="left"/>
        <w:rPr>
          <w:rFonts w:hint="eastAsia" w:ascii="宋体" w:hAnsi="宋体" w:cs="宋体"/>
          <w:color w:val="auto"/>
          <w:szCs w:val="21"/>
          <w:highlight w:val="none"/>
          <w:lang w:val="zh-CN"/>
        </w:rPr>
      </w:pPr>
      <w:r>
        <w:rPr>
          <w:rFonts w:hint="eastAsia" w:ascii="宋体" w:hAnsi="宋体" w:cs="宋体"/>
          <w:color w:val="auto"/>
          <w:szCs w:val="21"/>
          <w:highlight w:val="none"/>
          <w:lang w:val="zh-CN"/>
        </w:rPr>
        <w:t xml:space="preserve">    3.2.1评标委员会按本章第2条款规定的量化因素和分值进行打分，并计算出综合打分得分。</w:t>
      </w:r>
    </w:p>
    <w:p>
      <w:pPr>
        <w:autoSpaceDE w:val="0"/>
        <w:autoSpaceDN w:val="0"/>
        <w:adjustRightInd w:val="0"/>
        <w:spacing w:line="400" w:lineRule="exact"/>
        <w:jc w:val="left"/>
        <w:rPr>
          <w:rFonts w:hint="eastAsia" w:ascii="宋体" w:hAnsi="宋体" w:cs="宋体"/>
          <w:color w:val="auto"/>
          <w:szCs w:val="21"/>
          <w:highlight w:val="none"/>
          <w:lang w:val="zh-CN"/>
        </w:rPr>
      </w:pPr>
      <w:r>
        <w:rPr>
          <w:rFonts w:hint="eastAsia" w:ascii="宋体" w:hAnsi="宋体" w:cs="宋体"/>
          <w:color w:val="auto"/>
          <w:szCs w:val="21"/>
          <w:highlight w:val="none"/>
          <w:lang w:val="zh-CN"/>
        </w:rPr>
        <w:t xml:space="preserve">        (1)按本章第2.2.4(1)目规定的评审因素和分值对技术部分计算出得分A；</w:t>
      </w:r>
    </w:p>
    <w:p>
      <w:pPr>
        <w:autoSpaceDE w:val="0"/>
        <w:autoSpaceDN w:val="0"/>
        <w:adjustRightInd w:val="0"/>
        <w:spacing w:line="400" w:lineRule="exact"/>
        <w:jc w:val="left"/>
        <w:rPr>
          <w:rFonts w:hint="eastAsia" w:ascii="宋体" w:hAnsi="宋体" w:cs="宋体"/>
          <w:color w:val="auto"/>
          <w:szCs w:val="21"/>
          <w:highlight w:val="none"/>
          <w:lang w:val="zh-CN"/>
        </w:rPr>
      </w:pPr>
      <w:r>
        <w:rPr>
          <w:rFonts w:hint="eastAsia" w:ascii="宋体" w:hAnsi="宋体" w:cs="宋体"/>
          <w:color w:val="auto"/>
          <w:szCs w:val="21"/>
          <w:highlight w:val="none"/>
          <w:lang w:val="zh-CN"/>
        </w:rPr>
        <w:t xml:space="preserve">        (2)按本章第2.2.4(2)目规定的评审因素和分值对商务部分计算出得分B；</w:t>
      </w:r>
    </w:p>
    <w:p>
      <w:pPr>
        <w:autoSpaceDE w:val="0"/>
        <w:autoSpaceDN w:val="0"/>
        <w:adjustRightInd w:val="0"/>
        <w:spacing w:line="400" w:lineRule="exact"/>
        <w:jc w:val="left"/>
        <w:rPr>
          <w:rFonts w:hint="eastAsia" w:ascii="宋体" w:hAnsi="宋体" w:cs="宋体"/>
          <w:color w:val="auto"/>
          <w:szCs w:val="21"/>
          <w:highlight w:val="none"/>
          <w:lang w:val="zh-CN"/>
        </w:rPr>
      </w:pPr>
      <w:r>
        <w:rPr>
          <w:rFonts w:hint="eastAsia" w:ascii="宋体" w:hAnsi="宋体" w:cs="宋体"/>
          <w:color w:val="auto"/>
          <w:szCs w:val="21"/>
          <w:highlight w:val="none"/>
          <w:lang w:val="zh-CN"/>
        </w:rPr>
        <w:t xml:space="preserve">          3.2.2 评分分值计算保留小数点后两位，小数点后第三位“四舍五入”。</w:t>
      </w:r>
    </w:p>
    <w:p>
      <w:pPr>
        <w:autoSpaceDE w:val="0"/>
        <w:autoSpaceDN w:val="0"/>
        <w:adjustRightInd w:val="0"/>
        <w:spacing w:line="400" w:lineRule="exact"/>
        <w:jc w:val="left"/>
        <w:rPr>
          <w:rFonts w:hint="eastAsia" w:ascii="宋体" w:hAnsi="宋体" w:cs="宋体"/>
          <w:color w:val="auto"/>
          <w:szCs w:val="21"/>
          <w:highlight w:val="none"/>
          <w:lang w:val="zh-CN"/>
        </w:rPr>
      </w:pPr>
      <w:r>
        <w:rPr>
          <w:rFonts w:hint="eastAsia" w:ascii="宋体" w:hAnsi="宋体" w:cs="宋体"/>
          <w:color w:val="auto"/>
          <w:szCs w:val="21"/>
          <w:highlight w:val="none"/>
          <w:lang w:val="zh-CN"/>
        </w:rPr>
        <w:t xml:space="preserve">    3.2.3 投标人得分=A+B。</w:t>
      </w:r>
    </w:p>
    <w:p>
      <w:pPr>
        <w:autoSpaceDE w:val="0"/>
        <w:autoSpaceDN w:val="0"/>
        <w:adjustRightInd w:val="0"/>
        <w:spacing w:line="400" w:lineRule="exact"/>
        <w:jc w:val="left"/>
        <w:rPr>
          <w:rFonts w:hint="eastAsia" w:ascii="宋体" w:hAnsi="宋体" w:cs="宋体"/>
          <w:color w:val="auto"/>
          <w:szCs w:val="21"/>
          <w:highlight w:val="none"/>
          <w:lang w:val="zh-CN"/>
        </w:rPr>
      </w:pPr>
      <w:r>
        <w:rPr>
          <w:rFonts w:hint="eastAsia" w:ascii="宋体" w:hAnsi="宋体" w:cs="宋体"/>
          <w:color w:val="auto"/>
          <w:szCs w:val="21"/>
          <w:highlight w:val="none"/>
          <w:lang w:val="zh-CN"/>
        </w:rPr>
        <w:t xml:space="preserve">   3.3 投标文件的澄清和补正</w:t>
      </w:r>
    </w:p>
    <w:p>
      <w:pPr>
        <w:autoSpaceDE w:val="0"/>
        <w:autoSpaceDN w:val="0"/>
        <w:adjustRightInd w:val="0"/>
        <w:spacing w:line="400" w:lineRule="exact"/>
        <w:jc w:val="left"/>
        <w:rPr>
          <w:rFonts w:hint="eastAsia" w:ascii="宋体" w:hAnsi="宋体" w:cs="宋体"/>
          <w:color w:val="auto"/>
          <w:szCs w:val="21"/>
          <w:highlight w:val="none"/>
          <w:lang w:val="zh-CN"/>
        </w:rPr>
      </w:pPr>
      <w:r>
        <w:rPr>
          <w:rFonts w:hint="eastAsia" w:ascii="宋体" w:hAnsi="宋体" w:cs="宋体"/>
          <w:color w:val="auto"/>
          <w:szCs w:val="21"/>
          <w:highlight w:val="none"/>
          <w:lang w:val="zh-CN"/>
        </w:rPr>
        <w:t xml:space="preserve">    3.3.1 在评标过程中，评标委员会可以书面形式要求投标人对所提交投标文件中不明确的内容进行书面澄清或说明，或者对细微偏差进行补正。评标委员会不接受投标人主动提出的澄清、说明或补正。</w:t>
      </w:r>
    </w:p>
    <w:p>
      <w:pPr>
        <w:autoSpaceDE w:val="0"/>
        <w:autoSpaceDN w:val="0"/>
        <w:adjustRightInd w:val="0"/>
        <w:spacing w:line="400" w:lineRule="exact"/>
        <w:jc w:val="left"/>
        <w:rPr>
          <w:rFonts w:hint="eastAsia" w:ascii="宋体" w:hAnsi="宋体" w:cs="宋体"/>
          <w:color w:val="auto"/>
          <w:szCs w:val="21"/>
          <w:highlight w:val="none"/>
          <w:lang w:val="zh-CN"/>
        </w:rPr>
      </w:pPr>
      <w:r>
        <w:rPr>
          <w:rFonts w:hint="eastAsia" w:ascii="宋体" w:hAnsi="宋体" w:cs="宋体"/>
          <w:color w:val="auto"/>
          <w:szCs w:val="21"/>
          <w:highlight w:val="none"/>
          <w:lang w:val="zh-CN"/>
        </w:rPr>
        <w:t xml:space="preserve">    3.3.2 澄清、说明和补正不得改变投标文件的实质性内容(算术性错误修正的除外)。投标人的书面澄清、说明和补正属于投标文件的组成部分。</w:t>
      </w:r>
    </w:p>
    <w:p>
      <w:pPr>
        <w:autoSpaceDE w:val="0"/>
        <w:autoSpaceDN w:val="0"/>
        <w:adjustRightInd w:val="0"/>
        <w:spacing w:line="400" w:lineRule="exact"/>
        <w:jc w:val="left"/>
        <w:rPr>
          <w:rFonts w:hint="eastAsia" w:ascii="宋体" w:hAnsi="宋体" w:cs="宋体"/>
          <w:color w:val="auto"/>
          <w:szCs w:val="21"/>
          <w:highlight w:val="none"/>
          <w:lang w:val="zh-CN"/>
        </w:rPr>
      </w:pPr>
      <w:r>
        <w:rPr>
          <w:rFonts w:hint="eastAsia" w:ascii="宋体" w:hAnsi="宋体" w:cs="宋体"/>
          <w:color w:val="auto"/>
          <w:szCs w:val="21"/>
          <w:highlight w:val="none"/>
          <w:lang w:val="zh-CN"/>
        </w:rPr>
        <w:t xml:space="preserve">    3.3.3 评标委员会对投标人提交的澄清、说明或补正有疑问的，可以要求投标人进一步澄清、说明或补正，直至满足评标委员会的要求。</w:t>
      </w:r>
    </w:p>
    <w:p>
      <w:pPr>
        <w:autoSpaceDE w:val="0"/>
        <w:autoSpaceDN w:val="0"/>
        <w:adjustRightInd w:val="0"/>
        <w:spacing w:line="400" w:lineRule="exact"/>
        <w:jc w:val="left"/>
        <w:rPr>
          <w:rFonts w:hint="eastAsia" w:ascii="宋体" w:hAnsi="宋体" w:cs="宋体"/>
          <w:color w:val="auto"/>
          <w:szCs w:val="21"/>
          <w:highlight w:val="none"/>
          <w:lang w:val="zh-CN"/>
        </w:rPr>
      </w:pPr>
      <w:r>
        <w:rPr>
          <w:rFonts w:hint="eastAsia" w:ascii="宋体" w:hAnsi="宋体" w:cs="宋体"/>
          <w:color w:val="auto"/>
          <w:szCs w:val="21"/>
          <w:highlight w:val="none"/>
          <w:lang w:val="zh-CN"/>
        </w:rPr>
        <w:t>3.4 评标结果</w:t>
      </w:r>
    </w:p>
    <w:p>
      <w:pPr>
        <w:autoSpaceDE w:val="0"/>
        <w:autoSpaceDN w:val="0"/>
        <w:adjustRightInd w:val="0"/>
        <w:spacing w:line="400" w:lineRule="exact"/>
        <w:jc w:val="left"/>
        <w:rPr>
          <w:rFonts w:hint="eastAsia" w:ascii="宋体" w:hAnsi="宋体" w:cs="宋体"/>
          <w:color w:val="auto"/>
          <w:szCs w:val="21"/>
          <w:highlight w:val="none"/>
          <w:lang w:val="zh-CN"/>
        </w:rPr>
      </w:pPr>
      <w:r>
        <w:rPr>
          <w:rFonts w:hint="eastAsia" w:ascii="宋体" w:hAnsi="宋体" w:cs="宋体"/>
          <w:color w:val="auto"/>
          <w:szCs w:val="21"/>
          <w:highlight w:val="none"/>
          <w:lang w:val="zh-CN"/>
        </w:rPr>
        <w:t xml:space="preserve">    3.4.1 除第二章“投标人须知”前附表授权直接确定中标人外，评标委员会按照得分由高到低的顺序推荐</w:t>
      </w:r>
      <w:r>
        <w:rPr>
          <w:rFonts w:hint="eastAsia" w:ascii="宋体" w:hAnsi="宋体" w:cs="宋体"/>
          <w:color w:val="auto"/>
          <w:szCs w:val="21"/>
          <w:highlight w:val="none"/>
        </w:rPr>
        <w:t>3家</w:t>
      </w:r>
      <w:r>
        <w:rPr>
          <w:rFonts w:hint="eastAsia" w:ascii="宋体" w:hAnsi="宋体" w:cs="宋体"/>
          <w:color w:val="auto"/>
          <w:szCs w:val="21"/>
          <w:highlight w:val="none"/>
          <w:lang w:val="zh-CN"/>
        </w:rPr>
        <w:t>中标候选人。</w:t>
      </w:r>
    </w:p>
    <w:p>
      <w:pPr>
        <w:autoSpaceDE w:val="0"/>
        <w:autoSpaceDN w:val="0"/>
        <w:adjustRightInd w:val="0"/>
        <w:spacing w:line="400" w:lineRule="exact"/>
        <w:jc w:val="left"/>
        <w:rPr>
          <w:b/>
          <w:bCs/>
          <w:color w:val="auto"/>
          <w:kern w:val="0"/>
          <w:szCs w:val="21"/>
          <w:highlight w:val="none"/>
        </w:rPr>
      </w:pPr>
      <w:r>
        <w:rPr>
          <w:rFonts w:hint="eastAsia" w:ascii="宋体" w:hAnsi="宋体" w:cs="宋体"/>
          <w:color w:val="auto"/>
          <w:szCs w:val="21"/>
          <w:highlight w:val="none"/>
          <w:lang w:val="zh-CN"/>
        </w:rPr>
        <w:t xml:space="preserve">    3.4.2 评标委员会完成评标后，应当向采购人提交书面评标报告。</w:t>
      </w:r>
      <w:r>
        <w:rPr>
          <w:rFonts w:hint="eastAsia"/>
          <w:b/>
          <w:bCs/>
          <w:color w:val="auto"/>
          <w:sz w:val="28"/>
          <w:szCs w:val="28"/>
          <w:highlight w:val="none"/>
        </w:rPr>
        <w:br w:type="page"/>
      </w:r>
      <w:r>
        <w:rPr>
          <w:rFonts w:hint="eastAsia"/>
          <w:b/>
          <w:bCs/>
          <w:color w:val="auto"/>
          <w:kern w:val="0"/>
          <w:szCs w:val="21"/>
          <w:highlight w:val="none"/>
        </w:rPr>
        <w:t>四</w:t>
      </w:r>
      <w:r>
        <w:rPr>
          <w:b/>
          <w:bCs/>
          <w:color w:val="auto"/>
          <w:kern w:val="0"/>
          <w:szCs w:val="21"/>
          <w:highlight w:val="none"/>
        </w:rPr>
        <w:t>、政府采购政策应用说明</w:t>
      </w:r>
    </w:p>
    <w:p>
      <w:pPr>
        <w:spacing w:before="120" w:line="320" w:lineRule="atLeast"/>
        <w:ind w:firstLine="420" w:firstLineChars="200"/>
        <w:rPr>
          <w:bCs/>
          <w:color w:val="auto"/>
          <w:szCs w:val="21"/>
          <w:highlight w:val="none"/>
        </w:rPr>
      </w:pPr>
      <w:r>
        <w:rPr>
          <w:color w:val="auto"/>
          <w:szCs w:val="21"/>
          <w:highlight w:val="none"/>
        </w:rPr>
        <w:t>（一）</w:t>
      </w:r>
      <w:r>
        <w:rPr>
          <w:bCs/>
          <w:color w:val="auto"/>
          <w:szCs w:val="21"/>
          <w:highlight w:val="none"/>
        </w:rPr>
        <w:t>政策性扣除计算方法</w:t>
      </w:r>
    </w:p>
    <w:p>
      <w:pPr>
        <w:spacing w:before="120" w:line="320" w:lineRule="atLeast"/>
        <w:ind w:firstLine="420" w:firstLineChars="200"/>
        <w:rPr>
          <w:color w:val="auto"/>
          <w:szCs w:val="21"/>
          <w:highlight w:val="none"/>
        </w:rPr>
      </w:pPr>
      <w:r>
        <w:rPr>
          <w:color w:val="auto"/>
          <w:szCs w:val="21"/>
          <w:highlight w:val="none"/>
        </w:rPr>
        <w:t>1、</w:t>
      </w:r>
      <w:r>
        <w:rPr>
          <w:rFonts w:hint="eastAsia"/>
          <w:color w:val="auto"/>
          <w:szCs w:val="21"/>
          <w:highlight w:val="none"/>
        </w:rPr>
        <w:t>供应商</w:t>
      </w:r>
      <w:r>
        <w:rPr>
          <w:color w:val="auto"/>
          <w:szCs w:val="21"/>
          <w:highlight w:val="none"/>
        </w:rPr>
        <w:t>符合小型、微型企业或监狱企业条件的，其投标价格将按相应比例进行扣除，用扣除后的价格参与评标（计算价格分）。</w:t>
      </w:r>
    </w:p>
    <w:p>
      <w:pPr>
        <w:spacing w:before="120" w:line="320" w:lineRule="atLeast"/>
        <w:ind w:firstLine="420" w:firstLineChars="200"/>
        <w:rPr>
          <w:color w:val="auto"/>
          <w:szCs w:val="21"/>
          <w:highlight w:val="none"/>
        </w:rPr>
      </w:pPr>
      <w:r>
        <w:rPr>
          <w:color w:val="auto"/>
          <w:szCs w:val="21"/>
          <w:highlight w:val="none"/>
        </w:rPr>
        <w:t>（1）依照《关于印发&lt;政府采购促进中小企业发展暂行办法&gt;的通知》（财库〔2011〕181号）之规定，小型、微型企业应当同时符合以下条件：</w:t>
      </w:r>
    </w:p>
    <w:p>
      <w:pPr>
        <w:spacing w:before="120" w:line="320" w:lineRule="atLeast"/>
        <w:ind w:firstLine="420" w:firstLineChars="200"/>
        <w:rPr>
          <w:color w:val="auto"/>
          <w:szCs w:val="21"/>
          <w:highlight w:val="none"/>
        </w:rPr>
      </w:pPr>
      <w:r>
        <w:rPr>
          <w:rFonts w:hint="eastAsia" w:ascii="宋体" w:hAnsi="宋体" w:cs="宋体"/>
          <w:color w:val="auto"/>
          <w:szCs w:val="21"/>
          <w:highlight w:val="none"/>
        </w:rPr>
        <w:t>①</w:t>
      </w:r>
      <w:r>
        <w:rPr>
          <w:color w:val="auto"/>
          <w:szCs w:val="21"/>
          <w:highlight w:val="none"/>
        </w:rPr>
        <w:t>本企业符合中小企业划分标准（中小企业划分标准是指国务院有关部门根据企业从业人员、营业收入、资产总额等指标制定的中小企业划型标准，详见《关于印发中小企业划型标准规定的通知》（工信部联企业〔2011〕300号））。</w:t>
      </w:r>
    </w:p>
    <w:p>
      <w:pPr>
        <w:spacing w:before="120" w:line="320" w:lineRule="atLeast"/>
        <w:ind w:firstLine="420" w:firstLineChars="200"/>
        <w:rPr>
          <w:color w:val="auto"/>
          <w:szCs w:val="21"/>
          <w:highlight w:val="none"/>
        </w:rPr>
      </w:pPr>
      <w:r>
        <w:rPr>
          <w:rFonts w:hint="eastAsia" w:ascii="宋体" w:hAnsi="宋体" w:cs="宋体"/>
          <w:color w:val="auto"/>
          <w:szCs w:val="21"/>
          <w:highlight w:val="none"/>
        </w:rPr>
        <w:t>②</w:t>
      </w:r>
      <w:r>
        <w:rPr>
          <w:color w:val="auto"/>
          <w:szCs w:val="21"/>
          <w:highlight w:val="none"/>
        </w:rPr>
        <w:t>提供本企业制造的货物、承担的工程或者服务，或者提供其他中小企业制造的货物，本项所称货物不包括提供或使用大型企业注册商标的货物。</w:t>
      </w:r>
    </w:p>
    <w:p>
      <w:pPr>
        <w:spacing w:before="120" w:line="320" w:lineRule="atLeast"/>
        <w:ind w:firstLine="420" w:firstLineChars="200"/>
        <w:rPr>
          <w:color w:val="auto"/>
          <w:szCs w:val="21"/>
          <w:highlight w:val="none"/>
        </w:rPr>
      </w:pPr>
      <w:r>
        <w:rPr>
          <w:color w:val="auto"/>
          <w:szCs w:val="21"/>
          <w:highlight w:val="none"/>
        </w:rPr>
        <w:t>注：小型、微型企业提供中型企业制造的货物的，视同为中型企业；小型、微型、中型企业提供大型企业制造的货物的，视同为大型企业，投标价格不予扣除。</w:t>
      </w:r>
    </w:p>
    <w:p>
      <w:pPr>
        <w:spacing w:before="120" w:line="320" w:lineRule="atLeast"/>
        <w:ind w:firstLine="420" w:firstLineChars="200"/>
        <w:rPr>
          <w:color w:val="auto"/>
          <w:szCs w:val="21"/>
          <w:highlight w:val="none"/>
        </w:rPr>
      </w:pPr>
      <w:r>
        <w:rPr>
          <w:color w:val="auto"/>
          <w:szCs w:val="21"/>
          <w:highlight w:val="none"/>
        </w:rPr>
        <w:t>（2）依照《财政部、司法部关于政府采购支持监狱企业发展有关问题的通知》（财库〔2014〕68号）之规定，监狱企业应当符合以下条件：</w:t>
      </w:r>
    </w:p>
    <w:p>
      <w:pPr>
        <w:spacing w:before="120" w:line="320" w:lineRule="atLeas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①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spacing w:before="120" w:line="320" w:lineRule="atLeas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②监狱企业参加政府采购活动时，应当提供由省级以上监狱管理局、戒毒管理局（含新疆生产建设兵团）或财政部门出具的属于监狱企业的证明文件，视同小型、微型企业。</w:t>
      </w:r>
    </w:p>
    <w:p>
      <w:pPr>
        <w:spacing w:before="120" w:line="320" w:lineRule="atLeas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2、供应商为非联合体的情况下投标价格扣除方式：对小型、微型企业给予6%的扣除，以扣除后的投标价格参与评标（计算价格分）。</w:t>
      </w:r>
    </w:p>
    <w:p>
      <w:pPr>
        <w:spacing w:before="120" w:line="320" w:lineRule="atLeast"/>
        <w:ind w:firstLine="420" w:firstLineChars="200"/>
        <w:rPr>
          <w:rFonts w:ascii="宋体" w:hAnsi="宋体" w:cs="宋体"/>
          <w:color w:val="auto"/>
          <w:kern w:val="2"/>
          <w:sz w:val="36"/>
          <w:szCs w:val="36"/>
          <w:highlight w:val="none"/>
        </w:rPr>
      </w:pPr>
      <w:r>
        <w:rPr>
          <w:rFonts w:hint="eastAsia" w:ascii="宋体" w:hAnsi="宋体" w:eastAsia="宋体" w:cs="宋体"/>
          <w:color w:val="auto"/>
          <w:szCs w:val="21"/>
          <w:highlight w:val="none"/>
        </w:rPr>
        <w:t>供应商声明为中、小、微型企业或监狱企业的，应按磋商文件规定提供真实的、充分的证明材料供评标委员会审定（小微企业在响应文件中提供企业所在地的县级以上中小企业主管部门出具的证明文件，监狱企业在响应文件中提供上述部门出具的证明文件）。</w:t>
      </w:r>
      <w:r>
        <w:rPr>
          <w:rFonts w:hint="eastAsia" w:ascii="宋体" w:hAnsi="宋体" w:cs="宋体"/>
          <w:color w:val="auto"/>
          <w:kern w:val="2"/>
          <w:sz w:val="36"/>
          <w:szCs w:val="36"/>
          <w:highlight w:val="none"/>
        </w:rPr>
        <w:br w:type="page"/>
      </w:r>
    </w:p>
    <w:bookmarkEnd w:id="51"/>
    <w:bookmarkEnd w:id="52"/>
    <w:p>
      <w:pPr>
        <w:pStyle w:val="2"/>
        <w:numPr>
          <w:ilvl w:val="0"/>
          <w:numId w:val="5"/>
        </w:numPr>
        <w:rPr>
          <w:rFonts w:hint="eastAsia" w:ascii="宋体" w:hAnsi="宋体" w:cs="宋体"/>
          <w:color w:val="auto"/>
          <w:kern w:val="2"/>
          <w:sz w:val="36"/>
          <w:szCs w:val="36"/>
          <w:highlight w:val="none"/>
        </w:rPr>
      </w:pPr>
      <w:bookmarkStart w:id="53" w:name="_Toc25240"/>
      <w:r>
        <w:rPr>
          <w:rFonts w:hint="eastAsia" w:ascii="宋体" w:hAnsi="宋体" w:cs="宋体"/>
          <w:color w:val="auto"/>
          <w:kern w:val="2"/>
          <w:sz w:val="36"/>
          <w:szCs w:val="36"/>
          <w:highlight w:val="none"/>
        </w:rPr>
        <w:t>合同条款及格式</w:t>
      </w:r>
      <w:bookmarkEnd w:id="53"/>
    </w:p>
    <w:p>
      <w:pPr>
        <w:rPr>
          <w:rFonts w:ascii="宋体" w:hAnsi="宋体" w:cs="宋体"/>
          <w:color w:val="auto"/>
          <w:highlight w:val="none"/>
        </w:rPr>
      </w:pPr>
    </w:p>
    <w:p>
      <w:pPr>
        <w:pStyle w:val="141"/>
        <w:jc w:val="center"/>
        <w:rPr>
          <w:rFonts w:hAnsi="宋体"/>
          <w:color w:val="auto"/>
          <w:highlight w:val="none"/>
        </w:rPr>
      </w:pPr>
    </w:p>
    <w:p>
      <w:pPr>
        <w:pStyle w:val="141"/>
        <w:jc w:val="center"/>
        <w:rPr>
          <w:rFonts w:hAnsi="宋体"/>
          <w:color w:val="auto"/>
          <w:highlight w:val="none"/>
        </w:rPr>
      </w:pPr>
      <w:r>
        <w:rPr>
          <w:rFonts w:hint="eastAsia" w:hAnsi="宋体"/>
          <w:color w:val="auto"/>
          <w:highlight w:val="none"/>
          <w:lang w:val="zh-CN"/>
        </w:rPr>
        <w:t>（具体以甲乙双方实际签订为准）</w:t>
      </w:r>
    </w:p>
    <w:p>
      <w:pPr>
        <w:pStyle w:val="141"/>
        <w:rPr>
          <w:rFonts w:hAnsi="宋体"/>
          <w:color w:val="auto"/>
          <w:highlight w:val="none"/>
        </w:rPr>
      </w:pPr>
    </w:p>
    <w:tbl>
      <w:tblPr>
        <w:tblStyle w:val="46"/>
        <w:tblpPr w:leftFromText="180" w:rightFromText="180" w:vertAnchor="text" w:horzAnchor="page" w:tblpX="1345" w:tblpY="180"/>
        <w:tblOverlap w:val="never"/>
        <w:tblW w:w="940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17"/>
        <w:gridCol w:w="1701"/>
        <w:gridCol w:w="688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817" w:type="dxa"/>
            <w:vAlign w:val="center"/>
          </w:tcPr>
          <w:p>
            <w:pPr>
              <w:keepNext w:val="0"/>
              <w:keepLines w:val="0"/>
              <w:suppressLineNumbers w:val="0"/>
              <w:spacing w:before="0" w:beforeAutospacing="0" w:after="0" w:afterAutospacing="0"/>
              <w:ind w:left="0" w:right="0"/>
              <w:jc w:val="center"/>
              <w:rPr>
                <w:rFonts w:hint="default" w:ascii="仿宋" w:hAnsi="仿宋" w:eastAsia="仿宋"/>
                <w:color w:val="auto"/>
                <w:kern w:val="0"/>
                <w:sz w:val="24"/>
                <w:szCs w:val="20"/>
              </w:rPr>
            </w:pPr>
            <w:r>
              <w:rPr>
                <w:rFonts w:hint="eastAsia" w:ascii="仿宋" w:hAnsi="仿宋" w:eastAsia="仿宋"/>
                <w:color w:val="auto"/>
                <w:kern w:val="0"/>
                <w:sz w:val="24"/>
                <w:szCs w:val="20"/>
              </w:rPr>
              <w:t>序号</w:t>
            </w:r>
          </w:p>
        </w:tc>
        <w:tc>
          <w:tcPr>
            <w:tcW w:w="1701" w:type="dxa"/>
            <w:vAlign w:val="center"/>
          </w:tcPr>
          <w:p>
            <w:pPr>
              <w:keepNext w:val="0"/>
              <w:keepLines w:val="0"/>
              <w:suppressLineNumbers w:val="0"/>
              <w:spacing w:before="0" w:beforeAutospacing="0" w:after="0" w:afterAutospacing="0"/>
              <w:ind w:left="0" w:right="0"/>
              <w:jc w:val="center"/>
              <w:rPr>
                <w:rFonts w:hint="default" w:ascii="仿宋" w:hAnsi="仿宋" w:eastAsia="仿宋"/>
                <w:color w:val="auto"/>
                <w:kern w:val="0"/>
                <w:sz w:val="24"/>
                <w:szCs w:val="20"/>
              </w:rPr>
            </w:pPr>
            <w:r>
              <w:rPr>
                <w:rFonts w:hint="eastAsia" w:ascii="仿宋" w:hAnsi="仿宋" w:eastAsia="仿宋"/>
                <w:color w:val="auto"/>
                <w:kern w:val="0"/>
                <w:sz w:val="24"/>
                <w:szCs w:val="20"/>
              </w:rPr>
              <w:t>内容</w:t>
            </w:r>
          </w:p>
        </w:tc>
        <w:tc>
          <w:tcPr>
            <w:tcW w:w="6882" w:type="dxa"/>
            <w:vAlign w:val="center"/>
          </w:tcPr>
          <w:p>
            <w:pPr>
              <w:keepNext w:val="0"/>
              <w:keepLines w:val="0"/>
              <w:suppressLineNumbers w:val="0"/>
              <w:spacing w:before="0" w:beforeAutospacing="0" w:after="0" w:afterAutospacing="0"/>
              <w:ind w:left="0" w:right="0"/>
              <w:jc w:val="center"/>
              <w:rPr>
                <w:rFonts w:hint="default" w:ascii="仿宋" w:hAnsi="仿宋" w:eastAsia="仿宋"/>
                <w:color w:val="auto"/>
                <w:kern w:val="0"/>
                <w:sz w:val="24"/>
                <w:szCs w:val="20"/>
              </w:rPr>
            </w:pPr>
            <w:r>
              <w:rPr>
                <w:rFonts w:hint="eastAsia" w:ascii="仿宋" w:hAnsi="仿宋" w:eastAsia="仿宋"/>
                <w:color w:val="auto"/>
                <w:kern w:val="0"/>
                <w:sz w:val="24"/>
                <w:szCs w:val="20"/>
              </w:rPr>
              <w:t>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817" w:type="dxa"/>
            <w:vMerge w:val="restart"/>
            <w:vAlign w:val="center"/>
          </w:tcPr>
          <w:p>
            <w:pPr>
              <w:keepNext w:val="0"/>
              <w:keepLines w:val="0"/>
              <w:suppressLineNumbers w:val="0"/>
              <w:spacing w:before="0" w:beforeAutospacing="0" w:after="0" w:afterAutospacing="0"/>
              <w:ind w:left="0" w:right="0"/>
              <w:jc w:val="center"/>
              <w:rPr>
                <w:rFonts w:hint="default" w:ascii="仿宋" w:hAnsi="仿宋" w:eastAsia="仿宋"/>
                <w:color w:val="auto"/>
                <w:kern w:val="0"/>
                <w:sz w:val="24"/>
                <w:szCs w:val="20"/>
              </w:rPr>
            </w:pPr>
            <w:r>
              <w:rPr>
                <w:rFonts w:hint="eastAsia" w:ascii="仿宋" w:hAnsi="仿宋" w:eastAsia="仿宋"/>
                <w:color w:val="auto"/>
                <w:kern w:val="0"/>
                <w:sz w:val="24"/>
                <w:szCs w:val="20"/>
              </w:rPr>
              <w:t>1</w:t>
            </w:r>
          </w:p>
        </w:tc>
        <w:tc>
          <w:tcPr>
            <w:tcW w:w="1701" w:type="dxa"/>
            <w:vMerge w:val="restart"/>
            <w:vAlign w:val="center"/>
          </w:tcPr>
          <w:p>
            <w:pPr>
              <w:keepNext w:val="0"/>
              <w:keepLines w:val="0"/>
              <w:suppressLineNumbers w:val="0"/>
              <w:spacing w:before="0" w:beforeAutospacing="0" w:after="0" w:afterAutospacing="0"/>
              <w:ind w:left="0" w:right="0"/>
              <w:jc w:val="center"/>
              <w:rPr>
                <w:rFonts w:hint="default" w:ascii="仿宋" w:hAnsi="仿宋" w:eastAsia="仿宋"/>
                <w:color w:val="auto"/>
                <w:kern w:val="0"/>
                <w:sz w:val="24"/>
                <w:szCs w:val="20"/>
              </w:rPr>
            </w:pPr>
            <w:r>
              <w:rPr>
                <w:rFonts w:hint="eastAsia" w:ascii="仿宋" w:hAnsi="仿宋" w:eastAsia="仿宋"/>
                <w:color w:val="auto"/>
                <w:kern w:val="0"/>
                <w:sz w:val="24"/>
                <w:szCs w:val="20"/>
              </w:rPr>
              <w:t>付款条件与比例</w:t>
            </w:r>
          </w:p>
        </w:tc>
        <w:tc>
          <w:tcPr>
            <w:tcW w:w="6882" w:type="dxa"/>
            <w:vAlign w:val="center"/>
          </w:tcPr>
          <w:p>
            <w:pPr>
              <w:keepNext w:val="0"/>
              <w:keepLines w:val="0"/>
              <w:suppressLineNumbers w:val="0"/>
              <w:spacing w:before="0" w:beforeAutospacing="0" w:after="0" w:afterAutospacing="0"/>
              <w:ind w:left="0" w:right="0"/>
              <w:rPr>
                <w:rFonts w:hint="default" w:ascii="仿宋" w:hAnsi="仿宋" w:eastAsia="仿宋"/>
                <w:color w:val="auto"/>
                <w:kern w:val="0"/>
                <w:sz w:val="24"/>
                <w:szCs w:val="20"/>
                <w:highlight w:val="none"/>
              </w:rPr>
            </w:pPr>
            <w:r>
              <w:rPr>
                <w:rFonts w:hint="eastAsia" w:ascii="仿宋" w:hAnsi="仿宋" w:eastAsia="仿宋"/>
                <w:color w:val="auto"/>
                <w:kern w:val="0"/>
                <w:sz w:val="24"/>
                <w:szCs w:val="20"/>
                <w:highlight w:val="none"/>
              </w:rPr>
              <w:t>中小企业中标（成交）的：活动结束并经采购人验收合格后，支付全</w:t>
            </w:r>
            <w:r>
              <w:rPr>
                <w:rFonts w:hint="default" w:ascii="仿宋" w:hAnsi="仿宋" w:eastAsia="仿宋"/>
                <w:color w:val="auto"/>
                <w:kern w:val="0"/>
                <w:sz w:val="24"/>
                <w:szCs w:val="20"/>
                <w:highlight w:val="none"/>
              </w:rPr>
              <w:t>部</w:t>
            </w:r>
            <w:r>
              <w:rPr>
                <w:rFonts w:hint="eastAsia" w:ascii="仿宋" w:hAnsi="仿宋" w:eastAsia="仿宋"/>
                <w:color w:val="auto"/>
                <w:kern w:val="0"/>
                <w:sz w:val="24"/>
                <w:szCs w:val="20"/>
                <w:highlight w:val="none"/>
              </w:rPr>
              <w:t>合同价款。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817" w:type="dxa"/>
            <w:vMerge w:val="continue"/>
            <w:vAlign w:val="center"/>
          </w:tcPr>
          <w:p>
            <w:pPr>
              <w:keepNext w:val="0"/>
              <w:keepLines w:val="0"/>
              <w:suppressLineNumbers w:val="0"/>
              <w:spacing w:before="0" w:beforeAutospacing="0" w:after="0" w:afterAutospacing="0"/>
              <w:ind w:left="0" w:right="0"/>
              <w:jc w:val="center"/>
              <w:rPr>
                <w:rFonts w:hint="default" w:ascii="仿宋" w:hAnsi="仿宋" w:eastAsia="仿宋"/>
                <w:color w:val="auto"/>
                <w:kern w:val="0"/>
                <w:sz w:val="24"/>
                <w:szCs w:val="20"/>
              </w:rPr>
            </w:pPr>
          </w:p>
        </w:tc>
        <w:tc>
          <w:tcPr>
            <w:tcW w:w="1701" w:type="dxa"/>
            <w:vMerge w:val="continue"/>
            <w:vAlign w:val="center"/>
          </w:tcPr>
          <w:p>
            <w:pPr>
              <w:keepNext w:val="0"/>
              <w:keepLines w:val="0"/>
              <w:suppressLineNumbers w:val="0"/>
              <w:spacing w:before="0" w:beforeAutospacing="0" w:after="0" w:afterAutospacing="0"/>
              <w:ind w:left="0" w:right="0"/>
              <w:jc w:val="center"/>
              <w:rPr>
                <w:rFonts w:hint="default" w:ascii="仿宋" w:hAnsi="仿宋" w:eastAsia="仿宋"/>
                <w:color w:val="auto"/>
                <w:kern w:val="0"/>
                <w:sz w:val="24"/>
                <w:szCs w:val="20"/>
              </w:rPr>
            </w:pPr>
          </w:p>
        </w:tc>
        <w:tc>
          <w:tcPr>
            <w:tcW w:w="6882" w:type="dxa"/>
            <w:vAlign w:val="center"/>
          </w:tcPr>
          <w:p>
            <w:pPr>
              <w:keepNext w:val="0"/>
              <w:keepLines w:val="0"/>
              <w:suppressLineNumbers w:val="0"/>
              <w:spacing w:before="0" w:beforeAutospacing="0" w:after="0" w:afterAutospacing="0"/>
              <w:ind w:left="0" w:right="0"/>
              <w:rPr>
                <w:rFonts w:hint="default" w:ascii="仿宋" w:hAnsi="仿宋" w:eastAsia="仿宋"/>
                <w:color w:val="auto"/>
                <w:kern w:val="0"/>
                <w:sz w:val="24"/>
                <w:szCs w:val="20"/>
                <w:highlight w:val="none"/>
              </w:rPr>
            </w:pPr>
            <w:r>
              <w:rPr>
                <w:rFonts w:hint="eastAsia" w:ascii="仿宋" w:hAnsi="仿宋" w:eastAsia="仿宋"/>
                <w:color w:val="auto"/>
                <w:kern w:val="0"/>
                <w:sz w:val="24"/>
                <w:szCs w:val="20"/>
                <w:highlight w:val="none"/>
              </w:rPr>
              <w:t>非中小企业中标（成交）的：活动结束并经采购人验收合格后，支付全</w:t>
            </w:r>
            <w:r>
              <w:rPr>
                <w:rFonts w:hint="default" w:ascii="仿宋" w:hAnsi="仿宋" w:eastAsia="仿宋"/>
                <w:color w:val="auto"/>
                <w:kern w:val="0"/>
                <w:sz w:val="24"/>
                <w:szCs w:val="20"/>
                <w:highlight w:val="none"/>
              </w:rPr>
              <w:t>部</w:t>
            </w:r>
            <w:r>
              <w:rPr>
                <w:rFonts w:hint="eastAsia" w:ascii="仿宋" w:hAnsi="仿宋" w:eastAsia="仿宋"/>
                <w:color w:val="auto"/>
                <w:kern w:val="0"/>
                <w:sz w:val="24"/>
                <w:szCs w:val="20"/>
                <w:highlight w:val="none"/>
              </w:rPr>
              <w:t>合同价款。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817" w:type="dxa"/>
            <w:vAlign w:val="center"/>
          </w:tcPr>
          <w:p>
            <w:pPr>
              <w:keepNext w:val="0"/>
              <w:keepLines w:val="0"/>
              <w:suppressLineNumbers w:val="0"/>
              <w:snapToGrid w:val="0"/>
              <w:spacing w:before="0" w:beforeAutospacing="0" w:after="0" w:afterAutospacing="0"/>
              <w:ind w:left="0" w:right="0"/>
              <w:jc w:val="center"/>
              <w:rPr>
                <w:rFonts w:hint="default" w:ascii="仿宋" w:hAnsi="仿宋" w:eastAsia="仿宋"/>
                <w:color w:val="auto"/>
                <w:kern w:val="0"/>
                <w:sz w:val="24"/>
                <w:szCs w:val="20"/>
              </w:rPr>
            </w:pPr>
            <w:r>
              <w:rPr>
                <w:rFonts w:hint="eastAsia" w:ascii="仿宋" w:hAnsi="仿宋" w:eastAsia="仿宋"/>
                <w:color w:val="auto"/>
                <w:kern w:val="0"/>
                <w:sz w:val="24"/>
                <w:szCs w:val="20"/>
              </w:rPr>
              <w:t>2</w:t>
            </w:r>
          </w:p>
        </w:tc>
        <w:tc>
          <w:tcPr>
            <w:tcW w:w="1701" w:type="dxa"/>
            <w:vAlign w:val="center"/>
          </w:tcPr>
          <w:p>
            <w:pPr>
              <w:keepNext w:val="0"/>
              <w:keepLines w:val="0"/>
              <w:suppressLineNumbers w:val="0"/>
              <w:snapToGrid w:val="0"/>
              <w:spacing w:before="0" w:beforeAutospacing="0" w:after="0" w:afterAutospacing="0"/>
              <w:ind w:left="0" w:right="0"/>
              <w:jc w:val="center"/>
              <w:rPr>
                <w:rFonts w:hint="default" w:ascii="仿宋" w:hAnsi="仿宋" w:eastAsia="仿宋"/>
                <w:color w:val="auto"/>
                <w:kern w:val="0"/>
                <w:sz w:val="24"/>
                <w:szCs w:val="20"/>
              </w:rPr>
            </w:pPr>
            <w:r>
              <w:rPr>
                <w:rFonts w:hint="eastAsia" w:ascii="仿宋" w:hAnsi="仿宋" w:eastAsia="仿宋"/>
                <w:color w:val="auto"/>
                <w:kern w:val="0"/>
                <w:sz w:val="24"/>
                <w:szCs w:val="20"/>
              </w:rPr>
              <w:t>支付方式</w:t>
            </w:r>
          </w:p>
        </w:tc>
        <w:tc>
          <w:tcPr>
            <w:tcW w:w="6882" w:type="dxa"/>
            <w:vAlign w:val="center"/>
          </w:tcPr>
          <w:p>
            <w:pPr>
              <w:keepNext w:val="0"/>
              <w:keepLines w:val="0"/>
              <w:suppressLineNumbers w:val="0"/>
              <w:spacing w:before="0" w:beforeAutospacing="0" w:after="0" w:afterAutospacing="0"/>
              <w:ind w:left="0" w:right="0"/>
              <w:rPr>
                <w:rFonts w:hint="default" w:ascii="仿宋" w:hAnsi="仿宋" w:eastAsia="仿宋"/>
                <w:b/>
                <w:color w:val="auto"/>
                <w:kern w:val="0"/>
                <w:sz w:val="24"/>
                <w:szCs w:val="21"/>
              </w:rPr>
            </w:pPr>
            <w:r>
              <w:rPr>
                <w:rFonts w:hint="eastAsia" w:ascii="仿宋" w:hAnsi="仿宋" w:eastAsia="仿宋"/>
                <w:color w:val="auto"/>
                <w:kern w:val="0"/>
                <w:sz w:val="24"/>
                <w:szCs w:val="21"/>
              </w:rPr>
              <w:t>本项目合同款通过国库集中支付，采购人按约定的付款时间向长春市财政局提出资金支付申请，履行合同付款义务。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817" w:type="dxa"/>
            <w:vMerge w:val="restart"/>
            <w:vAlign w:val="center"/>
          </w:tcPr>
          <w:p>
            <w:pPr>
              <w:keepNext w:val="0"/>
              <w:keepLines w:val="0"/>
              <w:suppressLineNumbers w:val="0"/>
              <w:snapToGrid w:val="0"/>
              <w:spacing w:before="0" w:beforeAutospacing="0" w:after="0" w:afterAutospacing="0"/>
              <w:ind w:left="0" w:right="0"/>
              <w:jc w:val="center"/>
              <w:rPr>
                <w:rFonts w:hint="default" w:ascii="仿宋" w:hAnsi="仿宋" w:eastAsia="仿宋"/>
                <w:color w:val="auto"/>
                <w:kern w:val="0"/>
                <w:sz w:val="24"/>
                <w:szCs w:val="20"/>
              </w:rPr>
            </w:pPr>
            <w:r>
              <w:rPr>
                <w:rFonts w:hint="eastAsia" w:ascii="仿宋" w:hAnsi="仿宋" w:eastAsia="仿宋"/>
                <w:color w:val="auto"/>
                <w:kern w:val="0"/>
                <w:sz w:val="24"/>
                <w:szCs w:val="20"/>
              </w:rPr>
              <w:t>3</w:t>
            </w:r>
          </w:p>
        </w:tc>
        <w:tc>
          <w:tcPr>
            <w:tcW w:w="1701" w:type="dxa"/>
            <w:vMerge w:val="restart"/>
            <w:vAlign w:val="center"/>
          </w:tcPr>
          <w:p>
            <w:pPr>
              <w:keepNext w:val="0"/>
              <w:keepLines w:val="0"/>
              <w:suppressLineNumbers w:val="0"/>
              <w:snapToGrid w:val="0"/>
              <w:spacing w:before="0" w:beforeAutospacing="0" w:after="0" w:afterAutospacing="0"/>
              <w:ind w:left="0" w:right="0"/>
              <w:jc w:val="center"/>
              <w:rPr>
                <w:rFonts w:hint="default" w:ascii="仿宋" w:hAnsi="仿宋" w:eastAsia="仿宋"/>
                <w:color w:val="auto"/>
                <w:kern w:val="0"/>
                <w:sz w:val="24"/>
                <w:szCs w:val="20"/>
              </w:rPr>
            </w:pPr>
            <w:r>
              <w:rPr>
                <w:rFonts w:hint="eastAsia" w:ascii="仿宋" w:hAnsi="仿宋" w:eastAsia="仿宋"/>
                <w:color w:val="auto"/>
                <w:kern w:val="0"/>
                <w:sz w:val="24"/>
                <w:szCs w:val="20"/>
              </w:rPr>
              <w:t>履约保证金数额</w:t>
            </w:r>
          </w:p>
        </w:tc>
        <w:tc>
          <w:tcPr>
            <w:tcW w:w="6882" w:type="dxa"/>
            <w:vAlign w:val="center"/>
          </w:tcPr>
          <w:p>
            <w:pPr>
              <w:keepNext w:val="0"/>
              <w:keepLines w:val="0"/>
              <w:suppressLineNumbers w:val="0"/>
              <w:snapToGrid w:val="0"/>
              <w:spacing w:before="0" w:beforeAutospacing="0" w:after="0" w:afterAutospacing="0"/>
              <w:ind w:left="0" w:right="0"/>
              <w:rPr>
                <w:rFonts w:hint="default" w:ascii="仿宋" w:hAnsi="仿宋" w:eastAsia="仿宋"/>
                <w:color w:val="auto"/>
                <w:kern w:val="0"/>
                <w:sz w:val="24"/>
                <w:szCs w:val="20"/>
              </w:rPr>
            </w:pPr>
            <w:r>
              <w:rPr>
                <w:rFonts w:hint="eastAsia" w:ascii="仿宋" w:hAnsi="仿宋" w:eastAsia="仿宋"/>
                <w:color w:val="auto"/>
                <w:kern w:val="0"/>
                <w:sz w:val="24"/>
                <w:szCs w:val="20"/>
              </w:rPr>
              <w:t>中小企业中标（成交）的：</w:t>
            </w:r>
            <w:r>
              <w:rPr>
                <w:rFonts w:hint="eastAsia" w:ascii="仿宋" w:hAnsi="仿宋" w:eastAsia="仿宋"/>
                <w:color w:val="auto"/>
                <w:kern w:val="0"/>
                <w:sz w:val="24"/>
                <w:szCs w:val="21"/>
              </w:rPr>
              <w:t>中标（成交）金额的2%。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817" w:type="dxa"/>
            <w:vMerge w:val="continue"/>
            <w:vAlign w:val="center"/>
          </w:tcPr>
          <w:p>
            <w:pPr>
              <w:keepNext w:val="0"/>
              <w:keepLines w:val="0"/>
              <w:suppressLineNumbers w:val="0"/>
              <w:snapToGrid w:val="0"/>
              <w:spacing w:before="0" w:beforeAutospacing="0" w:after="0" w:afterAutospacing="0"/>
              <w:ind w:left="0" w:right="0"/>
              <w:jc w:val="center"/>
              <w:rPr>
                <w:rFonts w:hint="default" w:ascii="仿宋" w:hAnsi="仿宋" w:eastAsia="仿宋"/>
                <w:color w:val="auto"/>
                <w:kern w:val="0"/>
                <w:sz w:val="24"/>
                <w:szCs w:val="20"/>
              </w:rPr>
            </w:pPr>
          </w:p>
        </w:tc>
        <w:tc>
          <w:tcPr>
            <w:tcW w:w="1701" w:type="dxa"/>
            <w:vMerge w:val="continue"/>
            <w:vAlign w:val="center"/>
          </w:tcPr>
          <w:p>
            <w:pPr>
              <w:keepNext w:val="0"/>
              <w:keepLines w:val="0"/>
              <w:suppressLineNumbers w:val="0"/>
              <w:snapToGrid w:val="0"/>
              <w:spacing w:before="0" w:beforeAutospacing="0" w:after="0" w:afterAutospacing="0"/>
              <w:ind w:left="0" w:right="0"/>
              <w:jc w:val="center"/>
              <w:rPr>
                <w:rFonts w:hint="default" w:ascii="仿宋" w:hAnsi="仿宋" w:eastAsia="仿宋"/>
                <w:color w:val="auto"/>
                <w:kern w:val="0"/>
                <w:sz w:val="24"/>
                <w:szCs w:val="20"/>
              </w:rPr>
            </w:pPr>
          </w:p>
        </w:tc>
        <w:tc>
          <w:tcPr>
            <w:tcW w:w="6882" w:type="dxa"/>
            <w:vAlign w:val="center"/>
          </w:tcPr>
          <w:p>
            <w:pPr>
              <w:keepNext w:val="0"/>
              <w:keepLines w:val="0"/>
              <w:suppressLineNumbers w:val="0"/>
              <w:snapToGrid w:val="0"/>
              <w:spacing w:before="0" w:beforeAutospacing="0" w:after="0" w:afterAutospacing="0"/>
              <w:ind w:left="0" w:right="0"/>
              <w:rPr>
                <w:rFonts w:hint="default" w:ascii="仿宋" w:hAnsi="仿宋" w:eastAsia="仿宋"/>
                <w:color w:val="auto"/>
                <w:kern w:val="0"/>
                <w:sz w:val="24"/>
                <w:szCs w:val="21"/>
              </w:rPr>
            </w:pPr>
            <w:r>
              <w:rPr>
                <w:rFonts w:hint="eastAsia" w:ascii="仿宋" w:hAnsi="仿宋" w:eastAsia="仿宋"/>
                <w:color w:val="auto"/>
                <w:kern w:val="0"/>
                <w:sz w:val="24"/>
                <w:szCs w:val="20"/>
              </w:rPr>
              <w:t>非中小企业中标（成交）的：</w:t>
            </w:r>
            <w:r>
              <w:rPr>
                <w:rFonts w:hint="eastAsia" w:ascii="仿宋" w:hAnsi="仿宋" w:eastAsia="仿宋"/>
                <w:color w:val="auto"/>
                <w:kern w:val="0"/>
                <w:sz w:val="24"/>
                <w:szCs w:val="21"/>
              </w:rPr>
              <w:t>中标（成交）金额的5%。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817" w:type="dxa"/>
            <w:vAlign w:val="center"/>
          </w:tcPr>
          <w:p>
            <w:pPr>
              <w:keepNext w:val="0"/>
              <w:keepLines w:val="0"/>
              <w:suppressLineNumbers w:val="0"/>
              <w:snapToGrid w:val="0"/>
              <w:spacing w:before="0" w:beforeAutospacing="0" w:after="0" w:afterAutospacing="0"/>
              <w:ind w:left="0" w:right="0"/>
              <w:jc w:val="center"/>
              <w:rPr>
                <w:rFonts w:hint="default" w:ascii="仿宋" w:hAnsi="仿宋" w:eastAsia="仿宋"/>
                <w:color w:val="auto"/>
                <w:kern w:val="0"/>
                <w:sz w:val="24"/>
                <w:szCs w:val="20"/>
              </w:rPr>
            </w:pPr>
            <w:r>
              <w:rPr>
                <w:rFonts w:hint="eastAsia" w:ascii="仿宋" w:hAnsi="仿宋" w:eastAsia="仿宋"/>
                <w:color w:val="auto"/>
                <w:kern w:val="0"/>
                <w:sz w:val="24"/>
                <w:szCs w:val="20"/>
              </w:rPr>
              <w:t>4</w:t>
            </w:r>
          </w:p>
        </w:tc>
        <w:tc>
          <w:tcPr>
            <w:tcW w:w="1701" w:type="dxa"/>
            <w:vAlign w:val="center"/>
          </w:tcPr>
          <w:p>
            <w:pPr>
              <w:keepNext w:val="0"/>
              <w:keepLines w:val="0"/>
              <w:suppressLineNumbers w:val="0"/>
              <w:snapToGrid w:val="0"/>
              <w:spacing w:before="0" w:beforeAutospacing="0" w:after="0" w:afterAutospacing="0"/>
              <w:ind w:left="0" w:right="0"/>
              <w:jc w:val="center"/>
              <w:rPr>
                <w:rFonts w:hint="default" w:ascii="仿宋" w:hAnsi="仿宋" w:eastAsia="仿宋"/>
                <w:color w:val="auto"/>
                <w:kern w:val="0"/>
                <w:sz w:val="24"/>
                <w:szCs w:val="20"/>
              </w:rPr>
            </w:pPr>
            <w:r>
              <w:rPr>
                <w:rFonts w:hint="eastAsia" w:ascii="仿宋" w:hAnsi="仿宋" w:eastAsia="仿宋"/>
                <w:color w:val="auto"/>
                <w:kern w:val="0"/>
                <w:sz w:val="24"/>
                <w:szCs w:val="20"/>
              </w:rPr>
              <w:t>履约管理与违约责任</w:t>
            </w:r>
          </w:p>
        </w:tc>
        <w:tc>
          <w:tcPr>
            <w:tcW w:w="6882" w:type="dxa"/>
            <w:vAlign w:val="center"/>
          </w:tcPr>
          <w:p>
            <w:pPr>
              <w:keepNext w:val="0"/>
              <w:keepLines w:val="0"/>
              <w:suppressLineNumbers w:val="0"/>
              <w:snapToGrid w:val="0"/>
              <w:spacing w:before="0" w:beforeAutospacing="0" w:after="0" w:afterAutospacing="0"/>
              <w:ind w:left="0" w:right="0"/>
              <w:rPr>
                <w:rFonts w:hint="eastAsia" w:ascii="仿宋" w:hAnsi="仿宋" w:eastAsia="仿宋" w:cs="Times New Roman"/>
                <w:color w:val="auto"/>
                <w:kern w:val="0"/>
                <w:sz w:val="24"/>
                <w:szCs w:val="20"/>
              </w:rPr>
            </w:pPr>
            <w:r>
              <w:rPr>
                <w:rFonts w:hint="eastAsia" w:ascii="仿宋" w:hAnsi="仿宋" w:eastAsia="仿宋" w:cs="Times New Roman"/>
                <w:color w:val="auto"/>
                <w:kern w:val="0"/>
                <w:sz w:val="24"/>
                <w:szCs w:val="20"/>
              </w:rPr>
              <w:t>1.供应商未能按照采购需求履约，采购人有权责令供应商按采购需求进行限期整改，如整改后仍不符合采购需求，可最高扣除相应不符合要求部分的100%费用；如供应商拒不整改，影响活动正常开展的，采购人有权立即解除合同，追回已支付合同价款，并保留追究供应商责任的权利。</w:t>
            </w:r>
          </w:p>
          <w:p>
            <w:pPr>
              <w:keepNext w:val="0"/>
              <w:keepLines w:val="0"/>
              <w:suppressLineNumbers w:val="0"/>
              <w:snapToGrid w:val="0"/>
              <w:spacing w:before="0" w:beforeAutospacing="0" w:after="0" w:afterAutospacing="0"/>
              <w:ind w:left="0" w:right="0"/>
              <w:rPr>
                <w:rFonts w:hint="default" w:ascii="仿宋" w:hAnsi="仿宋" w:eastAsia="仿宋"/>
                <w:color w:val="auto"/>
                <w:kern w:val="0"/>
                <w:sz w:val="24"/>
                <w:szCs w:val="20"/>
              </w:rPr>
            </w:pPr>
            <w:r>
              <w:rPr>
                <w:rFonts w:hint="eastAsia" w:ascii="仿宋" w:hAnsi="仿宋" w:eastAsia="仿宋" w:cs="Times New Roman"/>
                <w:color w:val="auto"/>
                <w:kern w:val="0"/>
                <w:sz w:val="24"/>
                <w:szCs w:val="20"/>
              </w:rPr>
              <w:t>2.由于供应商的原因造成财产损失或人员伤害的，由供应商承担全部责任。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817" w:type="dxa"/>
            <w:vAlign w:val="center"/>
          </w:tcPr>
          <w:p>
            <w:pPr>
              <w:keepNext w:val="0"/>
              <w:keepLines w:val="0"/>
              <w:suppressLineNumbers w:val="0"/>
              <w:snapToGrid w:val="0"/>
              <w:spacing w:before="0" w:beforeAutospacing="0" w:after="0" w:afterAutospacing="0"/>
              <w:ind w:left="0" w:right="0"/>
              <w:jc w:val="center"/>
              <w:rPr>
                <w:rFonts w:hint="default" w:ascii="仿宋" w:hAnsi="仿宋" w:eastAsia="仿宋"/>
                <w:color w:val="auto"/>
                <w:kern w:val="0"/>
                <w:sz w:val="24"/>
                <w:szCs w:val="20"/>
              </w:rPr>
            </w:pPr>
            <w:r>
              <w:rPr>
                <w:rFonts w:hint="eastAsia" w:ascii="仿宋" w:hAnsi="仿宋" w:eastAsia="仿宋"/>
                <w:color w:val="auto"/>
                <w:kern w:val="0"/>
                <w:sz w:val="24"/>
                <w:szCs w:val="20"/>
              </w:rPr>
              <w:t>5</w:t>
            </w:r>
          </w:p>
        </w:tc>
        <w:tc>
          <w:tcPr>
            <w:tcW w:w="1701" w:type="dxa"/>
            <w:vAlign w:val="center"/>
          </w:tcPr>
          <w:p>
            <w:pPr>
              <w:keepNext w:val="0"/>
              <w:keepLines w:val="0"/>
              <w:suppressLineNumbers w:val="0"/>
              <w:snapToGrid w:val="0"/>
              <w:spacing w:before="0" w:beforeAutospacing="0" w:after="0" w:afterAutospacing="0"/>
              <w:ind w:left="0" w:right="0"/>
              <w:jc w:val="center"/>
              <w:rPr>
                <w:rFonts w:hint="default" w:ascii="仿宋" w:hAnsi="仿宋" w:eastAsia="仿宋"/>
                <w:color w:val="auto"/>
                <w:kern w:val="0"/>
                <w:sz w:val="24"/>
                <w:szCs w:val="20"/>
              </w:rPr>
            </w:pPr>
            <w:r>
              <w:rPr>
                <w:rFonts w:hint="eastAsia" w:ascii="仿宋" w:hAnsi="仿宋" w:eastAsia="仿宋"/>
                <w:color w:val="auto"/>
                <w:kern w:val="0"/>
                <w:sz w:val="24"/>
                <w:szCs w:val="20"/>
              </w:rPr>
              <w:t>验收标准及要求</w:t>
            </w:r>
          </w:p>
        </w:tc>
        <w:tc>
          <w:tcPr>
            <w:tcW w:w="6882" w:type="dxa"/>
            <w:vAlign w:val="center"/>
          </w:tcPr>
          <w:p>
            <w:pPr>
              <w:keepNext w:val="0"/>
              <w:keepLines w:val="0"/>
              <w:suppressLineNumbers w:val="0"/>
              <w:snapToGrid w:val="0"/>
              <w:spacing w:before="0" w:beforeAutospacing="0" w:after="0" w:afterAutospacing="0"/>
              <w:ind w:left="0" w:right="0"/>
              <w:rPr>
                <w:rFonts w:hint="default" w:ascii="仿宋" w:hAnsi="仿宋" w:eastAsia="仿宋"/>
                <w:color w:val="auto"/>
                <w:kern w:val="0"/>
                <w:sz w:val="24"/>
                <w:szCs w:val="20"/>
              </w:rPr>
            </w:pPr>
            <w:r>
              <w:rPr>
                <w:rFonts w:hint="eastAsia" w:ascii="仿宋" w:hAnsi="仿宋" w:eastAsia="仿宋"/>
                <w:color w:val="auto"/>
                <w:kern w:val="0"/>
                <w:sz w:val="24"/>
                <w:szCs w:val="20"/>
              </w:rPr>
              <w:t>根据采购需求验收，供应商</w:t>
            </w:r>
            <w:r>
              <w:rPr>
                <w:rFonts w:hint="default" w:ascii="仿宋" w:hAnsi="仿宋" w:eastAsia="仿宋"/>
                <w:color w:val="auto"/>
                <w:kern w:val="0"/>
                <w:sz w:val="24"/>
                <w:szCs w:val="20"/>
              </w:rPr>
              <w:t>应</w:t>
            </w:r>
            <w:r>
              <w:rPr>
                <w:rFonts w:hint="eastAsia" w:ascii="仿宋" w:hAnsi="仿宋" w:eastAsia="仿宋"/>
                <w:color w:val="auto"/>
                <w:kern w:val="0"/>
                <w:sz w:val="24"/>
                <w:szCs w:val="20"/>
              </w:rPr>
              <w:t>在活动结束后向</w:t>
            </w:r>
            <w:r>
              <w:rPr>
                <w:rFonts w:hint="default" w:ascii="仿宋" w:hAnsi="仿宋" w:eastAsia="仿宋"/>
                <w:color w:val="auto"/>
                <w:kern w:val="0"/>
                <w:sz w:val="24"/>
                <w:szCs w:val="20"/>
              </w:rPr>
              <w:t>采购人</w:t>
            </w:r>
            <w:r>
              <w:rPr>
                <w:rFonts w:hint="eastAsia" w:ascii="仿宋" w:hAnsi="仿宋" w:eastAsia="仿宋"/>
                <w:color w:val="auto"/>
                <w:kern w:val="0"/>
                <w:sz w:val="24"/>
                <w:szCs w:val="20"/>
              </w:rPr>
              <w:t>提供</w:t>
            </w:r>
            <w:r>
              <w:rPr>
                <w:rFonts w:hint="default" w:ascii="仿宋" w:hAnsi="仿宋" w:eastAsia="仿宋"/>
                <w:color w:val="auto"/>
                <w:kern w:val="0"/>
                <w:sz w:val="24"/>
                <w:szCs w:val="20"/>
              </w:rPr>
              <w:t>履约</w:t>
            </w:r>
            <w:r>
              <w:rPr>
                <w:rFonts w:hint="eastAsia" w:ascii="仿宋" w:hAnsi="仿宋" w:eastAsia="仿宋"/>
                <w:color w:val="auto"/>
                <w:kern w:val="0"/>
                <w:sz w:val="24"/>
                <w:szCs w:val="20"/>
              </w:rPr>
              <w:t>验收</w:t>
            </w:r>
            <w:r>
              <w:rPr>
                <w:rFonts w:hint="default" w:ascii="仿宋" w:hAnsi="仿宋" w:eastAsia="仿宋"/>
                <w:color w:val="auto"/>
                <w:kern w:val="0"/>
                <w:sz w:val="24"/>
                <w:szCs w:val="20"/>
              </w:rPr>
              <w:t>材</w:t>
            </w:r>
            <w:r>
              <w:rPr>
                <w:rFonts w:hint="eastAsia" w:ascii="仿宋" w:hAnsi="仿宋" w:eastAsia="仿宋"/>
                <w:color w:val="auto"/>
                <w:kern w:val="0"/>
                <w:sz w:val="24"/>
                <w:szCs w:val="20"/>
              </w:rPr>
              <w:t>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817" w:type="dxa"/>
            <w:vAlign w:val="center"/>
          </w:tcPr>
          <w:p>
            <w:pPr>
              <w:keepNext w:val="0"/>
              <w:keepLines w:val="0"/>
              <w:suppressLineNumbers w:val="0"/>
              <w:snapToGrid w:val="0"/>
              <w:spacing w:before="0" w:beforeAutospacing="0" w:after="0" w:afterAutospacing="0"/>
              <w:ind w:left="0" w:right="0"/>
              <w:jc w:val="center"/>
              <w:rPr>
                <w:rFonts w:hint="default" w:ascii="仿宋" w:hAnsi="仿宋" w:eastAsia="仿宋"/>
                <w:color w:val="auto"/>
                <w:kern w:val="0"/>
                <w:sz w:val="24"/>
                <w:szCs w:val="20"/>
              </w:rPr>
            </w:pPr>
            <w:r>
              <w:rPr>
                <w:rFonts w:hint="eastAsia" w:ascii="仿宋" w:hAnsi="仿宋" w:eastAsia="仿宋"/>
                <w:color w:val="auto"/>
                <w:kern w:val="0"/>
                <w:sz w:val="24"/>
                <w:szCs w:val="20"/>
              </w:rPr>
              <w:t>6</w:t>
            </w:r>
          </w:p>
        </w:tc>
        <w:tc>
          <w:tcPr>
            <w:tcW w:w="1701" w:type="dxa"/>
            <w:vAlign w:val="center"/>
          </w:tcPr>
          <w:p>
            <w:pPr>
              <w:keepNext w:val="0"/>
              <w:keepLines w:val="0"/>
              <w:suppressLineNumbers w:val="0"/>
              <w:snapToGrid w:val="0"/>
              <w:spacing w:before="0" w:beforeAutospacing="0" w:after="0" w:afterAutospacing="0"/>
              <w:ind w:left="0" w:right="0"/>
              <w:jc w:val="center"/>
              <w:rPr>
                <w:rFonts w:hint="default" w:ascii="仿宋" w:hAnsi="仿宋" w:eastAsia="仿宋"/>
                <w:color w:val="auto"/>
                <w:kern w:val="0"/>
                <w:sz w:val="24"/>
                <w:szCs w:val="20"/>
              </w:rPr>
            </w:pPr>
            <w:r>
              <w:rPr>
                <w:rFonts w:hint="default" w:ascii="仿宋" w:hAnsi="仿宋" w:eastAsia="仿宋"/>
                <w:color w:val="auto"/>
                <w:kern w:val="0"/>
                <w:sz w:val="24"/>
                <w:szCs w:val="20"/>
              </w:rPr>
              <w:t>…</w:t>
            </w:r>
          </w:p>
        </w:tc>
        <w:tc>
          <w:tcPr>
            <w:tcW w:w="6882" w:type="dxa"/>
            <w:vAlign w:val="center"/>
          </w:tcPr>
          <w:p>
            <w:pPr>
              <w:keepNext w:val="0"/>
              <w:keepLines w:val="0"/>
              <w:suppressLineNumbers w:val="0"/>
              <w:snapToGrid w:val="0"/>
              <w:spacing w:before="0" w:beforeAutospacing="0" w:after="0" w:afterAutospacing="0"/>
              <w:ind w:left="0" w:right="0"/>
              <w:rPr>
                <w:rFonts w:hint="default" w:ascii="仿宋" w:hAnsi="仿宋" w:eastAsia="仿宋"/>
                <w:color w:val="auto"/>
                <w:kern w:val="0"/>
                <w:sz w:val="24"/>
                <w:szCs w:val="20"/>
              </w:rPr>
            </w:pPr>
          </w:p>
        </w:tc>
      </w:tr>
    </w:tbl>
    <w:p>
      <w:pPr>
        <w:pStyle w:val="141"/>
        <w:rPr>
          <w:rFonts w:hAnsi="宋体"/>
          <w:color w:val="auto"/>
          <w:highlight w:val="none"/>
        </w:rPr>
      </w:pPr>
    </w:p>
    <w:p>
      <w:pPr>
        <w:pStyle w:val="141"/>
        <w:rPr>
          <w:rFonts w:hAnsi="宋体"/>
          <w:color w:val="auto"/>
          <w:highlight w:val="none"/>
        </w:rPr>
      </w:pPr>
    </w:p>
    <w:p>
      <w:pPr>
        <w:pStyle w:val="141"/>
        <w:rPr>
          <w:rFonts w:hAnsi="宋体"/>
          <w:color w:val="auto"/>
          <w:highlight w:val="none"/>
        </w:rPr>
      </w:pPr>
    </w:p>
    <w:p>
      <w:pPr>
        <w:pStyle w:val="141"/>
        <w:rPr>
          <w:rFonts w:hAnsi="宋体"/>
          <w:color w:val="auto"/>
          <w:highlight w:val="none"/>
        </w:rPr>
      </w:pPr>
    </w:p>
    <w:p>
      <w:pPr>
        <w:pStyle w:val="141"/>
        <w:rPr>
          <w:rFonts w:hAnsi="宋体"/>
          <w:color w:val="auto"/>
          <w:highlight w:val="none"/>
        </w:rPr>
      </w:pPr>
    </w:p>
    <w:p>
      <w:pPr>
        <w:pStyle w:val="141"/>
        <w:rPr>
          <w:rFonts w:hAnsi="宋体"/>
          <w:color w:val="auto"/>
          <w:highlight w:val="none"/>
        </w:rPr>
      </w:pPr>
    </w:p>
    <w:p>
      <w:pPr>
        <w:pStyle w:val="141"/>
        <w:rPr>
          <w:rFonts w:hAnsi="宋体"/>
          <w:color w:val="auto"/>
          <w:highlight w:val="none"/>
        </w:rPr>
      </w:pPr>
    </w:p>
    <w:p>
      <w:pPr>
        <w:pStyle w:val="141"/>
        <w:rPr>
          <w:rFonts w:hAnsi="宋体"/>
          <w:color w:val="auto"/>
          <w:highlight w:val="none"/>
        </w:rPr>
      </w:pPr>
    </w:p>
    <w:p>
      <w:pPr>
        <w:pStyle w:val="141"/>
        <w:rPr>
          <w:rFonts w:hAnsi="宋体"/>
          <w:color w:val="auto"/>
          <w:highlight w:val="none"/>
        </w:rPr>
      </w:pPr>
    </w:p>
    <w:p>
      <w:pPr>
        <w:pStyle w:val="141"/>
        <w:rPr>
          <w:rFonts w:hAnsi="宋体"/>
          <w:color w:val="auto"/>
          <w:highlight w:val="none"/>
        </w:rPr>
      </w:pPr>
    </w:p>
    <w:p>
      <w:pPr>
        <w:pStyle w:val="141"/>
        <w:rPr>
          <w:rFonts w:hAnsi="宋体"/>
          <w:color w:val="auto"/>
          <w:highlight w:val="none"/>
        </w:rPr>
      </w:pPr>
    </w:p>
    <w:p>
      <w:pPr>
        <w:pStyle w:val="141"/>
        <w:rPr>
          <w:rFonts w:hAnsi="宋体"/>
          <w:color w:val="auto"/>
          <w:highlight w:val="none"/>
        </w:rPr>
      </w:pPr>
    </w:p>
    <w:p>
      <w:pPr>
        <w:pStyle w:val="141"/>
        <w:rPr>
          <w:rFonts w:hAnsi="宋体"/>
          <w:color w:val="auto"/>
          <w:highlight w:val="none"/>
        </w:rPr>
      </w:pPr>
    </w:p>
    <w:p>
      <w:pPr>
        <w:pStyle w:val="141"/>
        <w:rPr>
          <w:rFonts w:hAnsi="宋体"/>
          <w:color w:val="auto"/>
          <w:highlight w:val="none"/>
        </w:rPr>
      </w:pPr>
    </w:p>
    <w:p>
      <w:pPr>
        <w:pStyle w:val="141"/>
        <w:rPr>
          <w:rFonts w:hAnsi="宋体"/>
          <w:color w:val="auto"/>
          <w:highlight w:val="none"/>
        </w:rPr>
      </w:pPr>
    </w:p>
    <w:p>
      <w:pPr>
        <w:rPr>
          <w:color w:val="auto"/>
          <w:highlight w:val="none"/>
        </w:rPr>
      </w:pPr>
      <w:r>
        <w:rPr>
          <w:rFonts w:hAnsi="宋体"/>
          <w:color w:val="auto"/>
          <w:highlight w:val="none"/>
        </w:rPr>
        <w:br w:type="page"/>
      </w:r>
    </w:p>
    <w:p>
      <w:pPr>
        <w:pStyle w:val="141"/>
        <w:rPr>
          <w:rFonts w:hAnsi="宋体"/>
          <w:color w:val="auto"/>
          <w:highlight w:val="none"/>
        </w:rPr>
      </w:pPr>
    </w:p>
    <w:p>
      <w:pPr>
        <w:pStyle w:val="2"/>
        <w:numPr>
          <w:ilvl w:val="0"/>
          <w:numId w:val="5"/>
        </w:numPr>
        <w:rPr>
          <w:rFonts w:ascii="宋体" w:hAnsi="宋体" w:cs="宋体"/>
          <w:color w:val="auto"/>
          <w:kern w:val="2"/>
          <w:sz w:val="36"/>
          <w:szCs w:val="36"/>
          <w:highlight w:val="none"/>
        </w:rPr>
      </w:pPr>
      <w:r>
        <w:rPr>
          <w:rFonts w:hint="eastAsia" w:ascii="宋体" w:hAnsi="宋体" w:cs="宋体"/>
          <w:color w:val="auto"/>
          <w:kern w:val="2"/>
          <w:sz w:val="36"/>
          <w:szCs w:val="36"/>
          <w:highlight w:val="none"/>
        </w:rPr>
        <w:t xml:space="preserve"> </w:t>
      </w:r>
      <w:bookmarkStart w:id="54" w:name="_Toc31817"/>
      <w:r>
        <w:rPr>
          <w:rFonts w:hint="eastAsia" w:ascii="宋体" w:hAnsi="宋体" w:cs="宋体"/>
          <w:color w:val="auto"/>
          <w:kern w:val="2"/>
          <w:sz w:val="36"/>
          <w:szCs w:val="36"/>
          <w:highlight w:val="none"/>
        </w:rPr>
        <w:t>技术标准及服务需求</w:t>
      </w:r>
      <w:bookmarkEnd w:id="54"/>
    </w:p>
    <w:bookmarkEnd w:id="45"/>
    <w:bookmarkEnd w:id="46"/>
    <w:bookmarkEnd w:id="47"/>
    <w:bookmarkEnd w:id="48"/>
    <w:bookmarkEnd w:id="49"/>
    <w:bookmarkEnd w:id="50"/>
    <w:p>
      <w:pPr>
        <w:keepNext w:val="0"/>
        <w:keepLines w:val="0"/>
        <w:kinsoku/>
        <w:overflowPunct/>
        <w:topLinePunct w:val="0"/>
        <w:bidi w:val="0"/>
        <w:spacing w:line="240" w:lineRule="auto"/>
        <w:jc w:val="left"/>
        <w:textAlignment w:val="auto"/>
        <w:rPr>
          <w:rFonts w:hint="eastAsia" w:ascii="宋体" w:hAnsi="宋体" w:eastAsia="宋体" w:cs="宋体"/>
          <w:b/>
          <w:color w:val="auto"/>
          <w:kern w:val="0"/>
          <w:sz w:val="24"/>
        </w:rPr>
      </w:pPr>
      <w:bookmarkStart w:id="55" w:name="_Toc13878"/>
      <w:bookmarkStart w:id="56" w:name="_Toc14912"/>
      <w:bookmarkStart w:id="57" w:name="_Toc28412"/>
      <w:bookmarkStart w:id="58" w:name="_Toc20642"/>
      <w:bookmarkStart w:id="59" w:name="_Toc10416"/>
      <w:bookmarkStart w:id="60" w:name="_Toc7526"/>
      <w:bookmarkStart w:id="61" w:name="_Toc10173"/>
      <w:r>
        <w:rPr>
          <w:rFonts w:hint="eastAsia" w:ascii="宋体" w:hAnsi="宋体" w:eastAsia="宋体" w:cs="宋体"/>
          <w:b/>
          <w:color w:val="auto"/>
          <w:kern w:val="0"/>
          <w:sz w:val="24"/>
        </w:rPr>
        <w:t>一、项目概况与总体要求</w:t>
      </w:r>
    </w:p>
    <w:p>
      <w:pPr>
        <w:spacing w:line="360" w:lineRule="auto"/>
        <w:ind w:firstLine="480" w:firstLineChars="200"/>
        <w:rPr>
          <w:rFonts w:hint="eastAsia" w:ascii="宋体" w:hAnsi="宋体"/>
          <w:color w:val="auto"/>
          <w:sz w:val="24"/>
        </w:rPr>
      </w:pPr>
      <w:r>
        <w:rPr>
          <w:rFonts w:hint="eastAsia" w:ascii="宋体" w:hAnsi="宋体"/>
          <w:color w:val="auto"/>
          <w:sz w:val="24"/>
        </w:rPr>
        <w:t>为贯彻习近平总书记关于旅游工作重要指示精神，全面落实全国、全省旅游发展大会精神，助力长春国家文化和旅游产业高地建设，依托我市“22℃的夏天”全域温润清爽的气候资源，锚定当下流行的露营、微度假旅游新趋势，立足“亲近大自然，体验新生活”的发展理念，全面实施“百营万帐”露营计划，推动文旅深度融合高质量发展，以品质供给满足人民需求，以规模流量促进城市消费，以休闲度假赋能城市美好，实现长春消夏艺术节再破圈、再升级，为长春避暑休闲文旅产业高质量发展注入新活力，经认真谋划，拟于202</w:t>
      </w:r>
      <w:r>
        <w:rPr>
          <w:rFonts w:hint="eastAsia" w:ascii="宋体" w:hAnsi="宋体"/>
          <w:color w:val="auto"/>
          <w:sz w:val="24"/>
          <w:lang w:val="en-US" w:eastAsia="zh-CN"/>
        </w:rPr>
        <w:t>4</w:t>
      </w:r>
      <w:r>
        <w:rPr>
          <w:rFonts w:hint="eastAsia" w:ascii="宋体" w:hAnsi="宋体"/>
          <w:color w:val="auto"/>
          <w:sz w:val="24"/>
        </w:rPr>
        <w:t>年</w:t>
      </w:r>
      <w:r>
        <w:rPr>
          <w:rFonts w:hint="eastAsia" w:ascii="宋体" w:hAnsi="宋体"/>
          <w:color w:val="auto"/>
          <w:sz w:val="24"/>
          <w:lang w:val="en-US" w:eastAsia="zh-CN"/>
        </w:rPr>
        <w:t>7</w:t>
      </w:r>
      <w:r>
        <w:rPr>
          <w:rFonts w:hint="eastAsia" w:ascii="宋体" w:hAnsi="宋体"/>
          <w:color w:val="auto"/>
          <w:sz w:val="24"/>
        </w:rPr>
        <w:t>月</w:t>
      </w:r>
      <w:r>
        <w:rPr>
          <w:rFonts w:hint="eastAsia" w:ascii="宋体" w:hAnsi="宋体"/>
          <w:color w:val="auto"/>
          <w:sz w:val="24"/>
          <w:lang w:val="en-US" w:eastAsia="zh-CN"/>
        </w:rPr>
        <w:t>初至8月末</w:t>
      </w:r>
      <w:r>
        <w:rPr>
          <w:rFonts w:hint="eastAsia" w:ascii="宋体" w:hAnsi="宋体"/>
          <w:color w:val="auto"/>
          <w:sz w:val="24"/>
        </w:rPr>
        <w:t>在</w:t>
      </w:r>
      <w:r>
        <w:rPr>
          <w:rFonts w:hint="eastAsia" w:ascii="宋体" w:hAnsi="宋体"/>
          <w:color w:val="auto"/>
          <w:sz w:val="24"/>
          <w:lang w:val="en-US" w:eastAsia="zh-CN"/>
        </w:rPr>
        <w:t>中铁长春博览城潮玩公园</w:t>
      </w:r>
      <w:r>
        <w:rPr>
          <w:rFonts w:hint="eastAsia" w:ascii="宋体" w:hAnsi="宋体"/>
          <w:color w:val="auto"/>
          <w:sz w:val="24"/>
        </w:rPr>
        <w:t>开展2024长春消夏艺术节</w:t>
      </w:r>
      <w:r>
        <w:rPr>
          <w:rFonts w:hint="eastAsia" w:ascii="宋体" w:hAnsi="宋体"/>
          <w:color w:val="auto"/>
          <w:sz w:val="24"/>
          <w:lang w:val="en-US" w:eastAsia="zh-CN"/>
        </w:rPr>
        <w:t>开幕式主场系列</w:t>
      </w:r>
      <w:r>
        <w:rPr>
          <w:rFonts w:hint="eastAsia" w:ascii="宋体" w:hAnsi="宋体"/>
          <w:color w:val="auto"/>
          <w:sz w:val="24"/>
        </w:rPr>
        <w:t>活动。供应商</w:t>
      </w:r>
      <w:r>
        <w:rPr>
          <w:rFonts w:hint="eastAsia" w:ascii="宋体" w:hAnsi="宋体"/>
          <w:color w:val="auto"/>
          <w:sz w:val="24"/>
          <w:lang w:val="en-US" w:eastAsia="zh-CN"/>
        </w:rPr>
        <w:t>需提供</w:t>
      </w:r>
      <w:r>
        <w:rPr>
          <w:rFonts w:hint="eastAsia" w:ascii="宋体" w:hAnsi="宋体"/>
          <w:color w:val="auto"/>
          <w:sz w:val="24"/>
        </w:rPr>
        <w:t>：</w:t>
      </w:r>
    </w:p>
    <w:p>
      <w:pPr>
        <w:spacing w:line="360" w:lineRule="auto"/>
        <w:ind w:firstLine="480" w:firstLineChars="200"/>
        <w:rPr>
          <w:rFonts w:hint="eastAsia" w:ascii="宋体" w:hAnsi="宋体"/>
          <w:color w:val="auto"/>
          <w:sz w:val="24"/>
        </w:rPr>
      </w:pPr>
      <w:r>
        <w:rPr>
          <w:rFonts w:hint="eastAsia" w:ascii="宋体" w:hAnsi="宋体"/>
          <w:color w:val="auto"/>
          <w:sz w:val="24"/>
        </w:rPr>
        <w:t>1.活动全案策划：包括但不限于</w:t>
      </w:r>
      <w:r>
        <w:rPr>
          <w:rFonts w:hint="eastAsia" w:ascii="宋体" w:hAnsi="宋体" w:eastAsia="宋体" w:cs="宋体"/>
          <w:color w:val="auto"/>
          <w:kern w:val="0"/>
          <w:sz w:val="24"/>
          <w:szCs w:val="20"/>
          <w:lang w:val="en-US" w:eastAsia="zh-CN"/>
        </w:rPr>
        <w:t>2024长春消夏艺术节</w:t>
      </w:r>
      <w:r>
        <w:rPr>
          <w:rFonts w:hint="eastAsia" w:ascii="宋体" w:hAnsi="宋体" w:cs="宋体"/>
          <w:color w:val="auto"/>
          <w:kern w:val="0"/>
          <w:sz w:val="24"/>
          <w:szCs w:val="20"/>
          <w:lang w:val="en-US" w:eastAsia="zh-CN"/>
        </w:rPr>
        <w:t>开幕式</w:t>
      </w:r>
      <w:r>
        <w:rPr>
          <w:rFonts w:hint="eastAsia" w:ascii="宋体" w:hAnsi="宋体"/>
          <w:color w:val="auto"/>
          <w:sz w:val="24"/>
        </w:rPr>
        <w:t>活动总体方案、</w:t>
      </w:r>
      <w:r>
        <w:rPr>
          <w:rFonts w:hint="eastAsia" w:ascii="宋体" w:hAnsi="宋体"/>
          <w:color w:val="auto"/>
          <w:sz w:val="24"/>
          <w:lang w:val="en-US" w:eastAsia="zh-CN"/>
        </w:rPr>
        <w:t>舞台搭建设计方案、展区</w:t>
      </w:r>
      <w:r>
        <w:rPr>
          <w:rFonts w:hint="eastAsia" w:ascii="宋体" w:hAnsi="宋体"/>
          <w:color w:val="auto"/>
          <w:sz w:val="24"/>
        </w:rPr>
        <w:t>搭建设计方案、</w:t>
      </w:r>
      <w:r>
        <w:rPr>
          <w:rFonts w:hint="eastAsia" w:ascii="宋体" w:hAnsi="宋体"/>
          <w:color w:val="auto"/>
          <w:sz w:val="24"/>
          <w:lang w:val="en-US" w:eastAsia="zh-CN"/>
        </w:rPr>
        <w:t>房车巡游路线方案、</w:t>
      </w:r>
      <w:r>
        <w:rPr>
          <w:rFonts w:hint="eastAsia" w:ascii="宋体" w:hAnsi="宋体"/>
          <w:color w:val="auto"/>
          <w:sz w:val="24"/>
        </w:rPr>
        <w:t>后勤保障方案、安保保障方案及其他所涉及的方案策划</w:t>
      </w:r>
      <w:r>
        <w:rPr>
          <w:rFonts w:hint="eastAsia" w:ascii="宋体" w:hAnsi="宋体"/>
          <w:color w:val="auto"/>
          <w:sz w:val="24"/>
          <w:lang w:val="en-US" w:eastAsia="zh-CN"/>
        </w:rPr>
        <w:t>和</w:t>
      </w:r>
      <w:r>
        <w:rPr>
          <w:rFonts w:hint="eastAsia" w:ascii="宋体" w:hAnsi="宋体"/>
          <w:color w:val="auto"/>
          <w:sz w:val="24"/>
        </w:rPr>
        <w:t>流程策划等。</w:t>
      </w:r>
    </w:p>
    <w:p>
      <w:pPr>
        <w:spacing w:line="360" w:lineRule="auto"/>
        <w:ind w:firstLine="480" w:firstLineChars="200"/>
        <w:rPr>
          <w:rFonts w:hint="eastAsia" w:ascii="宋体" w:hAnsi="宋体"/>
          <w:color w:val="auto"/>
          <w:sz w:val="24"/>
          <w:lang w:val="en-US" w:eastAsia="zh-CN"/>
        </w:rPr>
      </w:pPr>
      <w:r>
        <w:rPr>
          <w:rFonts w:hint="eastAsia" w:ascii="宋体" w:hAnsi="宋体"/>
          <w:color w:val="auto"/>
          <w:sz w:val="24"/>
        </w:rPr>
        <w:t>2.活动执行：包含但不限于</w:t>
      </w:r>
      <w:r>
        <w:rPr>
          <w:rFonts w:hint="eastAsia" w:ascii="宋体" w:hAnsi="宋体"/>
          <w:color w:val="auto"/>
          <w:sz w:val="24"/>
          <w:lang w:val="en-US" w:eastAsia="zh-CN"/>
        </w:rPr>
        <w:t>长春中铁博览城场</w:t>
      </w:r>
      <w:r>
        <w:rPr>
          <w:rFonts w:hint="eastAsia" w:ascii="宋体" w:hAnsi="宋体"/>
          <w:color w:val="auto"/>
          <w:sz w:val="24"/>
        </w:rPr>
        <w:t>地租用、</w:t>
      </w:r>
      <w:r>
        <w:rPr>
          <w:rFonts w:hint="eastAsia" w:ascii="宋体" w:hAnsi="宋体"/>
          <w:color w:val="auto"/>
          <w:sz w:val="24"/>
          <w:lang w:val="en-US" w:eastAsia="zh-CN"/>
        </w:rPr>
        <w:t>舞台</w:t>
      </w:r>
      <w:r>
        <w:rPr>
          <w:rFonts w:hint="eastAsia" w:ascii="宋体" w:hAnsi="宋体"/>
          <w:color w:val="auto"/>
          <w:sz w:val="24"/>
        </w:rPr>
        <w:t>搭建、</w:t>
      </w:r>
      <w:r>
        <w:rPr>
          <w:rFonts w:hint="eastAsia" w:ascii="宋体" w:hAnsi="宋体"/>
          <w:color w:val="auto"/>
          <w:sz w:val="24"/>
          <w:lang w:val="en-US" w:eastAsia="zh-CN"/>
        </w:rPr>
        <w:t>舞美制作、</w:t>
      </w:r>
      <w:r>
        <w:rPr>
          <w:rFonts w:hint="eastAsia" w:ascii="宋体" w:hAnsi="宋体"/>
          <w:color w:val="auto"/>
          <w:sz w:val="24"/>
          <w:lang w:eastAsia="zh-CN"/>
        </w:rPr>
        <w:t>活动整体</w:t>
      </w:r>
      <w:r>
        <w:rPr>
          <w:rFonts w:hint="eastAsia" w:ascii="宋体" w:hAnsi="宋体"/>
          <w:color w:val="auto"/>
          <w:sz w:val="24"/>
        </w:rPr>
        <w:t>运营</w:t>
      </w:r>
      <w:r>
        <w:rPr>
          <w:rFonts w:hint="eastAsia" w:ascii="宋体" w:hAnsi="宋体"/>
          <w:color w:val="auto"/>
          <w:sz w:val="24"/>
          <w:lang w:eastAsia="zh-CN"/>
        </w:rPr>
        <w:t>；</w:t>
      </w:r>
      <w:r>
        <w:rPr>
          <w:rFonts w:hint="eastAsia" w:ascii="宋体" w:hAnsi="宋体"/>
          <w:color w:val="auto"/>
          <w:sz w:val="24"/>
          <w:lang w:val="en-US" w:eastAsia="zh-CN"/>
        </w:rPr>
        <w:t>展区及</w:t>
      </w:r>
      <w:r>
        <w:rPr>
          <w:rFonts w:hint="eastAsia" w:ascii="宋体" w:hAnsi="宋体"/>
          <w:color w:val="auto"/>
          <w:sz w:val="24"/>
        </w:rPr>
        <w:t>活动场地的布置及搭建、氛围营造</w:t>
      </w:r>
      <w:r>
        <w:rPr>
          <w:rFonts w:hint="eastAsia" w:ascii="宋体" w:hAnsi="宋体"/>
          <w:color w:val="auto"/>
          <w:sz w:val="24"/>
          <w:lang w:eastAsia="zh-CN"/>
        </w:rPr>
        <w:t>、</w:t>
      </w:r>
      <w:r>
        <w:rPr>
          <w:rFonts w:hint="eastAsia" w:ascii="宋体" w:hAnsi="宋体"/>
          <w:color w:val="auto"/>
          <w:sz w:val="24"/>
        </w:rPr>
        <w:t>安保聘用以及相关人员等后勤保障。</w:t>
      </w:r>
      <w:r>
        <w:rPr>
          <w:rFonts w:hint="eastAsia" w:ascii="宋体" w:hAnsi="宋体"/>
          <w:color w:val="auto"/>
          <w:sz w:val="24"/>
          <w:lang w:val="en-US" w:eastAsia="zh-CN"/>
        </w:rPr>
        <w:t xml:space="preserve"> </w:t>
      </w:r>
    </w:p>
    <w:p>
      <w:pPr>
        <w:keepNext w:val="0"/>
        <w:keepLines w:val="0"/>
        <w:kinsoku/>
        <w:overflowPunct/>
        <w:topLinePunct w:val="0"/>
        <w:bidi w:val="0"/>
        <w:spacing w:line="240" w:lineRule="auto"/>
        <w:jc w:val="left"/>
        <w:textAlignment w:val="auto"/>
        <w:rPr>
          <w:rFonts w:hint="eastAsia" w:ascii="宋体" w:hAnsi="宋体" w:eastAsia="宋体" w:cs="宋体"/>
          <w:b/>
          <w:color w:val="auto"/>
          <w:kern w:val="0"/>
          <w:sz w:val="24"/>
        </w:rPr>
      </w:pPr>
      <w:r>
        <w:rPr>
          <w:rFonts w:hint="eastAsia" w:ascii="宋体" w:hAnsi="宋体" w:eastAsia="宋体" w:cs="宋体"/>
          <w:b/>
          <w:color w:val="auto"/>
          <w:kern w:val="0"/>
          <w:sz w:val="24"/>
        </w:rPr>
        <w:t>二、采购需求一览表</w:t>
      </w:r>
    </w:p>
    <w:tbl>
      <w:tblPr>
        <w:tblStyle w:val="46"/>
        <w:tblpPr w:leftFromText="180" w:rightFromText="180" w:vertAnchor="text" w:horzAnchor="page" w:tblpX="1345" w:tblpY="180"/>
        <w:tblOverlap w:val="never"/>
        <w:tblW w:w="946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18"/>
        <w:gridCol w:w="3643"/>
        <w:gridCol w:w="709"/>
        <w:gridCol w:w="567"/>
        <w:gridCol w:w="382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7" w:hRule="atLeast"/>
        </w:trPr>
        <w:tc>
          <w:tcPr>
            <w:tcW w:w="718" w:type="dxa"/>
            <w:noWrap w:val="0"/>
            <w:vAlign w:val="center"/>
          </w:tcPr>
          <w:p>
            <w:pPr>
              <w:keepNext w:val="0"/>
              <w:keepLines w:val="0"/>
              <w:suppressLineNumbers w:val="0"/>
              <w:kinsoku/>
              <w:overflowPunct/>
              <w:topLinePunct w:val="0"/>
              <w:bidi w:val="0"/>
              <w:spacing w:before="0" w:beforeAutospacing="0" w:after="0" w:afterAutospacing="0" w:line="240" w:lineRule="auto"/>
              <w:ind w:left="0" w:right="0"/>
              <w:jc w:val="center"/>
              <w:textAlignment w:val="auto"/>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序号</w:t>
            </w:r>
          </w:p>
        </w:tc>
        <w:tc>
          <w:tcPr>
            <w:tcW w:w="3643" w:type="dxa"/>
            <w:noWrap w:val="0"/>
            <w:vAlign w:val="center"/>
          </w:tcPr>
          <w:p>
            <w:pPr>
              <w:keepNext w:val="0"/>
              <w:keepLines w:val="0"/>
              <w:suppressLineNumbers w:val="0"/>
              <w:kinsoku/>
              <w:overflowPunct/>
              <w:topLinePunct w:val="0"/>
              <w:bidi w:val="0"/>
              <w:spacing w:before="0" w:beforeAutospacing="0" w:after="0" w:afterAutospacing="0" w:line="240" w:lineRule="auto"/>
              <w:ind w:left="0" w:right="0"/>
              <w:jc w:val="center"/>
              <w:textAlignment w:val="auto"/>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服务内容</w:t>
            </w:r>
          </w:p>
        </w:tc>
        <w:tc>
          <w:tcPr>
            <w:tcW w:w="709" w:type="dxa"/>
            <w:noWrap w:val="0"/>
            <w:vAlign w:val="center"/>
          </w:tcPr>
          <w:p>
            <w:pPr>
              <w:keepNext w:val="0"/>
              <w:keepLines w:val="0"/>
              <w:suppressLineNumbers w:val="0"/>
              <w:kinsoku/>
              <w:overflowPunct/>
              <w:topLinePunct w:val="0"/>
              <w:bidi w:val="0"/>
              <w:spacing w:before="0" w:beforeAutospacing="0" w:after="0" w:afterAutospacing="0" w:line="240" w:lineRule="auto"/>
              <w:ind w:left="0" w:right="0"/>
              <w:jc w:val="center"/>
              <w:textAlignment w:val="auto"/>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数量</w:t>
            </w:r>
          </w:p>
        </w:tc>
        <w:tc>
          <w:tcPr>
            <w:tcW w:w="567" w:type="dxa"/>
            <w:noWrap w:val="0"/>
            <w:vAlign w:val="center"/>
          </w:tcPr>
          <w:p>
            <w:pPr>
              <w:keepNext w:val="0"/>
              <w:keepLines w:val="0"/>
              <w:suppressLineNumbers w:val="0"/>
              <w:kinsoku/>
              <w:overflowPunct/>
              <w:topLinePunct w:val="0"/>
              <w:bidi w:val="0"/>
              <w:spacing w:before="0" w:beforeAutospacing="0" w:after="0" w:afterAutospacing="0" w:line="240" w:lineRule="auto"/>
              <w:ind w:left="0" w:right="0"/>
              <w:jc w:val="center"/>
              <w:textAlignment w:val="auto"/>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单位</w:t>
            </w:r>
          </w:p>
        </w:tc>
        <w:tc>
          <w:tcPr>
            <w:tcW w:w="3827" w:type="dxa"/>
            <w:noWrap w:val="0"/>
            <w:vAlign w:val="center"/>
          </w:tcPr>
          <w:p>
            <w:pPr>
              <w:keepNext w:val="0"/>
              <w:keepLines w:val="0"/>
              <w:suppressLineNumbers w:val="0"/>
              <w:kinsoku/>
              <w:overflowPunct/>
              <w:topLinePunct w:val="0"/>
              <w:bidi w:val="0"/>
              <w:spacing w:before="0" w:beforeAutospacing="0" w:after="0" w:afterAutospacing="0" w:line="240" w:lineRule="auto"/>
              <w:ind w:left="0" w:right="0"/>
              <w:jc w:val="center"/>
              <w:textAlignment w:val="auto"/>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要求/备注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18" w:type="dxa"/>
            <w:noWrap w:val="0"/>
            <w:vAlign w:val="center"/>
          </w:tcPr>
          <w:p>
            <w:pPr>
              <w:keepNext w:val="0"/>
              <w:keepLines w:val="0"/>
              <w:suppressLineNumbers w:val="0"/>
              <w:kinsoku/>
              <w:overflowPunct/>
              <w:topLinePunct w:val="0"/>
              <w:bidi w:val="0"/>
              <w:spacing w:before="0" w:beforeAutospacing="0" w:after="0" w:afterAutospacing="0" w:line="240" w:lineRule="auto"/>
              <w:ind w:left="0" w:right="0"/>
              <w:jc w:val="center"/>
              <w:textAlignment w:val="auto"/>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1</w:t>
            </w:r>
          </w:p>
        </w:tc>
        <w:tc>
          <w:tcPr>
            <w:tcW w:w="3643" w:type="dxa"/>
            <w:noWrap w:val="0"/>
            <w:vAlign w:val="center"/>
          </w:tcPr>
          <w:p>
            <w:pPr>
              <w:keepNext w:val="0"/>
              <w:keepLines w:val="0"/>
              <w:suppressLineNumbers w:val="0"/>
              <w:kinsoku/>
              <w:overflowPunct/>
              <w:topLinePunct w:val="0"/>
              <w:bidi w:val="0"/>
              <w:spacing w:before="0" w:beforeAutospacing="0" w:after="0" w:afterAutospacing="0" w:line="240" w:lineRule="auto"/>
              <w:ind w:left="0" w:right="0"/>
              <w:jc w:val="center"/>
              <w:textAlignment w:val="auto"/>
              <w:rPr>
                <w:rFonts w:hint="default" w:ascii="宋体" w:hAnsi="宋体" w:eastAsia="宋体" w:cs="宋体"/>
                <w:color w:val="auto"/>
                <w:kern w:val="0"/>
                <w:sz w:val="24"/>
                <w:szCs w:val="20"/>
                <w:lang w:val="en-US"/>
              </w:rPr>
            </w:pPr>
            <w:r>
              <w:rPr>
                <w:rFonts w:hint="eastAsia" w:ascii="宋体" w:hAnsi="宋体" w:eastAsia="宋体" w:cs="宋体"/>
                <w:color w:val="auto"/>
                <w:kern w:val="0"/>
                <w:sz w:val="24"/>
                <w:szCs w:val="20"/>
                <w:lang w:val="en-US" w:eastAsia="zh-CN"/>
              </w:rPr>
              <w:t>2024长春消夏艺术节</w:t>
            </w:r>
            <w:r>
              <w:rPr>
                <w:rFonts w:hint="eastAsia" w:ascii="宋体" w:hAnsi="宋体" w:cs="宋体"/>
                <w:color w:val="auto"/>
                <w:kern w:val="0"/>
                <w:sz w:val="24"/>
                <w:szCs w:val="20"/>
                <w:lang w:val="en-US" w:eastAsia="zh-CN"/>
              </w:rPr>
              <w:t>开幕式主场系列活动</w:t>
            </w:r>
          </w:p>
        </w:tc>
        <w:tc>
          <w:tcPr>
            <w:tcW w:w="709" w:type="dxa"/>
            <w:noWrap w:val="0"/>
            <w:vAlign w:val="center"/>
          </w:tcPr>
          <w:p>
            <w:pPr>
              <w:keepNext w:val="0"/>
              <w:keepLines w:val="0"/>
              <w:suppressLineNumbers w:val="0"/>
              <w:kinsoku/>
              <w:overflowPunct/>
              <w:topLinePunct w:val="0"/>
              <w:bidi w:val="0"/>
              <w:spacing w:before="0" w:beforeAutospacing="0" w:after="0" w:afterAutospacing="0" w:line="240" w:lineRule="auto"/>
              <w:ind w:left="0" w:right="0"/>
              <w:jc w:val="center"/>
              <w:textAlignment w:val="auto"/>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1</w:t>
            </w:r>
          </w:p>
        </w:tc>
        <w:tc>
          <w:tcPr>
            <w:tcW w:w="567" w:type="dxa"/>
            <w:noWrap w:val="0"/>
            <w:vAlign w:val="center"/>
          </w:tcPr>
          <w:p>
            <w:pPr>
              <w:keepNext w:val="0"/>
              <w:keepLines w:val="0"/>
              <w:suppressLineNumbers w:val="0"/>
              <w:kinsoku/>
              <w:overflowPunct/>
              <w:topLinePunct w:val="0"/>
              <w:bidi w:val="0"/>
              <w:spacing w:before="0" w:beforeAutospacing="0" w:after="0" w:afterAutospacing="0" w:line="240" w:lineRule="auto"/>
              <w:ind w:left="0" w:right="0"/>
              <w:jc w:val="center"/>
              <w:textAlignment w:val="auto"/>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项</w:t>
            </w:r>
          </w:p>
        </w:tc>
        <w:tc>
          <w:tcPr>
            <w:tcW w:w="3827" w:type="dxa"/>
            <w:noWrap w:val="0"/>
            <w:vAlign w:val="center"/>
          </w:tcPr>
          <w:p>
            <w:pPr>
              <w:keepNext w:val="0"/>
              <w:keepLines w:val="0"/>
              <w:suppressLineNumbers w:val="0"/>
              <w:kinsoku/>
              <w:overflowPunct/>
              <w:topLinePunct w:val="0"/>
              <w:bidi w:val="0"/>
              <w:spacing w:before="0" w:beforeAutospacing="0" w:after="0" w:afterAutospacing="0" w:line="240" w:lineRule="auto"/>
              <w:ind w:left="0" w:right="0"/>
              <w:jc w:val="left"/>
              <w:textAlignment w:val="auto"/>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供应商负责活动策划、设计、制作、执行、场地搭建、</w:t>
            </w:r>
            <w:r>
              <w:rPr>
                <w:rFonts w:hint="eastAsia" w:ascii="宋体" w:hAnsi="宋体" w:cs="宋体"/>
                <w:color w:val="auto"/>
                <w:kern w:val="0"/>
                <w:sz w:val="24"/>
                <w:szCs w:val="20"/>
                <w:lang w:eastAsia="zh-CN"/>
              </w:rPr>
              <w:t>活动运营、</w:t>
            </w:r>
            <w:r>
              <w:rPr>
                <w:rFonts w:hint="eastAsia" w:ascii="宋体" w:hAnsi="宋体" w:eastAsia="宋体" w:cs="宋体"/>
                <w:color w:val="auto"/>
                <w:kern w:val="0"/>
                <w:sz w:val="24"/>
                <w:szCs w:val="20"/>
              </w:rPr>
              <w:t>后勤保障等各项工作。</w:t>
            </w:r>
          </w:p>
        </w:tc>
      </w:tr>
    </w:tbl>
    <w:p>
      <w:pPr>
        <w:pStyle w:val="3"/>
        <w:keepNext w:val="0"/>
        <w:keepLines w:val="0"/>
        <w:kinsoku/>
        <w:overflowPunct/>
        <w:topLinePunct w:val="0"/>
        <w:bidi w:val="0"/>
        <w:spacing w:before="0" w:after="0" w:line="240" w:lineRule="auto"/>
        <w:jc w:val="left"/>
        <w:textAlignment w:val="auto"/>
        <w:rPr>
          <w:rFonts w:hint="eastAsia" w:ascii="宋体" w:hAnsi="宋体" w:eastAsia="宋体" w:cs="宋体"/>
          <w:color w:val="auto"/>
          <w:sz w:val="24"/>
          <w:lang w:val="zh-CN" w:eastAsia="zh-CN"/>
        </w:rPr>
      </w:pPr>
      <w:r>
        <w:rPr>
          <w:rFonts w:hint="eastAsia" w:ascii="宋体" w:hAnsi="宋体" w:eastAsia="宋体" w:cs="宋体"/>
          <w:b/>
          <w:bCs/>
          <w:color w:val="auto"/>
          <w:sz w:val="24"/>
          <w:szCs w:val="30"/>
        </w:rPr>
        <w:t>三、采购标的需执行的强制标准、规范</w:t>
      </w:r>
      <w:bookmarkStart w:id="62" w:name="_Toc517859652"/>
      <w:bookmarkStart w:id="63" w:name="_Toc494561955"/>
      <w:bookmarkStart w:id="64" w:name="_Toc511894511"/>
      <w:bookmarkStart w:id="65" w:name="_Toc511889433"/>
      <w:r>
        <w:rPr>
          <w:rFonts w:hint="eastAsia" w:ascii="宋体" w:hAnsi="宋体" w:eastAsia="宋体" w:cs="宋体"/>
          <w:b/>
          <w:bCs/>
          <w:color w:val="auto"/>
          <w:sz w:val="24"/>
          <w:szCs w:val="30"/>
          <w:lang w:val="en-US" w:eastAsia="zh-CN"/>
        </w:rPr>
        <w:t xml:space="preserve">  </w:t>
      </w:r>
      <w:r>
        <w:rPr>
          <w:rFonts w:hint="eastAsia" w:ascii="宋体" w:hAnsi="宋体" w:eastAsia="宋体" w:cs="宋体"/>
          <w:color w:val="auto"/>
          <w:sz w:val="24"/>
          <w:lang w:val="zh-CN" w:eastAsia="zh-CN"/>
        </w:rPr>
        <w:t>无</w:t>
      </w:r>
    </w:p>
    <w:p>
      <w:pPr>
        <w:pStyle w:val="3"/>
        <w:keepNext w:val="0"/>
        <w:keepLines w:val="0"/>
        <w:kinsoku/>
        <w:overflowPunct/>
        <w:topLinePunct w:val="0"/>
        <w:bidi w:val="0"/>
        <w:spacing w:before="0" w:after="0" w:line="240" w:lineRule="auto"/>
        <w:jc w:val="left"/>
        <w:textAlignment w:val="auto"/>
        <w:rPr>
          <w:rFonts w:hint="eastAsia" w:ascii="宋体" w:hAnsi="宋体" w:eastAsia="宋体" w:cs="宋体"/>
          <w:b/>
          <w:bCs/>
          <w:color w:val="auto"/>
          <w:sz w:val="24"/>
          <w:szCs w:val="30"/>
        </w:rPr>
      </w:pPr>
      <w:r>
        <w:rPr>
          <w:rFonts w:hint="eastAsia" w:ascii="宋体" w:hAnsi="宋体" w:eastAsia="宋体" w:cs="宋体"/>
          <w:b/>
          <w:bCs/>
          <w:color w:val="auto"/>
          <w:sz w:val="24"/>
          <w:szCs w:val="30"/>
        </w:rPr>
        <w:t>四、技术服务要求</w:t>
      </w:r>
      <w:bookmarkEnd w:id="62"/>
      <w:bookmarkEnd w:id="63"/>
      <w:bookmarkEnd w:id="64"/>
      <w:bookmarkEnd w:id="65"/>
    </w:p>
    <w:p>
      <w:pPr>
        <w:spacing w:line="360" w:lineRule="auto"/>
        <w:ind w:firstLine="480" w:firstLineChars="200"/>
        <w:rPr>
          <w:rFonts w:hint="eastAsia" w:ascii="宋体" w:hAnsi="宋体"/>
          <w:color w:val="auto"/>
          <w:sz w:val="24"/>
          <w:lang w:val="en-US" w:eastAsia="zh-CN"/>
        </w:rPr>
      </w:pPr>
      <w:r>
        <w:rPr>
          <w:rFonts w:hint="eastAsia" w:ascii="宋体" w:hAnsi="宋体" w:eastAsia="宋体" w:cs="宋体"/>
          <w:color w:val="auto"/>
          <w:kern w:val="0"/>
          <w:sz w:val="24"/>
          <w:szCs w:val="20"/>
          <w:lang w:val="en-US" w:eastAsia="zh-CN"/>
        </w:rPr>
        <w:t>2024长春消夏艺术节</w:t>
      </w:r>
      <w:r>
        <w:rPr>
          <w:rFonts w:hint="eastAsia" w:ascii="宋体" w:hAnsi="宋体" w:cs="宋体"/>
          <w:color w:val="auto"/>
          <w:kern w:val="0"/>
          <w:sz w:val="24"/>
          <w:szCs w:val="20"/>
          <w:lang w:val="en-US" w:eastAsia="zh-CN"/>
        </w:rPr>
        <w:t>开幕式主场系列</w:t>
      </w:r>
      <w:r>
        <w:rPr>
          <w:rFonts w:hint="eastAsia" w:ascii="宋体" w:hAnsi="宋体"/>
          <w:color w:val="auto"/>
          <w:sz w:val="24"/>
          <w:lang w:val="en-US" w:eastAsia="zh-CN"/>
        </w:rPr>
        <w:t>活动拟于2024年7月初至8月末在中铁长春博览城潮玩公园举办，供应商需提供活动主要包含以下内容：</w:t>
      </w:r>
    </w:p>
    <w:p>
      <w:pPr>
        <w:spacing w:line="360" w:lineRule="auto"/>
        <w:ind w:firstLine="482" w:firstLineChars="200"/>
        <w:rPr>
          <w:rFonts w:hint="eastAsia" w:ascii="宋体" w:hAnsi="宋体"/>
          <w:b/>
          <w:bCs/>
          <w:color w:val="auto"/>
          <w:sz w:val="24"/>
          <w:lang w:val="en-US" w:eastAsia="zh-CN"/>
        </w:rPr>
      </w:pPr>
      <w:r>
        <w:rPr>
          <w:rFonts w:hint="eastAsia" w:ascii="宋体" w:hAnsi="宋体"/>
          <w:b/>
          <w:bCs/>
          <w:color w:val="auto"/>
          <w:sz w:val="24"/>
          <w:lang w:val="en-US" w:eastAsia="zh-CN"/>
        </w:rPr>
        <w:t>（一）活动策划与设计</w:t>
      </w:r>
    </w:p>
    <w:p>
      <w:pPr>
        <w:spacing w:line="360" w:lineRule="auto"/>
        <w:ind w:firstLine="480" w:firstLineChars="200"/>
        <w:rPr>
          <w:rFonts w:hint="eastAsia" w:ascii="宋体" w:hAnsi="宋体"/>
          <w:color w:val="auto"/>
          <w:sz w:val="24"/>
        </w:rPr>
      </w:pPr>
      <w:r>
        <w:rPr>
          <w:rFonts w:hint="eastAsia" w:ascii="宋体" w:hAnsi="宋体"/>
          <w:color w:val="auto"/>
          <w:sz w:val="24"/>
          <w:lang w:val="en-US" w:eastAsia="zh-CN"/>
        </w:rPr>
        <w:t>1.供应商需形成完整的、具有可操作性的</w:t>
      </w:r>
      <w:r>
        <w:rPr>
          <w:rFonts w:hint="eastAsia" w:ascii="宋体" w:hAnsi="宋体" w:eastAsia="宋体" w:cs="宋体"/>
          <w:color w:val="auto"/>
          <w:kern w:val="0"/>
          <w:sz w:val="24"/>
          <w:szCs w:val="20"/>
          <w:lang w:val="en-US" w:eastAsia="zh-CN"/>
        </w:rPr>
        <w:t>2024长春消夏艺术节</w:t>
      </w:r>
      <w:r>
        <w:rPr>
          <w:rFonts w:hint="eastAsia" w:ascii="宋体" w:hAnsi="宋体" w:cs="宋体"/>
          <w:color w:val="auto"/>
          <w:kern w:val="0"/>
          <w:sz w:val="24"/>
          <w:szCs w:val="20"/>
          <w:lang w:val="en-US" w:eastAsia="zh-CN"/>
        </w:rPr>
        <w:t>开幕式主场系列</w:t>
      </w:r>
      <w:r>
        <w:rPr>
          <w:rFonts w:hint="eastAsia" w:ascii="宋体" w:hAnsi="宋体"/>
          <w:color w:val="auto"/>
          <w:sz w:val="24"/>
          <w:lang w:val="en-US" w:eastAsia="zh-CN"/>
        </w:rPr>
        <w:t>活动</w:t>
      </w:r>
      <w:r>
        <w:rPr>
          <w:rFonts w:hint="eastAsia" w:ascii="宋体" w:hAnsi="宋体"/>
          <w:color w:val="auto"/>
          <w:sz w:val="24"/>
        </w:rPr>
        <w:t>总体方案、</w:t>
      </w:r>
      <w:r>
        <w:rPr>
          <w:rFonts w:hint="eastAsia" w:ascii="宋体" w:hAnsi="宋体"/>
          <w:color w:val="auto"/>
          <w:sz w:val="24"/>
          <w:lang w:val="en-US" w:eastAsia="zh-CN"/>
        </w:rPr>
        <w:t>舞台搭建设计方案、展区</w:t>
      </w:r>
      <w:r>
        <w:rPr>
          <w:rFonts w:hint="eastAsia" w:ascii="宋体" w:hAnsi="宋体"/>
          <w:color w:val="auto"/>
          <w:sz w:val="24"/>
        </w:rPr>
        <w:t>搭建设计方案、</w:t>
      </w:r>
      <w:r>
        <w:rPr>
          <w:rFonts w:hint="eastAsia" w:ascii="宋体" w:hAnsi="宋体"/>
          <w:color w:val="auto"/>
          <w:sz w:val="24"/>
          <w:lang w:val="en-US" w:eastAsia="zh-CN"/>
        </w:rPr>
        <w:t>房车巡游路线方案、</w:t>
      </w:r>
      <w:r>
        <w:rPr>
          <w:rFonts w:hint="eastAsia" w:ascii="宋体" w:hAnsi="宋体"/>
          <w:color w:val="auto"/>
          <w:sz w:val="24"/>
        </w:rPr>
        <w:t>后勤保障方案、安保保障方案及其他所涉及的方案策划</w:t>
      </w:r>
      <w:r>
        <w:rPr>
          <w:rFonts w:hint="eastAsia" w:ascii="宋体" w:hAnsi="宋体"/>
          <w:color w:val="auto"/>
          <w:sz w:val="24"/>
          <w:lang w:val="en-US" w:eastAsia="zh-CN"/>
        </w:rPr>
        <w:t>和</w:t>
      </w:r>
      <w:r>
        <w:rPr>
          <w:rFonts w:hint="eastAsia" w:ascii="宋体" w:hAnsi="宋体"/>
          <w:color w:val="auto"/>
          <w:sz w:val="24"/>
        </w:rPr>
        <w:t>流程策划等。</w:t>
      </w:r>
    </w:p>
    <w:p>
      <w:pPr>
        <w:spacing w:line="360" w:lineRule="auto"/>
        <w:ind w:firstLine="480" w:firstLineChars="200"/>
        <w:rPr>
          <w:rFonts w:hint="eastAsia" w:ascii="宋体" w:hAnsi="宋体" w:eastAsia="宋体"/>
          <w:color w:val="auto"/>
          <w:sz w:val="24"/>
          <w:lang w:val="en-US" w:eastAsia="zh-CN"/>
        </w:rPr>
      </w:pPr>
      <w:r>
        <w:rPr>
          <w:rFonts w:hint="eastAsia" w:ascii="宋体" w:hAnsi="宋体" w:eastAsia="宋体"/>
          <w:color w:val="auto"/>
          <w:sz w:val="24"/>
          <w:lang w:val="en-US" w:eastAsia="zh-CN"/>
        </w:rPr>
        <w:t>2.供应商需为本次活动提供专用主视觉设计及制作，主视觉应涵盖长春“消夏</w:t>
      </w:r>
      <w:r>
        <w:rPr>
          <w:rFonts w:hint="eastAsia" w:ascii="宋体" w:hAnsi="宋体"/>
          <w:color w:val="auto"/>
          <w:sz w:val="24"/>
          <w:lang w:val="en-US" w:eastAsia="zh-CN"/>
        </w:rPr>
        <w:t>露营</w:t>
      </w:r>
      <w:r>
        <w:rPr>
          <w:rFonts w:hint="eastAsia" w:ascii="宋体" w:hAnsi="宋体" w:eastAsia="宋体"/>
          <w:color w:val="auto"/>
          <w:sz w:val="24"/>
          <w:lang w:val="en-US" w:eastAsia="zh-CN"/>
        </w:rPr>
        <w:t>”等元素。</w:t>
      </w:r>
    </w:p>
    <w:p>
      <w:pPr>
        <w:spacing w:line="360" w:lineRule="auto"/>
        <w:ind w:firstLine="480" w:firstLineChars="200"/>
        <w:rPr>
          <w:rFonts w:hint="eastAsia" w:ascii="宋体" w:hAnsi="宋体" w:eastAsia="宋体"/>
          <w:color w:val="auto"/>
          <w:sz w:val="24"/>
          <w:lang w:val="en-US" w:eastAsia="zh-CN"/>
        </w:rPr>
      </w:pPr>
      <w:r>
        <w:rPr>
          <w:rFonts w:hint="eastAsia" w:ascii="宋体" w:hAnsi="宋体" w:eastAsia="宋体"/>
          <w:color w:val="auto"/>
          <w:sz w:val="24"/>
          <w:lang w:val="en-US" w:eastAsia="zh-CN"/>
        </w:rPr>
        <w:t>3.供应商需提供舞台舞美设计平面图及效果图不少于2版。舞美设计以“</w:t>
      </w:r>
      <w:r>
        <w:rPr>
          <w:rFonts w:hint="eastAsia" w:ascii="宋体" w:hAnsi="宋体"/>
          <w:color w:val="auto"/>
          <w:sz w:val="24"/>
          <w:lang w:val="en-US" w:eastAsia="zh-CN"/>
        </w:rPr>
        <w:t>消夏露营</w:t>
      </w:r>
      <w:r>
        <w:rPr>
          <w:rFonts w:hint="eastAsia" w:ascii="宋体" w:hAnsi="宋体" w:eastAsia="宋体"/>
          <w:color w:val="auto"/>
          <w:sz w:val="24"/>
          <w:lang w:val="en-US" w:eastAsia="zh-CN"/>
        </w:rPr>
        <w:t>”为主题，经采购人审</w:t>
      </w:r>
      <w:r>
        <w:rPr>
          <w:rFonts w:hint="eastAsia" w:ascii="宋体" w:hAnsi="宋体"/>
          <w:color w:val="auto"/>
          <w:sz w:val="24"/>
          <w:lang w:val="en-US" w:eastAsia="zh-CN"/>
        </w:rPr>
        <w:t>核通过方可实施。</w:t>
      </w:r>
    </w:p>
    <w:p>
      <w:pPr>
        <w:numPr>
          <w:ilvl w:val="0"/>
          <w:numId w:val="0"/>
        </w:numPr>
        <w:spacing w:line="360" w:lineRule="auto"/>
        <w:ind w:firstLine="482" w:firstLineChars="200"/>
        <w:rPr>
          <w:rFonts w:hint="default" w:ascii="宋体" w:hAnsi="宋体" w:eastAsia="宋体"/>
          <w:b/>
          <w:bCs/>
          <w:color w:val="auto"/>
          <w:sz w:val="24"/>
          <w:lang w:val="en-US" w:eastAsia="zh-CN"/>
        </w:rPr>
      </w:pPr>
      <w:r>
        <w:rPr>
          <w:rFonts w:hint="eastAsia" w:ascii="宋体" w:hAnsi="宋体" w:eastAsia="宋体"/>
          <w:b/>
          <w:bCs/>
          <w:color w:val="auto"/>
          <w:sz w:val="24"/>
          <w:lang w:val="en-US" w:eastAsia="zh-CN"/>
        </w:rPr>
        <w:t>（二）</w:t>
      </w:r>
      <w:r>
        <w:rPr>
          <w:rFonts w:hint="eastAsia" w:ascii="宋体" w:hAnsi="宋体"/>
          <w:b/>
          <w:bCs/>
          <w:color w:val="auto"/>
          <w:sz w:val="24"/>
          <w:lang w:val="en-US" w:eastAsia="zh-CN"/>
        </w:rPr>
        <w:t>舞台搭建</w:t>
      </w:r>
    </w:p>
    <w:p>
      <w:pPr>
        <w:tabs>
          <w:tab w:val="left" w:pos="1910"/>
        </w:tabs>
        <w:spacing w:line="360" w:lineRule="auto"/>
        <w:ind w:firstLine="480" w:firstLineChars="200"/>
        <w:rPr>
          <w:rFonts w:hint="eastAsia" w:ascii="宋体" w:hAnsi="宋体" w:eastAsia="宋体"/>
          <w:color w:val="auto"/>
          <w:sz w:val="24"/>
          <w:lang w:val="en-US" w:eastAsia="zh-CN"/>
        </w:rPr>
      </w:pPr>
      <w:r>
        <w:rPr>
          <w:rFonts w:hint="eastAsia" w:ascii="宋体" w:hAnsi="宋体" w:eastAsia="宋体"/>
          <w:color w:val="auto"/>
          <w:sz w:val="24"/>
          <w:lang w:val="en-US" w:eastAsia="zh-CN"/>
        </w:rPr>
        <w:t>供应商需根据场地实际情况选择</w:t>
      </w:r>
      <w:r>
        <w:rPr>
          <w:rFonts w:hint="eastAsia" w:ascii="宋体" w:hAnsi="宋体"/>
          <w:color w:val="auto"/>
          <w:sz w:val="24"/>
          <w:lang w:val="en-US" w:eastAsia="zh-CN"/>
        </w:rPr>
        <w:t>长春中铁博览城潮玩公园天空之镜</w:t>
      </w:r>
      <w:r>
        <w:rPr>
          <w:rFonts w:hint="eastAsia" w:ascii="宋体" w:hAnsi="宋体" w:eastAsia="宋体"/>
          <w:color w:val="auto"/>
          <w:sz w:val="24"/>
          <w:lang w:val="en-US" w:eastAsia="zh-CN"/>
        </w:rPr>
        <w:t>附</w:t>
      </w:r>
      <w:r>
        <w:rPr>
          <w:rFonts w:hint="eastAsia" w:ascii="宋体" w:hAnsi="宋体" w:eastAsia="宋体"/>
          <w:color w:val="auto"/>
          <w:sz w:val="24"/>
          <w:lang w:val="en-US" w:eastAsia="zh-CN"/>
        </w:rPr>
        <w:t>近区域进行舞台搭建及布置</w:t>
      </w:r>
      <w:r>
        <w:rPr>
          <w:rFonts w:hint="eastAsia" w:ascii="宋体" w:hAnsi="宋体"/>
          <w:color w:val="auto"/>
          <w:sz w:val="24"/>
          <w:lang w:val="en-US" w:eastAsia="zh-CN"/>
        </w:rPr>
        <w:t>,保证舞台及配套设备可持续使用60天以上</w:t>
      </w:r>
      <w:r>
        <w:rPr>
          <w:rFonts w:hint="eastAsia" w:ascii="宋体" w:hAnsi="宋体" w:eastAsia="宋体"/>
          <w:color w:val="auto"/>
          <w:sz w:val="24"/>
          <w:lang w:val="en-US" w:eastAsia="zh-CN"/>
        </w:rPr>
        <w:t>。</w:t>
      </w:r>
    </w:p>
    <w:p>
      <w:pPr>
        <w:spacing w:line="360" w:lineRule="auto"/>
        <w:ind w:firstLine="480" w:firstLineChars="200"/>
        <w:rPr>
          <w:rFonts w:hint="eastAsia" w:ascii="宋体" w:hAnsi="宋体" w:eastAsia="宋体"/>
          <w:color w:val="auto"/>
          <w:sz w:val="24"/>
          <w:lang w:val="en-US" w:eastAsia="zh-CN"/>
        </w:rPr>
      </w:pPr>
      <w:r>
        <w:rPr>
          <w:rFonts w:hint="eastAsia" w:ascii="宋体" w:hAnsi="宋体" w:eastAsia="宋体"/>
          <w:color w:val="auto"/>
          <w:sz w:val="24"/>
          <w:lang w:val="en-US" w:eastAsia="zh-CN"/>
        </w:rPr>
        <w:t>1、舞台</w:t>
      </w:r>
    </w:p>
    <w:p>
      <w:pPr>
        <w:spacing w:line="360" w:lineRule="auto"/>
        <w:ind w:firstLine="480" w:firstLineChars="200"/>
        <w:rPr>
          <w:rFonts w:hint="eastAsia" w:ascii="宋体" w:hAnsi="宋体"/>
          <w:color w:val="auto"/>
          <w:sz w:val="24"/>
          <w:lang w:val="en-US" w:eastAsia="zh-CN"/>
        </w:rPr>
      </w:pPr>
      <w:r>
        <w:rPr>
          <w:rFonts w:hint="eastAsia" w:ascii="宋体" w:hAnsi="宋体"/>
          <w:color w:val="auto"/>
          <w:sz w:val="24"/>
          <w:lang w:val="en-US" w:eastAsia="zh-CN"/>
        </w:rPr>
        <w:t>供应商需提供总面积不小于48平方米的铝制舞台，舞台立柱与立柱之间有硬连接，台面是钢框架18mm厚层压板，每平方米承重0.5吨。宽度不少于8米, 深度不少于6米, 主舞台高不少于1米；舞台地毯为拉绒厚地毯，数量不少于48平，颜色根据主题色调而定；舞台地毯为拉绒厚地毯，颜色根据主题色调而定。</w:t>
      </w:r>
    </w:p>
    <w:p>
      <w:pPr>
        <w:spacing w:line="360" w:lineRule="auto"/>
        <w:ind w:firstLine="480" w:firstLineChars="200"/>
        <w:rPr>
          <w:rFonts w:hint="eastAsia" w:ascii="宋体" w:hAnsi="宋体"/>
          <w:color w:val="auto"/>
          <w:sz w:val="24"/>
          <w:lang w:val="en-US" w:eastAsia="zh-CN"/>
        </w:rPr>
      </w:pPr>
      <w:r>
        <w:rPr>
          <w:rFonts w:hint="eastAsia" w:ascii="宋体" w:hAnsi="宋体"/>
          <w:color w:val="auto"/>
          <w:sz w:val="24"/>
          <w:lang w:val="en-US" w:eastAsia="zh-CN"/>
        </w:rPr>
        <w:t>2.LED显示屏</w:t>
      </w:r>
    </w:p>
    <w:p>
      <w:pPr>
        <w:spacing w:line="360" w:lineRule="auto"/>
        <w:ind w:firstLine="480" w:firstLineChars="200"/>
        <w:rPr>
          <w:rFonts w:hint="default" w:ascii="宋体" w:hAnsi="宋体"/>
          <w:color w:val="auto"/>
          <w:sz w:val="24"/>
          <w:lang w:val="en-US" w:eastAsia="zh-CN"/>
        </w:rPr>
      </w:pPr>
      <w:r>
        <w:rPr>
          <w:rFonts w:hint="eastAsia" w:ascii="宋体" w:hAnsi="宋体"/>
          <w:color w:val="auto"/>
          <w:sz w:val="24"/>
          <w:lang w:val="en-US" w:eastAsia="zh-CN"/>
        </w:rPr>
        <w:t>供应商需在舞台的中心位置搭设专业室外LED P3亮屏，尺寸不少于24平方米。屏幕架体为国标雷亚架,面积不少于100平方米,含配重,拉线,地线等。</w:t>
      </w:r>
    </w:p>
    <w:p>
      <w:pPr>
        <w:spacing w:line="360" w:lineRule="auto"/>
        <w:ind w:firstLine="480" w:firstLineChars="200"/>
        <w:rPr>
          <w:rFonts w:hint="eastAsia" w:ascii="宋体" w:hAnsi="宋体"/>
          <w:color w:val="auto"/>
          <w:sz w:val="24"/>
          <w:lang w:val="en-US" w:eastAsia="zh-CN"/>
        </w:rPr>
      </w:pPr>
      <w:r>
        <w:rPr>
          <w:rFonts w:hint="eastAsia" w:ascii="宋体" w:hAnsi="宋体"/>
          <w:color w:val="auto"/>
          <w:sz w:val="24"/>
          <w:lang w:val="en-US" w:eastAsia="zh-CN"/>
        </w:rPr>
        <w:t>3、音响设备</w:t>
      </w:r>
    </w:p>
    <w:p>
      <w:pPr>
        <w:spacing w:line="360" w:lineRule="auto"/>
        <w:ind w:firstLine="480" w:firstLineChars="200"/>
        <w:rPr>
          <w:rFonts w:hint="eastAsia" w:ascii="宋体" w:hAnsi="宋体" w:eastAsia="宋体"/>
          <w:color w:val="auto"/>
          <w:sz w:val="24"/>
          <w:lang w:val="en-US" w:eastAsia="zh-CN"/>
        </w:rPr>
      </w:pPr>
      <w:r>
        <w:rPr>
          <w:rFonts w:hint="eastAsia" w:ascii="宋体" w:hAnsi="宋体"/>
          <w:color w:val="auto"/>
          <w:sz w:val="24"/>
          <w:lang w:val="en-US" w:eastAsia="zh-CN"/>
        </w:rPr>
        <w:t>供应商需</w:t>
      </w:r>
      <w:r>
        <w:rPr>
          <w:rFonts w:hint="eastAsia" w:ascii="宋体" w:hAnsi="宋体" w:eastAsia="宋体"/>
          <w:color w:val="auto"/>
          <w:sz w:val="24"/>
          <w:lang w:val="en-US" w:eastAsia="zh-CN"/>
        </w:rPr>
        <w:t>提供满足</w:t>
      </w:r>
      <w:r>
        <w:rPr>
          <w:rFonts w:hint="eastAsia" w:ascii="宋体" w:hAnsi="宋体"/>
          <w:color w:val="auto"/>
          <w:sz w:val="24"/>
          <w:lang w:val="en-US" w:eastAsia="zh-CN"/>
        </w:rPr>
        <w:t>2</w:t>
      </w:r>
      <w:r>
        <w:rPr>
          <w:rFonts w:hint="eastAsia" w:ascii="宋体" w:hAnsi="宋体" w:eastAsia="宋体"/>
          <w:color w:val="auto"/>
          <w:sz w:val="24"/>
          <w:lang w:val="en-US" w:eastAsia="zh-CN"/>
        </w:rPr>
        <w:t>00人现场观众听觉要求的大功率全频线阵音箱（包括：主频线阵音箱</w:t>
      </w:r>
      <w:r>
        <w:rPr>
          <w:rFonts w:hint="eastAsia" w:ascii="宋体" w:hAnsi="宋体"/>
          <w:color w:val="auto"/>
          <w:sz w:val="24"/>
          <w:lang w:val="en-US" w:eastAsia="zh-CN"/>
        </w:rPr>
        <w:t>不少于15</w:t>
      </w:r>
      <w:r>
        <w:rPr>
          <w:rFonts w:hint="eastAsia" w:ascii="宋体" w:hAnsi="宋体" w:eastAsia="宋体"/>
          <w:color w:val="auto"/>
          <w:sz w:val="24"/>
          <w:lang w:val="en-US" w:eastAsia="zh-CN"/>
        </w:rPr>
        <w:t>只、超低音音箱</w:t>
      </w:r>
      <w:r>
        <w:rPr>
          <w:rFonts w:hint="eastAsia" w:ascii="宋体" w:hAnsi="宋体"/>
          <w:color w:val="auto"/>
          <w:sz w:val="24"/>
          <w:lang w:val="en-US" w:eastAsia="zh-CN"/>
        </w:rPr>
        <w:t>不少于8</w:t>
      </w:r>
      <w:r>
        <w:rPr>
          <w:rFonts w:hint="eastAsia" w:ascii="宋体" w:hAnsi="宋体" w:eastAsia="宋体"/>
          <w:color w:val="auto"/>
          <w:sz w:val="24"/>
          <w:lang w:val="en-US" w:eastAsia="zh-CN"/>
        </w:rPr>
        <w:t>只、舞台中置音箱</w:t>
      </w:r>
      <w:r>
        <w:rPr>
          <w:rFonts w:hint="eastAsia" w:ascii="宋体" w:hAnsi="宋体"/>
          <w:color w:val="auto"/>
          <w:sz w:val="24"/>
          <w:lang w:val="en-US" w:eastAsia="zh-CN"/>
        </w:rPr>
        <w:t>不少于</w:t>
      </w:r>
      <w:r>
        <w:rPr>
          <w:rFonts w:hint="eastAsia" w:ascii="宋体" w:hAnsi="宋体" w:eastAsia="宋体"/>
          <w:color w:val="auto"/>
          <w:sz w:val="24"/>
          <w:lang w:val="en-US" w:eastAsia="zh-CN"/>
        </w:rPr>
        <w:t>4只、以及相应的36路主扩声调音台、返声音箱</w:t>
      </w:r>
      <w:r>
        <w:rPr>
          <w:rFonts w:hint="eastAsia" w:ascii="宋体" w:hAnsi="宋体"/>
          <w:color w:val="auto"/>
          <w:sz w:val="24"/>
          <w:lang w:val="en-US" w:eastAsia="zh-CN"/>
        </w:rPr>
        <w:t>不少于</w:t>
      </w:r>
      <w:r>
        <w:rPr>
          <w:rFonts w:hint="eastAsia" w:ascii="宋体" w:hAnsi="宋体" w:eastAsia="宋体"/>
          <w:color w:val="auto"/>
          <w:sz w:val="24"/>
          <w:lang w:val="en-US" w:eastAsia="zh-CN"/>
        </w:rPr>
        <w:t>4只、麦克风、话筒架等附属器材），音响系统必须使用线阵列音箱并且均匀覆盖所有观众区域，在观众区的每个位置可以达到95-110dB的声压级，并配备与线阵列音箱数量匹配的超低频音箱，需要配备前区补声音箱。</w:t>
      </w:r>
    </w:p>
    <w:p>
      <w:pPr>
        <w:spacing w:line="360" w:lineRule="auto"/>
        <w:ind w:firstLine="480" w:firstLineChars="200"/>
        <w:rPr>
          <w:rFonts w:hint="eastAsia" w:ascii="宋体" w:hAnsi="宋体" w:eastAsia="宋体"/>
          <w:color w:val="auto"/>
          <w:sz w:val="24"/>
          <w:lang w:val="en-US" w:eastAsia="zh-CN"/>
        </w:rPr>
      </w:pPr>
      <w:r>
        <w:rPr>
          <w:rFonts w:hint="eastAsia" w:ascii="宋体" w:hAnsi="宋体"/>
          <w:color w:val="auto"/>
          <w:sz w:val="24"/>
          <w:lang w:val="en-US" w:eastAsia="zh-CN"/>
        </w:rPr>
        <w:t>4</w:t>
      </w:r>
      <w:r>
        <w:rPr>
          <w:rFonts w:hint="eastAsia" w:ascii="宋体" w:hAnsi="宋体" w:eastAsia="宋体"/>
          <w:color w:val="auto"/>
          <w:sz w:val="24"/>
          <w:lang w:val="en-US" w:eastAsia="zh-CN"/>
        </w:rPr>
        <w:t>、</w:t>
      </w:r>
      <w:r>
        <w:rPr>
          <w:rFonts w:hint="eastAsia" w:ascii="宋体" w:hAnsi="宋体"/>
          <w:color w:val="auto"/>
          <w:sz w:val="24"/>
          <w:lang w:val="en-US" w:eastAsia="zh-CN"/>
        </w:rPr>
        <w:t>灯光设备</w:t>
      </w:r>
    </w:p>
    <w:p>
      <w:pPr>
        <w:spacing w:line="360" w:lineRule="auto"/>
        <w:ind w:firstLine="480" w:firstLineChars="200"/>
        <w:rPr>
          <w:rFonts w:hint="eastAsia" w:ascii="宋体" w:hAnsi="宋体" w:eastAsia="宋体"/>
          <w:color w:val="auto"/>
          <w:sz w:val="24"/>
          <w:lang w:val="en-US" w:eastAsia="zh-CN"/>
        </w:rPr>
      </w:pPr>
      <w:r>
        <w:rPr>
          <w:rFonts w:hint="eastAsia" w:ascii="宋体" w:hAnsi="宋体"/>
          <w:color w:val="auto"/>
          <w:sz w:val="24"/>
          <w:lang w:val="en-US" w:eastAsia="zh-CN"/>
        </w:rPr>
        <w:t>供应商</w:t>
      </w:r>
      <w:r>
        <w:rPr>
          <w:rFonts w:hint="eastAsia" w:ascii="宋体" w:hAnsi="宋体" w:eastAsia="宋体"/>
          <w:color w:val="auto"/>
          <w:sz w:val="24"/>
          <w:lang w:val="en-US" w:eastAsia="zh-CN"/>
        </w:rPr>
        <w:t>需</w:t>
      </w:r>
      <w:r>
        <w:rPr>
          <w:rFonts w:hint="eastAsia" w:ascii="宋体" w:hAnsi="宋体"/>
          <w:color w:val="auto"/>
          <w:sz w:val="24"/>
          <w:lang w:val="en-US" w:eastAsia="zh-CN"/>
        </w:rPr>
        <w:t>在组舞台上提供</w:t>
      </w:r>
      <w:r>
        <w:rPr>
          <w:rFonts w:hint="eastAsia" w:ascii="宋体" w:hAnsi="宋体" w:eastAsia="宋体"/>
          <w:color w:val="auto"/>
          <w:sz w:val="24"/>
          <w:lang w:val="en-US" w:eastAsia="zh-CN"/>
        </w:rPr>
        <w:t>市场主流灯光品牌，包括但不限于</w:t>
      </w:r>
      <w:r>
        <w:rPr>
          <w:rFonts w:hint="eastAsia" w:ascii="宋体" w:hAnsi="宋体"/>
          <w:color w:val="auto"/>
          <w:sz w:val="24"/>
          <w:lang w:val="en-US" w:eastAsia="zh-CN"/>
        </w:rPr>
        <w:t>3</w:t>
      </w:r>
      <w:r>
        <w:rPr>
          <w:rFonts w:hint="eastAsia" w:ascii="宋体" w:hAnsi="宋体" w:eastAsia="宋体"/>
          <w:color w:val="auto"/>
          <w:sz w:val="24"/>
          <w:lang w:val="en-US" w:eastAsia="zh-CN"/>
        </w:rPr>
        <w:t>0台电脑光束灯，</w:t>
      </w:r>
      <w:r>
        <w:rPr>
          <w:rFonts w:hint="eastAsia" w:ascii="宋体" w:hAnsi="宋体"/>
          <w:color w:val="auto"/>
          <w:sz w:val="24"/>
          <w:lang w:val="en-US" w:eastAsia="zh-CN"/>
        </w:rPr>
        <w:t>5</w:t>
      </w:r>
      <w:r>
        <w:rPr>
          <w:rFonts w:hint="eastAsia" w:ascii="宋体" w:hAnsi="宋体" w:eastAsia="宋体"/>
          <w:color w:val="auto"/>
          <w:sz w:val="24"/>
          <w:lang w:val="en-US" w:eastAsia="zh-CN"/>
        </w:rPr>
        <w:t>台1500电脑图案灯，2台2500追光灯，</w:t>
      </w:r>
      <w:r>
        <w:rPr>
          <w:rFonts w:hint="eastAsia" w:ascii="宋体" w:hAnsi="宋体"/>
          <w:color w:val="auto"/>
          <w:sz w:val="24"/>
          <w:lang w:val="en-US" w:eastAsia="zh-CN"/>
        </w:rPr>
        <w:t>30</w:t>
      </w:r>
      <w:r>
        <w:rPr>
          <w:rFonts w:hint="eastAsia" w:ascii="宋体" w:hAnsi="宋体" w:eastAsia="宋体"/>
          <w:color w:val="auto"/>
          <w:sz w:val="24"/>
          <w:lang w:val="en-US" w:eastAsia="zh-CN"/>
        </w:rPr>
        <w:t xml:space="preserve">台LED摇头灯， </w:t>
      </w:r>
      <w:r>
        <w:rPr>
          <w:rFonts w:hint="eastAsia" w:ascii="宋体" w:hAnsi="宋体"/>
          <w:color w:val="auto"/>
          <w:sz w:val="24"/>
          <w:lang w:val="en-US" w:eastAsia="zh-CN"/>
        </w:rPr>
        <w:t>1</w:t>
      </w:r>
      <w:r>
        <w:rPr>
          <w:rFonts w:hint="eastAsia" w:ascii="宋体" w:hAnsi="宋体" w:eastAsia="宋体"/>
          <w:color w:val="auto"/>
          <w:sz w:val="24"/>
          <w:lang w:val="en-US" w:eastAsia="zh-CN"/>
        </w:rPr>
        <w:t>0台LED PAR，</w:t>
      </w:r>
      <w:r>
        <w:rPr>
          <w:rFonts w:hint="eastAsia" w:ascii="宋体" w:hAnsi="宋体"/>
          <w:color w:val="auto"/>
          <w:sz w:val="24"/>
          <w:lang w:val="en-US" w:eastAsia="zh-CN"/>
        </w:rPr>
        <w:t>2</w:t>
      </w:r>
      <w:r>
        <w:rPr>
          <w:rFonts w:hint="eastAsia" w:ascii="宋体" w:hAnsi="宋体" w:eastAsia="宋体"/>
          <w:color w:val="auto"/>
          <w:sz w:val="24"/>
          <w:lang w:val="en-US" w:eastAsia="zh-CN"/>
        </w:rPr>
        <w:t>0台观众灯，2台MA灯光控制台</w:t>
      </w:r>
      <w:r>
        <w:rPr>
          <w:rFonts w:hint="eastAsia" w:ascii="宋体" w:hAnsi="宋体"/>
          <w:color w:val="auto"/>
          <w:sz w:val="24"/>
          <w:lang w:val="en-US" w:eastAsia="zh-CN"/>
        </w:rPr>
        <w:t>，</w:t>
      </w:r>
      <w:r>
        <w:rPr>
          <w:rFonts w:hint="eastAsia" w:ascii="宋体" w:hAnsi="宋体" w:eastAsia="宋体"/>
          <w:color w:val="auto"/>
          <w:sz w:val="24"/>
          <w:lang w:val="en-US" w:eastAsia="zh-CN"/>
        </w:rPr>
        <w:t>2台效果烟机,。以上设备包含所有相关系统周边及安装调试。</w:t>
      </w:r>
    </w:p>
    <w:p>
      <w:pPr>
        <w:spacing w:line="360" w:lineRule="auto"/>
        <w:ind w:firstLine="480" w:firstLineChars="200"/>
        <w:rPr>
          <w:rFonts w:hint="eastAsia" w:ascii="宋体" w:hAnsi="宋体" w:eastAsia="宋体"/>
          <w:color w:val="auto"/>
          <w:sz w:val="24"/>
          <w:lang w:val="en-US" w:eastAsia="zh-CN"/>
        </w:rPr>
      </w:pPr>
      <w:r>
        <w:rPr>
          <w:rFonts w:hint="eastAsia" w:ascii="宋体" w:hAnsi="宋体" w:eastAsia="宋体"/>
          <w:color w:val="auto"/>
          <w:sz w:val="24"/>
          <w:lang w:val="en-US" w:eastAsia="zh-CN"/>
        </w:rPr>
        <w:t>灯光品牌需求：FINE、ACME、GTD、德晟等。</w:t>
      </w:r>
    </w:p>
    <w:p>
      <w:pPr>
        <w:spacing w:line="360" w:lineRule="auto"/>
        <w:ind w:firstLine="480" w:firstLineChars="200"/>
        <w:rPr>
          <w:rFonts w:hint="eastAsia" w:ascii="宋体" w:hAnsi="宋体" w:eastAsia="宋体"/>
          <w:color w:val="auto"/>
          <w:sz w:val="24"/>
          <w:lang w:val="en-US" w:eastAsia="zh-CN"/>
        </w:rPr>
      </w:pPr>
      <w:r>
        <w:rPr>
          <w:rFonts w:hint="eastAsia" w:ascii="宋体" w:hAnsi="宋体" w:eastAsia="宋体"/>
          <w:color w:val="auto"/>
          <w:sz w:val="24"/>
          <w:lang w:val="en-US" w:eastAsia="zh-CN"/>
        </w:rPr>
        <w:t>舞台灯光、音响等设备的人员操作由供应商负责，设备操作人员数量充足，保证现场灯光、音响效果。</w:t>
      </w:r>
    </w:p>
    <w:p>
      <w:pPr>
        <w:spacing w:line="360" w:lineRule="auto"/>
        <w:ind w:firstLine="482" w:firstLineChars="200"/>
        <w:rPr>
          <w:rFonts w:hint="default" w:ascii="宋体" w:hAnsi="宋体" w:eastAsia="宋体"/>
          <w:b/>
          <w:bCs/>
          <w:color w:val="auto"/>
          <w:sz w:val="24"/>
          <w:lang w:val="en-US" w:eastAsia="zh-CN"/>
        </w:rPr>
      </w:pPr>
      <w:r>
        <w:rPr>
          <w:rFonts w:hint="eastAsia" w:ascii="宋体" w:hAnsi="宋体" w:eastAsia="宋体"/>
          <w:b/>
          <w:bCs/>
          <w:color w:val="auto"/>
          <w:sz w:val="24"/>
          <w:lang w:val="en-US" w:eastAsia="zh-CN"/>
        </w:rPr>
        <w:t>（三）</w:t>
      </w:r>
      <w:r>
        <w:rPr>
          <w:rFonts w:hint="eastAsia" w:ascii="宋体" w:hAnsi="宋体"/>
          <w:b/>
          <w:bCs/>
          <w:color w:val="auto"/>
          <w:sz w:val="24"/>
          <w:lang w:val="en-US" w:eastAsia="zh-CN"/>
        </w:rPr>
        <w:t>展区要求</w:t>
      </w:r>
    </w:p>
    <w:p>
      <w:pPr>
        <w:spacing w:line="360" w:lineRule="auto"/>
        <w:ind w:firstLine="480" w:firstLineChars="200"/>
        <w:rPr>
          <w:rFonts w:hint="eastAsia" w:ascii="宋体" w:hAnsi="宋体"/>
          <w:color w:val="auto"/>
          <w:sz w:val="24"/>
          <w:lang w:val="en-US" w:eastAsia="zh-CN"/>
        </w:rPr>
      </w:pPr>
      <w:r>
        <w:rPr>
          <w:rFonts w:hint="eastAsia" w:ascii="宋体" w:hAnsi="宋体"/>
          <w:color w:val="auto"/>
          <w:sz w:val="24"/>
          <w:lang w:val="en-US" w:eastAsia="zh-CN"/>
        </w:rPr>
        <w:t>1.文创市集展区</w:t>
      </w:r>
    </w:p>
    <w:p>
      <w:pPr>
        <w:spacing w:line="360" w:lineRule="auto"/>
        <w:ind w:firstLine="480" w:firstLineChars="200"/>
        <w:rPr>
          <w:rFonts w:hint="eastAsia" w:ascii="宋体" w:hAnsi="宋体" w:eastAsia="宋体"/>
          <w:color w:val="auto"/>
          <w:sz w:val="24"/>
          <w:lang w:val="en-US" w:eastAsia="zh-CN"/>
        </w:rPr>
      </w:pPr>
      <w:r>
        <w:rPr>
          <w:rFonts w:hint="eastAsia" w:ascii="宋体" w:hAnsi="宋体" w:eastAsia="宋体"/>
          <w:color w:val="auto"/>
          <w:sz w:val="24"/>
          <w:lang w:val="en-US" w:eastAsia="zh-CN"/>
        </w:rPr>
        <w:t>供应商需在场地合适位置设置文创展位，并进行与环境适配的装饰布置，每个展位面积不小于9平方米，</w:t>
      </w:r>
      <w:r>
        <w:rPr>
          <w:rFonts w:hint="eastAsia" w:ascii="宋体" w:hAnsi="宋体"/>
          <w:color w:val="auto"/>
          <w:sz w:val="24"/>
          <w:lang w:val="en-US" w:eastAsia="zh-CN"/>
        </w:rPr>
        <w:t>展</w:t>
      </w:r>
      <w:r>
        <w:rPr>
          <w:rFonts w:hint="eastAsia" w:ascii="宋体" w:hAnsi="宋体" w:eastAsia="宋体"/>
          <w:color w:val="auto"/>
          <w:sz w:val="24"/>
          <w:lang w:val="en-US" w:eastAsia="zh-CN"/>
        </w:rPr>
        <w:t>览总面积不小于1500平</w:t>
      </w:r>
      <w:r>
        <w:rPr>
          <w:rFonts w:hint="eastAsia" w:ascii="宋体" w:hAnsi="宋体"/>
          <w:color w:val="auto"/>
          <w:sz w:val="24"/>
          <w:lang w:val="en-US" w:eastAsia="zh-CN"/>
        </w:rPr>
        <w:t>方</w:t>
      </w:r>
      <w:r>
        <w:rPr>
          <w:rFonts w:hint="eastAsia" w:ascii="宋体" w:hAnsi="宋体" w:eastAsia="宋体"/>
          <w:color w:val="auto"/>
          <w:sz w:val="24"/>
          <w:lang w:val="en-US" w:eastAsia="zh-CN"/>
        </w:rPr>
        <w:t>米，展示内容包括但不限于长春礼物展品和非遗文创产品等，参展商数量不少于</w:t>
      </w:r>
      <w:r>
        <w:rPr>
          <w:rFonts w:hint="eastAsia" w:ascii="宋体" w:hAnsi="宋体" w:eastAsia="宋体"/>
          <w:color w:val="auto"/>
          <w:sz w:val="24"/>
          <w:lang w:val="en-US" w:eastAsia="zh-CN"/>
        </w:rPr>
        <w:t>3</w:t>
      </w:r>
      <w:r>
        <w:rPr>
          <w:rFonts w:hint="eastAsia" w:ascii="宋体" w:hAnsi="宋体"/>
          <w:color w:val="auto"/>
          <w:sz w:val="24"/>
          <w:lang w:val="en-US" w:eastAsia="zh-CN"/>
        </w:rPr>
        <w:t>0</w:t>
      </w:r>
      <w:r>
        <w:rPr>
          <w:rFonts w:hint="eastAsia" w:ascii="宋体" w:hAnsi="宋体" w:eastAsia="宋体"/>
          <w:color w:val="auto"/>
          <w:sz w:val="24"/>
          <w:lang w:val="en-US" w:eastAsia="zh-CN"/>
        </w:rPr>
        <w:t>家，展位数量不少</w:t>
      </w:r>
      <w:r>
        <w:rPr>
          <w:rFonts w:hint="eastAsia" w:ascii="宋体" w:hAnsi="宋体" w:eastAsia="宋体" w:cs="Times New Roman"/>
          <w:color w:val="auto"/>
          <w:sz w:val="24"/>
          <w:lang w:val="en-US" w:eastAsia="zh-CN"/>
        </w:rPr>
        <w:t>于30个</w:t>
      </w:r>
      <w:r>
        <w:rPr>
          <w:rFonts w:hint="eastAsia" w:ascii="宋体" w:hAnsi="宋体" w:eastAsia="宋体"/>
          <w:color w:val="auto"/>
          <w:sz w:val="24"/>
          <w:lang w:val="en-US" w:eastAsia="zh-CN"/>
        </w:rPr>
        <w:t>，供应商邀请的参展商品必须为正规品牌商品，展</w:t>
      </w:r>
      <w:r>
        <w:rPr>
          <w:rFonts w:hint="eastAsia" w:ascii="宋体" w:hAnsi="宋体" w:eastAsia="宋体"/>
          <w:color w:val="auto"/>
          <w:sz w:val="24"/>
          <w:lang w:val="en-US" w:eastAsia="zh-CN"/>
        </w:rPr>
        <w:t>示品类丰富，货源充足</w:t>
      </w:r>
      <w:r>
        <w:rPr>
          <w:rFonts w:hint="eastAsia" w:ascii="宋体" w:hAnsi="宋体"/>
          <w:color w:val="auto"/>
          <w:sz w:val="24"/>
          <w:lang w:val="en-US" w:eastAsia="zh-CN"/>
        </w:rPr>
        <w:t>，邀请的参展商及参展商品</w:t>
      </w:r>
      <w:r>
        <w:rPr>
          <w:rFonts w:hint="eastAsia" w:ascii="宋体" w:hAnsi="宋体" w:eastAsia="宋体"/>
          <w:color w:val="auto"/>
          <w:sz w:val="24"/>
          <w:lang w:val="en-US" w:eastAsia="zh-CN"/>
        </w:rPr>
        <w:t>需经采购人同意方可实施</w:t>
      </w:r>
      <w:r>
        <w:rPr>
          <w:rFonts w:hint="eastAsia" w:ascii="宋体" w:hAnsi="宋体"/>
          <w:color w:val="auto"/>
          <w:sz w:val="24"/>
          <w:lang w:val="en-US" w:eastAsia="zh-CN"/>
        </w:rPr>
        <w:t>。</w:t>
      </w:r>
    </w:p>
    <w:p>
      <w:pPr>
        <w:widowControl/>
        <w:spacing w:line="360" w:lineRule="auto"/>
        <w:ind w:firstLine="480" w:firstLineChars="200"/>
        <w:jc w:val="left"/>
        <w:rPr>
          <w:rFonts w:hint="eastAsia" w:ascii="宋体" w:hAnsi="宋体"/>
          <w:color w:val="auto"/>
          <w:sz w:val="24"/>
          <w:lang w:val="en-US" w:eastAsia="zh-CN"/>
        </w:rPr>
      </w:pPr>
      <w:r>
        <w:rPr>
          <w:rFonts w:hint="eastAsia" w:ascii="宋体" w:hAnsi="宋体"/>
          <w:color w:val="auto"/>
          <w:sz w:val="24"/>
          <w:lang w:val="en-US" w:eastAsia="zh-CN"/>
        </w:rPr>
        <w:t>3.老爷车展区</w:t>
      </w:r>
    </w:p>
    <w:p>
      <w:pPr>
        <w:widowControl/>
        <w:spacing w:line="360" w:lineRule="auto"/>
        <w:ind w:firstLine="480" w:firstLineChars="200"/>
        <w:jc w:val="left"/>
        <w:rPr>
          <w:rFonts w:hint="eastAsia" w:ascii="宋体" w:hAnsi="宋体" w:eastAsia="宋体"/>
          <w:color w:val="auto"/>
          <w:sz w:val="24"/>
          <w:lang w:val="en-US" w:eastAsia="zh-CN"/>
        </w:rPr>
      </w:pPr>
      <w:r>
        <w:rPr>
          <w:rFonts w:hint="eastAsia" w:ascii="宋体" w:hAnsi="宋体" w:eastAsia="宋体"/>
          <w:color w:val="auto"/>
          <w:sz w:val="24"/>
          <w:lang w:val="en-US" w:eastAsia="zh-CN"/>
        </w:rPr>
        <w:t>供应商需</w:t>
      </w:r>
      <w:r>
        <w:rPr>
          <w:rFonts w:hint="eastAsia" w:ascii="宋体" w:hAnsi="宋体"/>
          <w:color w:val="auto"/>
          <w:sz w:val="24"/>
          <w:lang w:val="en-US" w:eastAsia="zh-CN"/>
        </w:rPr>
        <w:t>在场地合适位置老爷车展区，</w:t>
      </w:r>
      <w:r>
        <w:rPr>
          <w:rFonts w:hint="eastAsia" w:ascii="宋体" w:hAnsi="宋体" w:eastAsia="宋体"/>
          <w:color w:val="auto"/>
          <w:sz w:val="24"/>
          <w:lang w:val="en-US" w:eastAsia="zh-CN"/>
        </w:rPr>
        <w:t>提供带有经典名人故事与事迹或经典电影背书的老爷车不少于8辆,并配有经典角色特型演员与游客互动，并进行现场巡游演绎，增强游客体验感。</w:t>
      </w:r>
    </w:p>
    <w:p>
      <w:pPr>
        <w:widowControl/>
        <w:spacing w:line="360" w:lineRule="auto"/>
        <w:ind w:firstLine="480" w:firstLineChars="200"/>
        <w:jc w:val="left"/>
        <w:rPr>
          <w:rFonts w:hint="eastAsia" w:ascii="宋体" w:hAnsi="宋体" w:eastAsia="宋体"/>
          <w:color w:val="auto"/>
          <w:sz w:val="24"/>
          <w:lang w:val="en-US" w:eastAsia="zh-CN"/>
        </w:rPr>
      </w:pPr>
      <w:r>
        <w:rPr>
          <w:rFonts w:hint="eastAsia" w:ascii="宋体" w:hAnsi="宋体" w:eastAsia="宋体"/>
          <w:color w:val="auto"/>
          <w:sz w:val="24"/>
          <w:lang w:val="en-US" w:eastAsia="zh-CN"/>
        </w:rPr>
        <w:t>4.网红餐车</w:t>
      </w:r>
    </w:p>
    <w:p>
      <w:pPr>
        <w:spacing w:line="360" w:lineRule="auto"/>
        <w:ind w:firstLine="480" w:firstLineChars="200"/>
        <w:rPr>
          <w:rFonts w:hint="eastAsia" w:ascii="宋体" w:hAnsi="宋体" w:cs="仿宋"/>
          <w:color w:val="auto"/>
          <w:sz w:val="24"/>
          <w:lang w:val="en-US" w:eastAsia="zh-CN"/>
        </w:rPr>
      </w:pPr>
      <w:r>
        <w:rPr>
          <w:rFonts w:hint="eastAsia" w:ascii="宋体" w:hAnsi="宋体" w:cs="仿宋"/>
          <w:color w:val="auto"/>
          <w:sz w:val="24"/>
          <w:lang w:val="en-US" w:eastAsia="zh-CN"/>
        </w:rPr>
        <w:t>供应商需邀请不少于6台网红特色餐饮小车。有序的分布在活动区域,餐车内部要配有特色餐饮。</w:t>
      </w:r>
    </w:p>
    <w:p>
      <w:pPr>
        <w:spacing w:line="360" w:lineRule="auto"/>
        <w:ind w:firstLine="482" w:firstLineChars="200"/>
        <w:rPr>
          <w:rFonts w:hint="default" w:ascii="宋体" w:hAnsi="宋体" w:eastAsia="宋体"/>
          <w:b/>
          <w:bCs/>
          <w:color w:val="auto"/>
          <w:sz w:val="24"/>
          <w:lang w:val="en-US" w:eastAsia="zh-CN"/>
        </w:rPr>
      </w:pPr>
      <w:r>
        <w:rPr>
          <w:rFonts w:hint="eastAsia" w:ascii="宋体" w:hAnsi="宋体"/>
          <w:b/>
          <w:bCs/>
          <w:color w:val="auto"/>
          <w:sz w:val="24"/>
          <w:lang w:val="en-US" w:eastAsia="zh-CN"/>
        </w:rPr>
        <w:t>（四）</w:t>
      </w:r>
      <w:r>
        <w:rPr>
          <w:rFonts w:hint="eastAsia" w:ascii="宋体" w:hAnsi="宋体" w:eastAsia="宋体"/>
          <w:b/>
          <w:bCs/>
          <w:color w:val="auto"/>
          <w:sz w:val="24"/>
          <w:lang w:val="en-US" w:eastAsia="zh-CN"/>
        </w:rPr>
        <w:t>房车</w:t>
      </w:r>
      <w:r>
        <w:rPr>
          <w:rFonts w:hint="eastAsia" w:ascii="宋体" w:hAnsi="宋体"/>
          <w:b/>
          <w:bCs/>
          <w:color w:val="auto"/>
          <w:sz w:val="24"/>
          <w:lang w:val="en-US" w:eastAsia="zh-CN"/>
        </w:rPr>
        <w:t>巡展</w:t>
      </w:r>
    </w:p>
    <w:p>
      <w:pPr>
        <w:widowControl/>
        <w:spacing w:line="360" w:lineRule="auto"/>
        <w:ind w:firstLine="480" w:firstLineChars="200"/>
        <w:jc w:val="left"/>
        <w:rPr>
          <w:rFonts w:hint="eastAsia" w:ascii="宋体" w:hAnsi="宋体"/>
          <w:color w:val="auto"/>
          <w:sz w:val="24"/>
          <w:lang w:val="en-US" w:eastAsia="zh-CN"/>
        </w:rPr>
      </w:pPr>
      <w:r>
        <w:rPr>
          <w:rFonts w:hint="eastAsia" w:ascii="宋体" w:hAnsi="宋体"/>
          <w:color w:val="auto"/>
          <w:sz w:val="24"/>
          <w:lang w:val="en-US" w:eastAsia="zh-CN"/>
        </w:rPr>
        <w:t>供应商需邀请总数不少于100台的房车在长春市区内进行巡展,巡展不少于5个批次，每个批次不少于50台房车,房车品牌包含但不限于上汽大通房车、瑞孚房车、凯伦宾威房车、中天房车、</w:t>
      </w:r>
      <w:r>
        <w:rPr>
          <w:rFonts w:hint="eastAsia" w:ascii="宋体" w:hAnsi="宋体"/>
          <w:color w:val="auto"/>
          <w:sz w:val="24"/>
          <w:lang w:val="en-US" w:eastAsia="zh-CN"/>
        </w:rPr>
        <w:t>新星房车、亚特房车、隆翠房车、览众房车、易居房车、黑系房车、德瑞兴驰、正房房车、中亚房车、欧睿房车等。</w:t>
      </w:r>
    </w:p>
    <w:p>
      <w:pPr>
        <w:widowControl/>
        <w:spacing w:line="360" w:lineRule="auto"/>
        <w:ind w:firstLine="480" w:firstLineChars="200"/>
        <w:jc w:val="left"/>
        <w:rPr>
          <w:rFonts w:hint="default" w:ascii="宋体" w:hAnsi="宋体"/>
          <w:color w:val="auto"/>
          <w:sz w:val="24"/>
          <w:lang w:val="en-US" w:eastAsia="zh-CN"/>
        </w:rPr>
      </w:pPr>
      <w:r>
        <w:rPr>
          <w:rFonts w:hint="eastAsia" w:ascii="宋体" w:hAnsi="宋体"/>
          <w:color w:val="auto"/>
          <w:sz w:val="24"/>
          <w:lang w:val="en-US" w:eastAsia="zh-CN"/>
        </w:rPr>
        <w:t>供应商需设计并制作巡游路线方案，方案需经采购人审定后方可实施。</w:t>
      </w:r>
    </w:p>
    <w:p>
      <w:pPr>
        <w:numPr>
          <w:ilvl w:val="0"/>
          <w:numId w:val="0"/>
        </w:numPr>
        <w:spacing w:line="360" w:lineRule="auto"/>
        <w:ind w:firstLine="482" w:firstLineChars="200"/>
        <w:rPr>
          <w:rFonts w:hint="eastAsia" w:ascii="宋体" w:hAnsi="宋体"/>
          <w:b/>
          <w:bCs/>
          <w:color w:val="auto"/>
          <w:sz w:val="24"/>
          <w:lang w:val="en-US" w:eastAsia="zh-CN"/>
        </w:rPr>
      </w:pPr>
      <w:r>
        <w:rPr>
          <w:rFonts w:hint="eastAsia" w:ascii="宋体" w:hAnsi="宋体"/>
          <w:b/>
          <w:bCs/>
          <w:color w:val="auto"/>
          <w:sz w:val="24"/>
          <w:lang w:val="en-US" w:eastAsia="zh-CN"/>
        </w:rPr>
        <w:t>（五）氛围营造</w:t>
      </w:r>
    </w:p>
    <w:p>
      <w:pPr>
        <w:spacing w:line="360" w:lineRule="auto"/>
        <w:ind w:firstLine="480" w:firstLineChars="200"/>
        <w:rPr>
          <w:rFonts w:hint="eastAsia" w:ascii="宋体" w:hAnsi="宋体" w:cs="仿宋"/>
          <w:color w:val="auto"/>
          <w:sz w:val="24"/>
          <w:lang w:val="en-US" w:eastAsia="zh-CN"/>
        </w:rPr>
      </w:pPr>
      <w:r>
        <w:rPr>
          <w:rFonts w:hint="eastAsia" w:ascii="宋体" w:hAnsi="宋体"/>
          <w:color w:val="auto"/>
          <w:sz w:val="24"/>
          <w:lang w:val="en-US" w:eastAsia="zh-CN"/>
        </w:rPr>
        <w:t>供应商需在</w:t>
      </w:r>
      <w:r>
        <w:rPr>
          <w:rFonts w:hint="eastAsia" w:ascii="宋体" w:hAnsi="宋体" w:eastAsia="宋体" w:cs="仿宋"/>
          <w:color w:val="auto"/>
          <w:sz w:val="24"/>
          <w:lang w:val="en-US" w:eastAsia="zh-CN"/>
        </w:rPr>
        <w:t>活动现场适合地点，设计</w:t>
      </w:r>
      <w:r>
        <w:rPr>
          <w:rFonts w:hint="eastAsia" w:ascii="宋体" w:hAnsi="宋体" w:cs="仿宋"/>
          <w:color w:val="auto"/>
          <w:sz w:val="24"/>
          <w:lang w:val="en-US" w:eastAsia="zh-CN"/>
        </w:rPr>
        <w:t>、</w:t>
      </w:r>
      <w:r>
        <w:rPr>
          <w:rFonts w:hint="eastAsia" w:ascii="宋体" w:hAnsi="宋体" w:eastAsia="宋体" w:cs="仿宋"/>
          <w:color w:val="auto"/>
          <w:sz w:val="24"/>
          <w:lang w:val="en-US" w:eastAsia="zh-CN"/>
        </w:rPr>
        <w:t>制作</w:t>
      </w:r>
      <w:r>
        <w:rPr>
          <w:rFonts w:hint="eastAsia" w:ascii="宋体" w:hAnsi="宋体" w:cs="仿宋"/>
          <w:color w:val="auto"/>
          <w:sz w:val="24"/>
          <w:lang w:val="en-US" w:eastAsia="zh-CN"/>
        </w:rPr>
        <w:t>和搭建</w:t>
      </w:r>
      <w:r>
        <w:rPr>
          <w:rFonts w:hint="eastAsia" w:ascii="宋体" w:hAnsi="宋体" w:eastAsia="宋体" w:cs="仿宋"/>
          <w:color w:val="auto"/>
          <w:sz w:val="24"/>
          <w:lang w:val="en-US" w:eastAsia="zh-CN"/>
        </w:rPr>
        <w:t>与</w:t>
      </w:r>
      <w:r>
        <w:rPr>
          <w:rFonts w:hint="eastAsia" w:ascii="宋体" w:hAnsi="宋体" w:cs="仿宋"/>
          <w:color w:val="auto"/>
          <w:sz w:val="24"/>
          <w:lang w:val="en-US" w:eastAsia="zh-CN"/>
        </w:rPr>
        <w:t>主视觉</w:t>
      </w:r>
      <w:r>
        <w:rPr>
          <w:rFonts w:hint="eastAsia" w:ascii="宋体" w:hAnsi="宋体" w:eastAsia="宋体" w:cs="仿宋"/>
          <w:color w:val="auto"/>
          <w:sz w:val="24"/>
          <w:lang w:val="en-US" w:eastAsia="zh-CN"/>
        </w:rPr>
        <w:t>相配套的</w:t>
      </w:r>
      <w:r>
        <w:rPr>
          <w:rFonts w:hint="eastAsia" w:ascii="宋体" w:hAnsi="宋体" w:cs="仿宋"/>
          <w:color w:val="auto"/>
          <w:sz w:val="24"/>
          <w:lang w:val="en-US" w:eastAsia="zh-CN"/>
        </w:rPr>
        <w:t>设施对活动进行</w:t>
      </w:r>
      <w:r>
        <w:rPr>
          <w:rFonts w:hint="eastAsia" w:ascii="宋体" w:hAnsi="宋体" w:eastAsia="宋体" w:cs="仿宋"/>
          <w:color w:val="auto"/>
          <w:sz w:val="24"/>
          <w:lang w:val="en-US" w:eastAsia="zh-CN"/>
        </w:rPr>
        <w:t>营造氛围</w:t>
      </w:r>
      <w:r>
        <w:rPr>
          <w:rFonts w:hint="eastAsia" w:ascii="宋体" w:hAnsi="宋体" w:cs="仿宋"/>
          <w:color w:val="auto"/>
          <w:sz w:val="24"/>
          <w:lang w:val="en-US" w:eastAsia="zh-CN"/>
        </w:rPr>
        <w:t>,</w:t>
      </w:r>
      <w:r>
        <w:rPr>
          <w:rFonts w:hint="eastAsia" w:ascii="宋体" w:hAnsi="宋体" w:eastAsia="宋体" w:cs="仿宋"/>
          <w:color w:val="auto"/>
          <w:sz w:val="24"/>
          <w:lang w:val="en-US" w:eastAsia="zh-CN"/>
        </w:rPr>
        <w:t>包括但不限于导视系统及指示牌</w:t>
      </w:r>
      <w:r>
        <w:rPr>
          <w:rFonts w:hint="eastAsia" w:ascii="宋体" w:hAnsi="宋体" w:cs="仿宋"/>
          <w:color w:val="auto"/>
          <w:sz w:val="24"/>
          <w:lang w:val="en-US" w:eastAsia="zh-CN"/>
        </w:rPr>
        <w:t>不少于2处、形象</w:t>
      </w:r>
      <w:r>
        <w:rPr>
          <w:rFonts w:hint="eastAsia" w:ascii="宋体" w:hAnsi="宋体" w:eastAsia="宋体" w:cs="仿宋"/>
          <w:color w:val="auto"/>
          <w:sz w:val="24"/>
          <w:lang w:val="en-US" w:eastAsia="zh-CN"/>
        </w:rPr>
        <w:t>门头</w:t>
      </w:r>
      <w:r>
        <w:rPr>
          <w:rFonts w:hint="eastAsia" w:ascii="宋体" w:hAnsi="宋体" w:cs="仿宋"/>
          <w:color w:val="auto"/>
          <w:sz w:val="24"/>
          <w:lang w:val="en-US" w:eastAsia="zh-CN"/>
        </w:rPr>
        <w:t>不少于2处。</w:t>
      </w:r>
    </w:p>
    <w:p>
      <w:pPr>
        <w:numPr>
          <w:ilvl w:val="0"/>
          <w:numId w:val="0"/>
        </w:numPr>
        <w:spacing w:line="360" w:lineRule="auto"/>
        <w:ind w:firstLine="482" w:firstLineChars="200"/>
        <w:rPr>
          <w:rFonts w:hint="default" w:ascii="宋体" w:hAnsi="宋体"/>
          <w:b/>
          <w:bCs/>
          <w:color w:val="auto"/>
          <w:sz w:val="24"/>
          <w:lang w:val="en-US" w:eastAsia="zh-CN"/>
        </w:rPr>
      </w:pPr>
      <w:r>
        <w:rPr>
          <w:rFonts w:hint="eastAsia" w:ascii="宋体" w:hAnsi="宋体"/>
          <w:b/>
          <w:bCs/>
          <w:color w:val="auto"/>
          <w:sz w:val="24"/>
          <w:lang w:val="en-US" w:eastAsia="zh-CN"/>
        </w:rPr>
        <w:t>（六）活动宣传及视频制作</w:t>
      </w:r>
    </w:p>
    <w:p>
      <w:pPr>
        <w:spacing w:line="360" w:lineRule="auto"/>
        <w:ind w:firstLine="480" w:firstLineChars="200"/>
        <w:rPr>
          <w:rFonts w:hint="eastAsia" w:ascii="宋体" w:hAnsi="宋体"/>
          <w:color w:val="auto"/>
          <w:sz w:val="24"/>
          <w:lang w:val="en-US" w:eastAsia="zh-CN"/>
        </w:rPr>
      </w:pPr>
      <w:r>
        <w:rPr>
          <w:rFonts w:hint="eastAsia" w:ascii="宋体" w:hAnsi="宋体"/>
          <w:color w:val="auto"/>
          <w:sz w:val="24"/>
          <w:lang w:val="en-US" w:eastAsia="zh-CN"/>
        </w:rPr>
        <w:t>1.供应商需在长春市不少于6条主要街路路灯杆设置不少于300个“2024消夏节”</w:t>
      </w:r>
      <w:r>
        <w:rPr>
          <w:rFonts w:hint="eastAsia" w:ascii="宋体" w:hAnsi="宋体"/>
          <w:color w:val="auto"/>
          <w:sz w:val="24"/>
          <w:lang w:val="en-US" w:eastAsia="zh-CN"/>
        </w:rPr>
        <w:t>宣传道旗，提供内容包括但不限于道旗设计、悬挂、维护、保险等事项。</w:t>
      </w:r>
    </w:p>
    <w:p>
      <w:pPr>
        <w:spacing w:line="360" w:lineRule="auto"/>
        <w:ind w:firstLine="480" w:firstLineChars="200"/>
        <w:rPr>
          <w:rFonts w:hint="eastAsia" w:ascii="宋体" w:hAnsi="宋体"/>
          <w:color w:val="auto"/>
          <w:sz w:val="24"/>
          <w:lang w:val="en-US" w:eastAsia="zh-CN"/>
        </w:rPr>
      </w:pPr>
      <w:r>
        <w:rPr>
          <w:rFonts w:hint="eastAsia" w:ascii="宋体" w:hAnsi="宋体"/>
          <w:color w:val="auto"/>
          <w:sz w:val="24"/>
          <w:lang w:val="en-US" w:eastAsia="zh-CN"/>
        </w:rPr>
        <w:t>2.供应商需为本次活动提供现场拍摄及多机位切换，相机参数不少于一千万像素以上全面幅单反相机，要求多机位、多角度、多场景拍摄，拍摄内容包含大、小场景、特写及花絮。</w:t>
      </w:r>
    </w:p>
    <w:p>
      <w:pPr>
        <w:spacing w:line="360" w:lineRule="auto"/>
        <w:ind w:firstLine="480" w:firstLineChars="200"/>
        <w:rPr>
          <w:rFonts w:hint="eastAsia" w:ascii="宋体" w:hAnsi="宋体"/>
          <w:color w:val="auto"/>
          <w:sz w:val="24"/>
          <w:lang w:val="en-US" w:eastAsia="zh-CN"/>
        </w:rPr>
      </w:pPr>
      <w:r>
        <w:rPr>
          <w:rFonts w:hint="eastAsia" w:ascii="宋体" w:hAnsi="宋体"/>
          <w:color w:val="auto"/>
          <w:sz w:val="24"/>
          <w:lang w:val="en-US" w:eastAsia="zh-CN"/>
        </w:rPr>
        <w:t>3.供应商需对整场活动拍摄的视频素材进行后期制作，按（多机位非线编辑，分辨率不低于1920X1080，码率不低于8M）标准来完成，提供不少于2个视频剪辑成片，提供整场活动的演出全程视频和精简视频，精简视频时长不少于180秒，以上视频版权归采购人所有。</w:t>
      </w:r>
    </w:p>
    <w:p>
      <w:pPr>
        <w:spacing w:line="360" w:lineRule="auto"/>
        <w:ind w:firstLine="482" w:firstLineChars="200"/>
        <w:rPr>
          <w:rFonts w:hint="eastAsia" w:ascii="宋体" w:hAnsi="宋体"/>
          <w:b/>
          <w:bCs/>
          <w:color w:val="auto"/>
          <w:sz w:val="24"/>
          <w:lang w:val="en-US" w:eastAsia="zh-CN"/>
        </w:rPr>
      </w:pPr>
      <w:r>
        <w:rPr>
          <w:rFonts w:hint="eastAsia" w:ascii="宋体" w:hAnsi="宋体"/>
          <w:b/>
          <w:bCs/>
          <w:color w:val="auto"/>
          <w:sz w:val="24"/>
          <w:lang w:val="en-US" w:eastAsia="zh-CN"/>
        </w:rPr>
        <w:t>（七）活动保障</w:t>
      </w:r>
    </w:p>
    <w:p>
      <w:pPr>
        <w:spacing w:line="360" w:lineRule="auto"/>
        <w:ind w:firstLine="480" w:firstLineChars="200"/>
        <w:rPr>
          <w:rFonts w:hint="eastAsia" w:ascii="宋体" w:hAnsi="宋体"/>
          <w:color w:val="auto"/>
          <w:sz w:val="24"/>
          <w:lang w:val="en-US" w:eastAsia="zh-CN"/>
        </w:rPr>
      </w:pPr>
      <w:r>
        <w:rPr>
          <w:rFonts w:hint="eastAsia" w:ascii="宋体" w:hAnsi="宋体"/>
          <w:color w:val="auto"/>
          <w:sz w:val="24"/>
          <w:lang w:val="en-US" w:eastAsia="zh-CN"/>
        </w:rPr>
        <w:t>1.供应商需在现场设置不少于</w:t>
      </w:r>
      <w:r>
        <w:rPr>
          <w:rFonts w:hint="eastAsia" w:ascii="宋体" w:hAnsi="宋体"/>
          <w:color w:val="auto"/>
          <w:sz w:val="24"/>
          <w:lang w:val="en-US" w:eastAsia="zh-CN"/>
        </w:rPr>
        <w:t>50</w:t>
      </w:r>
      <w:r>
        <w:rPr>
          <w:rFonts w:hint="eastAsia" w:ascii="宋体" w:hAnsi="宋体"/>
          <w:color w:val="auto"/>
          <w:sz w:val="24"/>
          <w:lang w:val="en-US" w:eastAsia="zh-CN"/>
        </w:rPr>
        <w:t>人的保安，安保人员需分包给在长春市公安局备案的具有安保资质的安保公司承担服务，要求安保人员性别为男性，年龄不超过50周岁。按照采购人要求开展安保工作。</w:t>
      </w:r>
    </w:p>
    <w:p>
      <w:pPr>
        <w:spacing w:line="360" w:lineRule="auto"/>
        <w:ind w:firstLine="480" w:firstLineChars="200"/>
        <w:rPr>
          <w:rFonts w:hint="eastAsia" w:ascii="宋体" w:hAnsi="宋体"/>
          <w:color w:val="auto"/>
          <w:sz w:val="24"/>
          <w:lang w:val="en-US" w:eastAsia="zh-CN"/>
        </w:rPr>
      </w:pPr>
      <w:r>
        <w:rPr>
          <w:rFonts w:hint="eastAsia" w:ascii="宋体" w:hAnsi="宋体"/>
          <w:color w:val="auto"/>
          <w:sz w:val="24"/>
          <w:lang w:val="en-US" w:eastAsia="zh-CN"/>
        </w:rPr>
        <w:t>2.供应商保证活动场地在活动期间顺利使用，如涉及活动场地费用和为满足活动顺利进行的电力供应等相关的费用由供应商承担。</w:t>
      </w:r>
    </w:p>
    <w:p>
      <w:pPr>
        <w:spacing w:line="360" w:lineRule="auto"/>
        <w:ind w:firstLine="480" w:firstLineChars="200"/>
        <w:rPr>
          <w:rFonts w:hint="eastAsia" w:ascii="宋体" w:hAnsi="宋体"/>
          <w:color w:val="auto"/>
          <w:sz w:val="24"/>
          <w:lang w:val="en-US" w:eastAsia="zh-CN"/>
        </w:rPr>
      </w:pPr>
      <w:r>
        <w:rPr>
          <w:rFonts w:hint="eastAsia" w:ascii="宋体" w:hAnsi="宋体"/>
          <w:color w:val="auto"/>
          <w:sz w:val="24"/>
          <w:lang w:val="en-US" w:eastAsia="zh-CN"/>
        </w:rPr>
        <w:t>3.供应商应采取有效措施保障来宾及相关工作人员的人身财产安全，维护活动正常秩序，在活动期间由于供应商原因造成的一切人身伤亡、财产损失、经济纠纷均由供应商承担，采购人不承担任何责任。</w:t>
      </w:r>
    </w:p>
    <w:p>
      <w:pPr>
        <w:spacing w:line="360" w:lineRule="auto"/>
        <w:ind w:firstLine="480" w:firstLineChars="200"/>
        <w:rPr>
          <w:rFonts w:hint="default" w:ascii="宋体" w:hAnsi="宋体"/>
          <w:color w:val="auto"/>
          <w:sz w:val="24"/>
          <w:lang w:val="en-US" w:eastAsia="zh-CN"/>
        </w:rPr>
      </w:pPr>
      <w:r>
        <w:rPr>
          <w:rFonts w:hint="eastAsia" w:ascii="宋体" w:hAnsi="宋体"/>
          <w:color w:val="auto"/>
          <w:sz w:val="24"/>
          <w:lang w:val="en-US" w:eastAsia="zh-CN"/>
        </w:rPr>
        <w:t>4,供应商不得以任何方式、任何形式对参展商及参与活动的游客收取任何费用。</w:t>
      </w:r>
    </w:p>
    <w:p>
      <w:pPr>
        <w:spacing w:line="360" w:lineRule="auto"/>
        <w:ind w:firstLine="480" w:firstLineChars="200"/>
        <w:rPr>
          <w:rFonts w:hint="default" w:ascii="宋体" w:hAnsi="宋体"/>
          <w:color w:val="auto"/>
          <w:sz w:val="24"/>
          <w:lang w:val="en-US" w:eastAsia="zh-CN"/>
        </w:rPr>
      </w:pPr>
      <w:r>
        <w:rPr>
          <w:rFonts w:hint="eastAsia" w:ascii="宋体" w:hAnsi="宋体"/>
          <w:color w:val="auto"/>
          <w:sz w:val="24"/>
          <w:lang w:val="en-US" w:eastAsia="zh-CN"/>
        </w:rPr>
        <w:t>5.供应商负责按计划保障活动的顺畅进行，包括到场观众的秩序及突发状况的应急处理。</w:t>
      </w:r>
    </w:p>
    <w:p>
      <w:pPr>
        <w:spacing w:line="360" w:lineRule="auto"/>
        <w:ind w:firstLine="480" w:firstLineChars="200"/>
        <w:rPr>
          <w:rFonts w:hint="eastAsia" w:ascii="宋体" w:hAnsi="宋体"/>
          <w:color w:val="auto"/>
          <w:sz w:val="24"/>
          <w:lang w:val="en-US" w:eastAsia="zh-CN"/>
        </w:rPr>
      </w:pPr>
      <w:r>
        <w:rPr>
          <w:rFonts w:hint="eastAsia" w:ascii="宋体" w:hAnsi="宋体"/>
          <w:color w:val="auto"/>
          <w:sz w:val="24"/>
          <w:lang w:val="en-US" w:eastAsia="zh-CN"/>
        </w:rPr>
        <w:t>6.供应商在活动中对采购人提出的整改意见应及时处理、改正，达到采购人对活动的要求，否则采购人有权扣减相应服务费用。</w:t>
      </w:r>
    </w:p>
    <w:p>
      <w:pPr>
        <w:spacing w:line="360" w:lineRule="auto"/>
        <w:ind w:firstLine="482" w:firstLineChars="200"/>
        <w:rPr>
          <w:rFonts w:hint="eastAsia" w:ascii="宋体" w:hAnsi="宋体"/>
          <w:b/>
          <w:bCs/>
          <w:color w:val="auto"/>
          <w:sz w:val="24"/>
          <w:lang w:val="en-US" w:eastAsia="zh-CN"/>
        </w:rPr>
      </w:pPr>
      <w:r>
        <w:rPr>
          <w:rFonts w:hint="eastAsia" w:ascii="宋体" w:hAnsi="宋体"/>
          <w:b/>
          <w:bCs/>
          <w:color w:val="auto"/>
          <w:sz w:val="24"/>
          <w:lang w:val="en-US" w:eastAsia="zh-CN"/>
        </w:rPr>
        <w:t>（八）工作进度要求</w:t>
      </w:r>
    </w:p>
    <w:p>
      <w:pPr>
        <w:spacing w:line="360" w:lineRule="auto"/>
        <w:ind w:firstLine="480" w:firstLineChars="200"/>
        <w:rPr>
          <w:rFonts w:hint="eastAsia" w:ascii="宋体" w:hAnsi="宋体"/>
          <w:color w:val="auto"/>
          <w:sz w:val="24"/>
          <w:lang w:val="en-US" w:eastAsia="zh-CN"/>
        </w:rPr>
      </w:pPr>
      <w:r>
        <w:rPr>
          <w:rFonts w:hint="eastAsia" w:ascii="宋体" w:hAnsi="宋体"/>
          <w:color w:val="auto"/>
          <w:sz w:val="24"/>
          <w:lang w:val="en-US" w:eastAsia="zh-CN"/>
        </w:rPr>
        <w:t>全部准备工作于活动开始前1天完成，并通过采购人组织的验收，供应商要需按照采购人提出的合理意见进行整改。</w:t>
      </w:r>
    </w:p>
    <w:p>
      <w:pPr>
        <w:pStyle w:val="3"/>
        <w:keepNext w:val="0"/>
        <w:keepLines w:val="0"/>
        <w:kinsoku/>
        <w:overflowPunct/>
        <w:topLinePunct w:val="0"/>
        <w:bidi w:val="0"/>
        <w:spacing w:before="0" w:after="0" w:line="240" w:lineRule="auto"/>
        <w:jc w:val="left"/>
        <w:textAlignment w:val="auto"/>
        <w:rPr>
          <w:rFonts w:hint="eastAsia" w:ascii="宋体" w:hAnsi="宋体" w:eastAsia="宋体" w:cs="宋体"/>
          <w:b/>
          <w:bCs/>
          <w:color w:val="auto"/>
          <w:sz w:val="24"/>
          <w:szCs w:val="30"/>
        </w:rPr>
      </w:pPr>
      <w:r>
        <w:rPr>
          <w:rFonts w:hint="eastAsia" w:ascii="宋体" w:hAnsi="宋体" w:eastAsia="宋体" w:cs="宋体"/>
          <w:b/>
          <w:bCs/>
          <w:color w:val="auto"/>
          <w:sz w:val="24"/>
          <w:szCs w:val="30"/>
        </w:rPr>
        <w:t>五、商务要求</w:t>
      </w:r>
    </w:p>
    <w:p>
      <w:pPr>
        <w:keepNext w:val="0"/>
        <w:keepLines w:val="0"/>
        <w:kinsoku/>
        <w:overflowPunct/>
        <w:topLinePunct w:val="0"/>
        <w:bidi w:val="0"/>
        <w:spacing w:line="240" w:lineRule="auto"/>
        <w:textAlignment w:val="auto"/>
        <w:rPr>
          <w:rFonts w:hint="eastAsia" w:ascii="宋体" w:hAnsi="宋体" w:eastAsia="宋体" w:cs="宋体"/>
          <w:b/>
          <w:color w:val="auto"/>
          <w:sz w:val="24"/>
        </w:rPr>
      </w:pPr>
      <w:r>
        <w:rPr>
          <w:rFonts w:hint="eastAsia" w:ascii="宋体" w:hAnsi="宋体" w:eastAsia="宋体" w:cs="宋体"/>
          <w:b/>
          <w:color w:val="auto"/>
          <w:sz w:val="24"/>
        </w:rPr>
        <w:t>说明：</w:t>
      </w:r>
      <w:r>
        <w:rPr>
          <w:rFonts w:hint="eastAsia" w:ascii="宋体" w:hAnsi="宋体" w:eastAsia="宋体" w:cs="宋体"/>
          <w:b/>
          <w:color w:val="auto"/>
          <w:sz w:val="24"/>
          <w:lang w:val="zh-CN"/>
        </w:rPr>
        <w:t>本部分内容均为实质性条款，供应商的投标（响应）必须完全满足或者正偏离，且</w:t>
      </w:r>
      <w:r>
        <w:rPr>
          <w:rFonts w:hint="eastAsia" w:ascii="宋体" w:hAnsi="宋体" w:eastAsia="宋体" w:cs="宋体"/>
          <w:b/>
          <w:color w:val="auto"/>
          <w:sz w:val="24"/>
        </w:rPr>
        <w:t>应在投标（响应）文件《商务条款偏离表》中对本部分所有条款逐条说明响应或偏离情况，否则按照投标（响应）无效处理。</w:t>
      </w:r>
    </w:p>
    <w:tbl>
      <w:tblPr>
        <w:tblStyle w:val="46"/>
        <w:tblpPr w:leftFromText="180" w:rightFromText="180" w:vertAnchor="text" w:horzAnchor="page" w:tblpX="1345" w:tblpY="180"/>
        <w:tblOverlap w:val="never"/>
        <w:tblW w:w="940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17"/>
        <w:gridCol w:w="1701"/>
        <w:gridCol w:w="688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817" w:type="dxa"/>
            <w:noWrap w:val="0"/>
            <w:vAlign w:val="center"/>
          </w:tcPr>
          <w:p>
            <w:pPr>
              <w:keepNext w:val="0"/>
              <w:keepLines w:val="0"/>
              <w:suppressLineNumbers w:val="0"/>
              <w:kinsoku/>
              <w:overflowPunct/>
              <w:topLinePunct w:val="0"/>
              <w:bidi w:val="0"/>
              <w:spacing w:before="0" w:beforeAutospacing="0" w:after="0" w:afterAutospacing="0" w:line="240" w:lineRule="auto"/>
              <w:ind w:left="0" w:right="0"/>
              <w:jc w:val="center"/>
              <w:textAlignment w:val="auto"/>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序号</w:t>
            </w:r>
          </w:p>
        </w:tc>
        <w:tc>
          <w:tcPr>
            <w:tcW w:w="1701" w:type="dxa"/>
            <w:noWrap w:val="0"/>
            <w:vAlign w:val="center"/>
          </w:tcPr>
          <w:p>
            <w:pPr>
              <w:keepNext w:val="0"/>
              <w:keepLines w:val="0"/>
              <w:suppressLineNumbers w:val="0"/>
              <w:kinsoku/>
              <w:overflowPunct/>
              <w:topLinePunct w:val="0"/>
              <w:bidi w:val="0"/>
              <w:spacing w:before="0" w:beforeAutospacing="0" w:after="0" w:afterAutospacing="0" w:line="240" w:lineRule="auto"/>
              <w:ind w:left="0" w:right="0"/>
              <w:jc w:val="center"/>
              <w:textAlignment w:val="auto"/>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内容</w:t>
            </w:r>
          </w:p>
        </w:tc>
        <w:tc>
          <w:tcPr>
            <w:tcW w:w="6882" w:type="dxa"/>
            <w:noWrap w:val="0"/>
            <w:vAlign w:val="center"/>
          </w:tcPr>
          <w:p>
            <w:pPr>
              <w:keepNext w:val="0"/>
              <w:keepLines w:val="0"/>
              <w:suppressLineNumbers w:val="0"/>
              <w:kinsoku/>
              <w:overflowPunct/>
              <w:topLinePunct w:val="0"/>
              <w:bidi w:val="0"/>
              <w:spacing w:before="0" w:beforeAutospacing="0" w:after="0" w:afterAutospacing="0" w:line="240" w:lineRule="auto"/>
              <w:ind w:left="0" w:right="0"/>
              <w:jc w:val="center"/>
              <w:textAlignment w:val="auto"/>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817" w:type="dxa"/>
            <w:noWrap w:val="0"/>
            <w:vAlign w:val="center"/>
          </w:tcPr>
          <w:p>
            <w:pPr>
              <w:keepNext w:val="0"/>
              <w:keepLines w:val="0"/>
              <w:suppressLineNumbers w:val="0"/>
              <w:kinsoku/>
              <w:overflowPunct/>
              <w:topLinePunct w:val="0"/>
              <w:bidi w:val="0"/>
              <w:spacing w:before="0" w:beforeAutospacing="0" w:after="0" w:afterAutospacing="0" w:line="240" w:lineRule="auto"/>
              <w:ind w:left="0" w:right="0"/>
              <w:jc w:val="center"/>
              <w:textAlignment w:val="auto"/>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1</w:t>
            </w:r>
          </w:p>
        </w:tc>
        <w:tc>
          <w:tcPr>
            <w:tcW w:w="1701" w:type="dxa"/>
            <w:noWrap w:val="0"/>
            <w:vAlign w:val="center"/>
          </w:tcPr>
          <w:p>
            <w:pPr>
              <w:keepNext w:val="0"/>
              <w:keepLines w:val="0"/>
              <w:suppressLineNumbers w:val="0"/>
              <w:kinsoku/>
              <w:overflowPunct/>
              <w:topLinePunct w:val="0"/>
              <w:bidi w:val="0"/>
              <w:spacing w:before="0" w:beforeAutospacing="0" w:after="0" w:afterAutospacing="0" w:line="240" w:lineRule="auto"/>
              <w:ind w:left="0" w:right="0"/>
              <w:jc w:val="center"/>
              <w:textAlignment w:val="auto"/>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服务期限</w:t>
            </w:r>
          </w:p>
        </w:tc>
        <w:tc>
          <w:tcPr>
            <w:tcW w:w="6882" w:type="dxa"/>
            <w:noWrap w:val="0"/>
            <w:vAlign w:val="center"/>
          </w:tcPr>
          <w:p>
            <w:pPr>
              <w:keepNext w:val="0"/>
              <w:keepLines w:val="0"/>
              <w:suppressLineNumbers w:val="0"/>
              <w:kinsoku/>
              <w:overflowPunct/>
              <w:topLinePunct w:val="0"/>
              <w:bidi w:val="0"/>
              <w:spacing w:before="0" w:beforeAutospacing="0" w:after="0" w:afterAutospacing="0" w:line="240" w:lineRule="auto"/>
              <w:ind w:left="0" w:right="0"/>
              <w:textAlignment w:val="auto"/>
              <w:rPr>
                <w:rFonts w:hint="eastAsia" w:ascii="宋体" w:hAnsi="宋体" w:eastAsia="宋体" w:cs="宋体"/>
                <w:color w:val="auto"/>
                <w:kern w:val="0"/>
                <w:sz w:val="24"/>
                <w:szCs w:val="20"/>
                <w:lang w:eastAsia="zh-CN"/>
              </w:rPr>
            </w:pPr>
            <w:r>
              <w:rPr>
                <w:rFonts w:hint="eastAsia" w:ascii="宋体" w:hAnsi="宋体" w:cs="宋体"/>
                <w:color w:val="auto"/>
                <w:kern w:val="0"/>
                <w:sz w:val="24"/>
                <w:szCs w:val="20"/>
                <w:lang w:eastAsia="zh-CN"/>
              </w:rPr>
              <w:t>自合同签订之日起至项目结束止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817" w:type="dxa"/>
            <w:noWrap w:val="0"/>
            <w:vAlign w:val="center"/>
          </w:tcPr>
          <w:p>
            <w:pPr>
              <w:keepNext w:val="0"/>
              <w:keepLines w:val="0"/>
              <w:suppressLineNumbers w:val="0"/>
              <w:kinsoku/>
              <w:overflowPunct/>
              <w:topLinePunct w:val="0"/>
              <w:bidi w:val="0"/>
              <w:spacing w:before="0" w:beforeAutospacing="0" w:after="0" w:afterAutospacing="0" w:line="240" w:lineRule="auto"/>
              <w:ind w:left="0" w:right="0"/>
              <w:jc w:val="center"/>
              <w:textAlignment w:val="auto"/>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2</w:t>
            </w:r>
          </w:p>
        </w:tc>
        <w:tc>
          <w:tcPr>
            <w:tcW w:w="1701" w:type="dxa"/>
            <w:noWrap w:val="0"/>
            <w:vAlign w:val="center"/>
          </w:tcPr>
          <w:p>
            <w:pPr>
              <w:keepNext w:val="0"/>
              <w:keepLines w:val="0"/>
              <w:suppressLineNumbers w:val="0"/>
              <w:kinsoku/>
              <w:overflowPunct/>
              <w:topLinePunct w:val="0"/>
              <w:bidi w:val="0"/>
              <w:spacing w:before="0" w:beforeAutospacing="0" w:after="0" w:afterAutospacing="0" w:line="240" w:lineRule="auto"/>
              <w:ind w:left="0" w:right="0"/>
              <w:jc w:val="center"/>
              <w:textAlignment w:val="auto"/>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服务地点</w:t>
            </w:r>
          </w:p>
        </w:tc>
        <w:tc>
          <w:tcPr>
            <w:tcW w:w="6882" w:type="dxa"/>
            <w:noWrap w:val="0"/>
            <w:vAlign w:val="center"/>
          </w:tcPr>
          <w:p>
            <w:pPr>
              <w:keepNext w:val="0"/>
              <w:keepLines w:val="0"/>
              <w:suppressLineNumbers w:val="0"/>
              <w:kinsoku/>
              <w:overflowPunct/>
              <w:topLinePunct w:val="0"/>
              <w:bidi w:val="0"/>
              <w:spacing w:before="0" w:beforeAutospacing="0" w:after="0" w:afterAutospacing="0" w:line="240" w:lineRule="auto"/>
              <w:ind w:left="0" w:right="0"/>
              <w:textAlignment w:val="auto"/>
              <w:rPr>
                <w:rFonts w:hint="eastAsia" w:ascii="宋体" w:hAnsi="宋体" w:eastAsia="宋体" w:cs="宋体"/>
                <w:color w:val="auto"/>
                <w:kern w:val="0"/>
                <w:sz w:val="24"/>
                <w:szCs w:val="20"/>
              </w:rPr>
            </w:pPr>
            <w:r>
              <w:rPr>
                <w:rFonts w:hint="eastAsia" w:ascii="宋体" w:hAnsi="宋体"/>
                <w:color w:val="auto"/>
                <w:sz w:val="24"/>
                <w:szCs w:val="20"/>
                <w:lang w:val="en-US" w:eastAsia="zh-CN"/>
              </w:rPr>
              <w:t>长春市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817" w:type="dxa"/>
            <w:noWrap w:val="0"/>
            <w:vAlign w:val="center"/>
          </w:tcPr>
          <w:p>
            <w:pPr>
              <w:keepNext w:val="0"/>
              <w:keepLines w:val="0"/>
              <w:suppressLineNumbers w:val="0"/>
              <w:kinsoku/>
              <w:overflowPunct/>
              <w:topLinePunct w:val="0"/>
              <w:bidi w:val="0"/>
              <w:snapToGrid w:val="0"/>
              <w:spacing w:before="0" w:beforeAutospacing="0" w:after="0" w:afterAutospacing="0" w:line="240" w:lineRule="auto"/>
              <w:ind w:left="0" w:right="0"/>
              <w:jc w:val="center"/>
              <w:textAlignment w:val="auto"/>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3</w:t>
            </w:r>
          </w:p>
        </w:tc>
        <w:tc>
          <w:tcPr>
            <w:tcW w:w="1701" w:type="dxa"/>
            <w:noWrap w:val="0"/>
            <w:vAlign w:val="center"/>
          </w:tcPr>
          <w:p>
            <w:pPr>
              <w:keepNext w:val="0"/>
              <w:keepLines w:val="0"/>
              <w:suppressLineNumbers w:val="0"/>
              <w:kinsoku/>
              <w:overflowPunct/>
              <w:topLinePunct w:val="0"/>
              <w:bidi w:val="0"/>
              <w:snapToGrid w:val="0"/>
              <w:spacing w:before="0" w:beforeAutospacing="0" w:after="0" w:afterAutospacing="0" w:line="240" w:lineRule="auto"/>
              <w:ind w:left="0" w:right="0"/>
              <w:jc w:val="center"/>
              <w:textAlignment w:val="auto"/>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报价要求</w:t>
            </w:r>
          </w:p>
        </w:tc>
        <w:tc>
          <w:tcPr>
            <w:tcW w:w="6882" w:type="dxa"/>
            <w:noWrap w:val="0"/>
            <w:vAlign w:val="center"/>
          </w:tcPr>
          <w:p>
            <w:pPr>
              <w:keepNext w:val="0"/>
              <w:keepLines w:val="0"/>
              <w:suppressLineNumbers w:val="0"/>
              <w:kinsoku/>
              <w:overflowPunct/>
              <w:topLinePunct w:val="0"/>
              <w:bidi w:val="0"/>
              <w:spacing w:before="0" w:beforeAutospacing="0" w:after="0" w:afterAutospacing="0" w:line="240" w:lineRule="auto"/>
              <w:ind w:left="0" w:right="0"/>
              <w:textAlignment w:val="auto"/>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供应商的报价应当包含为完成本项目方案设计、场地布置、人员、设备租赁、现场执行等全部工作所需的一切费用，包括成本、利润、税金等。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817" w:type="dxa"/>
            <w:noWrap w:val="0"/>
            <w:vAlign w:val="center"/>
          </w:tcPr>
          <w:p>
            <w:pPr>
              <w:keepNext w:val="0"/>
              <w:keepLines w:val="0"/>
              <w:suppressLineNumbers w:val="0"/>
              <w:kinsoku/>
              <w:overflowPunct/>
              <w:topLinePunct w:val="0"/>
              <w:bidi w:val="0"/>
              <w:snapToGrid w:val="0"/>
              <w:spacing w:before="0" w:beforeAutospacing="0" w:after="0" w:afterAutospacing="0" w:line="240" w:lineRule="auto"/>
              <w:ind w:left="0" w:right="0"/>
              <w:jc w:val="center"/>
              <w:textAlignment w:val="auto"/>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4</w:t>
            </w:r>
          </w:p>
        </w:tc>
        <w:tc>
          <w:tcPr>
            <w:tcW w:w="1701" w:type="dxa"/>
            <w:noWrap w:val="0"/>
            <w:vAlign w:val="center"/>
          </w:tcPr>
          <w:p>
            <w:pPr>
              <w:keepNext w:val="0"/>
              <w:keepLines w:val="0"/>
              <w:suppressLineNumbers w:val="0"/>
              <w:kinsoku/>
              <w:overflowPunct/>
              <w:topLinePunct w:val="0"/>
              <w:bidi w:val="0"/>
              <w:spacing w:before="0" w:beforeAutospacing="0" w:after="0" w:afterAutospacing="0" w:line="240" w:lineRule="auto"/>
              <w:ind w:left="0" w:right="0"/>
              <w:jc w:val="center"/>
              <w:textAlignment w:val="auto"/>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证明材料</w:t>
            </w:r>
          </w:p>
        </w:tc>
        <w:tc>
          <w:tcPr>
            <w:tcW w:w="6882" w:type="dxa"/>
            <w:noWrap w:val="0"/>
            <w:vAlign w:val="center"/>
          </w:tcPr>
          <w:p>
            <w:pPr>
              <w:keepNext w:val="0"/>
              <w:keepLines w:val="0"/>
              <w:suppressLineNumbers w:val="0"/>
              <w:kinsoku/>
              <w:overflowPunct/>
              <w:topLinePunct w:val="0"/>
              <w:bidi w:val="0"/>
              <w:spacing w:before="0" w:beforeAutospacing="0" w:after="0" w:afterAutospacing="0" w:line="240" w:lineRule="auto"/>
              <w:ind w:left="0" w:right="0"/>
              <w:textAlignment w:val="auto"/>
              <w:rPr>
                <w:rFonts w:hint="eastAsia" w:ascii="宋体" w:hAnsi="宋体" w:eastAsia="宋体" w:cs="宋体"/>
                <w:color w:val="auto"/>
                <w:kern w:val="0"/>
                <w:sz w:val="24"/>
                <w:szCs w:val="20"/>
                <w:lang w:eastAsia="zh-CN"/>
              </w:rPr>
            </w:pPr>
            <w:r>
              <w:rPr>
                <w:rFonts w:hint="eastAsia" w:ascii="宋体" w:hAnsi="宋体" w:eastAsia="宋体" w:cs="宋体"/>
                <w:color w:val="auto"/>
                <w:kern w:val="0"/>
                <w:sz w:val="24"/>
                <w:szCs w:val="20"/>
              </w:rPr>
              <w:t>供应商需提供的技术服务证明材料：</w:t>
            </w:r>
            <w:r>
              <w:rPr>
                <w:rFonts w:hint="eastAsia" w:ascii="宋体" w:hAnsi="宋体" w:cs="宋体"/>
                <w:color w:val="auto"/>
                <w:kern w:val="0"/>
                <w:sz w:val="24"/>
                <w:szCs w:val="20"/>
                <w:lang w:eastAsia="zh-CN"/>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817" w:type="dxa"/>
            <w:noWrap w:val="0"/>
            <w:vAlign w:val="center"/>
          </w:tcPr>
          <w:p>
            <w:pPr>
              <w:keepNext w:val="0"/>
              <w:keepLines w:val="0"/>
              <w:suppressLineNumbers w:val="0"/>
              <w:kinsoku/>
              <w:overflowPunct/>
              <w:topLinePunct w:val="0"/>
              <w:bidi w:val="0"/>
              <w:snapToGrid w:val="0"/>
              <w:spacing w:before="0" w:beforeAutospacing="0" w:after="0" w:afterAutospacing="0" w:line="240" w:lineRule="auto"/>
              <w:ind w:left="0" w:right="0"/>
              <w:jc w:val="center"/>
              <w:textAlignment w:val="auto"/>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5</w:t>
            </w:r>
          </w:p>
        </w:tc>
        <w:tc>
          <w:tcPr>
            <w:tcW w:w="1701" w:type="dxa"/>
            <w:noWrap w:val="0"/>
            <w:vAlign w:val="center"/>
          </w:tcPr>
          <w:p>
            <w:pPr>
              <w:keepNext w:val="0"/>
              <w:keepLines w:val="0"/>
              <w:suppressLineNumbers w:val="0"/>
              <w:kinsoku/>
              <w:overflowPunct/>
              <w:topLinePunct w:val="0"/>
              <w:bidi w:val="0"/>
              <w:spacing w:before="0" w:beforeAutospacing="0" w:after="0" w:afterAutospacing="0" w:line="240" w:lineRule="auto"/>
              <w:ind w:left="0" w:right="0"/>
              <w:jc w:val="center"/>
              <w:textAlignment w:val="auto"/>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强制采购产品认证</w:t>
            </w:r>
          </w:p>
        </w:tc>
        <w:tc>
          <w:tcPr>
            <w:tcW w:w="6882" w:type="dxa"/>
            <w:noWrap w:val="0"/>
            <w:vAlign w:val="center"/>
          </w:tcPr>
          <w:p>
            <w:pPr>
              <w:keepNext w:val="0"/>
              <w:keepLines w:val="0"/>
              <w:suppressLineNumbers w:val="0"/>
              <w:kinsoku/>
              <w:overflowPunct/>
              <w:topLinePunct w:val="0"/>
              <w:bidi w:val="0"/>
              <w:spacing w:before="0" w:beforeAutospacing="0" w:after="0" w:afterAutospacing="0" w:line="240" w:lineRule="auto"/>
              <w:ind w:left="0" w:right="0"/>
              <w:textAlignment w:val="auto"/>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供应商需提供下述节能环保产品强制采购认证证书：无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817" w:type="dxa"/>
            <w:noWrap w:val="0"/>
            <w:vAlign w:val="center"/>
          </w:tcPr>
          <w:p>
            <w:pPr>
              <w:keepNext w:val="0"/>
              <w:keepLines w:val="0"/>
              <w:suppressLineNumbers w:val="0"/>
              <w:kinsoku/>
              <w:overflowPunct/>
              <w:topLinePunct w:val="0"/>
              <w:bidi w:val="0"/>
              <w:snapToGrid w:val="0"/>
              <w:spacing w:before="0" w:beforeAutospacing="0" w:after="0" w:afterAutospacing="0" w:line="240" w:lineRule="auto"/>
              <w:ind w:left="0" w:right="0"/>
              <w:jc w:val="center"/>
              <w:textAlignment w:val="auto"/>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6</w:t>
            </w:r>
          </w:p>
        </w:tc>
        <w:tc>
          <w:tcPr>
            <w:tcW w:w="1701" w:type="dxa"/>
            <w:noWrap w:val="0"/>
            <w:vAlign w:val="center"/>
          </w:tcPr>
          <w:p>
            <w:pPr>
              <w:keepNext w:val="0"/>
              <w:keepLines w:val="0"/>
              <w:suppressLineNumbers w:val="0"/>
              <w:kinsoku/>
              <w:overflowPunct/>
              <w:topLinePunct w:val="0"/>
              <w:bidi w:val="0"/>
              <w:snapToGrid w:val="0"/>
              <w:spacing w:before="0" w:beforeAutospacing="0" w:after="0" w:afterAutospacing="0" w:line="240" w:lineRule="auto"/>
              <w:ind w:left="0" w:right="0"/>
              <w:jc w:val="center"/>
              <w:textAlignment w:val="auto"/>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w:t>
            </w:r>
          </w:p>
        </w:tc>
        <w:tc>
          <w:tcPr>
            <w:tcW w:w="6882" w:type="dxa"/>
            <w:noWrap w:val="0"/>
            <w:vAlign w:val="center"/>
          </w:tcPr>
          <w:p>
            <w:pPr>
              <w:keepNext w:val="0"/>
              <w:keepLines w:val="0"/>
              <w:suppressLineNumbers w:val="0"/>
              <w:kinsoku/>
              <w:overflowPunct/>
              <w:topLinePunct w:val="0"/>
              <w:bidi w:val="0"/>
              <w:snapToGrid w:val="0"/>
              <w:spacing w:before="0" w:beforeAutospacing="0" w:after="0" w:afterAutospacing="0" w:line="240" w:lineRule="auto"/>
              <w:ind w:left="0" w:right="0"/>
              <w:textAlignment w:val="auto"/>
              <w:rPr>
                <w:rFonts w:hint="eastAsia" w:ascii="宋体" w:hAnsi="宋体" w:eastAsia="宋体" w:cs="宋体"/>
                <w:color w:val="auto"/>
                <w:kern w:val="0"/>
                <w:sz w:val="24"/>
                <w:szCs w:val="20"/>
              </w:rPr>
            </w:pPr>
          </w:p>
        </w:tc>
      </w:tr>
    </w:tbl>
    <w:p>
      <w:pPr>
        <w:pStyle w:val="3"/>
        <w:rPr>
          <w:rFonts w:hint="eastAsia"/>
          <w:color w:val="auto"/>
          <w:highlight w:val="none"/>
          <w:lang w:val="zh-CN"/>
        </w:rPr>
      </w:pPr>
    </w:p>
    <w:p>
      <w:pPr>
        <w:pStyle w:val="2"/>
        <w:spacing w:before="0" w:after="0" w:line="500" w:lineRule="exact"/>
        <w:rPr>
          <w:rFonts w:ascii="宋体" w:hAnsi="宋体" w:cs="宋体"/>
          <w:color w:val="auto"/>
          <w:szCs w:val="22"/>
          <w:highlight w:val="none"/>
          <w:lang w:val="zh-CN"/>
        </w:rPr>
      </w:pPr>
      <w:bookmarkStart w:id="66" w:name="_Toc31498"/>
      <w:r>
        <w:rPr>
          <w:rFonts w:hint="eastAsia" w:ascii="宋体" w:hAnsi="宋体" w:cs="宋体"/>
          <w:color w:val="auto"/>
          <w:szCs w:val="22"/>
          <w:highlight w:val="none"/>
          <w:lang w:val="zh-CN"/>
        </w:rPr>
        <w:t>第六章</w:t>
      </w:r>
      <w:r>
        <w:rPr>
          <w:rFonts w:hint="eastAsia" w:ascii="宋体" w:hAnsi="宋体" w:cs="宋体"/>
          <w:color w:val="auto"/>
          <w:szCs w:val="22"/>
          <w:highlight w:val="none"/>
        </w:rPr>
        <w:t xml:space="preserve"> </w:t>
      </w:r>
      <w:r>
        <w:rPr>
          <w:rFonts w:hint="eastAsia" w:ascii="宋体" w:hAnsi="宋体" w:cs="宋体"/>
          <w:color w:val="auto"/>
          <w:szCs w:val="22"/>
          <w:highlight w:val="none"/>
          <w:lang w:val="zh-CN"/>
        </w:rPr>
        <w:t>响应文件构成、要求及格式</w:t>
      </w:r>
      <w:bookmarkEnd w:id="55"/>
      <w:bookmarkEnd w:id="56"/>
      <w:bookmarkEnd w:id="57"/>
      <w:bookmarkEnd w:id="58"/>
      <w:bookmarkEnd w:id="59"/>
      <w:bookmarkEnd w:id="60"/>
      <w:bookmarkEnd w:id="61"/>
      <w:bookmarkEnd w:id="66"/>
    </w:p>
    <w:p>
      <w:pPr>
        <w:pStyle w:val="2"/>
        <w:spacing w:before="0" w:after="0" w:line="500" w:lineRule="exact"/>
        <w:rPr>
          <w:rFonts w:ascii="宋体" w:hAnsi="宋体" w:cs="宋体"/>
          <w:color w:val="auto"/>
          <w:sz w:val="32"/>
          <w:szCs w:val="32"/>
          <w:highlight w:val="none"/>
          <w:lang w:val="zh-CN"/>
        </w:rPr>
      </w:pPr>
      <w:bookmarkStart w:id="67" w:name="_Toc20792"/>
      <w:r>
        <w:rPr>
          <w:rFonts w:hint="eastAsia" w:ascii="宋体" w:hAnsi="宋体" w:cs="宋体"/>
          <w:color w:val="auto"/>
          <w:szCs w:val="22"/>
          <w:highlight w:val="none"/>
          <w:lang w:val="zh-CN"/>
        </w:rPr>
        <w:t>（此格式仅供参考）</w:t>
      </w:r>
      <w:bookmarkEnd w:id="67"/>
    </w:p>
    <w:p>
      <w:pPr>
        <w:autoSpaceDE w:val="0"/>
        <w:autoSpaceDN w:val="0"/>
        <w:adjustRightInd w:val="0"/>
        <w:spacing w:line="500" w:lineRule="exact"/>
        <w:rPr>
          <w:rFonts w:ascii="宋体" w:hAnsi="宋体" w:cs="宋体"/>
          <w:b/>
          <w:color w:val="auto"/>
          <w:sz w:val="28"/>
          <w:highlight w:val="none"/>
          <w:lang w:val="zh-CN"/>
        </w:rPr>
      </w:pPr>
    </w:p>
    <w:p>
      <w:pPr>
        <w:rPr>
          <w:rFonts w:ascii="宋体" w:hAnsi="宋体" w:cs="宋体"/>
          <w:color w:val="auto"/>
          <w:highlight w:val="none"/>
        </w:rPr>
      </w:pPr>
      <w:r>
        <w:rPr>
          <w:rFonts w:ascii="宋体" w:hAnsi="宋体" w:cs="宋体"/>
          <w:color w:val="auto"/>
          <w:highlight w:val="none"/>
        </w:rPr>
        <w:br w:type="page"/>
      </w:r>
    </w:p>
    <w:p>
      <w:pPr>
        <w:autoSpaceDE w:val="0"/>
        <w:autoSpaceDN w:val="0"/>
        <w:adjustRightInd w:val="0"/>
        <w:spacing w:line="500" w:lineRule="exact"/>
        <w:jc w:val="center"/>
        <w:rPr>
          <w:rFonts w:ascii="宋体" w:hAnsi="宋体" w:cs="宋体"/>
          <w:b/>
          <w:color w:val="auto"/>
          <w:sz w:val="32"/>
          <w:highlight w:val="none"/>
          <w:lang w:val="zh-CN"/>
        </w:rPr>
      </w:pPr>
    </w:p>
    <w:p>
      <w:pPr>
        <w:autoSpaceDE w:val="0"/>
        <w:autoSpaceDN w:val="0"/>
        <w:adjustRightInd w:val="0"/>
        <w:spacing w:line="500" w:lineRule="exact"/>
        <w:rPr>
          <w:rFonts w:ascii="宋体" w:hAnsi="宋体" w:cs="宋体"/>
          <w:b/>
          <w:color w:val="auto"/>
          <w:sz w:val="32"/>
          <w:highlight w:val="none"/>
          <w:lang w:val="zh-CN"/>
        </w:rPr>
      </w:pPr>
    </w:p>
    <w:p>
      <w:pPr>
        <w:autoSpaceDE w:val="0"/>
        <w:autoSpaceDN w:val="0"/>
        <w:adjustRightInd w:val="0"/>
        <w:spacing w:line="500" w:lineRule="exact"/>
        <w:jc w:val="right"/>
        <w:rPr>
          <w:rFonts w:ascii="宋体" w:hAnsi="宋体" w:cs="宋体"/>
          <w:b/>
          <w:color w:val="auto"/>
          <w:sz w:val="32"/>
          <w:highlight w:val="none"/>
          <w:lang w:val="zh-CN"/>
        </w:rPr>
      </w:pPr>
      <w:r>
        <w:rPr>
          <w:rFonts w:hint="eastAsia" w:ascii="宋体" w:hAnsi="宋体" w:cs="宋体"/>
          <w:b/>
          <w:color w:val="auto"/>
          <w:sz w:val="32"/>
          <w:highlight w:val="none"/>
          <w:lang w:val="zh-CN"/>
        </w:rPr>
        <w:t>正</w:t>
      </w:r>
      <w:r>
        <w:rPr>
          <w:rFonts w:hint="eastAsia" w:ascii="宋体" w:hAnsi="宋体" w:cs="宋体"/>
          <w:b/>
          <w:color w:val="auto"/>
          <w:sz w:val="32"/>
          <w:highlight w:val="none"/>
        </w:rPr>
        <w:t>/</w:t>
      </w:r>
      <w:r>
        <w:rPr>
          <w:rFonts w:hint="eastAsia" w:ascii="宋体" w:hAnsi="宋体" w:cs="宋体"/>
          <w:b/>
          <w:color w:val="auto"/>
          <w:sz w:val="32"/>
          <w:highlight w:val="none"/>
          <w:lang w:val="zh-CN"/>
        </w:rPr>
        <w:t>副本</w:t>
      </w:r>
    </w:p>
    <w:p>
      <w:pPr>
        <w:autoSpaceDE w:val="0"/>
        <w:autoSpaceDN w:val="0"/>
        <w:adjustRightInd w:val="0"/>
        <w:spacing w:line="500" w:lineRule="exact"/>
        <w:jc w:val="center"/>
        <w:outlineLvl w:val="0"/>
        <w:rPr>
          <w:rFonts w:ascii="宋体" w:hAnsi="宋体" w:cs="宋体"/>
          <w:color w:val="auto"/>
          <w:sz w:val="36"/>
          <w:szCs w:val="18"/>
          <w:highlight w:val="none"/>
          <w:lang w:val="zh-CN"/>
        </w:rPr>
      </w:pPr>
      <w:bookmarkStart w:id="68" w:name="_Toc23926"/>
      <w:bookmarkStart w:id="69" w:name="_Toc12777"/>
      <w:bookmarkStart w:id="70" w:name="_Toc31415"/>
    </w:p>
    <w:p>
      <w:pPr>
        <w:autoSpaceDE w:val="0"/>
        <w:autoSpaceDN w:val="0"/>
        <w:adjustRightInd w:val="0"/>
        <w:spacing w:line="500" w:lineRule="exact"/>
        <w:jc w:val="center"/>
        <w:outlineLvl w:val="0"/>
        <w:rPr>
          <w:rFonts w:ascii="宋体" w:hAnsi="宋体" w:cs="宋体"/>
          <w:color w:val="auto"/>
          <w:sz w:val="36"/>
          <w:szCs w:val="18"/>
          <w:highlight w:val="none"/>
          <w:lang w:val="zh-CN"/>
        </w:rPr>
      </w:pPr>
      <w:bookmarkStart w:id="71" w:name="_Toc30090"/>
      <w:r>
        <w:rPr>
          <w:rFonts w:hint="eastAsia" w:ascii="宋体" w:hAnsi="宋体" w:cs="宋体"/>
          <w:color w:val="auto"/>
          <w:sz w:val="36"/>
          <w:szCs w:val="18"/>
          <w:highlight w:val="none"/>
          <w:lang w:val="zh-CN"/>
        </w:rPr>
        <w:t>(项目名称)</w:t>
      </w:r>
      <w:bookmarkEnd w:id="68"/>
      <w:bookmarkEnd w:id="69"/>
      <w:bookmarkEnd w:id="70"/>
      <w:bookmarkEnd w:id="71"/>
    </w:p>
    <w:p>
      <w:pPr>
        <w:autoSpaceDE w:val="0"/>
        <w:autoSpaceDN w:val="0"/>
        <w:adjustRightInd w:val="0"/>
        <w:spacing w:line="360" w:lineRule="auto"/>
        <w:jc w:val="center"/>
        <w:rPr>
          <w:rFonts w:ascii="宋体" w:hAnsi="宋体" w:cs="宋体"/>
          <w:color w:val="auto"/>
          <w:szCs w:val="18"/>
          <w:highlight w:val="none"/>
          <w:lang w:val="zh-CN"/>
        </w:rPr>
      </w:pPr>
    </w:p>
    <w:p>
      <w:pPr>
        <w:autoSpaceDE w:val="0"/>
        <w:autoSpaceDN w:val="0"/>
        <w:adjustRightInd w:val="0"/>
        <w:jc w:val="center"/>
        <w:rPr>
          <w:rFonts w:ascii="宋体" w:hAnsi="宋体" w:cs="宋体"/>
          <w:color w:val="auto"/>
          <w:sz w:val="52"/>
          <w:szCs w:val="18"/>
          <w:highlight w:val="none"/>
          <w:lang w:val="zh-CN"/>
        </w:rPr>
      </w:pPr>
    </w:p>
    <w:p>
      <w:pPr>
        <w:autoSpaceDE w:val="0"/>
        <w:autoSpaceDN w:val="0"/>
        <w:adjustRightInd w:val="0"/>
        <w:jc w:val="center"/>
        <w:rPr>
          <w:rFonts w:ascii="宋体" w:hAnsi="宋体" w:cs="宋体"/>
          <w:color w:val="auto"/>
          <w:sz w:val="52"/>
          <w:szCs w:val="18"/>
          <w:highlight w:val="none"/>
          <w:lang w:val="zh-CN"/>
        </w:rPr>
      </w:pPr>
    </w:p>
    <w:p>
      <w:pPr>
        <w:autoSpaceDE w:val="0"/>
        <w:autoSpaceDN w:val="0"/>
        <w:adjustRightInd w:val="0"/>
        <w:jc w:val="center"/>
        <w:rPr>
          <w:rFonts w:ascii="宋体" w:hAnsi="宋体" w:cs="宋体"/>
          <w:color w:val="auto"/>
          <w:sz w:val="52"/>
          <w:szCs w:val="18"/>
          <w:highlight w:val="none"/>
          <w:lang w:val="zh-CN"/>
        </w:rPr>
      </w:pPr>
    </w:p>
    <w:p>
      <w:pPr>
        <w:autoSpaceDE w:val="0"/>
        <w:autoSpaceDN w:val="0"/>
        <w:adjustRightInd w:val="0"/>
        <w:jc w:val="center"/>
        <w:outlineLvl w:val="0"/>
        <w:rPr>
          <w:rFonts w:ascii="宋体" w:hAnsi="宋体" w:cs="宋体"/>
          <w:color w:val="auto"/>
          <w:sz w:val="52"/>
          <w:szCs w:val="18"/>
          <w:highlight w:val="none"/>
          <w:lang w:val="zh-CN"/>
        </w:rPr>
      </w:pPr>
      <w:r>
        <w:rPr>
          <w:rFonts w:hint="eastAsia" w:ascii="宋体" w:hAnsi="宋体" w:cs="宋体"/>
          <w:color w:val="auto"/>
          <w:sz w:val="52"/>
          <w:szCs w:val="18"/>
          <w:highlight w:val="none"/>
          <w:lang w:val="zh-CN"/>
        </w:rPr>
        <w:t xml:space="preserve"> </w:t>
      </w:r>
      <w:bookmarkStart w:id="72" w:name="_Toc31091"/>
      <w:bookmarkStart w:id="73" w:name="_Toc29348"/>
      <w:bookmarkStart w:id="74" w:name="_Toc6067"/>
      <w:bookmarkStart w:id="75" w:name="_Toc23457"/>
      <w:r>
        <w:rPr>
          <w:rFonts w:hint="eastAsia" w:ascii="宋体" w:hAnsi="宋体" w:cs="宋体"/>
          <w:b/>
          <w:bCs/>
          <w:color w:val="auto"/>
          <w:sz w:val="72"/>
          <w:szCs w:val="72"/>
          <w:highlight w:val="none"/>
          <w:lang w:val="zh-CN"/>
        </w:rPr>
        <w:t>响应文件</w:t>
      </w:r>
      <w:bookmarkEnd w:id="72"/>
      <w:bookmarkEnd w:id="73"/>
      <w:bookmarkEnd w:id="74"/>
      <w:bookmarkEnd w:id="75"/>
    </w:p>
    <w:p>
      <w:pPr>
        <w:autoSpaceDE w:val="0"/>
        <w:autoSpaceDN w:val="0"/>
        <w:adjustRightInd w:val="0"/>
        <w:spacing w:line="500" w:lineRule="exact"/>
        <w:jc w:val="center"/>
        <w:rPr>
          <w:rFonts w:ascii="宋体" w:hAnsi="宋体" w:cs="宋体"/>
          <w:color w:val="auto"/>
          <w:szCs w:val="18"/>
          <w:highlight w:val="none"/>
          <w:lang w:val="zh-CN"/>
        </w:rPr>
      </w:pPr>
    </w:p>
    <w:p>
      <w:pPr>
        <w:autoSpaceDE w:val="0"/>
        <w:autoSpaceDN w:val="0"/>
        <w:adjustRightInd w:val="0"/>
        <w:spacing w:line="500" w:lineRule="exact"/>
        <w:jc w:val="center"/>
        <w:rPr>
          <w:rFonts w:ascii="宋体" w:hAnsi="宋体" w:cs="宋体"/>
          <w:color w:val="auto"/>
          <w:szCs w:val="18"/>
          <w:highlight w:val="none"/>
          <w:lang w:val="zh-CN"/>
        </w:rPr>
      </w:pPr>
    </w:p>
    <w:p>
      <w:pPr>
        <w:autoSpaceDE w:val="0"/>
        <w:autoSpaceDN w:val="0"/>
        <w:adjustRightInd w:val="0"/>
        <w:spacing w:line="500" w:lineRule="exact"/>
        <w:jc w:val="center"/>
        <w:rPr>
          <w:rFonts w:ascii="宋体" w:hAnsi="宋体" w:cs="宋体"/>
          <w:color w:val="auto"/>
          <w:szCs w:val="18"/>
          <w:highlight w:val="none"/>
          <w:lang w:val="zh-CN"/>
        </w:rPr>
      </w:pPr>
    </w:p>
    <w:p>
      <w:pPr>
        <w:pStyle w:val="17"/>
        <w:rPr>
          <w:rFonts w:ascii="宋体" w:hAnsi="宋体" w:eastAsia="宋体" w:cs="宋体"/>
          <w:color w:val="auto"/>
          <w:szCs w:val="18"/>
          <w:highlight w:val="none"/>
          <w:lang w:val="zh-CN"/>
        </w:rPr>
      </w:pPr>
    </w:p>
    <w:p>
      <w:pPr>
        <w:pStyle w:val="17"/>
        <w:rPr>
          <w:rFonts w:ascii="宋体" w:hAnsi="宋体" w:eastAsia="宋体" w:cs="宋体"/>
          <w:color w:val="auto"/>
          <w:szCs w:val="18"/>
          <w:highlight w:val="none"/>
          <w:lang w:val="zh-CN"/>
        </w:rPr>
      </w:pPr>
    </w:p>
    <w:p>
      <w:pPr>
        <w:pStyle w:val="17"/>
        <w:rPr>
          <w:rFonts w:ascii="宋体" w:hAnsi="宋体" w:eastAsia="宋体" w:cs="宋体"/>
          <w:color w:val="auto"/>
          <w:szCs w:val="18"/>
          <w:highlight w:val="none"/>
          <w:lang w:val="zh-CN"/>
        </w:rPr>
      </w:pPr>
    </w:p>
    <w:p>
      <w:pPr>
        <w:pStyle w:val="17"/>
        <w:rPr>
          <w:rFonts w:ascii="宋体" w:hAnsi="宋体" w:eastAsia="宋体" w:cs="宋体"/>
          <w:color w:val="auto"/>
          <w:szCs w:val="18"/>
          <w:highlight w:val="none"/>
          <w:lang w:val="zh-CN"/>
        </w:rPr>
      </w:pPr>
    </w:p>
    <w:p>
      <w:pPr>
        <w:pStyle w:val="17"/>
        <w:rPr>
          <w:rFonts w:ascii="宋体" w:hAnsi="宋体" w:eastAsia="宋体" w:cs="宋体"/>
          <w:color w:val="auto"/>
          <w:szCs w:val="18"/>
          <w:highlight w:val="none"/>
          <w:lang w:val="zh-CN"/>
        </w:rPr>
      </w:pPr>
    </w:p>
    <w:p>
      <w:pPr>
        <w:autoSpaceDE w:val="0"/>
        <w:autoSpaceDN w:val="0"/>
        <w:adjustRightInd w:val="0"/>
        <w:spacing w:line="500" w:lineRule="exact"/>
        <w:jc w:val="center"/>
        <w:rPr>
          <w:rFonts w:ascii="宋体" w:hAnsi="宋体" w:cs="宋体"/>
          <w:color w:val="auto"/>
          <w:szCs w:val="18"/>
          <w:highlight w:val="none"/>
          <w:lang w:val="zh-CN"/>
        </w:rPr>
      </w:pPr>
    </w:p>
    <w:p>
      <w:pPr>
        <w:autoSpaceDE w:val="0"/>
        <w:autoSpaceDN w:val="0"/>
        <w:adjustRightInd w:val="0"/>
        <w:spacing w:line="500" w:lineRule="exact"/>
        <w:jc w:val="center"/>
        <w:rPr>
          <w:rFonts w:ascii="宋体" w:hAnsi="宋体" w:cs="宋体"/>
          <w:color w:val="auto"/>
          <w:szCs w:val="18"/>
          <w:highlight w:val="none"/>
          <w:lang w:val="zh-CN"/>
        </w:rPr>
      </w:pPr>
    </w:p>
    <w:p>
      <w:pPr>
        <w:autoSpaceDE w:val="0"/>
        <w:autoSpaceDN w:val="0"/>
        <w:adjustRightInd w:val="0"/>
        <w:spacing w:line="500" w:lineRule="exact"/>
        <w:ind w:firstLine="560" w:firstLineChars="200"/>
        <w:jc w:val="center"/>
        <w:outlineLvl w:val="0"/>
        <w:rPr>
          <w:rFonts w:ascii="宋体" w:hAnsi="宋体" w:cs="宋体"/>
          <w:color w:val="auto"/>
          <w:sz w:val="28"/>
          <w:szCs w:val="18"/>
          <w:highlight w:val="none"/>
          <w:lang w:val="zh-CN"/>
        </w:rPr>
      </w:pPr>
      <w:bookmarkStart w:id="76" w:name="_Toc10953"/>
      <w:bookmarkStart w:id="77" w:name="_Toc14176"/>
      <w:bookmarkStart w:id="78" w:name="_Toc20690"/>
      <w:bookmarkStart w:id="79" w:name="_Toc21356"/>
      <w:r>
        <w:rPr>
          <w:rFonts w:hint="eastAsia" w:ascii="宋体" w:hAnsi="宋体" w:cs="宋体"/>
          <w:color w:val="auto"/>
          <w:sz w:val="28"/>
          <w:szCs w:val="18"/>
          <w:highlight w:val="none"/>
          <w:lang w:val="zh-CN"/>
        </w:rPr>
        <w:t>供应商名称</w:t>
      </w:r>
      <w:r>
        <w:rPr>
          <w:rFonts w:hint="eastAsia" w:ascii="宋体" w:hAnsi="宋体" w:cs="宋体"/>
          <w:color w:val="auto"/>
          <w:sz w:val="28"/>
          <w:szCs w:val="18"/>
          <w:highlight w:val="none"/>
          <w:u w:val="single"/>
          <w:lang w:val="zh-CN"/>
        </w:rPr>
        <w:t>：                               (盖单位章)</w:t>
      </w:r>
      <w:bookmarkEnd w:id="76"/>
      <w:bookmarkEnd w:id="77"/>
      <w:bookmarkEnd w:id="78"/>
      <w:bookmarkEnd w:id="79"/>
    </w:p>
    <w:p>
      <w:pPr>
        <w:autoSpaceDE w:val="0"/>
        <w:autoSpaceDN w:val="0"/>
        <w:adjustRightInd w:val="0"/>
        <w:spacing w:line="500" w:lineRule="exact"/>
        <w:jc w:val="center"/>
        <w:rPr>
          <w:rFonts w:ascii="宋体" w:hAnsi="宋体" w:cs="宋体"/>
          <w:color w:val="auto"/>
          <w:sz w:val="28"/>
          <w:szCs w:val="18"/>
          <w:highlight w:val="none"/>
          <w:lang w:val="zh-CN"/>
        </w:rPr>
      </w:pPr>
    </w:p>
    <w:p>
      <w:pPr>
        <w:autoSpaceDE w:val="0"/>
        <w:autoSpaceDN w:val="0"/>
        <w:adjustRightInd w:val="0"/>
        <w:spacing w:line="500" w:lineRule="exact"/>
        <w:ind w:firstLine="560" w:firstLineChars="200"/>
        <w:jc w:val="center"/>
        <w:outlineLvl w:val="0"/>
        <w:rPr>
          <w:rFonts w:ascii="宋体" w:hAnsi="宋体" w:cs="宋体"/>
          <w:color w:val="auto"/>
          <w:sz w:val="28"/>
          <w:szCs w:val="18"/>
          <w:highlight w:val="none"/>
          <w:lang w:val="zh-CN"/>
        </w:rPr>
      </w:pPr>
      <w:bookmarkStart w:id="80" w:name="_Toc28809"/>
      <w:bookmarkStart w:id="81" w:name="_Toc13219"/>
      <w:bookmarkStart w:id="82" w:name="_Toc18015"/>
      <w:bookmarkStart w:id="83" w:name="_Toc11992"/>
      <w:r>
        <w:rPr>
          <w:rFonts w:hint="eastAsia" w:ascii="宋体" w:hAnsi="宋体" w:cs="宋体"/>
          <w:color w:val="auto"/>
          <w:sz w:val="28"/>
          <w:szCs w:val="18"/>
          <w:highlight w:val="none"/>
          <w:lang w:val="zh-CN"/>
        </w:rPr>
        <w:t>法定代表人或其委托代理人：</w:t>
      </w:r>
      <w:r>
        <w:rPr>
          <w:rFonts w:hint="eastAsia" w:ascii="宋体" w:hAnsi="宋体" w:cs="宋体"/>
          <w:color w:val="auto"/>
          <w:sz w:val="28"/>
          <w:szCs w:val="18"/>
          <w:highlight w:val="none"/>
          <w:u w:val="single"/>
          <w:lang w:val="zh-CN"/>
        </w:rPr>
        <w:t xml:space="preserve">    </w:t>
      </w:r>
      <w:r>
        <w:rPr>
          <w:rFonts w:hint="eastAsia" w:ascii="宋体" w:hAnsi="宋体" w:cs="宋体"/>
          <w:color w:val="auto"/>
          <w:sz w:val="28"/>
          <w:szCs w:val="18"/>
          <w:highlight w:val="none"/>
          <w:u w:val="single"/>
        </w:rPr>
        <w:t xml:space="preserve">     </w:t>
      </w:r>
      <w:r>
        <w:rPr>
          <w:rFonts w:hint="eastAsia" w:ascii="宋体" w:hAnsi="宋体" w:cs="宋体"/>
          <w:color w:val="auto"/>
          <w:sz w:val="28"/>
          <w:szCs w:val="18"/>
          <w:highlight w:val="none"/>
          <w:u w:val="single"/>
          <w:lang w:val="zh-CN"/>
        </w:rPr>
        <w:t xml:space="preserve">     (签字或盖章)</w:t>
      </w:r>
      <w:bookmarkEnd w:id="80"/>
      <w:bookmarkEnd w:id="81"/>
      <w:bookmarkEnd w:id="82"/>
      <w:bookmarkEnd w:id="83"/>
    </w:p>
    <w:p>
      <w:pPr>
        <w:autoSpaceDE w:val="0"/>
        <w:autoSpaceDN w:val="0"/>
        <w:adjustRightInd w:val="0"/>
        <w:spacing w:line="500" w:lineRule="exact"/>
        <w:ind w:firstLine="280" w:firstLineChars="100"/>
        <w:jc w:val="center"/>
        <w:rPr>
          <w:rFonts w:ascii="宋体" w:hAnsi="宋体" w:cs="宋体"/>
          <w:color w:val="auto"/>
          <w:sz w:val="28"/>
          <w:szCs w:val="18"/>
          <w:highlight w:val="none"/>
          <w:lang w:val="zh-CN"/>
        </w:rPr>
      </w:pPr>
    </w:p>
    <w:p>
      <w:pPr>
        <w:autoSpaceDE w:val="0"/>
        <w:autoSpaceDN w:val="0"/>
        <w:adjustRightInd w:val="0"/>
        <w:spacing w:line="500" w:lineRule="exact"/>
        <w:jc w:val="center"/>
        <w:outlineLvl w:val="0"/>
        <w:rPr>
          <w:rFonts w:ascii="宋体" w:hAnsi="宋体" w:cs="宋体"/>
          <w:color w:val="auto"/>
          <w:sz w:val="28"/>
          <w:szCs w:val="18"/>
          <w:highlight w:val="none"/>
          <w:lang w:val="zh-CN"/>
        </w:rPr>
      </w:pPr>
      <w:r>
        <w:rPr>
          <w:rFonts w:hint="eastAsia" w:ascii="宋体" w:hAnsi="宋体" w:cs="宋体"/>
          <w:color w:val="auto"/>
          <w:sz w:val="28"/>
          <w:szCs w:val="18"/>
          <w:highlight w:val="none"/>
        </w:rPr>
        <w:t xml:space="preserve">     </w:t>
      </w:r>
      <w:bookmarkStart w:id="84" w:name="_Toc23803"/>
      <w:bookmarkStart w:id="85" w:name="_Toc7986"/>
      <w:bookmarkStart w:id="86" w:name="_Toc27614"/>
      <w:bookmarkStart w:id="87" w:name="_Toc20372"/>
      <w:r>
        <w:rPr>
          <w:rFonts w:hint="eastAsia" w:ascii="宋体" w:hAnsi="宋体" w:cs="宋体"/>
          <w:color w:val="auto"/>
          <w:sz w:val="28"/>
          <w:szCs w:val="18"/>
          <w:highlight w:val="none"/>
          <w:lang w:val="zh-CN"/>
        </w:rPr>
        <w:t>年    月____日</w:t>
      </w:r>
      <w:bookmarkEnd w:id="84"/>
      <w:bookmarkEnd w:id="85"/>
      <w:bookmarkEnd w:id="86"/>
      <w:bookmarkEnd w:id="87"/>
    </w:p>
    <w:p>
      <w:pPr>
        <w:spacing w:line="440" w:lineRule="exact"/>
        <w:jc w:val="center"/>
        <w:rPr>
          <w:rFonts w:ascii="宋体" w:hAnsi="宋体" w:cs="宋体"/>
          <w:b/>
          <w:color w:val="auto"/>
          <w:sz w:val="36"/>
          <w:szCs w:val="36"/>
          <w:highlight w:val="none"/>
        </w:rPr>
      </w:pPr>
      <w:r>
        <w:rPr>
          <w:rFonts w:hint="eastAsia" w:ascii="宋体" w:hAnsi="宋体" w:cs="宋体"/>
          <w:color w:val="auto"/>
          <w:sz w:val="28"/>
          <w:szCs w:val="18"/>
          <w:highlight w:val="none"/>
          <w:lang w:val="zh-CN"/>
        </w:rPr>
        <w:br w:type="page"/>
      </w:r>
      <w:r>
        <w:rPr>
          <w:rFonts w:hint="eastAsia" w:ascii="宋体" w:hAnsi="宋体" w:cs="宋体"/>
          <w:b/>
          <w:color w:val="auto"/>
          <w:sz w:val="36"/>
          <w:szCs w:val="36"/>
          <w:highlight w:val="none"/>
        </w:rPr>
        <w:t>目   录</w:t>
      </w:r>
    </w:p>
    <w:p>
      <w:pPr>
        <w:spacing w:line="200" w:lineRule="exact"/>
        <w:jc w:val="center"/>
        <w:rPr>
          <w:rFonts w:ascii="宋体" w:hAnsi="宋体" w:cs="宋体"/>
          <w:color w:val="auto"/>
          <w:szCs w:val="21"/>
          <w:highlight w:val="none"/>
        </w:rPr>
      </w:pPr>
    </w:p>
    <w:p>
      <w:pPr>
        <w:autoSpaceDE w:val="0"/>
        <w:autoSpaceDN w:val="0"/>
        <w:adjustRightInd w:val="0"/>
        <w:snapToGrid w:val="0"/>
        <w:spacing w:line="360" w:lineRule="auto"/>
        <w:rPr>
          <w:rFonts w:ascii="宋体" w:hAnsi="宋体" w:cs="宋体"/>
          <w:color w:val="auto"/>
          <w:kern w:val="0"/>
          <w:sz w:val="24"/>
          <w:highlight w:val="none"/>
        </w:rPr>
      </w:pPr>
    </w:p>
    <w:p>
      <w:pPr>
        <w:spacing w:line="480" w:lineRule="auto"/>
        <w:ind w:firstLine="480" w:firstLineChars="200"/>
        <w:rPr>
          <w:rFonts w:ascii="宋体" w:hAnsi="宋体" w:cs="宋体"/>
          <w:bCs/>
          <w:color w:val="auto"/>
          <w:kern w:val="0"/>
          <w:sz w:val="24"/>
          <w:highlight w:val="none"/>
        </w:rPr>
      </w:pPr>
      <w:r>
        <w:rPr>
          <w:rFonts w:hint="eastAsia" w:ascii="宋体" w:hAnsi="宋体" w:cs="宋体"/>
          <w:bCs/>
          <w:color w:val="auto"/>
          <w:kern w:val="0"/>
          <w:sz w:val="24"/>
          <w:highlight w:val="none"/>
        </w:rPr>
        <w:t>一、报价函</w:t>
      </w:r>
    </w:p>
    <w:p>
      <w:pPr>
        <w:spacing w:line="480" w:lineRule="auto"/>
        <w:ind w:firstLine="480" w:firstLineChars="200"/>
        <w:rPr>
          <w:rFonts w:ascii="宋体" w:hAnsi="宋体" w:cs="宋体"/>
          <w:bCs/>
          <w:color w:val="auto"/>
          <w:kern w:val="0"/>
          <w:sz w:val="24"/>
          <w:highlight w:val="none"/>
        </w:rPr>
      </w:pPr>
      <w:r>
        <w:rPr>
          <w:rFonts w:hint="eastAsia" w:ascii="宋体" w:hAnsi="宋体" w:cs="宋体"/>
          <w:bCs/>
          <w:color w:val="auto"/>
          <w:kern w:val="0"/>
          <w:sz w:val="24"/>
          <w:highlight w:val="none"/>
        </w:rPr>
        <w:t>二、法定代表人身份证明和授权委托书</w:t>
      </w:r>
    </w:p>
    <w:p>
      <w:pPr>
        <w:spacing w:line="480" w:lineRule="auto"/>
        <w:ind w:firstLine="480" w:firstLineChars="200"/>
        <w:rPr>
          <w:rFonts w:ascii="宋体" w:hAnsi="宋体" w:cs="宋体"/>
          <w:bCs/>
          <w:color w:val="auto"/>
          <w:kern w:val="0"/>
          <w:sz w:val="24"/>
          <w:highlight w:val="none"/>
        </w:rPr>
      </w:pPr>
      <w:r>
        <w:rPr>
          <w:rFonts w:hint="eastAsia" w:ascii="宋体" w:hAnsi="宋体" w:cs="宋体"/>
          <w:bCs/>
          <w:color w:val="auto"/>
          <w:kern w:val="0"/>
          <w:sz w:val="24"/>
          <w:highlight w:val="none"/>
        </w:rPr>
        <w:t>三、</w:t>
      </w:r>
      <w:r>
        <w:rPr>
          <w:rFonts w:hint="eastAsia" w:ascii="宋体" w:hAnsi="宋体" w:cs="宋体"/>
          <w:bCs/>
          <w:color w:val="auto"/>
          <w:kern w:val="0"/>
          <w:sz w:val="24"/>
          <w:highlight w:val="none"/>
          <w:lang w:val="zh-CN"/>
        </w:rPr>
        <w:t>磋商一览表</w:t>
      </w:r>
    </w:p>
    <w:p>
      <w:pPr>
        <w:spacing w:line="480" w:lineRule="auto"/>
        <w:ind w:firstLine="480" w:firstLineChars="200"/>
        <w:rPr>
          <w:rFonts w:ascii="宋体" w:hAnsi="宋体" w:cs="宋体"/>
          <w:bCs/>
          <w:color w:val="auto"/>
          <w:kern w:val="0"/>
          <w:sz w:val="24"/>
          <w:highlight w:val="none"/>
        </w:rPr>
      </w:pPr>
      <w:r>
        <w:rPr>
          <w:rFonts w:hint="eastAsia" w:ascii="宋体" w:hAnsi="宋体" w:cs="宋体"/>
          <w:bCs/>
          <w:color w:val="auto"/>
          <w:kern w:val="0"/>
          <w:sz w:val="24"/>
          <w:highlight w:val="none"/>
        </w:rPr>
        <w:t>四、磋商保证金</w:t>
      </w:r>
    </w:p>
    <w:p>
      <w:pPr>
        <w:spacing w:line="480" w:lineRule="auto"/>
        <w:ind w:firstLine="480" w:firstLineChars="200"/>
        <w:rPr>
          <w:rFonts w:ascii="宋体" w:hAnsi="宋体" w:cs="宋体"/>
          <w:bCs/>
          <w:color w:val="auto"/>
          <w:kern w:val="0"/>
          <w:sz w:val="24"/>
          <w:highlight w:val="none"/>
        </w:rPr>
      </w:pPr>
      <w:r>
        <w:rPr>
          <w:rFonts w:hint="eastAsia" w:ascii="宋体" w:hAnsi="宋体" w:cs="宋体"/>
          <w:bCs/>
          <w:color w:val="auto"/>
          <w:kern w:val="0"/>
          <w:sz w:val="24"/>
          <w:highlight w:val="none"/>
        </w:rPr>
        <w:t>五、报价明细和说明</w:t>
      </w:r>
    </w:p>
    <w:p>
      <w:pPr>
        <w:spacing w:line="480" w:lineRule="auto"/>
        <w:ind w:firstLine="480" w:firstLineChars="200"/>
        <w:rPr>
          <w:rFonts w:ascii="宋体" w:hAnsi="宋体" w:cs="宋体"/>
          <w:bCs/>
          <w:color w:val="auto"/>
          <w:kern w:val="0"/>
          <w:sz w:val="24"/>
          <w:highlight w:val="none"/>
        </w:rPr>
      </w:pPr>
      <w:r>
        <w:rPr>
          <w:rFonts w:hint="eastAsia" w:ascii="宋体" w:hAnsi="宋体" w:cs="宋体"/>
          <w:bCs/>
          <w:color w:val="auto"/>
          <w:kern w:val="0"/>
          <w:sz w:val="24"/>
          <w:highlight w:val="none"/>
        </w:rPr>
        <w:t>六、资格审查资料</w:t>
      </w:r>
    </w:p>
    <w:p>
      <w:pPr>
        <w:spacing w:line="480" w:lineRule="auto"/>
        <w:ind w:firstLine="480" w:firstLineChars="200"/>
        <w:rPr>
          <w:rFonts w:ascii="宋体" w:hAnsi="宋体" w:cs="宋体"/>
          <w:bCs/>
          <w:color w:val="auto"/>
          <w:kern w:val="0"/>
          <w:sz w:val="24"/>
          <w:highlight w:val="none"/>
        </w:rPr>
      </w:pPr>
      <w:r>
        <w:rPr>
          <w:rFonts w:hint="eastAsia" w:ascii="宋体" w:hAnsi="宋体" w:cs="宋体"/>
          <w:bCs/>
          <w:color w:val="auto"/>
          <w:kern w:val="0"/>
          <w:sz w:val="24"/>
          <w:highlight w:val="none"/>
        </w:rPr>
        <w:t>七、</w:t>
      </w:r>
      <w:r>
        <w:rPr>
          <w:rFonts w:hint="eastAsia" w:ascii="宋体" w:hAnsi="宋体" w:cs="宋体"/>
          <w:bCs/>
          <w:color w:val="auto"/>
          <w:sz w:val="24"/>
          <w:highlight w:val="none"/>
        </w:rPr>
        <w:t>服务方案及各项制度</w:t>
      </w:r>
    </w:p>
    <w:p>
      <w:pPr>
        <w:spacing w:line="480" w:lineRule="auto"/>
        <w:ind w:firstLine="480" w:firstLineChars="200"/>
        <w:rPr>
          <w:rFonts w:ascii="宋体" w:hAnsi="宋体" w:cs="宋体"/>
          <w:bCs/>
          <w:color w:val="auto"/>
          <w:kern w:val="0"/>
          <w:sz w:val="24"/>
          <w:highlight w:val="none"/>
        </w:rPr>
      </w:pPr>
      <w:r>
        <w:rPr>
          <w:rFonts w:hint="eastAsia" w:ascii="宋体" w:hAnsi="宋体" w:cs="宋体"/>
          <w:bCs/>
          <w:color w:val="auto"/>
          <w:kern w:val="0"/>
          <w:sz w:val="24"/>
          <w:highlight w:val="none"/>
        </w:rPr>
        <w:t>八、其他资料</w:t>
      </w:r>
    </w:p>
    <w:p>
      <w:pPr>
        <w:pStyle w:val="45"/>
        <w:ind w:left="0" w:leftChars="0" w:firstLine="480"/>
        <w:rPr>
          <w:bCs/>
          <w:color w:val="auto"/>
          <w:highlight w:val="none"/>
        </w:rPr>
      </w:pPr>
      <w:r>
        <w:rPr>
          <w:rFonts w:hint="eastAsia" w:ascii="宋体" w:hAnsi="宋体" w:cs="宋体"/>
          <w:bCs/>
          <w:color w:val="auto"/>
          <w:kern w:val="0"/>
          <w:sz w:val="24"/>
          <w:highlight w:val="none"/>
        </w:rPr>
        <w:t>九、中小企业声明函</w:t>
      </w:r>
    </w:p>
    <w:p>
      <w:pPr>
        <w:pStyle w:val="12"/>
        <w:spacing w:line="440" w:lineRule="exact"/>
        <w:rPr>
          <w:rFonts w:ascii="宋体" w:hAnsi="宋体" w:cs="宋体"/>
          <w:color w:val="auto"/>
          <w:sz w:val="21"/>
          <w:szCs w:val="21"/>
          <w:highlight w:val="none"/>
        </w:rPr>
      </w:pPr>
    </w:p>
    <w:p>
      <w:pPr>
        <w:pStyle w:val="12"/>
        <w:spacing w:line="440" w:lineRule="exact"/>
        <w:rPr>
          <w:rFonts w:ascii="宋体" w:hAnsi="宋体" w:cs="宋体"/>
          <w:color w:val="auto"/>
          <w:sz w:val="21"/>
          <w:szCs w:val="21"/>
          <w:highlight w:val="none"/>
        </w:rPr>
      </w:pPr>
    </w:p>
    <w:p>
      <w:pPr>
        <w:pStyle w:val="12"/>
        <w:spacing w:line="440" w:lineRule="exact"/>
        <w:rPr>
          <w:rFonts w:ascii="宋体" w:hAnsi="宋体" w:cs="宋体"/>
          <w:color w:val="auto"/>
          <w:sz w:val="21"/>
          <w:szCs w:val="21"/>
          <w:highlight w:val="none"/>
        </w:rPr>
      </w:pPr>
    </w:p>
    <w:p>
      <w:pPr>
        <w:pStyle w:val="12"/>
        <w:spacing w:line="440" w:lineRule="exact"/>
        <w:rPr>
          <w:rFonts w:ascii="宋体" w:hAnsi="宋体" w:cs="宋体"/>
          <w:color w:val="auto"/>
          <w:sz w:val="21"/>
          <w:szCs w:val="21"/>
          <w:highlight w:val="none"/>
        </w:rPr>
      </w:pPr>
    </w:p>
    <w:p>
      <w:pPr>
        <w:pStyle w:val="12"/>
        <w:spacing w:line="440" w:lineRule="exact"/>
        <w:rPr>
          <w:rFonts w:ascii="宋体" w:hAnsi="宋体" w:cs="宋体"/>
          <w:color w:val="auto"/>
          <w:sz w:val="21"/>
          <w:szCs w:val="21"/>
          <w:highlight w:val="none"/>
        </w:rPr>
      </w:pPr>
    </w:p>
    <w:p>
      <w:pPr>
        <w:pStyle w:val="12"/>
        <w:spacing w:line="440" w:lineRule="exact"/>
        <w:rPr>
          <w:rFonts w:ascii="宋体" w:hAnsi="宋体" w:cs="宋体"/>
          <w:color w:val="auto"/>
          <w:sz w:val="21"/>
          <w:szCs w:val="21"/>
          <w:highlight w:val="none"/>
        </w:rPr>
      </w:pPr>
    </w:p>
    <w:p>
      <w:pPr>
        <w:pStyle w:val="12"/>
        <w:spacing w:line="440" w:lineRule="exact"/>
        <w:rPr>
          <w:rFonts w:ascii="宋体" w:hAnsi="宋体" w:cs="宋体"/>
          <w:color w:val="auto"/>
          <w:sz w:val="21"/>
          <w:szCs w:val="21"/>
          <w:highlight w:val="none"/>
        </w:rPr>
      </w:pPr>
    </w:p>
    <w:p>
      <w:pPr>
        <w:pStyle w:val="12"/>
        <w:spacing w:line="440" w:lineRule="exact"/>
        <w:rPr>
          <w:rFonts w:ascii="宋体" w:hAnsi="宋体" w:cs="宋体"/>
          <w:color w:val="auto"/>
          <w:sz w:val="21"/>
          <w:szCs w:val="21"/>
          <w:highlight w:val="none"/>
        </w:rPr>
      </w:pPr>
    </w:p>
    <w:p>
      <w:pPr>
        <w:pStyle w:val="12"/>
        <w:spacing w:line="440" w:lineRule="exact"/>
        <w:rPr>
          <w:rFonts w:ascii="宋体" w:hAnsi="宋体" w:cs="宋体"/>
          <w:color w:val="auto"/>
          <w:sz w:val="21"/>
          <w:szCs w:val="21"/>
          <w:highlight w:val="none"/>
        </w:rPr>
      </w:pPr>
    </w:p>
    <w:p>
      <w:pPr>
        <w:pStyle w:val="12"/>
        <w:spacing w:line="440" w:lineRule="exact"/>
        <w:rPr>
          <w:rFonts w:ascii="宋体" w:hAnsi="宋体" w:cs="宋体"/>
          <w:color w:val="auto"/>
          <w:sz w:val="21"/>
          <w:szCs w:val="21"/>
          <w:highlight w:val="none"/>
        </w:rPr>
      </w:pPr>
    </w:p>
    <w:p>
      <w:pPr>
        <w:pStyle w:val="12"/>
        <w:spacing w:line="440" w:lineRule="exact"/>
        <w:rPr>
          <w:rFonts w:ascii="宋体" w:hAnsi="宋体" w:cs="宋体"/>
          <w:color w:val="auto"/>
          <w:sz w:val="21"/>
          <w:szCs w:val="21"/>
          <w:highlight w:val="none"/>
        </w:rPr>
      </w:pPr>
    </w:p>
    <w:p>
      <w:pPr>
        <w:autoSpaceDE w:val="0"/>
        <w:autoSpaceDN w:val="0"/>
        <w:adjustRightInd w:val="0"/>
        <w:spacing w:line="500" w:lineRule="exact"/>
        <w:jc w:val="center"/>
        <w:rPr>
          <w:rFonts w:ascii="宋体" w:hAnsi="宋体" w:cs="宋体"/>
          <w:b/>
          <w:color w:val="auto"/>
          <w:kern w:val="0"/>
          <w:sz w:val="36"/>
          <w:szCs w:val="36"/>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6"/>
          <w:szCs w:val="36"/>
          <w:highlight w:val="none"/>
        </w:rPr>
        <w:t>一、报价函</w:t>
      </w:r>
    </w:p>
    <w:p>
      <w:pPr>
        <w:autoSpaceDE w:val="0"/>
        <w:autoSpaceDN w:val="0"/>
        <w:adjustRightInd w:val="0"/>
        <w:spacing w:line="500" w:lineRule="exact"/>
        <w:jc w:val="left"/>
        <w:rPr>
          <w:rFonts w:ascii="宋体" w:hAnsi="宋体" w:cs="宋体"/>
          <w:color w:val="auto"/>
          <w:kern w:val="0"/>
          <w:szCs w:val="21"/>
          <w:highlight w:val="none"/>
          <w:u w:val="single"/>
        </w:rPr>
      </w:pPr>
    </w:p>
    <w:p>
      <w:pPr>
        <w:autoSpaceDE w:val="0"/>
        <w:autoSpaceDN w:val="0"/>
        <w:adjustRightInd w:val="0"/>
        <w:spacing w:line="500" w:lineRule="exact"/>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我方已经详细阅读</w:t>
      </w:r>
      <w:r>
        <w:rPr>
          <w:rFonts w:hint="eastAsia" w:ascii="宋体" w:hAnsi="宋体" w:cs="宋体"/>
          <w:color w:val="auto"/>
          <w:kern w:val="0"/>
          <w:sz w:val="24"/>
          <w:szCs w:val="24"/>
          <w:highlight w:val="none"/>
          <w:u w:val="single"/>
          <w:lang w:val="en-US" w:eastAsia="zh-CN"/>
        </w:rPr>
        <w:t xml:space="preserve">                       </w:t>
      </w:r>
      <w:r>
        <w:rPr>
          <w:rFonts w:hint="eastAsia" w:ascii="宋体" w:hAnsi="宋体" w:cs="宋体"/>
          <w:color w:val="auto"/>
          <w:kern w:val="0"/>
          <w:sz w:val="24"/>
          <w:szCs w:val="24"/>
          <w:highlight w:val="none"/>
        </w:rPr>
        <w:t>（采购项目名称、</w:t>
      </w:r>
      <w:r>
        <w:rPr>
          <w:rFonts w:hint="eastAsia" w:ascii="宋体" w:hAnsi="宋体" w:cs="宋体"/>
          <w:color w:val="auto"/>
          <w:kern w:val="0"/>
          <w:sz w:val="24"/>
          <w:szCs w:val="24"/>
          <w:highlight w:val="none"/>
          <w:lang w:val="en-US" w:eastAsia="zh-CN"/>
        </w:rPr>
        <w:t>标段、</w:t>
      </w:r>
      <w:r>
        <w:rPr>
          <w:rFonts w:hint="eastAsia" w:ascii="宋体" w:hAnsi="宋体" w:cs="宋体"/>
          <w:color w:val="auto"/>
          <w:kern w:val="0"/>
          <w:sz w:val="24"/>
          <w:szCs w:val="24"/>
          <w:highlight w:val="none"/>
        </w:rPr>
        <w:t>项目编号）的竞争性磋商文件，决定参加本项目采购活动，承诺如下：</w:t>
      </w:r>
    </w:p>
    <w:p>
      <w:pPr>
        <w:autoSpaceDE w:val="0"/>
        <w:autoSpaceDN w:val="0"/>
        <w:adjustRightInd w:val="0"/>
        <w:spacing w:line="500" w:lineRule="exact"/>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一、我方的响应文件在提交响应文件截止日后90天（日历天）内保持有效，如成交，有效期将延至本项目合同期满日为止。</w:t>
      </w:r>
    </w:p>
    <w:p>
      <w:pPr>
        <w:autoSpaceDE w:val="0"/>
        <w:autoSpaceDN w:val="0"/>
        <w:adjustRightInd w:val="0"/>
        <w:spacing w:line="500" w:lineRule="exact"/>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二、我方在参与采购活动前已仔细研究了竞争性磋商文件和所有相关资料，我方完全明白并认为此竞争性磋商文件没有倾向性，也没有存在排斥潜在供应商的内容，我方同意并接受竞争性磋商文件的全部条款，放弃对竞争性磋商文件提出误解和质疑的一切权利。</w:t>
      </w:r>
    </w:p>
    <w:p>
      <w:pPr>
        <w:autoSpaceDE w:val="0"/>
        <w:autoSpaceDN w:val="0"/>
        <w:adjustRightInd w:val="0"/>
        <w:spacing w:line="500" w:lineRule="exact"/>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三、我方声明响应文件及所提供的一切资料均真实无误及有效。由于我方提供资</w:t>
      </w:r>
    </w:p>
    <w:p>
      <w:pPr>
        <w:autoSpaceDE w:val="0"/>
        <w:autoSpaceDN w:val="0"/>
        <w:adjustRightInd w:val="0"/>
        <w:spacing w:line="500" w:lineRule="exact"/>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料不实而造成的责任和后果由我方承担。我方同意按照贵方可能提出的要求，提供与采购活动有关的任何其它数据或信息。</w:t>
      </w:r>
    </w:p>
    <w:p>
      <w:pPr>
        <w:autoSpaceDE w:val="0"/>
        <w:autoSpaceDN w:val="0"/>
        <w:adjustRightInd w:val="0"/>
        <w:spacing w:line="500" w:lineRule="exact"/>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四、我方理解贵方不一定接受最低报价以及</w:t>
      </w:r>
      <w:r>
        <w:rPr>
          <w:rFonts w:hint="eastAsia" w:ascii="宋体" w:hAnsi="宋体" w:cs="宋体"/>
          <w:bCs/>
          <w:color w:val="auto"/>
          <w:sz w:val="24"/>
          <w:szCs w:val="24"/>
          <w:highlight w:val="none"/>
          <w:lang w:val="zh-CN"/>
        </w:rPr>
        <w:t>超过</w:t>
      </w:r>
      <w:r>
        <w:rPr>
          <w:rFonts w:hint="eastAsia" w:ascii="宋体" w:hAnsi="宋体" w:cs="宋体"/>
          <w:bCs/>
          <w:color w:val="auto"/>
          <w:sz w:val="24"/>
          <w:szCs w:val="24"/>
          <w:highlight w:val="none"/>
        </w:rPr>
        <w:t>预算金额</w:t>
      </w:r>
      <w:r>
        <w:rPr>
          <w:rFonts w:hint="eastAsia" w:ascii="宋体" w:hAnsi="宋体" w:cs="宋体"/>
          <w:bCs/>
          <w:color w:val="auto"/>
          <w:sz w:val="24"/>
          <w:szCs w:val="24"/>
          <w:highlight w:val="none"/>
          <w:lang w:val="zh-CN"/>
        </w:rPr>
        <w:t>将被否决</w:t>
      </w:r>
      <w:r>
        <w:rPr>
          <w:rFonts w:hint="eastAsia" w:ascii="宋体" w:hAnsi="宋体" w:cs="宋体"/>
          <w:color w:val="auto"/>
          <w:kern w:val="0"/>
          <w:sz w:val="24"/>
          <w:szCs w:val="24"/>
          <w:highlight w:val="none"/>
        </w:rPr>
        <w:t>时响应无效。</w:t>
      </w:r>
    </w:p>
    <w:p>
      <w:pPr>
        <w:autoSpaceDE w:val="0"/>
        <w:autoSpaceDN w:val="0"/>
        <w:adjustRightInd w:val="0"/>
        <w:spacing w:line="500" w:lineRule="exact"/>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五、我方接受竞争性磋商文件关于不予退还保证金的约定。</w:t>
      </w:r>
    </w:p>
    <w:p>
      <w:pPr>
        <w:autoSpaceDE w:val="0"/>
        <w:autoSpaceDN w:val="0"/>
        <w:adjustRightInd w:val="0"/>
        <w:spacing w:line="500" w:lineRule="exact"/>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六、我方按照竞争性磋商文件的约定履行合同责任和义务。</w:t>
      </w:r>
    </w:p>
    <w:p>
      <w:pPr>
        <w:autoSpaceDE w:val="0"/>
        <w:autoSpaceDN w:val="0"/>
        <w:adjustRightInd w:val="0"/>
        <w:spacing w:line="500" w:lineRule="exact"/>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p>
      <w:pPr>
        <w:autoSpaceDE w:val="0"/>
        <w:autoSpaceDN w:val="0"/>
        <w:adjustRightInd w:val="0"/>
        <w:spacing w:line="500" w:lineRule="exact"/>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与本采购活动有关的一切往来通讯请寄： </w:t>
      </w:r>
    </w:p>
    <w:p>
      <w:pPr>
        <w:autoSpaceDE w:val="0"/>
        <w:autoSpaceDN w:val="0"/>
        <w:adjustRightInd w:val="0"/>
        <w:spacing w:line="500" w:lineRule="exact"/>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地址：</w:t>
      </w:r>
    </w:p>
    <w:p>
      <w:pPr>
        <w:autoSpaceDE w:val="0"/>
        <w:autoSpaceDN w:val="0"/>
        <w:adjustRightInd w:val="0"/>
        <w:spacing w:line="500" w:lineRule="exact"/>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邮编：</w:t>
      </w:r>
    </w:p>
    <w:p>
      <w:pPr>
        <w:autoSpaceDE w:val="0"/>
        <w:autoSpaceDN w:val="0"/>
        <w:adjustRightInd w:val="0"/>
        <w:spacing w:line="500" w:lineRule="exact"/>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电话：</w:t>
      </w:r>
    </w:p>
    <w:p>
      <w:pPr>
        <w:autoSpaceDE w:val="0"/>
        <w:autoSpaceDN w:val="0"/>
        <w:adjustRightInd w:val="0"/>
        <w:spacing w:line="500" w:lineRule="exact"/>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传真：</w:t>
      </w:r>
    </w:p>
    <w:p>
      <w:pPr>
        <w:autoSpaceDE w:val="0"/>
        <w:autoSpaceDN w:val="0"/>
        <w:adjustRightInd w:val="0"/>
        <w:spacing w:line="500" w:lineRule="exact"/>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电子邮件地址：</w:t>
      </w:r>
    </w:p>
    <w:p>
      <w:pPr>
        <w:autoSpaceDE w:val="0"/>
        <w:autoSpaceDN w:val="0"/>
        <w:adjustRightInd w:val="0"/>
        <w:spacing w:line="500" w:lineRule="exact"/>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供应商名称（签章）：</w:t>
      </w:r>
    </w:p>
    <w:p>
      <w:pPr>
        <w:autoSpaceDE w:val="0"/>
        <w:autoSpaceDN w:val="0"/>
        <w:adjustRightInd w:val="0"/>
        <w:spacing w:line="500" w:lineRule="exact"/>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法定代表人或授权代表（签字或盖章）：          </w:t>
      </w:r>
    </w:p>
    <w:p>
      <w:pPr>
        <w:autoSpaceDE w:val="0"/>
        <w:autoSpaceDN w:val="0"/>
        <w:adjustRightInd w:val="0"/>
        <w:spacing w:line="500" w:lineRule="exact"/>
        <w:jc w:val="center"/>
        <w:rPr>
          <w:rFonts w:ascii="宋体" w:hAnsi="宋体" w:cs="宋体"/>
          <w:b/>
          <w:color w:val="auto"/>
          <w:kern w:val="0"/>
          <w:sz w:val="36"/>
          <w:szCs w:val="36"/>
          <w:highlight w:val="none"/>
        </w:rPr>
      </w:pPr>
      <w:r>
        <w:rPr>
          <w:rFonts w:hint="eastAsia" w:ascii="宋体" w:hAnsi="宋体" w:cs="宋体"/>
          <w:color w:val="auto"/>
          <w:kern w:val="0"/>
          <w:sz w:val="24"/>
          <w:szCs w:val="24"/>
          <w:highlight w:val="none"/>
        </w:rPr>
        <w:t>日期:     年   月   日</w:t>
      </w:r>
      <w:r>
        <w:rPr>
          <w:rFonts w:hint="eastAsia" w:ascii="宋体" w:hAnsi="宋体" w:cs="宋体"/>
          <w:color w:val="auto"/>
          <w:kern w:val="0"/>
          <w:sz w:val="24"/>
          <w:szCs w:val="24"/>
          <w:highlight w:val="none"/>
        </w:rPr>
        <w:br w:type="page"/>
      </w:r>
      <w:r>
        <w:rPr>
          <w:rFonts w:hint="eastAsia" w:ascii="宋体" w:hAnsi="宋体" w:cs="宋体"/>
          <w:b/>
          <w:color w:val="auto"/>
          <w:kern w:val="0"/>
          <w:sz w:val="36"/>
          <w:szCs w:val="36"/>
          <w:highlight w:val="none"/>
        </w:rPr>
        <w:t>二、法定代表人身份证明和授权委托书</w:t>
      </w:r>
    </w:p>
    <w:p>
      <w:pPr>
        <w:autoSpaceDE w:val="0"/>
        <w:autoSpaceDN w:val="0"/>
        <w:adjustRightInd w:val="0"/>
        <w:spacing w:line="500" w:lineRule="exact"/>
        <w:jc w:val="center"/>
        <w:rPr>
          <w:rFonts w:ascii="宋体" w:hAnsi="宋体" w:cs="宋体"/>
          <w:color w:val="auto"/>
          <w:kern w:val="0"/>
          <w:szCs w:val="21"/>
          <w:highlight w:val="none"/>
        </w:rPr>
      </w:pPr>
    </w:p>
    <w:p>
      <w:pPr>
        <w:autoSpaceDE w:val="0"/>
        <w:autoSpaceDN w:val="0"/>
        <w:adjustRightInd w:val="0"/>
        <w:spacing w:line="500" w:lineRule="exact"/>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(一) 法定代表人身份证明</w:t>
      </w:r>
    </w:p>
    <w:p>
      <w:pPr>
        <w:autoSpaceDE w:val="0"/>
        <w:autoSpaceDN w:val="0"/>
        <w:adjustRightInd w:val="0"/>
        <w:spacing w:line="500" w:lineRule="exact"/>
        <w:ind w:left="718" w:leftChars="342"/>
        <w:jc w:val="left"/>
        <w:rPr>
          <w:rFonts w:ascii="宋体" w:hAnsi="宋体" w:cs="宋体"/>
          <w:color w:val="auto"/>
          <w:kern w:val="0"/>
          <w:szCs w:val="21"/>
          <w:highlight w:val="none"/>
        </w:rPr>
      </w:pPr>
    </w:p>
    <w:p>
      <w:pPr>
        <w:autoSpaceDE w:val="0"/>
        <w:autoSpaceDN w:val="0"/>
        <w:adjustRightInd w:val="0"/>
        <w:spacing w:line="600" w:lineRule="exact"/>
        <w:ind w:left="718" w:leftChars="342"/>
        <w:jc w:val="left"/>
        <w:rPr>
          <w:rFonts w:ascii="宋体" w:hAnsi="宋体" w:cs="宋体"/>
          <w:color w:val="auto"/>
          <w:kern w:val="0"/>
          <w:sz w:val="24"/>
          <w:szCs w:val="24"/>
          <w:highlight w:val="none"/>
          <w:u w:val="single"/>
        </w:rPr>
      </w:pPr>
      <w:r>
        <w:rPr>
          <w:rFonts w:hint="eastAsia" w:ascii="宋体" w:hAnsi="宋体" w:cs="宋体"/>
          <w:color w:val="auto"/>
          <w:kern w:val="0"/>
          <w:sz w:val="24"/>
          <w:szCs w:val="24"/>
          <w:highlight w:val="none"/>
        </w:rPr>
        <w:t>供应商名称：</w:t>
      </w:r>
    </w:p>
    <w:p>
      <w:pPr>
        <w:autoSpaceDE w:val="0"/>
        <w:autoSpaceDN w:val="0"/>
        <w:adjustRightInd w:val="0"/>
        <w:spacing w:line="600" w:lineRule="exact"/>
        <w:ind w:left="718" w:leftChars="342"/>
        <w:jc w:val="left"/>
        <w:rPr>
          <w:rFonts w:ascii="宋体" w:hAnsi="宋体" w:cs="宋体"/>
          <w:color w:val="auto"/>
          <w:kern w:val="0"/>
          <w:sz w:val="24"/>
          <w:szCs w:val="24"/>
          <w:highlight w:val="none"/>
          <w:u w:val="single"/>
        </w:rPr>
      </w:pPr>
      <w:r>
        <w:rPr>
          <w:rFonts w:hint="eastAsia" w:ascii="宋体" w:hAnsi="宋体" w:cs="宋体"/>
          <w:color w:val="auto"/>
          <w:kern w:val="0"/>
          <w:sz w:val="24"/>
          <w:szCs w:val="24"/>
          <w:highlight w:val="none"/>
        </w:rPr>
        <w:t>单位性质：</w:t>
      </w:r>
    </w:p>
    <w:p>
      <w:pPr>
        <w:autoSpaceDE w:val="0"/>
        <w:autoSpaceDN w:val="0"/>
        <w:adjustRightInd w:val="0"/>
        <w:spacing w:line="600" w:lineRule="exact"/>
        <w:ind w:left="718" w:leftChars="342"/>
        <w:jc w:val="left"/>
        <w:rPr>
          <w:rFonts w:ascii="宋体" w:hAnsi="宋体" w:cs="宋体"/>
          <w:color w:val="auto"/>
          <w:kern w:val="0"/>
          <w:sz w:val="24"/>
          <w:szCs w:val="24"/>
          <w:highlight w:val="none"/>
          <w:u w:val="single"/>
        </w:rPr>
      </w:pPr>
      <w:r>
        <w:rPr>
          <w:rFonts w:hint="eastAsia" w:ascii="宋体" w:hAnsi="宋体" w:cs="宋体"/>
          <w:color w:val="auto"/>
          <w:kern w:val="0"/>
          <w:sz w:val="24"/>
          <w:szCs w:val="24"/>
          <w:highlight w:val="none"/>
        </w:rPr>
        <w:t>地址：</w:t>
      </w:r>
    </w:p>
    <w:p>
      <w:pPr>
        <w:autoSpaceDE w:val="0"/>
        <w:autoSpaceDN w:val="0"/>
        <w:adjustRightInd w:val="0"/>
        <w:spacing w:line="600" w:lineRule="exact"/>
        <w:ind w:left="718" w:leftChars="342"/>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成立时间：年    月    日</w:t>
      </w:r>
    </w:p>
    <w:p>
      <w:pPr>
        <w:autoSpaceDE w:val="0"/>
        <w:autoSpaceDN w:val="0"/>
        <w:adjustRightInd w:val="0"/>
        <w:spacing w:line="600" w:lineRule="exact"/>
        <w:ind w:left="718" w:leftChars="342"/>
        <w:jc w:val="left"/>
        <w:rPr>
          <w:rFonts w:ascii="宋体" w:hAnsi="宋体" w:cs="宋体"/>
          <w:color w:val="auto"/>
          <w:kern w:val="0"/>
          <w:sz w:val="24"/>
          <w:szCs w:val="24"/>
          <w:highlight w:val="none"/>
          <w:u w:val="single"/>
        </w:rPr>
      </w:pPr>
      <w:r>
        <w:rPr>
          <w:rFonts w:hint="eastAsia" w:ascii="宋体" w:hAnsi="宋体" w:cs="宋体"/>
          <w:color w:val="auto"/>
          <w:kern w:val="0"/>
          <w:sz w:val="24"/>
          <w:szCs w:val="24"/>
          <w:highlight w:val="none"/>
        </w:rPr>
        <w:t xml:space="preserve">经营期限： </w:t>
      </w:r>
    </w:p>
    <w:p>
      <w:pPr>
        <w:autoSpaceDE w:val="0"/>
        <w:autoSpaceDN w:val="0"/>
        <w:adjustRightInd w:val="0"/>
        <w:spacing w:line="600" w:lineRule="exact"/>
        <w:ind w:left="718" w:leftChars="342"/>
        <w:jc w:val="left"/>
        <w:rPr>
          <w:rFonts w:ascii="宋体" w:hAnsi="宋体" w:cs="宋体"/>
          <w:color w:val="auto"/>
          <w:kern w:val="0"/>
          <w:sz w:val="24"/>
          <w:szCs w:val="24"/>
          <w:highlight w:val="none"/>
          <w:u w:val="single"/>
        </w:rPr>
      </w:pPr>
      <w:r>
        <w:rPr>
          <w:rFonts w:hint="eastAsia" w:ascii="宋体" w:hAnsi="宋体" w:cs="宋体"/>
          <w:color w:val="auto"/>
          <w:kern w:val="0"/>
          <w:sz w:val="24"/>
          <w:szCs w:val="24"/>
          <w:highlight w:val="none"/>
        </w:rPr>
        <w:t xml:space="preserve">姓名：   性别：   年龄：   职务： </w:t>
      </w:r>
    </w:p>
    <w:p>
      <w:pPr>
        <w:autoSpaceDE w:val="0"/>
        <w:autoSpaceDN w:val="0"/>
        <w:adjustRightInd w:val="0"/>
        <w:spacing w:line="600" w:lineRule="exact"/>
        <w:ind w:left="718" w:leftChars="342"/>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系</w:t>
      </w:r>
      <w:r>
        <w:rPr>
          <w:rFonts w:hint="eastAsia" w:ascii="宋体" w:hAnsi="宋体" w:cs="宋体"/>
          <w:color w:val="auto"/>
          <w:kern w:val="0"/>
          <w:sz w:val="24"/>
          <w:szCs w:val="24"/>
          <w:highlight w:val="none"/>
          <w:u w:val="single"/>
        </w:rPr>
        <w:t xml:space="preserve">       (供应商名称)       </w:t>
      </w:r>
      <w:r>
        <w:rPr>
          <w:rFonts w:hint="eastAsia" w:ascii="宋体" w:hAnsi="宋体" w:cs="宋体"/>
          <w:color w:val="auto"/>
          <w:kern w:val="0"/>
          <w:sz w:val="24"/>
          <w:szCs w:val="24"/>
          <w:highlight w:val="none"/>
        </w:rPr>
        <w:t>的法定代表人。</w:t>
      </w:r>
    </w:p>
    <w:p>
      <w:pPr>
        <w:autoSpaceDE w:val="0"/>
        <w:autoSpaceDN w:val="0"/>
        <w:adjustRightInd w:val="0"/>
        <w:spacing w:line="600" w:lineRule="exact"/>
        <w:ind w:left="718" w:leftChars="342"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特此证明。</w:t>
      </w:r>
    </w:p>
    <w:p>
      <w:pPr>
        <w:autoSpaceDE w:val="0"/>
        <w:autoSpaceDN w:val="0"/>
        <w:adjustRightInd w:val="0"/>
        <w:spacing w:line="600" w:lineRule="exact"/>
        <w:ind w:left="718" w:leftChars="342"/>
        <w:jc w:val="left"/>
        <w:rPr>
          <w:rFonts w:ascii="宋体" w:hAnsi="宋体" w:cs="宋体"/>
          <w:color w:val="auto"/>
          <w:kern w:val="0"/>
          <w:sz w:val="24"/>
          <w:szCs w:val="24"/>
          <w:highlight w:val="none"/>
        </w:rPr>
      </w:pPr>
    </w:p>
    <w:p>
      <w:pPr>
        <w:autoSpaceDE w:val="0"/>
        <w:autoSpaceDN w:val="0"/>
        <w:adjustRightInd w:val="0"/>
        <w:spacing w:line="600" w:lineRule="exact"/>
        <w:ind w:left="718" w:leftChars="342"/>
        <w:jc w:val="right"/>
        <w:rPr>
          <w:rFonts w:ascii="宋体" w:hAnsi="宋体" w:cs="宋体"/>
          <w:color w:val="auto"/>
          <w:kern w:val="0"/>
          <w:sz w:val="24"/>
          <w:szCs w:val="24"/>
          <w:highlight w:val="none"/>
        </w:rPr>
      </w:pPr>
    </w:p>
    <w:p>
      <w:pPr>
        <w:autoSpaceDE w:val="0"/>
        <w:autoSpaceDN w:val="0"/>
        <w:adjustRightInd w:val="0"/>
        <w:spacing w:line="600" w:lineRule="exact"/>
        <w:ind w:left="718" w:leftChars="342"/>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供应商：(盖单位章)</w:t>
      </w:r>
    </w:p>
    <w:p>
      <w:pPr>
        <w:spacing w:line="600" w:lineRule="exact"/>
        <w:ind w:firstLine="2880" w:firstLineChars="1200"/>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年     月    日</w:t>
      </w:r>
    </w:p>
    <w:p>
      <w:pPr>
        <w:spacing w:line="500" w:lineRule="exact"/>
        <w:ind w:firstLine="2520" w:firstLineChars="1200"/>
        <w:jc w:val="right"/>
        <w:rPr>
          <w:rFonts w:ascii="宋体" w:hAnsi="宋体" w:cs="宋体"/>
          <w:color w:val="auto"/>
          <w:kern w:val="0"/>
          <w:szCs w:val="21"/>
          <w:highlight w:val="none"/>
        </w:rPr>
      </w:pPr>
    </w:p>
    <w:p>
      <w:pPr>
        <w:spacing w:line="500" w:lineRule="exact"/>
        <w:ind w:firstLine="2520" w:firstLineChars="1200"/>
        <w:jc w:val="right"/>
        <w:rPr>
          <w:rFonts w:ascii="宋体" w:hAnsi="宋体" w:cs="宋体"/>
          <w:color w:val="auto"/>
          <w:kern w:val="0"/>
          <w:szCs w:val="21"/>
          <w:highlight w:val="none"/>
        </w:rPr>
      </w:pPr>
    </w:p>
    <w:p>
      <w:pPr>
        <w:spacing w:line="500" w:lineRule="exact"/>
        <w:ind w:firstLine="2520" w:firstLineChars="1200"/>
        <w:jc w:val="right"/>
        <w:rPr>
          <w:rFonts w:ascii="宋体" w:hAnsi="宋体" w:cs="宋体"/>
          <w:color w:val="auto"/>
          <w:kern w:val="0"/>
          <w:szCs w:val="21"/>
          <w:highlight w:val="none"/>
        </w:rPr>
      </w:pPr>
    </w:p>
    <w:p>
      <w:pPr>
        <w:spacing w:line="500" w:lineRule="exact"/>
        <w:ind w:firstLine="2520" w:firstLineChars="1200"/>
        <w:jc w:val="right"/>
        <w:rPr>
          <w:rFonts w:ascii="宋体" w:hAnsi="宋体" w:cs="宋体"/>
          <w:color w:val="auto"/>
          <w:kern w:val="0"/>
          <w:szCs w:val="21"/>
          <w:highlight w:val="none"/>
        </w:rPr>
      </w:pPr>
    </w:p>
    <w:p>
      <w:pPr>
        <w:spacing w:line="500" w:lineRule="exact"/>
        <w:ind w:firstLine="2520" w:firstLineChars="1200"/>
        <w:jc w:val="right"/>
        <w:rPr>
          <w:rFonts w:ascii="宋体" w:hAnsi="宋体" w:cs="宋体"/>
          <w:color w:val="auto"/>
          <w:kern w:val="0"/>
          <w:szCs w:val="21"/>
          <w:highlight w:val="none"/>
        </w:rPr>
      </w:pPr>
    </w:p>
    <w:p>
      <w:pPr>
        <w:spacing w:line="500" w:lineRule="exact"/>
        <w:ind w:firstLine="2520" w:firstLineChars="1200"/>
        <w:jc w:val="right"/>
        <w:rPr>
          <w:rFonts w:ascii="宋体" w:hAnsi="宋体" w:cs="宋体"/>
          <w:color w:val="auto"/>
          <w:kern w:val="0"/>
          <w:szCs w:val="21"/>
          <w:highlight w:val="none"/>
        </w:rPr>
      </w:pPr>
    </w:p>
    <w:p>
      <w:pPr>
        <w:spacing w:line="500" w:lineRule="exact"/>
        <w:ind w:right="420"/>
        <w:rPr>
          <w:rFonts w:ascii="宋体" w:hAnsi="宋体" w:cs="宋体"/>
          <w:color w:val="auto"/>
          <w:kern w:val="0"/>
          <w:szCs w:val="21"/>
          <w:highlight w:val="none"/>
        </w:rPr>
      </w:pPr>
    </w:p>
    <w:p>
      <w:pPr>
        <w:spacing w:line="500" w:lineRule="exact"/>
        <w:ind w:right="420"/>
        <w:rPr>
          <w:rFonts w:ascii="宋体" w:hAnsi="宋体" w:cs="宋体"/>
          <w:color w:val="auto"/>
          <w:kern w:val="0"/>
          <w:szCs w:val="21"/>
          <w:highlight w:val="none"/>
        </w:rPr>
      </w:pPr>
    </w:p>
    <w:p>
      <w:pPr>
        <w:spacing w:line="500" w:lineRule="exact"/>
        <w:ind w:right="420"/>
        <w:rPr>
          <w:rFonts w:ascii="宋体" w:hAnsi="宋体" w:cs="宋体"/>
          <w:color w:val="auto"/>
          <w:kern w:val="0"/>
          <w:szCs w:val="21"/>
          <w:highlight w:val="none"/>
        </w:rPr>
      </w:pPr>
    </w:p>
    <w:p>
      <w:pPr>
        <w:autoSpaceDE w:val="0"/>
        <w:autoSpaceDN w:val="0"/>
        <w:adjustRightInd w:val="0"/>
        <w:spacing w:line="500" w:lineRule="exact"/>
        <w:jc w:val="center"/>
        <w:rPr>
          <w:rFonts w:ascii="宋体" w:hAnsi="宋体" w:cs="宋体"/>
          <w:color w:val="auto"/>
          <w:kern w:val="0"/>
          <w:szCs w:val="21"/>
          <w:highlight w:val="none"/>
        </w:rPr>
      </w:pPr>
    </w:p>
    <w:p>
      <w:pPr>
        <w:autoSpaceDE w:val="0"/>
        <w:autoSpaceDN w:val="0"/>
        <w:adjustRightInd w:val="0"/>
        <w:spacing w:line="500" w:lineRule="exact"/>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(二)授权委托书</w:t>
      </w:r>
    </w:p>
    <w:p>
      <w:pPr>
        <w:autoSpaceDE w:val="0"/>
        <w:autoSpaceDN w:val="0"/>
        <w:adjustRightInd w:val="0"/>
        <w:spacing w:line="500" w:lineRule="exact"/>
        <w:jc w:val="left"/>
        <w:rPr>
          <w:rFonts w:ascii="宋体" w:hAnsi="宋体" w:cs="宋体"/>
          <w:color w:val="auto"/>
          <w:kern w:val="0"/>
          <w:szCs w:val="21"/>
          <w:highlight w:val="none"/>
        </w:rPr>
      </w:pPr>
    </w:p>
    <w:p>
      <w:pPr>
        <w:autoSpaceDE w:val="0"/>
        <w:autoSpaceDN w:val="0"/>
        <w:adjustRightInd w:val="0"/>
        <w:spacing w:line="600" w:lineRule="exact"/>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本人</w:t>
      </w:r>
      <w:r>
        <w:rPr>
          <w:rFonts w:hint="eastAsia" w:ascii="宋体" w:hAnsi="宋体" w:cs="宋体"/>
          <w:color w:val="auto"/>
          <w:kern w:val="0"/>
          <w:sz w:val="24"/>
          <w:szCs w:val="24"/>
          <w:highlight w:val="none"/>
          <w:u w:val="single"/>
        </w:rPr>
        <w:t xml:space="preserve">  (姓名)   </w:t>
      </w:r>
      <w:r>
        <w:rPr>
          <w:rFonts w:hint="eastAsia" w:ascii="宋体" w:hAnsi="宋体" w:cs="宋体"/>
          <w:color w:val="auto"/>
          <w:kern w:val="0"/>
          <w:sz w:val="24"/>
          <w:szCs w:val="24"/>
          <w:highlight w:val="none"/>
        </w:rPr>
        <w:t>系</w:t>
      </w:r>
      <w:r>
        <w:rPr>
          <w:rFonts w:hint="eastAsia" w:ascii="宋体" w:hAnsi="宋体" w:cs="宋体"/>
          <w:color w:val="auto"/>
          <w:kern w:val="0"/>
          <w:sz w:val="24"/>
          <w:szCs w:val="24"/>
          <w:highlight w:val="none"/>
          <w:u w:val="single"/>
        </w:rPr>
        <w:t xml:space="preserve">    (供应商名称)    </w:t>
      </w:r>
      <w:r>
        <w:rPr>
          <w:rFonts w:hint="eastAsia" w:ascii="宋体" w:hAnsi="宋体" w:cs="宋体"/>
          <w:color w:val="auto"/>
          <w:kern w:val="0"/>
          <w:sz w:val="24"/>
          <w:szCs w:val="24"/>
          <w:highlight w:val="none"/>
        </w:rPr>
        <w:t>的法定代表人，现委托</w:t>
      </w:r>
      <w:r>
        <w:rPr>
          <w:rFonts w:hint="eastAsia" w:ascii="宋体" w:hAnsi="宋体" w:cs="宋体"/>
          <w:color w:val="auto"/>
          <w:kern w:val="0"/>
          <w:sz w:val="24"/>
          <w:szCs w:val="24"/>
          <w:highlight w:val="none"/>
          <w:u w:val="single"/>
        </w:rPr>
        <w:t xml:space="preserve">   (姓名)  </w:t>
      </w:r>
      <w:r>
        <w:rPr>
          <w:rFonts w:hint="eastAsia" w:ascii="宋体" w:hAnsi="宋体" w:cs="宋体"/>
          <w:color w:val="auto"/>
          <w:kern w:val="0"/>
          <w:sz w:val="24"/>
          <w:szCs w:val="24"/>
          <w:highlight w:val="none"/>
        </w:rPr>
        <w:t>为我方代理人。代理人根据授权，以我方名义签署、澄清、说明、补正、递交、撤回、修改</w:t>
      </w:r>
      <w:r>
        <w:rPr>
          <w:rFonts w:hint="eastAsia" w:ascii="宋体" w:hAnsi="宋体" w:cs="宋体"/>
          <w:color w:val="auto"/>
          <w:kern w:val="0"/>
          <w:sz w:val="24"/>
          <w:szCs w:val="24"/>
          <w:highlight w:val="none"/>
          <w:u w:val="single"/>
        </w:rPr>
        <w:t xml:space="preserve">   (项目名称)</w:t>
      </w:r>
      <w:r>
        <w:rPr>
          <w:rFonts w:hint="eastAsia" w:ascii="宋体" w:hAnsi="宋体" w:cs="宋体"/>
          <w:color w:val="auto"/>
          <w:kern w:val="0"/>
          <w:sz w:val="24"/>
          <w:szCs w:val="24"/>
          <w:highlight w:val="none"/>
          <w:u w:val="single"/>
          <w:lang w:val="en-US" w:eastAsia="zh-CN"/>
        </w:rPr>
        <w:t>+（标段）</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响应文件、签订合同和处理有关事宜，其法律后果由我方承担。</w:t>
      </w:r>
    </w:p>
    <w:p>
      <w:pPr>
        <w:autoSpaceDE w:val="0"/>
        <w:autoSpaceDN w:val="0"/>
        <w:adjustRightInd w:val="0"/>
        <w:spacing w:line="600" w:lineRule="exact"/>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委托期限：</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lang w:val="en-US" w:eastAsia="zh-CN"/>
        </w:rPr>
        <w:t xml:space="preserve">                </w:t>
      </w:r>
      <w:r>
        <w:rPr>
          <w:rFonts w:hint="eastAsia" w:ascii="宋体" w:hAnsi="宋体" w:cs="宋体"/>
          <w:color w:val="auto"/>
          <w:kern w:val="0"/>
          <w:sz w:val="24"/>
          <w:szCs w:val="24"/>
          <w:highlight w:val="none"/>
        </w:rPr>
        <w:t>。</w:t>
      </w:r>
    </w:p>
    <w:p>
      <w:pPr>
        <w:autoSpaceDE w:val="0"/>
        <w:autoSpaceDN w:val="0"/>
        <w:adjustRightInd w:val="0"/>
        <w:spacing w:line="600" w:lineRule="exact"/>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代理人无转委托权。</w:t>
      </w:r>
    </w:p>
    <w:p>
      <w:pPr>
        <w:spacing w:line="600" w:lineRule="exact"/>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附：法定代表人身份证；被授权人身份证。</w:t>
      </w:r>
    </w:p>
    <w:p>
      <w:pPr>
        <w:autoSpaceDE w:val="0"/>
        <w:autoSpaceDN w:val="0"/>
        <w:adjustRightInd w:val="0"/>
        <w:spacing w:line="600" w:lineRule="exact"/>
        <w:ind w:left="540" w:leftChars="257"/>
        <w:jc w:val="left"/>
        <w:rPr>
          <w:rFonts w:ascii="宋体" w:hAnsi="宋体" w:cs="宋体"/>
          <w:color w:val="auto"/>
          <w:kern w:val="0"/>
          <w:sz w:val="24"/>
          <w:szCs w:val="24"/>
          <w:highlight w:val="none"/>
        </w:rPr>
      </w:pPr>
    </w:p>
    <w:p>
      <w:pPr>
        <w:autoSpaceDE w:val="0"/>
        <w:autoSpaceDN w:val="0"/>
        <w:adjustRightInd w:val="0"/>
        <w:spacing w:line="600" w:lineRule="exact"/>
        <w:ind w:left="540" w:leftChars="257"/>
        <w:jc w:val="left"/>
        <w:rPr>
          <w:rFonts w:ascii="宋体" w:hAnsi="宋体" w:cs="宋体"/>
          <w:color w:val="auto"/>
          <w:kern w:val="0"/>
          <w:sz w:val="24"/>
          <w:szCs w:val="24"/>
          <w:highlight w:val="none"/>
        </w:rPr>
      </w:pPr>
    </w:p>
    <w:p>
      <w:pPr>
        <w:autoSpaceDE w:val="0"/>
        <w:autoSpaceDN w:val="0"/>
        <w:adjustRightInd w:val="0"/>
        <w:spacing w:line="600" w:lineRule="exact"/>
        <w:ind w:left="540" w:leftChars="257"/>
        <w:jc w:val="left"/>
        <w:rPr>
          <w:rFonts w:ascii="宋体" w:hAnsi="宋体" w:cs="宋体"/>
          <w:color w:val="auto"/>
          <w:kern w:val="0"/>
          <w:sz w:val="24"/>
          <w:szCs w:val="24"/>
          <w:highlight w:val="none"/>
        </w:rPr>
      </w:pPr>
    </w:p>
    <w:p>
      <w:pPr>
        <w:autoSpaceDE w:val="0"/>
        <w:autoSpaceDN w:val="0"/>
        <w:adjustRightInd w:val="0"/>
        <w:spacing w:line="600" w:lineRule="exact"/>
        <w:ind w:left="540" w:leftChars="257"/>
        <w:jc w:val="left"/>
        <w:rPr>
          <w:rFonts w:ascii="宋体" w:hAnsi="宋体" w:cs="宋体"/>
          <w:color w:val="auto"/>
          <w:kern w:val="0"/>
          <w:sz w:val="24"/>
          <w:szCs w:val="24"/>
          <w:highlight w:val="none"/>
        </w:rPr>
      </w:pPr>
    </w:p>
    <w:p>
      <w:pPr>
        <w:autoSpaceDE w:val="0"/>
        <w:autoSpaceDN w:val="0"/>
        <w:adjustRightInd w:val="0"/>
        <w:spacing w:line="600" w:lineRule="exact"/>
        <w:ind w:left="540" w:leftChars="257"/>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响 应 人：(盖单位章)</w:t>
      </w:r>
    </w:p>
    <w:p>
      <w:pPr>
        <w:autoSpaceDE w:val="0"/>
        <w:autoSpaceDN w:val="0"/>
        <w:adjustRightInd w:val="0"/>
        <w:spacing w:line="600" w:lineRule="exact"/>
        <w:ind w:left="540" w:leftChars="257"/>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法定代表人：(签字)</w:t>
      </w:r>
    </w:p>
    <w:p>
      <w:pPr>
        <w:autoSpaceDE w:val="0"/>
        <w:autoSpaceDN w:val="0"/>
        <w:adjustRightInd w:val="0"/>
        <w:spacing w:line="600" w:lineRule="exact"/>
        <w:ind w:left="540" w:leftChars="257"/>
        <w:jc w:val="left"/>
        <w:rPr>
          <w:rFonts w:ascii="宋体" w:hAnsi="宋体" w:cs="宋体"/>
          <w:color w:val="auto"/>
          <w:kern w:val="0"/>
          <w:sz w:val="24"/>
          <w:szCs w:val="24"/>
          <w:highlight w:val="none"/>
          <w:u w:val="single"/>
        </w:rPr>
      </w:pPr>
      <w:r>
        <w:rPr>
          <w:rFonts w:hint="eastAsia" w:ascii="宋体" w:hAnsi="宋体" w:cs="宋体"/>
          <w:color w:val="auto"/>
          <w:kern w:val="0"/>
          <w:sz w:val="24"/>
          <w:szCs w:val="24"/>
          <w:highlight w:val="none"/>
        </w:rPr>
        <w:t>身份证号码：</w:t>
      </w:r>
    </w:p>
    <w:p>
      <w:pPr>
        <w:autoSpaceDE w:val="0"/>
        <w:autoSpaceDN w:val="0"/>
        <w:adjustRightInd w:val="0"/>
        <w:spacing w:line="600" w:lineRule="exact"/>
        <w:ind w:left="540" w:leftChars="257"/>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委托代理人：(签字)</w:t>
      </w:r>
    </w:p>
    <w:p>
      <w:pPr>
        <w:autoSpaceDE w:val="0"/>
        <w:autoSpaceDN w:val="0"/>
        <w:adjustRightInd w:val="0"/>
        <w:spacing w:line="600" w:lineRule="exact"/>
        <w:ind w:left="540" w:leftChars="257"/>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身份证号码：</w:t>
      </w:r>
    </w:p>
    <w:p>
      <w:pPr>
        <w:spacing w:line="600" w:lineRule="exact"/>
        <w:ind w:firstLine="2160" w:firstLineChars="900"/>
        <w:jc w:val="right"/>
        <w:rPr>
          <w:rFonts w:ascii="宋体" w:hAnsi="宋体" w:cs="宋体"/>
          <w:color w:val="auto"/>
          <w:kern w:val="0"/>
          <w:sz w:val="24"/>
          <w:szCs w:val="24"/>
          <w:highlight w:val="none"/>
          <w:u w:val="single"/>
        </w:rPr>
      </w:pPr>
    </w:p>
    <w:p>
      <w:pPr>
        <w:spacing w:line="600" w:lineRule="exact"/>
        <w:ind w:firstLine="2160" w:firstLineChars="900"/>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年     月      日</w:t>
      </w:r>
    </w:p>
    <w:p>
      <w:pPr>
        <w:spacing w:line="500" w:lineRule="exact"/>
        <w:ind w:left="540" w:leftChars="257" w:firstLine="1680" w:firstLineChars="800"/>
        <w:jc w:val="left"/>
        <w:rPr>
          <w:rFonts w:ascii="宋体" w:hAnsi="宋体" w:cs="宋体"/>
          <w:color w:val="auto"/>
          <w:kern w:val="0"/>
          <w:szCs w:val="21"/>
          <w:highlight w:val="none"/>
        </w:rPr>
      </w:pPr>
    </w:p>
    <w:p>
      <w:pPr>
        <w:spacing w:line="500" w:lineRule="exact"/>
        <w:ind w:left="540" w:leftChars="257" w:firstLine="1680" w:firstLineChars="800"/>
        <w:jc w:val="left"/>
        <w:rPr>
          <w:rFonts w:ascii="宋体" w:hAnsi="宋体" w:cs="宋体"/>
          <w:color w:val="auto"/>
          <w:kern w:val="0"/>
          <w:szCs w:val="21"/>
          <w:highlight w:val="none"/>
        </w:rPr>
      </w:pPr>
    </w:p>
    <w:p>
      <w:pPr>
        <w:autoSpaceDE w:val="0"/>
        <w:autoSpaceDN w:val="0"/>
        <w:adjustRightInd w:val="0"/>
        <w:spacing w:line="500" w:lineRule="exact"/>
        <w:jc w:val="center"/>
        <w:rPr>
          <w:rFonts w:ascii="宋体" w:hAnsi="宋体" w:cs="宋体"/>
          <w:color w:val="auto"/>
          <w:szCs w:val="21"/>
          <w:highlight w:val="none"/>
          <w:lang w:val="zh-CN"/>
        </w:rPr>
      </w:pPr>
    </w:p>
    <w:p>
      <w:pPr>
        <w:autoSpaceDE w:val="0"/>
        <w:autoSpaceDN w:val="0"/>
        <w:adjustRightInd w:val="0"/>
        <w:spacing w:line="500" w:lineRule="exact"/>
        <w:jc w:val="center"/>
        <w:rPr>
          <w:rFonts w:ascii="宋体" w:hAnsi="宋体" w:cs="宋体"/>
          <w:color w:val="auto"/>
          <w:szCs w:val="21"/>
          <w:highlight w:val="none"/>
          <w:lang w:val="zh-CN"/>
        </w:rPr>
      </w:pPr>
    </w:p>
    <w:p>
      <w:pPr>
        <w:autoSpaceDE w:val="0"/>
        <w:autoSpaceDN w:val="0"/>
        <w:adjustRightInd w:val="0"/>
        <w:spacing w:line="500" w:lineRule="exact"/>
        <w:jc w:val="center"/>
        <w:rPr>
          <w:rFonts w:ascii="宋体" w:hAnsi="宋体" w:cs="宋体"/>
          <w:color w:val="auto"/>
          <w:szCs w:val="21"/>
          <w:highlight w:val="none"/>
          <w:lang w:val="zh-CN"/>
        </w:rPr>
        <w:sectPr>
          <w:pgSz w:w="11907" w:h="16840"/>
          <w:pgMar w:top="1134" w:right="1418" w:bottom="1134" w:left="1418" w:header="567" w:footer="567" w:gutter="0"/>
          <w:cols w:space="720" w:num="1"/>
          <w:titlePg/>
          <w:docGrid w:linePitch="312" w:charSpace="0"/>
        </w:sectPr>
      </w:pPr>
    </w:p>
    <w:p>
      <w:pPr>
        <w:autoSpaceDE w:val="0"/>
        <w:autoSpaceDN w:val="0"/>
        <w:adjustRightInd w:val="0"/>
        <w:spacing w:line="500" w:lineRule="exact"/>
        <w:jc w:val="center"/>
        <w:rPr>
          <w:rFonts w:ascii="宋体" w:hAnsi="宋体" w:cs="宋体"/>
          <w:b/>
          <w:color w:val="auto"/>
          <w:sz w:val="36"/>
          <w:szCs w:val="36"/>
          <w:highlight w:val="none"/>
          <w:lang w:val="zh-CN"/>
        </w:rPr>
      </w:pPr>
      <w:r>
        <w:rPr>
          <w:rFonts w:hint="eastAsia" w:ascii="宋体" w:hAnsi="宋体" w:cs="宋体"/>
          <w:b/>
          <w:color w:val="auto"/>
          <w:sz w:val="36"/>
          <w:szCs w:val="36"/>
          <w:highlight w:val="none"/>
          <w:lang w:val="zh-CN"/>
        </w:rPr>
        <w:t>三、磋商一览表</w:t>
      </w:r>
    </w:p>
    <w:p>
      <w:pPr>
        <w:autoSpaceDE w:val="0"/>
        <w:autoSpaceDN w:val="0"/>
        <w:adjustRightInd w:val="0"/>
        <w:spacing w:line="400" w:lineRule="exact"/>
        <w:jc w:val="left"/>
        <w:rPr>
          <w:rFonts w:ascii="宋体" w:hAnsi="宋体" w:cs="宋体"/>
          <w:b/>
          <w:color w:val="auto"/>
          <w:kern w:val="0"/>
          <w:szCs w:val="21"/>
          <w:highlight w:val="none"/>
          <w:shd w:val="clear" w:color="auto" w:fill="FFFFFF"/>
        </w:rPr>
      </w:pPr>
    </w:p>
    <w:p>
      <w:pPr>
        <w:ind w:left="13" w:leftChars="-51" w:hanging="120" w:hangingChars="50"/>
        <w:rPr>
          <w:rFonts w:ascii="宋体" w:hAnsi="宋体" w:cs="宋体"/>
          <w:color w:val="auto"/>
          <w:sz w:val="24"/>
          <w:szCs w:val="24"/>
          <w:highlight w:val="none"/>
          <w:u w:val="single"/>
        </w:rPr>
      </w:pPr>
      <w:r>
        <w:rPr>
          <w:rFonts w:hint="eastAsia" w:ascii="宋体" w:hAnsi="宋体" w:cs="宋体"/>
          <w:color w:val="auto"/>
          <w:sz w:val="24"/>
          <w:szCs w:val="24"/>
          <w:highlight w:val="none"/>
        </w:rPr>
        <w:t>项 目 名 称 ：</w:t>
      </w:r>
    </w:p>
    <w:p>
      <w:pPr>
        <w:ind w:left="13" w:leftChars="-51" w:hanging="120" w:hangingChars="50"/>
        <w:rPr>
          <w:rFonts w:ascii="宋体" w:hAnsi="宋体" w:cs="宋体"/>
          <w:color w:val="auto"/>
          <w:sz w:val="24"/>
          <w:szCs w:val="24"/>
          <w:highlight w:val="none"/>
        </w:rPr>
      </w:pPr>
      <w:r>
        <w:rPr>
          <w:rFonts w:hint="eastAsia" w:ascii="宋体" w:hAnsi="宋体" w:cs="宋体"/>
          <w:color w:val="auto"/>
          <w:sz w:val="24"/>
          <w:szCs w:val="24"/>
          <w:highlight w:val="none"/>
        </w:rPr>
        <w:t>磋 商 编 号：</w:t>
      </w:r>
    </w:p>
    <w:tbl>
      <w:tblPr>
        <w:tblStyle w:val="46"/>
        <w:tblW w:w="917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08"/>
        <w:gridCol w:w="746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4" w:hRule="atLeast"/>
          <w:jc w:val="center"/>
        </w:trPr>
        <w:tc>
          <w:tcPr>
            <w:tcW w:w="170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供应商</w:t>
            </w:r>
          </w:p>
        </w:tc>
        <w:tc>
          <w:tcPr>
            <w:tcW w:w="746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89" w:hRule="atLeast"/>
          <w:jc w:val="center"/>
        </w:trPr>
        <w:tc>
          <w:tcPr>
            <w:tcW w:w="170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磋商报价</w:t>
            </w:r>
          </w:p>
          <w:p>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（元）</w:t>
            </w:r>
          </w:p>
        </w:tc>
        <w:tc>
          <w:tcPr>
            <w:tcW w:w="746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color w:val="auto"/>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89" w:hRule="atLeast"/>
          <w:jc w:val="center"/>
        </w:trPr>
        <w:tc>
          <w:tcPr>
            <w:tcW w:w="170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合同履行期限</w:t>
            </w:r>
          </w:p>
        </w:tc>
        <w:tc>
          <w:tcPr>
            <w:tcW w:w="746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eastAsia="宋体"/>
                <w:color w:val="auto"/>
                <w:szCs w:val="20"/>
                <w:highlight w:val="none"/>
                <w:lang w:eastAsia="zh-CN"/>
              </w:rPr>
            </w:pPr>
            <w:r>
              <w:rPr>
                <w:rFonts w:hint="eastAsia" w:ascii="宋体" w:hAnsi="宋体" w:cs="宋体"/>
                <w:color w:val="auto"/>
                <w:sz w:val="24"/>
                <w:szCs w:val="24"/>
                <w:highlight w:val="none"/>
                <w:lang w:eastAsia="zh-CN"/>
              </w:rPr>
              <w:t>自合同签订之日起至项目结束止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56" w:hRule="atLeast"/>
          <w:jc w:val="center"/>
        </w:trPr>
        <w:tc>
          <w:tcPr>
            <w:tcW w:w="170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优惠条件</w:t>
            </w:r>
          </w:p>
        </w:tc>
        <w:tc>
          <w:tcPr>
            <w:tcW w:w="746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（有/无）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56" w:hRule="atLeast"/>
          <w:jc w:val="center"/>
        </w:trPr>
        <w:tc>
          <w:tcPr>
            <w:tcW w:w="170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服务标准</w:t>
            </w:r>
          </w:p>
        </w:tc>
        <w:tc>
          <w:tcPr>
            <w:tcW w:w="746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cs="宋体"/>
                <w:color w:val="auto"/>
                <w:sz w:val="24"/>
                <w:szCs w:val="24"/>
                <w:highlight w:val="none"/>
              </w:rPr>
            </w:pPr>
            <w:r>
              <w:rPr>
                <w:rFonts w:hint="eastAsia" w:ascii="宋体" w:hAnsi="宋体" w:cs="宋体"/>
                <w:color w:val="auto"/>
                <w:sz w:val="24"/>
                <w:szCs w:val="24"/>
                <w:highlight w:val="none"/>
                <w:lang w:val="zh-CN" w:eastAsia="zh-CN"/>
              </w:rPr>
              <w:t>符合国家及行业规定的合格标准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85" w:hRule="atLeast"/>
          <w:jc w:val="center"/>
        </w:trPr>
        <w:tc>
          <w:tcPr>
            <w:tcW w:w="170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备注</w:t>
            </w:r>
          </w:p>
        </w:tc>
        <w:tc>
          <w:tcPr>
            <w:tcW w:w="7463" w:type="dxa"/>
            <w:tcBorders>
              <w:top w:val="single" w:color="auto" w:sz="4" w:space="0"/>
              <w:left w:val="single" w:color="auto" w:sz="4" w:space="0"/>
              <w:bottom w:val="single" w:color="auto" w:sz="4" w:space="0"/>
              <w:right w:val="single" w:color="auto" w:sz="4" w:space="0"/>
            </w:tcBorders>
          </w:tcPr>
          <w:p>
            <w:pPr>
              <w:keepNext w:val="0"/>
              <w:keepLines w:val="0"/>
              <w:numPr>
                <w:ilvl w:val="0"/>
                <w:numId w:val="0"/>
              </w:numPr>
              <w:suppressLineNumbers w:val="0"/>
              <w:spacing w:before="0" w:beforeAutospacing="0" w:after="0" w:afterAutospacing="0"/>
              <w:ind w:left="0" w:leftChars="0" w:right="0" w:rightChars="0"/>
              <w:rPr>
                <w:rFonts w:hint="default" w:ascii="宋体" w:hAnsi="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本表只做磋商时使用，但本表的一切内容均具有法律效力，不得更改。</w:t>
            </w:r>
          </w:p>
          <w:p>
            <w:pPr>
              <w:keepNext w:val="0"/>
              <w:keepLines w:val="0"/>
              <w:numPr>
                <w:ilvl w:val="0"/>
                <w:numId w:val="0"/>
              </w:numPr>
              <w:suppressLineNumbers w:val="0"/>
              <w:spacing w:before="0" w:beforeAutospacing="0" w:after="0" w:afterAutospacing="0"/>
              <w:ind w:left="0" w:leftChars="0" w:right="0" w:rightChars="0"/>
              <w:rPr>
                <w:rFonts w:hint="default" w:ascii="宋体" w:hAnsi="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填报的内容必须和响应文件及报价函中的内容一致。</w:t>
            </w:r>
          </w:p>
          <w:p>
            <w:pPr>
              <w:keepNext w:val="0"/>
              <w:keepLines w:val="0"/>
              <w:numPr>
                <w:ilvl w:val="0"/>
                <w:numId w:val="0"/>
              </w:numPr>
              <w:suppressLineNumbers w:val="0"/>
              <w:spacing w:before="0" w:beforeAutospacing="0" w:after="0" w:afterAutospacing="0"/>
              <w:ind w:left="0" w:leftChars="0" w:right="0" w:rightChars="0"/>
              <w:rPr>
                <w:rFonts w:hint="default" w:ascii="宋体" w:hAnsi="宋体" w:cs="宋体"/>
                <w:b/>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优惠条件详细内容必须在磋商文件中载明，本表只填写“有”“无”即可。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07" w:hRule="atLeast"/>
          <w:jc w:val="center"/>
        </w:trPr>
        <w:tc>
          <w:tcPr>
            <w:tcW w:w="917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s="宋体"/>
                <w:color w:val="auto"/>
                <w:sz w:val="24"/>
                <w:szCs w:val="24"/>
                <w:highlight w:val="none"/>
              </w:rPr>
            </w:pPr>
          </w:p>
          <w:p>
            <w:pPr>
              <w:keepNext w:val="0"/>
              <w:keepLines w:val="0"/>
              <w:suppressLineNumbers w:val="0"/>
              <w:spacing w:before="0" w:beforeAutospacing="0" w:after="0" w:afterAutospacing="0"/>
              <w:ind w:left="0" w:right="0"/>
              <w:rPr>
                <w:rFonts w:hint="default" w:ascii="宋体" w:hAnsi="宋体" w:cs="宋体"/>
                <w:color w:val="auto"/>
                <w:sz w:val="24"/>
                <w:szCs w:val="24"/>
                <w:highlight w:val="none"/>
              </w:rPr>
            </w:pPr>
            <w:r>
              <w:rPr>
                <w:rFonts w:hint="eastAsia" w:ascii="宋体" w:hAnsi="宋体" w:cs="宋体"/>
                <w:color w:val="auto"/>
                <w:sz w:val="24"/>
                <w:szCs w:val="24"/>
                <w:highlight w:val="none"/>
              </w:rPr>
              <w:t>供应商：        （盖章）                 被授权人：          （签字或盖章）</w:t>
            </w:r>
          </w:p>
          <w:p>
            <w:pPr>
              <w:keepNext w:val="0"/>
              <w:keepLines w:val="0"/>
              <w:suppressLineNumbers w:val="0"/>
              <w:spacing w:before="0" w:beforeAutospacing="0" w:after="0" w:afterAutospacing="0"/>
              <w:ind w:left="0" w:right="0"/>
              <w:rPr>
                <w:rFonts w:hint="default" w:ascii="宋体" w:hAnsi="宋体" w:cs="宋体"/>
                <w:color w:val="auto"/>
                <w:sz w:val="24"/>
                <w:szCs w:val="24"/>
                <w:highlight w:val="none"/>
              </w:rPr>
            </w:pPr>
          </w:p>
        </w:tc>
      </w:tr>
    </w:tbl>
    <w:p>
      <w:pPr>
        <w:autoSpaceDE w:val="0"/>
        <w:autoSpaceDN w:val="0"/>
        <w:adjustRightInd w:val="0"/>
        <w:spacing w:line="500" w:lineRule="exact"/>
        <w:rPr>
          <w:rFonts w:ascii="宋体" w:hAnsi="宋体" w:cs="宋体"/>
          <w:color w:val="auto"/>
          <w:sz w:val="24"/>
          <w:highlight w:val="none"/>
          <w:lang w:val="zh-CN"/>
        </w:rPr>
      </w:pPr>
    </w:p>
    <w:p>
      <w:pPr>
        <w:autoSpaceDE w:val="0"/>
        <w:autoSpaceDN w:val="0"/>
        <w:adjustRightInd w:val="0"/>
        <w:spacing w:line="500" w:lineRule="exact"/>
        <w:jc w:val="center"/>
        <w:rPr>
          <w:rFonts w:ascii="宋体" w:hAnsi="宋体" w:cs="宋体"/>
          <w:b/>
          <w:color w:val="auto"/>
          <w:sz w:val="36"/>
          <w:szCs w:val="36"/>
          <w:highlight w:val="none"/>
          <w:lang w:val="zh-CN"/>
        </w:rPr>
      </w:pPr>
    </w:p>
    <w:p>
      <w:pPr>
        <w:autoSpaceDE w:val="0"/>
        <w:autoSpaceDN w:val="0"/>
        <w:adjustRightInd w:val="0"/>
        <w:spacing w:line="500" w:lineRule="exact"/>
        <w:jc w:val="center"/>
        <w:rPr>
          <w:rFonts w:ascii="宋体" w:hAnsi="宋体" w:cs="宋体"/>
          <w:b/>
          <w:color w:val="auto"/>
          <w:sz w:val="36"/>
          <w:szCs w:val="36"/>
          <w:highlight w:val="none"/>
          <w:lang w:val="zh-CN"/>
        </w:rPr>
      </w:pPr>
    </w:p>
    <w:p>
      <w:pPr>
        <w:pStyle w:val="45"/>
        <w:ind w:firstLine="723"/>
        <w:rPr>
          <w:rFonts w:ascii="宋体" w:hAnsi="宋体" w:cs="宋体"/>
          <w:b/>
          <w:color w:val="auto"/>
          <w:sz w:val="36"/>
          <w:szCs w:val="36"/>
          <w:highlight w:val="none"/>
          <w:lang w:val="zh-CN"/>
        </w:rPr>
      </w:pPr>
    </w:p>
    <w:p>
      <w:pPr>
        <w:pStyle w:val="45"/>
        <w:ind w:firstLine="723"/>
        <w:rPr>
          <w:rFonts w:ascii="宋体" w:hAnsi="宋体" w:cs="宋体"/>
          <w:b/>
          <w:color w:val="auto"/>
          <w:sz w:val="36"/>
          <w:szCs w:val="36"/>
          <w:highlight w:val="none"/>
          <w:lang w:val="zh-CN"/>
        </w:rPr>
      </w:pPr>
    </w:p>
    <w:p>
      <w:pPr>
        <w:autoSpaceDE w:val="0"/>
        <w:autoSpaceDN w:val="0"/>
        <w:adjustRightInd w:val="0"/>
        <w:spacing w:line="500" w:lineRule="exact"/>
        <w:jc w:val="center"/>
        <w:rPr>
          <w:rFonts w:ascii="宋体" w:hAnsi="宋体" w:cs="宋体"/>
          <w:b/>
          <w:color w:val="auto"/>
          <w:sz w:val="36"/>
          <w:szCs w:val="36"/>
          <w:highlight w:val="none"/>
          <w:lang w:val="zh-CN"/>
        </w:rPr>
      </w:pPr>
    </w:p>
    <w:p>
      <w:pPr>
        <w:autoSpaceDE w:val="0"/>
        <w:autoSpaceDN w:val="0"/>
        <w:adjustRightInd w:val="0"/>
        <w:spacing w:line="500" w:lineRule="exact"/>
        <w:jc w:val="center"/>
        <w:rPr>
          <w:rFonts w:ascii="宋体" w:hAnsi="宋体" w:cs="宋体"/>
          <w:b/>
          <w:color w:val="auto"/>
          <w:sz w:val="36"/>
          <w:szCs w:val="36"/>
          <w:highlight w:val="none"/>
          <w:lang w:val="zh-CN"/>
        </w:rPr>
      </w:pPr>
      <w:r>
        <w:rPr>
          <w:rFonts w:hint="eastAsia" w:ascii="宋体" w:hAnsi="宋体" w:cs="宋体"/>
          <w:b/>
          <w:color w:val="auto"/>
          <w:sz w:val="36"/>
          <w:szCs w:val="36"/>
          <w:highlight w:val="none"/>
          <w:lang w:val="zh-CN"/>
        </w:rPr>
        <w:t>四、磋商保证金</w:t>
      </w:r>
    </w:p>
    <w:p>
      <w:pPr>
        <w:rPr>
          <w:rFonts w:ascii="宋体" w:hAnsi="宋体" w:cs="宋体"/>
          <w:b/>
          <w:bCs/>
          <w:color w:val="auto"/>
          <w:sz w:val="24"/>
          <w:szCs w:val="32"/>
          <w:highlight w:val="none"/>
        </w:rPr>
      </w:pPr>
    </w:p>
    <w:p>
      <w:pPr>
        <w:autoSpaceDE w:val="0"/>
        <w:autoSpaceDN w:val="0"/>
        <w:adjustRightInd w:val="0"/>
        <w:spacing w:line="360" w:lineRule="auto"/>
        <w:jc w:val="left"/>
        <w:rPr>
          <w:rFonts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致（采购代理机构名称）：</w:t>
      </w:r>
    </w:p>
    <w:p>
      <w:pPr>
        <w:autoSpaceDE w:val="0"/>
        <w:autoSpaceDN w:val="0"/>
        <w:adjustRightInd w:val="0"/>
        <w:spacing w:line="360" w:lineRule="auto"/>
        <w:jc w:val="left"/>
        <w:rPr>
          <w:rFonts w:ascii="宋体" w:hAnsi="宋体" w:cs="宋体"/>
          <w:color w:val="auto"/>
          <w:kern w:val="0"/>
          <w:sz w:val="24"/>
          <w:szCs w:val="24"/>
          <w:highlight w:val="none"/>
          <w:lang w:val="zh-CN"/>
        </w:rPr>
      </w:pPr>
    </w:p>
    <w:p>
      <w:pPr>
        <w:autoSpaceDE w:val="0"/>
        <w:autoSpaceDN w:val="0"/>
        <w:adjustRightInd w:val="0"/>
        <w:spacing w:line="360" w:lineRule="auto"/>
        <w:ind w:firstLine="601"/>
        <w:jc w:val="left"/>
        <w:rPr>
          <w:rFonts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[供应商名称]（以下称“供应商”）于</w:t>
      </w:r>
      <w:r>
        <w:rPr>
          <w:rFonts w:hint="eastAsia" w:ascii="宋体" w:hAnsi="宋体" w:cs="宋体"/>
          <w:color w:val="auto"/>
          <w:kern w:val="0"/>
          <w:sz w:val="24"/>
          <w:szCs w:val="24"/>
          <w:highlight w:val="none"/>
        </w:rPr>
        <w:t xml:space="preserve">  </w:t>
      </w:r>
      <w:r>
        <w:rPr>
          <w:rFonts w:hint="eastAsia" w:ascii="宋体" w:hAnsi="宋体" w:cs="宋体"/>
          <w:color w:val="auto"/>
          <w:kern w:val="0"/>
          <w:sz w:val="24"/>
          <w:szCs w:val="24"/>
          <w:highlight w:val="none"/>
          <w:lang w:val="zh-CN"/>
        </w:rPr>
        <w:t>年</w:t>
      </w:r>
      <w:r>
        <w:rPr>
          <w:rFonts w:hint="eastAsia" w:ascii="宋体" w:hAnsi="宋体" w:cs="宋体"/>
          <w:color w:val="auto"/>
          <w:kern w:val="0"/>
          <w:sz w:val="24"/>
          <w:szCs w:val="24"/>
          <w:highlight w:val="none"/>
        </w:rPr>
        <w:t xml:space="preserve">  </w:t>
      </w:r>
      <w:r>
        <w:rPr>
          <w:rFonts w:hint="eastAsia" w:ascii="宋体" w:hAnsi="宋体" w:cs="宋体"/>
          <w:color w:val="auto"/>
          <w:kern w:val="0"/>
          <w:sz w:val="24"/>
          <w:szCs w:val="24"/>
          <w:highlight w:val="none"/>
          <w:lang w:val="zh-CN"/>
        </w:rPr>
        <w:t>月</w:t>
      </w:r>
      <w:r>
        <w:rPr>
          <w:rFonts w:hint="eastAsia" w:ascii="宋体" w:hAnsi="宋体" w:cs="宋体"/>
          <w:color w:val="auto"/>
          <w:kern w:val="0"/>
          <w:sz w:val="24"/>
          <w:szCs w:val="24"/>
          <w:highlight w:val="none"/>
        </w:rPr>
        <w:t xml:space="preserve">  </w:t>
      </w:r>
      <w:r>
        <w:rPr>
          <w:rFonts w:hint="eastAsia" w:ascii="宋体" w:hAnsi="宋体" w:cs="宋体"/>
          <w:color w:val="auto"/>
          <w:kern w:val="0"/>
          <w:sz w:val="24"/>
          <w:szCs w:val="24"/>
          <w:highlight w:val="none"/>
          <w:lang w:val="zh-CN"/>
        </w:rPr>
        <w:t>日递交了[项目名称]的响应文件。并附有人民币</w:t>
      </w:r>
      <w:r>
        <w:rPr>
          <w:rFonts w:hint="eastAsia" w:ascii="宋体" w:hAnsi="宋体" w:cs="宋体"/>
          <w:color w:val="auto"/>
          <w:kern w:val="0"/>
          <w:sz w:val="24"/>
          <w:szCs w:val="24"/>
          <w:highlight w:val="none"/>
        </w:rPr>
        <w:t xml:space="preserve"> </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lang w:val="zh-CN"/>
        </w:rPr>
        <w:t>元做为磋商保证金。</w:t>
      </w:r>
    </w:p>
    <w:p>
      <w:pPr>
        <w:autoSpaceDE w:val="0"/>
        <w:autoSpaceDN w:val="0"/>
        <w:adjustRightInd w:val="0"/>
        <w:spacing w:line="360" w:lineRule="auto"/>
        <w:ind w:firstLine="601"/>
        <w:jc w:val="left"/>
        <w:rPr>
          <w:rFonts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我方同意磋商文件</w:t>
      </w:r>
      <w:r>
        <w:rPr>
          <w:rFonts w:hint="eastAsia" w:ascii="宋体" w:hAnsi="宋体" w:cs="宋体"/>
          <w:color w:val="auto"/>
          <w:sz w:val="24"/>
          <w:szCs w:val="24"/>
          <w:highlight w:val="none"/>
        </w:rPr>
        <w:t>第二章“供应商须知”</w:t>
      </w:r>
      <w:r>
        <w:rPr>
          <w:rFonts w:hint="eastAsia" w:ascii="宋体" w:hAnsi="宋体" w:cs="宋体"/>
          <w:color w:val="auto"/>
          <w:sz w:val="24"/>
          <w:szCs w:val="24"/>
          <w:highlight w:val="none"/>
          <w:lang w:val="en-US" w:eastAsia="zh-CN"/>
        </w:rPr>
        <w:t>有关</w:t>
      </w:r>
      <w:r>
        <w:rPr>
          <w:rFonts w:hint="eastAsia" w:ascii="宋体" w:hAnsi="宋体" w:cs="宋体"/>
          <w:color w:val="auto"/>
          <w:kern w:val="0"/>
          <w:sz w:val="24"/>
          <w:szCs w:val="24"/>
          <w:highlight w:val="none"/>
          <w:lang w:val="zh-CN"/>
        </w:rPr>
        <w:t>磋商保证金的规定，并对我方有约束力。</w:t>
      </w:r>
    </w:p>
    <w:p>
      <w:pPr>
        <w:autoSpaceDE w:val="0"/>
        <w:autoSpaceDN w:val="0"/>
        <w:adjustRightInd w:val="0"/>
        <w:spacing w:line="360" w:lineRule="auto"/>
        <w:ind w:firstLine="601"/>
        <w:jc w:val="left"/>
        <w:rPr>
          <w:rFonts w:ascii="宋体" w:hAnsi="宋体" w:cs="宋体"/>
          <w:color w:val="auto"/>
          <w:kern w:val="0"/>
          <w:sz w:val="24"/>
          <w:szCs w:val="24"/>
          <w:highlight w:val="none"/>
          <w:lang w:val="zh-CN"/>
        </w:rPr>
      </w:pPr>
    </w:p>
    <w:tbl>
      <w:tblPr>
        <w:tblStyle w:val="46"/>
        <w:tblW w:w="7513" w:type="dxa"/>
        <w:tblInd w:w="67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5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30" w:hRule="atLeast"/>
        </w:trPr>
        <w:tc>
          <w:tcPr>
            <w:tcW w:w="7513" w:type="dxa"/>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b/>
                <w:color w:val="auto"/>
                <w:kern w:val="0"/>
                <w:sz w:val="24"/>
                <w:szCs w:val="24"/>
                <w:highlight w:val="none"/>
                <w:lang w:val="zh-CN"/>
              </w:rPr>
            </w:pPr>
            <w:r>
              <w:rPr>
                <w:rFonts w:hint="eastAsia" w:ascii="宋体" w:hAnsi="宋体" w:cs="宋体"/>
                <w:b/>
                <w:color w:val="auto"/>
                <w:kern w:val="0"/>
                <w:sz w:val="24"/>
                <w:szCs w:val="24"/>
                <w:highlight w:val="none"/>
                <w:lang w:val="zh-CN"/>
              </w:rPr>
              <w:t>附：汇款凭证</w:t>
            </w:r>
          </w:p>
          <w:p>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color w:val="auto"/>
                <w:kern w:val="0"/>
                <w:sz w:val="24"/>
                <w:szCs w:val="24"/>
                <w:highlight w:val="none"/>
                <w:lang w:val="zh-CN"/>
              </w:rPr>
            </w:pPr>
          </w:p>
        </w:tc>
      </w:tr>
    </w:tbl>
    <w:p>
      <w:pPr>
        <w:autoSpaceDE w:val="0"/>
        <w:autoSpaceDN w:val="0"/>
        <w:adjustRightInd w:val="0"/>
        <w:spacing w:line="360" w:lineRule="auto"/>
        <w:ind w:firstLine="570"/>
        <w:jc w:val="left"/>
        <w:rPr>
          <w:rFonts w:ascii="宋体" w:hAnsi="宋体" w:cs="宋体"/>
          <w:color w:val="auto"/>
          <w:kern w:val="0"/>
          <w:sz w:val="24"/>
          <w:szCs w:val="24"/>
          <w:highlight w:val="none"/>
          <w:lang w:val="zh-CN"/>
        </w:rPr>
      </w:pPr>
    </w:p>
    <w:p>
      <w:pPr>
        <w:autoSpaceDE w:val="0"/>
        <w:autoSpaceDN w:val="0"/>
        <w:adjustRightInd w:val="0"/>
        <w:spacing w:line="360" w:lineRule="auto"/>
        <w:ind w:firstLine="570"/>
        <w:jc w:val="left"/>
        <w:rPr>
          <w:rFonts w:ascii="宋体" w:hAnsi="宋体" w:cs="宋体"/>
          <w:color w:val="auto"/>
          <w:sz w:val="24"/>
          <w:szCs w:val="24"/>
          <w:highlight w:val="none"/>
        </w:rPr>
      </w:pPr>
    </w:p>
    <w:p>
      <w:pPr>
        <w:autoSpaceDE w:val="0"/>
        <w:autoSpaceDN w:val="0"/>
        <w:adjustRightInd w:val="0"/>
        <w:spacing w:line="360" w:lineRule="auto"/>
        <w:ind w:firstLine="570"/>
        <w:jc w:val="left"/>
        <w:rPr>
          <w:rFonts w:ascii="宋体" w:hAnsi="宋体" w:cs="宋体"/>
          <w:b/>
          <w:color w:val="auto"/>
          <w:kern w:val="0"/>
          <w:sz w:val="24"/>
          <w:szCs w:val="24"/>
          <w:highlight w:val="none"/>
          <w:lang w:val="zh-CN"/>
        </w:rPr>
      </w:pPr>
      <w:r>
        <w:rPr>
          <w:rFonts w:hint="eastAsia" w:ascii="宋体" w:hAnsi="宋体" w:cs="宋体"/>
          <w:color w:val="auto"/>
          <w:kern w:val="0"/>
          <w:sz w:val="24"/>
          <w:szCs w:val="24"/>
          <w:highlight w:val="none"/>
          <w:lang w:val="zh-CN"/>
        </w:rPr>
        <w:t>供应商：</w:t>
      </w:r>
      <w:r>
        <w:rPr>
          <w:rFonts w:hint="eastAsia" w:ascii="宋体" w:hAnsi="宋体" w:cs="宋体"/>
          <w:b/>
          <w:color w:val="auto"/>
          <w:kern w:val="0"/>
          <w:sz w:val="24"/>
          <w:szCs w:val="24"/>
          <w:highlight w:val="none"/>
          <w:lang w:val="zh-CN"/>
        </w:rPr>
        <w:t>（公章）</w:t>
      </w:r>
    </w:p>
    <w:p>
      <w:pPr>
        <w:autoSpaceDE w:val="0"/>
        <w:autoSpaceDN w:val="0"/>
        <w:adjustRightInd w:val="0"/>
        <w:spacing w:line="360" w:lineRule="auto"/>
        <w:jc w:val="left"/>
        <w:rPr>
          <w:rFonts w:ascii="宋体" w:hAnsi="宋体" w:cs="宋体"/>
          <w:b/>
          <w:color w:val="auto"/>
          <w:kern w:val="0"/>
          <w:sz w:val="24"/>
          <w:szCs w:val="24"/>
          <w:highlight w:val="none"/>
          <w:lang w:val="zh-CN"/>
        </w:rPr>
      </w:pPr>
    </w:p>
    <w:p>
      <w:pPr>
        <w:autoSpaceDE w:val="0"/>
        <w:autoSpaceDN w:val="0"/>
        <w:adjustRightInd w:val="0"/>
        <w:spacing w:line="360" w:lineRule="auto"/>
        <w:jc w:val="left"/>
        <w:rPr>
          <w:rFonts w:ascii="宋体" w:hAnsi="宋体" w:cs="宋体"/>
          <w:b/>
          <w:color w:val="auto"/>
          <w:kern w:val="0"/>
          <w:sz w:val="24"/>
          <w:szCs w:val="24"/>
          <w:highlight w:val="none"/>
          <w:lang w:val="zh-CN"/>
        </w:rPr>
      </w:pPr>
    </w:p>
    <w:p>
      <w:pPr>
        <w:spacing w:line="360" w:lineRule="auto"/>
        <w:ind w:firstLine="600" w:firstLineChars="250"/>
        <w:rPr>
          <w:rFonts w:ascii="宋体" w:hAnsi="宋体" w:cs="宋体"/>
          <w:b/>
          <w:color w:val="auto"/>
          <w:kern w:val="0"/>
          <w:sz w:val="24"/>
          <w:szCs w:val="24"/>
          <w:highlight w:val="none"/>
          <w:lang w:val="zh-CN"/>
        </w:rPr>
      </w:pPr>
      <w:r>
        <w:rPr>
          <w:rFonts w:hint="eastAsia" w:ascii="宋体" w:hAnsi="宋体" w:cs="宋体"/>
          <w:color w:val="auto"/>
          <w:kern w:val="0"/>
          <w:sz w:val="24"/>
          <w:szCs w:val="24"/>
          <w:highlight w:val="none"/>
          <w:lang w:val="zh-CN"/>
        </w:rPr>
        <w:t>法定代表人或被授权代表：</w:t>
      </w:r>
      <w:r>
        <w:rPr>
          <w:rFonts w:hint="eastAsia" w:ascii="宋体" w:hAnsi="宋体" w:cs="宋体"/>
          <w:b/>
          <w:color w:val="auto"/>
          <w:kern w:val="0"/>
          <w:sz w:val="24"/>
          <w:szCs w:val="24"/>
          <w:highlight w:val="none"/>
          <w:lang w:val="zh-CN"/>
        </w:rPr>
        <w:t xml:space="preserve"> （签字或盖章）</w:t>
      </w:r>
    </w:p>
    <w:p>
      <w:pPr>
        <w:spacing w:line="360" w:lineRule="auto"/>
        <w:ind w:firstLine="480"/>
        <w:rPr>
          <w:rFonts w:ascii="宋体" w:hAnsi="宋体" w:cs="宋体"/>
          <w:color w:val="auto"/>
          <w:kern w:val="0"/>
          <w:szCs w:val="21"/>
          <w:highlight w:val="none"/>
          <w:lang w:val="zh-CN"/>
        </w:rPr>
      </w:pPr>
    </w:p>
    <w:p>
      <w:pPr>
        <w:spacing w:line="360" w:lineRule="auto"/>
        <w:ind w:firstLine="480"/>
        <w:rPr>
          <w:rFonts w:ascii="宋体" w:hAnsi="宋体" w:cs="宋体"/>
          <w:color w:val="auto"/>
          <w:kern w:val="0"/>
          <w:szCs w:val="21"/>
          <w:highlight w:val="none"/>
          <w:lang w:val="zh-CN"/>
        </w:rPr>
      </w:pPr>
    </w:p>
    <w:p>
      <w:pPr>
        <w:spacing w:line="360" w:lineRule="auto"/>
        <w:rPr>
          <w:rFonts w:ascii="宋体" w:hAnsi="宋体" w:cs="宋体"/>
          <w:color w:val="auto"/>
          <w:kern w:val="0"/>
          <w:szCs w:val="21"/>
          <w:highlight w:val="none"/>
          <w:lang w:val="zh-CN"/>
        </w:rPr>
      </w:pPr>
    </w:p>
    <w:p>
      <w:pPr>
        <w:spacing w:line="360" w:lineRule="auto"/>
        <w:ind w:firstLine="480"/>
        <w:jc w:val="right"/>
        <w:rPr>
          <w:rFonts w:ascii="宋体" w:hAnsi="宋体" w:cs="宋体"/>
          <w:color w:val="auto"/>
          <w:kern w:val="0"/>
          <w:szCs w:val="21"/>
          <w:highlight w:val="none"/>
          <w:lang w:val="zh-CN"/>
        </w:rPr>
      </w:pPr>
    </w:p>
    <w:p>
      <w:pPr>
        <w:spacing w:line="600" w:lineRule="exact"/>
        <w:ind w:firstLine="2880" w:firstLineChars="1200"/>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lang w:val="zh-CN"/>
        </w:rPr>
        <w:t>日 期：   年   月   日</w:t>
      </w:r>
    </w:p>
    <w:p>
      <w:pPr>
        <w:autoSpaceDE w:val="0"/>
        <w:autoSpaceDN w:val="0"/>
        <w:adjustRightInd w:val="0"/>
        <w:spacing w:line="500" w:lineRule="exact"/>
        <w:jc w:val="center"/>
        <w:rPr>
          <w:rFonts w:ascii="宋体" w:hAnsi="宋体" w:cs="宋体"/>
          <w:color w:val="auto"/>
          <w:szCs w:val="21"/>
          <w:highlight w:val="none"/>
        </w:rPr>
      </w:pPr>
    </w:p>
    <w:p>
      <w:pPr>
        <w:autoSpaceDE w:val="0"/>
        <w:autoSpaceDN w:val="0"/>
        <w:adjustRightInd w:val="0"/>
        <w:spacing w:line="500" w:lineRule="exact"/>
        <w:jc w:val="center"/>
        <w:rPr>
          <w:rFonts w:ascii="宋体" w:hAnsi="宋体" w:cs="宋体"/>
          <w:color w:val="auto"/>
          <w:szCs w:val="21"/>
          <w:highlight w:val="none"/>
          <w:lang w:val="zh-CN"/>
        </w:rPr>
      </w:pPr>
    </w:p>
    <w:p>
      <w:pPr>
        <w:autoSpaceDE w:val="0"/>
        <w:autoSpaceDN w:val="0"/>
        <w:adjustRightInd w:val="0"/>
        <w:spacing w:line="500" w:lineRule="exact"/>
        <w:jc w:val="both"/>
        <w:rPr>
          <w:rFonts w:ascii="宋体" w:hAnsi="宋体" w:cs="宋体"/>
          <w:b/>
          <w:color w:val="auto"/>
          <w:sz w:val="36"/>
          <w:szCs w:val="36"/>
          <w:highlight w:val="none"/>
          <w:lang w:val="zh-CN"/>
        </w:rPr>
      </w:pPr>
      <w:r>
        <w:rPr>
          <w:rFonts w:hint="eastAsia" w:ascii="宋体" w:hAnsi="宋体" w:cs="宋体"/>
          <w:color w:val="auto"/>
          <w:sz w:val="24"/>
          <w:highlight w:val="none"/>
          <w:lang w:val="zh-CN"/>
        </w:rPr>
        <w:br w:type="page"/>
      </w:r>
      <w:r>
        <w:rPr>
          <w:rFonts w:hint="eastAsia" w:ascii="宋体" w:hAnsi="宋体" w:cs="宋体"/>
          <w:b/>
          <w:color w:val="auto"/>
          <w:sz w:val="36"/>
          <w:szCs w:val="36"/>
          <w:highlight w:val="none"/>
          <w:lang w:val="zh-CN"/>
        </w:rPr>
        <w:t>五、</w:t>
      </w:r>
      <w:r>
        <w:rPr>
          <w:rFonts w:hint="eastAsia" w:ascii="宋体" w:hAnsi="宋体" w:cs="宋体"/>
          <w:b/>
          <w:color w:val="auto"/>
          <w:sz w:val="36"/>
          <w:szCs w:val="36"/>
          <w:highlight w:val="none"/>
          <w:lang w:val="en-US" w:eastAsia="zh-CN"/>
        </w:rPr>
        <w:t>磋商报价</w:t>
      </w:r>
      <w:r>
        <w:rPr>
          <w:rFonts w:hint="eastAsia" w:ascii="宋体" w:hAnsi="宋体" w:cs="宋体"/>
          <w:b/>
          <w:color w:val="auto"/>
          <w:sz w:val="36"/>
          <w:szCs w:val="36"/>
          <w:highlight w:val="none"/>
          <w:lang w:val="zh-CN"/>
        </w:rPr>
        <w:t>明细及说明</w:t>
      </w:r>
    </w:p>
    <w:p>
      <w:pPr>
        <w:spacing w:line="360" w:lineRule="auto"/>
        <w:ind w:left="177" w:hanging="177" w:hangingChars="49"/>
        <w:rPr>
          <w:rFonts w:ascii="宋体" w:hAnsi="宋体" w:cs="宋体"/>
          <w:b/>
          <w:bCs/>
          <w:color w:val="auto"/>
          <w:sz w:val="36"/>
          <w:highlight w:val="none"/>
        </w:rPr>
      </w:pPr>
    </w:p>
    <w:p>
      <w:pPr>
        <w:spacing w:line="360" w:lineRule="auto"/>
        <w:rPr>
          <w:rFonts w:ascii="宋体" w:hAnsi="宋体" w:cs="宋体"/>
          <w:color w:val="auto"/>
          <w:szCs w:val="21"/>
          <w:highlight w:val="none"/>
        </w:rPr>
      </w:pPr>
    </w:p>
    <w:p>
      <w:pPr>
        <w:autoSpaceDE w:val="0"/>
        <w:autoSpaceDN w:val="0"/>
        <w:adjustRightInd w:val="0"/>
        <w:spacing w:line="500" w:lineRule="exact"/>
        <w:jc w:val="center"/>
        <w:rPr>
          <w:rFonts w:ascii="宋体" w:hAnsi="宋体" w:cs="宋体"/>
          <w:color w:val="auto"/>
          <w:szCs w:val="21"/>
          <w:highlight w:val="none"/>
          <w:lang w:val="zh-CN"/>
        </w:rPr>
      </w:pPr>
    </w:p>
    <w:p>
      <w:pPr>
        <w:autoSpaceDE w:val="0"/>
        <w:autoSpaceDN w:val="0"/>
        <w:adjustRightInd w:val="0"/>
        <w:spacing w:line="500" w:lineRule="exact"/>
        <w:jc w:val="center"/>
        <w:rPr>
          <w:rFonts w:ascii="宋体" w:hAnsi="宋体" w:cs="宋体"/>
          <w:color w:val="auto"/>
          <w:szCs w:val="21"/>
          <w:highlight w:val="none"/>
          <w:lang w:val="zh-CN"/>
        </w:rPr>
      </w:pPr>
    </w:p>
    <w:p>
      <w:pPr>
        <w:autoSpaceDE w:val="0"/>
        <w:autoSpaceDN w:val="0"/>
        <w:adjustRightInd w:val="0"/>
        <w:spacing w:line="500" w:lineRule="exact"/>
        <w:jc w:val="center"/>
        <w:rPr>
          <w:rFonts w:ascii="宋体" w:hAnsi="宋体" w:cs="宋体"/>
          <w:color w:val="auto"/>
          <w:sz w:val="24"/>
          <w:szCs w:val="24"/>
          <w:highlight w:val="none"/>
          <w:lang w:val="zh-CN"/>
        </w:rPr>
      </w:pPr>
    </w:p>
    <w:p>
      <w:pPr>
        <w:autoSpaceDE w:val="0"/>
        <w:autoSpaceDN w:val="0"/>
        <w:adjustRightInd w:val="0"/>
        <w:spacing w:line="500" w:lineRule="exact"/>
        <w:jc w:val="center"/>
        <w:rPr>
          <w:rFonts w:ascii="宋体" w:hAnsi="宋体" w:cs="宋体"/>
          <w:color w:val="auto"/>
          <w:sz w:val="24"/>
          <w:szCs w:val="24"/>
          <w:highlight w:val="none"/>
          <w:u w:val="single"/>
          <w:lang w:val="zh-CN"/>
        </w:rPr>
      </w:pPr>
      <w:r>
        <w:rPr>
          <w:rFonts w:hint="eastAsia" w:ascii="宋体" w:hAnsi="宋体" w:cs="宋体"/>
          <w:color w:val="auto"/>
          <w:sz w:val="24"/>
          <w:szCs w:val="24"/>
          <w:highlight w:val="none"/>
          <w:lang w:val="zh-CN"/>
        </w:rPr>
        <w:t xml:space="preserve">                               供应商：</w:t>
      </w:r>
      <w:r>
        <w:rPr>
          <w:rFonts w:hint="eastAsia" w:ascii="宋体" w:hAnsi="宋体" w:cs="宋体"/>
          <w:color w:val="auto"/>
          <w:sz w:val="24"/>
          <w:szCs w:val="24"/>
          <w:highlight w:val="none"/>
          <w:u w:val="single"/>
          <w:lang w:val="zh-CN"/>
        </w:rPr>
        <w:t xml:space="preserve">                  （盖公章）</w:t>
      </w:r>
    </w:p>
    <w:p>
      <w:pPr>
        <w:autoSpaceDE w:val="0"/>
        <w:autoSpaceDN w:val="0"/>
        <w:adjustRightInd w:val="0"/>
        <w:spacing w:line="500" w:lineRule="exact"/>
        <w:jc w:val="center"/>
        <w:rPr>
          <w:rFonts w:ascii="宋体" w:hAnsi="宋体" w:cs="宋体"/>
          <w:color w:val="auto"/>
          <w:sz w:val="32"/>
          <w:szCs w:val="22"/>
          <w:highlight w:val="none"/>
          <w:lang w:val="zh-CN"/>
        </w:rPr>
      </w:pPr>
    </w:p>
    <w:p>
      <w:pPr>
        <w:autoSpaceDE w:val="0"/>
        <w:autoSpaceDN w:val="0"/>
        <w:adjustRightInd w:val="0"/>
        <w:spacing w:line="500" w:lineRule="exact"/>
        <w:jc w:val="center"/>
        <w:rPr>
          <w:rFonts w:ascii="宋体" w:hAnsi="宋体" w:cs="宋体"/>
          <w:color w:val="auto"/>
          <w:sz w:val="32"/>
          <w:szCs w:val="22"/>
          <w:highlight w:val="none"/>
          <w:lang w:val="zh-CN"/>
        </w:rPr>
      </w:pPr>
    </w:p>
    <w:p>
      <w:pPr>
        <w:autoSpaceDE w:val="0"/>
        <w:autoSpaceDN w:val="0"/>
        <w:adjustRightInd w:val="0"/>
        <w:spacing w:line="500" w:lineRule="exact"/>
        <w:ind w:right="420"/>
        <w:jc w:val="right"/>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年  月  日</w:t>
      </w:r>
    </w:p>
    <w:p>
      <w:pPr>
        <w:autoSpaceDE w:val="0"/>
        <w:autoSpaceDN w:val="0"/>
        <w:adjustRightInd w:val="0"/>
        <w:spacing w:line="500" w:lineRule="exact"/>
        <w:jc w:val="center"/>
        <w:rPr>
          <w:rFonts w:ascii="宋体" w:hAnsi="宋体" w:cs="宋体"/>
          <w:color w:val="auto"/>
          <w:szCs w:val="21"/>
          <w:highlight w:val="none"/>
          <w:lang w:val="zh-CN"/>
        </w:rPr>
      </w:pPr>
    </w:p>
    <w:p>
      <w:pPr>
        <w:autoSpaceDE w:val="0"/>
        <w:autoSpaceDN w:val="0"/>
        <w:adjustRightInd w:val="0"/>
        <w:spacing w:line="500" w:lineRule="exact"/>
        <w:jc w:val="center"/>
        <w:rPr>
          <w:rFonts w:ascii="宋体" w:hAnsi="宋体" w:cs="宋体"/>
          <w:color w:val="auto"/>
          <w:szCs w:val="21"/>
          <w:highlight w:val="none"/>
          <w:lang w:val="zh-CN"/>
        </w:rPr>
      </w:pPr>
    </w:p>
    <w:p>
      <w:pPr>
        <w:autoSpaceDE w:val="0"/>
        <w:autoSpaceDN w:val="0"/>
        <w:adjustRightInd w:val="0"/>
        <w:spacing w:line="500" w:lineRule="exact"/>
        <w:rPr>
          <w:rFonts w:ascii="宋体" w:hAnsi="宋体" w:cs="宋体"/>
          <w:color w:val="auto"/>
          <w:szCs w:val="21"/>
          <w:highlight w:val="none"/>
          <w:lang w:val="zh-CN"/>
        </w:rPr>
      </w:pPr>
    </w:p>
    <w:p>
      <w:pPr>
        <w:spacing w:line="360" w:lineRule="auto"/>
        <w:jc w:val="center"/>
        <w:rPr>
          <w:rFonts w:ascii="宋体" w:hAnsi="宋体" w:cs="宋体"/>
          <w:color w:val="auto"/>
          <w:sz w:val="36"/>
          <w:szCs w:val="36"/>
          <w:highlight w:val="none"/>
        </w:rPr>
      </w:pPr>
      <w:r>
        <w:rPr>
          <w:rFonts w:hint="eastAsia" w:ascii="宋体" w:hAnsi="宋体" w:cs="宋体"/>
          <w:color w:val="auto"/>
          <w:highlight w:val="none"/>
          <w:lang w:val="zh-CN"/>
        </w:rPr>
        <w:br w:type="page"/>
      </w:r>
      <w:bookmarkStart w:id="88" w:name="_Toc372556120"/>
      <w:bookmarkStart w:id="89" w:name="_Toc373772564"/>
      <w:r>
        <w:rPr>
          <w:rFonts w:hint="eastAsia" w:ascii="宋体" w:hAnsi="宋体" w:cs="宋体"/>
          <w:color w:val="auto"/>
          <w:sz w:val="36"/>
          <w:szCs w:val="36"/>
          <w:highlight w:val="none"/>
        </w:rPr>
        <w:t>六、资格审查资料</w:t>
      </w:r>
      <w:bookmarkEnd w:id="88"/>
      <w:bookmarkEnd w:id="89"/>
    </w:p>
    <w:p>
      <w:pPr>
        <w:spacing w:line="360" w:lineRule="auto"/>
        <w:ind w:left="1120" w:hanging="1120" w:hangingChars="400"/>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(一)供应商基本情况表</w:t>
      </w: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2"/>
        <w:gridCol w:w="973"/>
        <w:gridCol w:w="1108"/>
        <w:gridCol w:w="1385"/>
        <w:gridCol w:w="212"/>
        <w:gridCol w:w="1352"/>
        <w:gridCol w:w="2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12" w:type="dxa"/>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供应商名称</w:t>
            </w:r>
          </w:p>
        </w:tc>
        <w:tc>
          <w:tcPr>
            <w:tcW w:w="7618" w:type="dxa"/>
            <w:gridSpan w:val="6"/>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12" w:type="dxa"/>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注册地址</w:t>
            </w:r>
          </w:p>
        </w:tc>
        <w:tc>
          <w:tcPr>
            <w:tcW w:w="3678" w:type="dxa"/>
            <w:gridSpan w:val="4"/>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c>
          <w:tcPr>
            <w:tcW w:w="1352" w:type="dxa"/>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邮政编码</w:t>
            </w:r>
          </w:p>
        </w:tc>
        <w:tc>
          <w:tcPr>
            <w:tcW w:w="2588" w:type="dxa"/>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612" w:type="dxa"/>
            <w:vMerge w:val="restart"/>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联系方式</w:t>
            </w:r>
          </w:p>
        </w:tc>
        <w:tc>
          <w:tcPr>
            <w:tcW w:w="973" w:type="dxa"/>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联系人</w:t>
            </w:r>
          </w:p>
        </w:tc>
        <w:tc>
          <w:tcPr>
            <w:tcW w:w="2705" w:type="dxa"/>
            <w:gridSpan w:val="3"/>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c>
          <w:tcPr>
            <w:tcW w:w="1352" w:type="dxa"/>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电  话</w:t>
            </w:r>
          </w:p>
        </w:tc>
        <w:tc>
          <w:tcPr>
            <w:tcW w:w="2588" w:type="dxa"/>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612" w:type="dxa"/>
            <w:vMerge w:val="continue"/>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c>
          <w:tcPr>
            <w:tcW w:w="973" w:type="dxa"/>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传  真</w:t>
            </w:r>
          </w:p>
        </w:tc>
        <w:tc>
          <w:tcPr>
            <w:tcW w:w="2705" w:type="dxa"/>
            <w:gridSpan w:val="3"/>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c>
          <w:tcPr>
            <w:tcW w:w="1352" w:type="dxa"/>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网  址</w:t>
            </w:r>
          </w:p>
        </w:tc>
        <w:tc>
          <w:tcPr>
            <w:tcW w:w="2588" w:type="dxa"/>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12" w:type="dxa"/>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组织结构</w:t>
            </w:r>
          </w:p>
        </w:tc>
        <w:tc>
          <w:tcPr>
            <w:tcW w:w="7618" w:type="dxa"/>
            <w:gridSpan w:val="6"/>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12" w:type="dxa"/>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法定代表人</w:t>
            </w:r>
          </w:p>
        </w:tc>
        <w:tc>
          <w:tcPr>
            <w:tcW w:w="973" w:type="dxa"/>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姓名</w:t>
            </w:r>
          </w:p>
        </w:tc>
        <w:tc>
          <w:tcPr>
            <w:tcW w:w="1108" w:type="dxa"/>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c>
          <w:tcPr>
            <w:tcW w:w="1385" w:type="dxa"/>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电话</w:t>
            </w:r>
          </w:p>
        </w:tc>
        <w:tc>
          <w:tcPr>
            <w:tcW w:w="4152" w:type="dxa"/>
            <w:gridSpan w:val="3"/>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12" w:type="dxa"/>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企业负责人</w:t>
            </w:r>
          </w:p>
        </w:tc>
        <w:tc>
          <w:tcPr>
            <w:tcW w:w="973" w:type="dxa"/>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姓名</w:t>
            </w:r>
          </w:p>
        </w:tc>
        <w:tc>
          <w:tcPr>
            <w:tcW w:w="1108" w:type="dxa"/>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c>
          <w:tcPr>
            <w:tcW w:w="1385" w:type="dxa"/>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电话</w:t>
            </w:r>
          </w:p>
        </w:tc>
        <w:tc>
          <w:tcPr>
            <w:tcW w:w="4152" w:type="dxa"/>
            <w:gridSpan w:val="3"/>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12" w:type="dxa"/>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成立时间</w:t>
            </w:r>
          </w:p>
        </w:tc>
        <w:tc>
          <w:tcPr>
            <w:tcW w:w="2081" w:type="dxa"/>
            <w:gridSpan w:val="2"/>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c>
          <w:tcPr>
            <w:tcW w:w="5537" w:type="dxa"/>
            <w:gridSpan w:val="4"/>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从业人员总人数：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30" w:type="dxa"/>
            <w:gridSpan w:val="7"/>
            <w:vAlign w:val="center"/>
          </w:tcPr>
          <w:p>
            <w:pPr>
              <w:keepNext w:val="0"/>
              <w:keepLines w:val="0"/>
              <w:suppressLineNumbers w:val="0"/>
              <w:spacing w:before="0" w:beforeAutospacing="0" w:after="0" w:afterAutospacing="0"/>
              <w:ind w:left="0" w:right="0"/>
              <w:jc w:val="left"/>
              <w:rPr>
                <w:rFonts w:hint="default" w:ascii="宋体" w:hAnsi="宋体" w:cs="宋体"/>
                <w:color w:val="auto"/>
                <w:sz w:val="24"/>
                <w:szCs w:val="24"/>
                <w:highlight w:val="none"/>
              </w:rPr>
            </w:pPr>
            <w:r>
              <w:rPr>
                <w:rFonts w:hint="eastAsia" w:ascii="宋体" w:hAnsi="宋体" w:cs="宋体"/>
                <w:color w:val="auto"/>
                <w:sz w:val="24"/>
                <w:szCs w:val="24"/>
                <w:highlight w:val="none"/>
              </w:rPr>
              <w:t>营业执照号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30" w:type="dxa"/>
            <w:gridSpan w:val="7"/>
            <w:vAlign w:val="center"/>
          </w:tcPr>
          <w:p>
            <w:pPr>
              <w:keepNext w:val="0"/>
              <w:keepLines w:val="0"/>
              <w:suppressLineNumbers w:val="0"/>
              <w:spacing w:before="0" w:beforeAutospacing="0" w:after="0" w:afterAutospacing="0"/>
              <w:ind w:left="0" w:right="0"/>
              <w:jc w:val="left"/>
              <w:rPr>
                <w:rFonts w:hint="default" w:ascii="宋体" w:hAnsi="宋体" w:cs="宋体"/>
                <w:color w:val="auto"/>
                <w:sz w:val="24"/>
                <w:szCs w:val="24"/>
                <w:highlight w:val="none"/>
              </w:rPr>
            </w:pPr>
            <w:r>
              <w:rPr>
                <w:rFonts w:hint="eastAsia" w:ascii="宋体" w:hAnsi="宋体" w:cs="宋体"/>
                <w:color w:val="auto"/>
                <w:sz w:val="24"/>
                <w:szCs w:val="24"/>
                <w:highlight w:val="none"/>
              </w:rPr>
              <w:t>注册资金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30" w:type="dxa"/>
            <w:gridSpan w:val="7"/>
            <w:vAlign w:val="center"/>
          </w:tcPr>
          <w:p>
            <w:pPr>
              <w:keepNext w:val="0"/>
              <w:keepLines w:val="0"/>
              <w:suppressLineNumbers w:val="0"/>
              <w:spacing w:before="0" w:beforeAutospacing="0" w:after="0" w:afterAutospacing="0"/>
              <w:ind w:left="0" w:right="0"/>
              <w:jc w:val="left"/>
              <w:rPr>
                <w:rFonts w:hint="default" w:ascii="宋体" w:hAnsi="宋体" w:cs="宋体"/>
                <w:color w:val="auto"/>
                <w:sz w:val="24"/>
                <w:szCs w:val="24"/>
                <w:highlight w:val="none"/>
              </w:rPr>
            </w:pPr>
            <w:r>
              <w:rPr>
                <w:rFonts w:hint="eastAsia" w:ascii="宋体" w:hAnsi="宋体" w:cs="宋体"/>
                <w:color w:val="auto"/>
                <w:sz w:val="24"/>
                <w:szCs w:val="24"/>
                <w:highlight w:val="none"/>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30" w:type="dxa"/>
            <w:gridSpan w:val="7"/>
            <w:vAlign w:val="center"/>
          </w:tcPr>
          <w:p>
            <w:pPr>
              <w:keepNext w:val="0"/>
              <w:keepLines w:val="0"/>
              <w:suppressLineNumbers w:val="0"/>
              <w:spacing w:before="0" w:beforeAutospacing="0" w:after="0" w:afterAutospacing="0"/>
              <w:ind w:left="0" w:right="0"/>
              <w:jc w:val="left"/>
              <w:rPr>
                <w:rFonts w:hint="default" w:ascii="宋体" w:hAnsi="宋体" w:cs="宋体"/>
                <w:color w:val="auto"/>
                <w:sz w:val="24"/>
                <w:szCs w:val="24"/>
                <w:highlight w:val="none"/>
              </w:rPr>
            </w:pPr>
            <w:r>
              <w:rPr>
                <w:rFonts w:hint="eastAsia" w:ascii="宋体" w:hAnsi="宋体" w:cs="宋体"/>
                <w:color w:val="auto"/>
                <w:sz w:val="24"/>
                <w:szCs w:val="24"/>
                <w:highlight w:val="none"/>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1612" w:type="dxa"/>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经营范围</w:t>
            </w:r>
          </w:p>
        </w:tc>
        <w:tc>
          <w:tcPr>
            <w:tcW w:w="7618" w:type="dxa"/>
            <w:gridSpan w:val="6"/>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12" w:type="dxa"/>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备注</w:t>
            </w:r>
          </w:p>
        </w:tc>
        <w:tc>
          <w:tcPr>
            <w:tcW w:w="7618" w:type="dxa"/>
            <w:gridSpan w:val="6"/>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r>
    </w:tbl>
    <w:p>
      <w:pPr>
        <w:spacing w:before="120" w:beforeLines="50" w:after="120" w:afterLines="50"/>
        <w:rPr>
          <w:rFonts w:ascii="宋体" w:hAnsi="宋体" w:cs="宋体"/>
          <w:color w:val="auto"/>
          <w:kern w:val="0"/>
          <w:sz w:val="24"/>
          <w:szCs w:val="24"/>
          <w:highlight w:val="none"/>
        </w:rPr>
      </w:pPr>
      <w:r>
        <w:rPr>
          <w:rFonts w:hint="eastAsia" w:ascii="宋体" w:hAnsi="宋体" w:cs="宋体"/>
          <w:color w:val="auto"/>
          <w:kern w:val="0"/>
          <w:sz w:val="24"/>
          <w:szCs w:val="24"/>
          <w:highlight w:val="none"/>
        </w:rPr>
        <w:t>注：在本表后应附供应商营业执照（副本）、开户许可证或银行开户证明等相关证件的复印件。</w:t>
      </w:r>
    </w:p>
    <w:p>
      <w:pPr>
        <w:spacing w:before="120" w:beforeLines="50" w:after="120" w:afterLines="50"/>
        <w:rPr>
          <w:rFonts w:ascii="宋体" w:hAnsi="宋体" w:cs="宋体"/>
          <w:color w:val="auto"/>
          <w:kern w:val="0"/>
          <w:sz w:val="24"/>
          <w:szCs w:val="24"/>
          <w:highlight w:val="none"/>
        </w:rPr>
      </w:pPr>
    </w:p>
    <w:p>
      <w:pPr>
        <w:spacing w:before="120" w:beforeLines="50" w:after="120" w:afterLines="50"/>
        <w:rPr>
          <w:rFonts w:ascii="宋体" w:hAnsi="宋体" w:cs="宋体"/>
          <w:color w:val="auto"/>
          <w:kern w:val="0"/>
          <w:szCs w:val="21"/>
          <w:highlight w:val="none"/>
        </w:rPr>
      </w:pPr>
    </w:p>
    <w:p>
      <w:pPr>
        <w:spacing w:before="120" w:beforeLines="50" w:after="120" w:afterLines="50"/>
        <w:rPr>
          <w:rFonts w:ascii="宋体" w:hAnsi="宋体" w:cs="宋体"/>
          <w:color w:val="auto"/>
          <w:kern w:val="0"/>
          <w:szCs w:val="21"/>
          <w:highlight w:val="none"/>
        </w:rPr>
      </w:pPr>
    </w:p>
    <w:p>
      <w:pPr>
        <w:spacing w:before="120" w:beforeLines="50" w:after="120" w:afterLines="50"/>
        <w:rPr>
          <w:rFonts w:ascii="宋体" w:hAnsi="宋体" w:cs="宋体"/>
          <w:color w:val="auto"/>
          <w:kern w:val="0"/>
          <w:szCs w:val="21"/>
          <w:highlight w:val="none"/>
        </w:rPr>
      </w:pPr>
    </w:p>
    <w:p>
      <w:pPr>
        <w:spacing w:before="120" w:beforeLines="50" w:after="120" w:afterLines="50"/>
        <w:rPr>
          <w:rFonts w:ascii="宋体" w:hAnsi="宋体" w:cs="宋体"/>
          <w:color w:val="auto"/>
          <w:kern w:val="0"/>
          <w:szCs w:val="21"/>
          <w:highlight w:val="none"/>
        </w:rPr>
      </w:pPr>
      <w:r>
        <w:rPr>
          <w:rFonts w:hint="eastAsia" w:ascii="宋体" w:hAnsi="宋体" w:cs="宋体"/>
          <w:color w:val="auto"/>
          <w:kern w:val="0"/>
          <w:szCs w:val="21"/>
          <w:highlight w:val="none"/>
        </w:rPr>
        <w:br w:type="page"/>
      </w:r>
    </w:p>
    <w:p>
      <w:pPr>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(二)供应商已完成类似项目情况</w:t>
      </w:r>
    </w:p>
    <w:tbl>
      <w:tblPr>
        <w:tblStyle w:val="46"/>
        <w:tblW w:w="905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20"/>
        <w:gridCol w:w="2405"/>
        <w:gridCol w:w="2275"/>
        <w:gridCol w:w="1260"/>
        <w:gridCol w:w="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trPr>
        <w:tc>
          <w:tcPr>
            <w:tcW w:w="720" w:type="dxa"/>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24"/>
                <w:szCs w:val="24"/>
                <w:highlight w:val="none"/>
              </w:rPr>
            </w:pPr>
            <w:r>
              <w:rPr>
                <w:rFonts w:hint="eastAsia" w:ascii="宋体" w:hAnsi="宋体" w:cs="宋体"/>
                <w:color w:val="auto"/>
                <w:kern w:val="0"/>
                <w:sz w:val="24"/>
                <w:szCs w:val="24"/>
                <w:highlight w:val="none"/>
              </w:rPr>
              <w:t>序号</w:t>
            </w:r>
          </w:p>
        </w:tc>
        <w:tc>
          <w:tcPr>
            <w:tcW w:w="1620" w:type="dxa"/>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24"/>
                <w:szCs w:val="24"/>
                <w:highlight w:val="none"/>
              </w:rPr>
            </w:pPr>
            <w:r>
              <w:rPr>
                <w:rFonts w:hint="eastAsia" w:ascii="宋体" w:hAnsi="宋体" w:cs="宋体"/>
                <w:color w:val="auto"/>
                <w:kern w:val="0"/>
                <w:sz w:val="24"/>
                <w:szCs w:val="24"/>
                <w:highlight w:val="none"/>
              </w:rPr>
              <w:t>起止时间</w:t>
            </w:r>
          </w:p>
        </w:tc>
        <w:tc>
          <w:tcPr>
            <w:tcW w:w="2405" w:type="dxa"/>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24"/>
                <w:szCs w:val="24"/>
                <w:highlight w:val="none"/>
              </w:rPr>
            </w:pPr>
            <w:r>
              <w:rPr>
                <w:rFonts w:hint="eastAsia" w:ascii="宋体" w:hAnsi="宋体" w:cs="宋体"/>
                <w:color w:val="auto"/>
                <w:kern w:val="0"/>
                <w:sz w:val="24"/>
                <w:szCs w:val="24"/>
                <w:highlight w:val="none"/>
              </w:rPr>
              <w:t>项目概况</w:t>
            </w:r>
          </w:p>
        </w:tc>
        <w:tc>
          <w:tcPr>
            <w:tcW w:w="2275" w:type="dxa"/>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24"/>
                <w:szCs w:val="24"/>
                <w:highlight w:val="none"/>
              </w:rPr>
            </w:pPr>
            <w:r>
              <w:rPr>
                <w:rFonts w:hint="eastAsia" w:ascii="宋体" w:hAnsi="宋体" w:cs="宋体"/>
                <w:color w:val="auto"/>
                <w:kern w:val="0"/>
                <w:sz w:val="24"/>
                <w:szCs w:val="24"/>
                <w:highlight w:val="none"/>
              </w:rPr>
              <w:t>业主单位</w:t>
            </w:r>
          </w:p>
        </w:tc>
        <w:tc>
          <w:tcPr>
            <w:tcW w:w="1260" w:type="dxa"/>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24"/>
                <w:szCs w:val="24"/>
                <w:highlight w:val="none"/>
              </w:rPr>
            </w:pPr>
            <w:r>
              <w:rPr>
                <w:rFonts w:hint="eastAsia" w:ascii="宋体" w:hAnsi="宋体" w:cs="宋体"/>
                <w:color w:val="auto"/>
                <w:kern w:val="0"/>
                <w:sz w:val="24"/>
                <w:szCs w:val="24"/>
                <w:highlight w:val="none"/>
              </w:rPr>
              <w:t>完成情况</w:t>
            </w:r>
          </w:p>
        </w:tc>
        <w:tc>
          <w:tcPr>
            <w:tcW w:w="777" w:type="dxa"/>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r>
              <w:rPr>
                <w:rFonts w:hint="eastAsia" w:ascii="宋体" w:hAnsi="宋体" w:cs="宋体"/>
                <w:color w:val="auto"/>
                <w:kern w:val="0"/>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0" w:type="dxa"/>
          </w:tcPr>
          <w:p>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c>
          <w:tcPr>
            <w:tcW w:w="1620" w:type="dxa"/>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c>
          <w:tcPr>
            <w:tcW w:w="2405" w:type="dxa"/>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c>
          <w:tcPr>
            <w:tcW w:w="2275" w:type="dxa"/>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c>
          <w:tcPr>
            <w:tcW w:w="1260" w:type="dxa"/>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c>
          <w:tcPr>
            <w:tcW w:w="777" w:type="dxa"/>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0" w:type="dxa"/>
          </w:tcPr>
          <w:p>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c>
          <w:tcPr>
            <w:tcW w:w="1620" w:type="dxa"/>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c>
          <w:tcPr>
            <w:tcW w:w="2405" w:type="dxa"/>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c>
          <w:tcPr>
            <w:tcW w:w="2275" w:type="dxa"/>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c>
          <w:tcPr>
            <w:tcW w:w="1260" w:type="dxa"/>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c>
          <w:tcPr>
            <w:tcW w:w="777" w:type="dxa"/>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0" w:type="dxa"/>
          </w:tcPr>
          <w:p>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c>
          <w:tcPr>
            <w:tcW w:w="1620" w:type="dxa"/>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c>
          <w:tcPr>
            <w:tcW w:w="2405" w:type="dxa"/>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c>
          <w:tcPr>
            <w:tcW w:w="2275" w:type="dxa"/>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c>
          <w:tcPr>
            <w:tcW w:w="1260" w:type="dxa"/>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c>
          <w:tcPr>
            <w:tcW w:w="777" w:type="dxa"/>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0" w:type="dxa"/>
          </w:tcPr>
          <w:p>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c>
          <w:tcPr>
            <w:tcW w:w="1620" w:type="dxa"/>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c>
          <w:tcPr>
            <w:tcW w:w="2405" w:type="dxa"/>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c>
          <w:tcPr>
            <w:tcW w:w="2275" w:type="dxa"/>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c>
          <w:tcPr>
            <w:tcW w:w="1260" w:type="dxa"/>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c>
          <w:tcPr>
            <w:tcW w:w="777" w:type="dxa"/>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0" w:type="dxa"/>
          </w:tcPr>
          <w:p>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c>
          <w:tcPr>
            <w:tcW w:w="1620" w:type="dxa"/>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c>
          <w:tcPr>
            <w:tcW w:w="2405" w:type="dxa"/>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c>
          <w:tcPr>
            <w:tcW w:w="2275" w:type="dxa"/>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c>
          <w:tcPr>
            <w:tcW w:w="1260" w:type="dxa"/>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c>
          <w:tcPr>
            <w:tcW w:w="777" w:type="dxa"/>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0" w:type="dxa"/>
          </w:tcPr>
          <w:p>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c>
          <w:tcPr>
            <w:tcW w:w="1620" w:type="dxa"/>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c>
          <w:tcPr>
            <w:tcW w:w="2405" w:type="dxa"/>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c>
          <w:tcPr>
            <w:tcW w:w="2275" w:type="dxa"/>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c>
          <w:tcPr>
            <w:tcW w:w="1260" w:type="dxa"/>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c>
          <w:tcPr>
            <w:tcW w:w="777" w:type="dxa"/>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0" w:type="dxa"/>
          </w:tcPr>
          <w:p>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c>
          <w:tcPr>
            <w:tcW w:w="1620" w:type="dxa"/>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c>
          <w:tcPr>
            <w:tcW w:w="2405" w:type="dxa"/>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c>
          <w:tcPr>
            <w:tcW w:w="2275" w:type="dxa"/>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c>
          <w:tcPr>
            <w:tcW w:w="1260" w:type="dxa"/>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c>
          <w:tcPr>
            <w:tcW w:w="777" w:type="dxa"/>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0" w:type="dxa"/>
          </w:tcPr>
          <w:p>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c>
          <w:tcPr>
            <w:tcW w:w="1620" w:type="dxa"/>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c>
          <w:tcPr>
            <w:tcW w:w="2405" w:type="dxa"/>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c>
          <w:tcPr>
            <w:tcW w:w="2275" w:type="dxa"/>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c>
          <w:tcPr>
            <w:tcW w:w="1260" w:type="dxa"/>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c>
          <w:tcPr>
            <w:tcW w:w="777" w:type="dxa"/>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r>
    </w:tbl>
    <w:p>
      <w:pPr>
        <w:spacing w:before="120" w:beforeLines="50" w:after="120" w:afterLines="5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注：1、供应商应将</w:t>
      </w:r>
      <w:r>
        <w:rPr>
          <w:rFonts w:hint="eastAsia" w:ascii="宋体" w:hAnsi="宋体" w:cs="宋体"/>
          <w:color w:val="auto"/>
          <w:kern w:val="0"/>
          <w:sz w:val="24"/>
          <w:szCs w:val="24"/>
          <w:highlight w:val="none"/>
          <w:lang w:eastAsia="zh-CN"/>
        </w:rPr>
        <w:t>202</w:t>
      </w:r>
      <w:r>
        <w:rPr>
          <w:rFonts w:hint="eastAsia" w:ascii="宋体" w:hAnsi="宋体" w:cs="宋体"/>
          <w:color w:val="auto"/>
          <w:kern w:val="0"/>
          <w:sz w:val="24"/>
          <w:szCs w:val="24"/>
          <w:highlight w:val="none"/>
          <w:lang w:val="en-US" w:eastAsia="zh-CN"/>
        </w:rPr>
        <w:t>1</w:t>
      </w:r>
      <w:r>
        <w:rPr>
          <w:rFonts w:hint="eastAsia" w:ascii="宋体" w:hAnsi="宋体" w:cs="宋体"/>
          <w:color w:val="auto"/>
          <w:kern w:val="0"/>
          <w:sz w:val="24"/>
          <w:szCs w:val="24"/>
          <w:highlight w:val="none"/>
          <w:lang w:eastAsia="zh-CN"/>
        </w:rPr>
        <w:t>年</w:t>
      </w:r>
      <w:r>
        <w:rPr>
          <w:rFonts w:hint="eastAsia" w:ascii="宋体" w:hAnsi="宋体" w:cs="宋体"/>
          <w:color w:val="auto"/>
          <w:kern w:val="0"/>
          <w:sz w:val="24"/>
          <w:szCs w:val="24"/>
          <w:highlight w:val="none"/>
        </w:rPr>
        <w:t>至今内已完成的类似项目情况填入本表中。</w:t>
      </w:r>
    </w:p>
    <w:p>
      <w:pPr>
        <w:spacing w:before="120" w:beforeLines="50" w:after="120" w:afterLines="50"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2</w:t>
      </w:r>
      <w:r>
        <w:rPr>
          <w:rFonts w:hint="eastAsia" w:ascii="宋体" w:hAnsi="宋体" w:cs="宋体"/>
          <w:color w:val="auto"/>
          <w:kern w:val="0"/>
          <w:sz w:val="24"/>
          <w:szCs w:val="24"/>
          <w:highlight w:val="none"/>
        </w:rPr>
        <w:t>、供应商应随本表出具所填项目的成交通知书或合同协议书的复印件，否则，采购人将不考虑供应商所填项目的业绩。合同文本应含有：甲、乙方单位名称，工作内容、工作时间，甲、乙方单位签约人签字及单位公章等内容。</w:t>
      </w:r>
    </w:p>
    <w:p>
      <w:pPr>
        <w:spacing w:line="360" w:lineRule="auto"/>
        <w:ind w:right="-418" w:rightChars="-199"/>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br w:type="page"/>
      </w:r>
      <w:r>
        <w:rPr>
          <w:rFonts w:hint="eastAsia" w:ascii="宋体" w:hAnsi="宋体" w:cs="宋体"/>
          <w:color w:val="auto"/>
          <w:kern w:val="0"/>
          <w:sz w:val="28"/>
          <w:szCs w:val="28"/>
          <w:highlight w:val="none"/>
        </w:rPr>
        <w:t>（三)拟投入人员基本情况表</w:t>
      </w:r>
    </w:p>
    <w:tbl>
      <w:tblPr>
        <w:tblStyle w:val="46"/>
        <w:tblW w:w="90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3"/>
        <w:gridCol w:w="1335"/>
        <w:gridCol w:w="1704"/>
        <w:gridCol w:w="1260"/>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 w:hRule="atLeast"/>
          <w:jc w:val="center"/>
        </w:trPr>
        <w:tc>
          <w:tcPr>
            <w:tcW w:w="2393" w:type="dxa"/>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在本项目中所担任的职务</w:t>
            </w:r>
          </w:p>
        </w:tc>
        <w:tc>
          <w:tcPr>
            <w:tcW w:w="1335" w:type="dxa"/>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姓名</w:t>
            </w:r>
          </w:p>
        </w:tc>
        <w:tc>
          <w:tcPr>
            <w:tcW w:w="1704" w:type="dxa"/>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性别</w:t>
            </w:r>
          </w:p>
        </w:tc>
        <w:tc>
          <w:tcPr>
            <w:tcW w:w="1260" w:type="dxa"/>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年龄</w:t>
            </w:r>
          </w:p>
        </w:tc>
        <w:tc>
          <w:tcPr>
            <w:tcW w:w="2340" w:type="dxa"/>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现任职务及职称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2393" w:type="dxa"/>
            <w:vAlign w:val="center"/>
          </w:tcPr>
          <w:p>
            <w:pPr>
              <w:keepNext w:val="0"/>
              <w:keepLines w:val="0"/>
              <w:suppressLineNumbers w:val="0"/>
              <w:spacing w:before="0" w:beforeAutospacing="0" w:after="0" w:afterAutospacing="0"/>
              <w:ind w:left="0" w:right="0"/>
              <w:rPr>
                <w:rFonts w:hint="default" w:ascii="宋体" w:hAnsi="宋体" w:cs="宋体"/>
                <w:color w:val="auto"/>
                <w:kern w:val="0"/>
                <w:sz w:val="24"/>
                <w:szCs w:val="24"/>
                <w:highlight w:val="none"/>
              </w:rPr>
            </w:pPr>
          </w:p>
        </w:tc>
        <w:tc>
          <w:tcPr>
            <w:tcW w:w="1335" w:type="dxa"/>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c>
          <w:tcPr>
            <w:tcW w:w="1704" w:type="dxa"/>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c>
          <w:tcPr>
            <w:tcW w:w="1260" w:type="dxa"/>
          </w:tcPr>
          <w:p>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c>
          <w:tcPr>
            <w:tcW w:w="2340" w:type="dxa"/>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2393" w:type="dxa"/>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24"/>
                <w:szCs w:val="24"/>
                <w:highlight w:val="none"/>
              </w:rPr>
            </w:pPr>
          </w:p>
        </w:tc>
        <w:tc>
          <w:tcPr>
            <w:tcW w:w="1335" w:type="dxa"/>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c>
          <w:tcPr>
            <w:tcW w:w="1704" w:type="dxa"/>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c>
          <w:tcPr>
            <w:tcW w:w="1260" w:type="dxa"/>
          </w:tcPr>
          <w:p>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c>
          <w:tcPr>
            <w:tcW w:w="2340" w:type="dxa"/>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2393" w:type="dxa"/>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24"/>
                <w:szCs w:val="24"/>
                <w:highlight w:val="none"/>
              </w:rPr>
            </w:pPr>
          </w:p>
        </w:tc>
        <w:tc>
          <w:tcPr>
            <w:tcW w:w="1335" w:type="dxa"/>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c>
          <w:tcPr>
            <w:tcW w:w="1704" w:type="dxa"/>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c>
          <w:tcPr>
            <w:tcW w:w="1260" w:type="dxa"/>
          </w:tcPr>
          <w:p>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c>
          <w:tcPr>
            <w:tcW w:w="2340" w:type="dxa"/>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2393" w:type="dxa"/>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24"/>
                <w:szCs w:val="24"/>
                <w:highlight w:val="none"/>
              </w:rPr>
            </w:pPr>
          </w:p>
        </w:tc>
        <w:tc>
          <w:tcPr>
            <w:tcW w:w="1335" w:type="dxa"/>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c>
          <w:tcPr>
            <w:tcW w:w="1704" w:type="dxa"/>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c>
          <w:tcPr>
            <w:tcW w:w="1260" w:type="dxa"/>
          </w:tcPr>
          <w:p>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c>
          <w:tcPr>
            <w:tcW w:w="2340" w:type="dxa"/>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2393" w:type="dxa"/>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24"/>
                <w:szCs w:val="24"/>
                <w:highlight w:val="none"/>
              </w:rPr>
            </w:pPr>
          </w:p>
        </w:tc>
        <w:tc>
          <w:tcPr>
            <w:tcW w:w="1335" w:type="dxa"/>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c>
          <w:tcPr>
            <w:tcW w:w="1704" w:type="dxa"/>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c>
          <w:tcPr>
            <w:tcW w:w="1260" w:type="dxa"/>
          </w:tcPr>
          <w:p>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c>
          <w:tcPr>
            <w:tcW w:w="2340" w:type="dxa"/>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2393" w:type="dxa"/>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24"/>
                <w:szCs w:val="24"/>
                <w:highlight w:val="none"/>
              </w:rPr>
            </w:pPr>
            <w:r>
              <w:rPr>
                <w:rFonts w:hint="eastAsia" w:ascii="宋体" w:hAnsi="宋体" w:cs="宋体"/>
                <w:color w:val="auto"/>
                <w:kern w:val="0"/>
                <w:sz w:val="24"/>
                <w:szCs w:val="24"/>
                <w:highlight w:val="none"/>
              </w:rPr>
              <w:t>……</w:t>
            </w:r>
          </w:p>
        </w:tc>
        <w:tc>
          <w:tcPr>
            <w:tcW w:w="1335" w:type="dxa"/>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c>
          <w:tcPr>
            <w:tcW w:w="1704" w:type="dxa"/>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c>
          <w:tcPr>
            <w:tcW w:w="1260" w:type="dxa"/>
          </w:tcPr>
          <w:p>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c>
          <w:tcPr>
            <w:tcW w:w="2340" w:type="dxa"/>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r>
    </w:tbl>
    <w:p>
      <w:pPr>
        <w:spacing w:before="120" w:beforeLines="50" w:after="120" w:afterLines="50"/>
        <w:rPr>
          <w:rFonts w:ascii="宋体" w:hAnsi="宋体" w:cs="宋体"/>
          <w:color w:val="auto"/>
          <w:kern w:val="0"/>
          <w:sz w:val="24"/>
          <w:szCs w:val="24"/>
          <w:highlight w:val="none"/>
        </w:rPr>
      </w:pPr>
      <w:r>
        <w:rPr>
          <w:rFonts w:hint="eastAsia" w:ascii="宋体" w:hAnsi="宋体" w:cs="宋体"/>
          <w:color w:val="auto"/>
          <w:kern w:val="0"/>
          <w:sz w:val="24"/>
          <w:szCs w:val="24"/>
          <w:highlight w:val="none"/>
        </w:rPr>
        <w:t>注：1、供应商应根据磋商文件要求和磋商项目的实际需要，列出拟配备的人员清单。</w:t>
      </w:r>
    </w:p>
    <w:p>
      <w:pPr>
        <w:spacing w:before="120" w:beforeLines="50" w:after="120" w:afterLines="50"/>
        <w:ind w:firstLine="420"/>
        <w:rPr>
          <w:rFonts w:ascii="宋体" w:hAnsi="宋体" w:cs="宋体"/>
          <w:color w:val="auto"/>
          <w:kern w:val="0"/>
          <w:sz w:val="24"/>
          <w:szCs w:val="24"/>
          <w:highlight w:val="none"/>
        </w:rPr>
      </w:pPr>
      <w:r>
        <w:rPr>
          <w:rFonts w:hint="eastAsia" w:ascii="宋体" w:hAnsi="宋体" w:cs="宋体"/>
          <w:color w:val="auto"/>
          <w:kern w:val="0"/>
          <w:sz w:val="24"/>
          <w:szCs w:val="24"/>
          <w:highlight w:val="none"/>
        </w:rPr>
        <w:t>2、供应商应按表</w:t>
      </w:r>
      <w:r>
        <w:rPr>
          <w:rFonts w:hint="eastAsia" w:ascii="宋体" w:hAnsi="宋体" w:cs="宋体"/>
          <w:color w:val="auto"/>
          <w:kern w:val="0"/>
          <w:sz w:val="24"/>
          <w:szCs w:val="24"/>
          <w:highlight w:val="none"/>
          <w:lang w:val="en-US" w:eastAsia="zh-CN"/>
        </w:rPr>
        <w:t>四</w:t>
      </w:r>
      <w:r>
        <w:rPr>
          <w:rFonts w:hint="eastAsia" w:ascii="宋体" w:hAnsi="宋体" w:cs="宋体"/>
          <w:color w:val="auto"/>
          <w:kern w:val="0"/>
          <w:sz w:val="24"/>
          <w:szCs w:val="24"/>
          <w:highlight w:val="none"/>
        </w:rPr>
        <w:t>格式分别填写本表所列人员的资历。</w:t>
      </w:r>
    </w:p>
    <w:p>
      <w:pPr>
        <w:spacing w:before="120" w:beforeLines="50" w:after="120" w:afterLines="50"/>
        <w:rPr>
          <w:rFonts w:ascii="宋体" w:hAnsi="宋体" w:cs="宋体"/>
          <w:color w:val="auto"/>
          <w:kern w:val="0"/>
          <w:szCs w:val="21"/>
          <w:highlight w:val="none"/>
        </w:rPr>
      </w:pPr>
    </w:p>
    <w:p>
      <w:pPr>
        <w:spacing w:before="120" w:beforeLines="50" w:after="120" w:afterLines="50"/>
        <w:rPr>
          <w:rFonts w:ascii="宋体" w:hAnsi="宋体" w:cs="宋体"/>
          <w:color w:val="auto"/>
          <w:kern w:val="0"/>
          <w:szCs w:val="21"/>
          <w:highlight w:val="none"/>
        </w:rPr>
      </w:pPr>
    </w:p>
    <w:p>
      <w:pPr>
        <w:spacing w:before="120" w:beforeLines="50" w:after="120" w:afterLines="50"/>
        <w:rPr>
          <w:rFonts w:ascii="宋体" w:hAnsi="宋体" w:cs="宋体"/>
          <w:color w:val="auto"/>
          <w:kern w:val="0"/>
          <w:szCs w:val="21"/>
          <w:highlight w:val="none"/>
        </w:rPr>
      </w:pPr>
    </w:p>
    <w:p>
      <w:pPr>
        <w:spacing w:line="360" w:lineRule="auto"/>
        <w:ind w:right="-418" w:rightChars="-199"/>
        <w:jc w:val="center"/>
        <w:rPr>
          <w:rFonts w:ascii="宋体" w:hAnsi="宋体" w:cs="宋体"/>
          <w:color w:val="auto"/>
          <w:kern w:val="0"/>
          <w:sz w:val="28"/>
          <w:szCs w:val="28"/>
          <w:highlight w:val="none"/>
        </w:rPr>
      </w:pPr>
      <w:r>
        <w:rPr>
          <w:rFonts w:hint="eastAsia" w:ascii="宋体" w:hAnsi="宋体" w:cs="宋体"/>
          <w:color w:val="auto"/>
          <w:kern w:val="0"/>
          <w:szCs w:val="21"/>
          <w:highlight w:val="none"/>
        </w:rPr>
        <w:br w:type="page"/>
      </w:r>
      <w:r>
        <w:rPr>
          <w:rFonts w:hint="eastAsia" w:ascii="宋体" w:hAnsi="宋体" w:cs="宋体"/>
          <w:color w:val="auto"/>
          <w:kern w:val="0"/>
          <w:sz w:val="28"/>
          <w:szCs w:val="28"/>
          <w:highlight w:val="none"/>
        </w:rPr>
        <w:t>(四)主要人员资历表</w:t>
      </w:r>
    </w:p>
    <w:tbl>
      <w:tblPr>
        <w:tblStyle w:val="46"/>
        <w:tblW w:w="9057" w:type="dxa"/>
        <w:tblInd w:w="1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1692"/>
        <w:gridCol w:w="1549"/>
        <w:gridCol w:w="1818"/>
        <w:gridCol w:w="14"/>
        <w:gridCol w:w="952"/>
        <w:gridCol w:w="12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9057" w:type="dxa"/>
            <w:gridSpan w:val="7"/>
            <w:vAlign w:val="center"/>
          </w:tcPr>
          <w:p>
            <w:pPr>
              <w:keepNext w:val="0"/>
              <w:keepLines w:val="0"/>
              <w:suppressLineNumbers w:val="0"/>
              <w:spacing w:before="0" w:beforeAutospacing="0" w:after="0" w:afterAutospacing="0"/>
              <w:ind w:left="0" w:right="0"/>
              <w:rPr>
                <w:rFonts w:hint="default" w:ascii="宋体" w:hAnsi="宋体" w:cs="宋体"/>
                <w:b/>
                <w:color w:val="auto"/>
                <w:sz w:val="24"/>
                <w:szCs w:val="24"/>
                <w:highlight w:val="none"/>
              </w:rPr>
            </w:pPr>
            <w:r>
              <w:rPr>
                <w:rFonts w:hint="eastAsia" w:ascii="宋体" w:hAnsi="宋体" w:cs="宋体"/>
                <w:b/>
                <w:color w:val="auto"/>
                <w:kern w:val="0"/>
                <w:sz w:val="24"/>
                <w:szCs w:val="24"/>
                <w:highlight w:val="none"/>
              </w:rPr>
              <w:t>1．一般情况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786" w:type="dxa"/>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姓名</w:t>
            </w:r>
          </w:p>
        </w:tc>
        <w:tc>
          <w:tcPr>
            <w:tcW w:w="1692" w:type="dxa"/>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c>
          <w:tcPr>
            <w:tcW w:w="1549" w:type="dxa"/>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性别</w:t>
            </w:r>
          </w:p>
        </w:tc>
        <w:tc>
          <w:tcPr>
            <w:tcW w:w="1832" w:type="dxa"/>
            <w:gridSpan w:val="2"/>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c>
          <w:tcPr>
            <w:tcW w:w="952" w:type="dxa"/>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年龄</w:t>
            </w:r>
          </w:p>
        </w:tc>
        <w:tc>
          <w:tcPr>
            <w:tcW w:w="1246" w:type="dxa"/>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786" w:type="dxa"/>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在本合同中</w:t>
            </w:r>
          </w:p>
          <w:p>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拟任职</w:t>
            </w:r>
          </w:p>
        </w:tc>
        <w:tc>
          <w:tcPr>
            <w:tcW w:w="1692" w:type="dxa"/>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c>
          <w:tcPr>
            <w:tcW w:w="1549" w:type="dxa"/>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身份证号码</w:t>
            </w:r>
          </w:p>
        </w:tc>
        <w:tc>
          <w:tcPr>
            <w:tcW w:w="4030" w:type="dxa"/>
            <w:gridSpan w:val="4"/>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9057" w:type="dxa"/>
            <w:gridSpan w:val="7"/>
            <w:vAlign w:val="center"/>
          </w:tcPr>
          <w:p>
            <w:pPr>
              <w:keepNext w:val="0"/>
              <w:keepLines w:val="0"/>
              <w:suppressLineNumbers w:val="0"/>
              <w:spacing w:before="0" w:beforeAutospacing="0" w:after="0" w:afterAutospacing="0"/>
              <w:ind w:left="0" w:right="0"/>
              <w:rPr>
                <w:rFonts w:hint="default" w:ascii="宋体" w:hAnsi="宋体" w:cs="宋体"/>
                <w:b/>
                <w:color w:val="auto"/>
                <w:sz w:val="24"/>
                <w:szCs w:val="24"/>
                <w:highlight w:val="none"/>
              </w:rPr>
            </w:pPr>
            <w:r>
              <w:rPr>
                <w:rFonts w:hint="eastAsia" w:ascii="宋体" w:hAnsi="宋体" w:cs="宋体"/>
                <w:b/>
                <w:color w:val="auto"/>
                <w:kern w:val="0"/>
                <w:sz w:val="24"/>
                <w:szCs w:val="24"/>
                <w:highlight w:val="none"/>
              </w:rPr>
              <w:t>2．工作经历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1786" w:type="dxa"/>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时间</w:t>
            </w:r>
          </w:p>
        </w:tc>
        <w:tc>
          <w:tcPr>
            <w:tcW w:w="5059" w:type="dxa"/>
            <w:gridSpan w:val="3"/>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r>
              <w:rPr>
                <w:rFonts w:hint="eastAsia" w:ascii="宋体" w:hAnsi="宋体" w:cs="宋体"/>
                <w:color w:val="auto"/>
                <w:kern w:val="0"/>
                <w:sz w:val="24"/>
                <w:szCs w:val="24"/>
                <w:highlight w:val="none"/>
              </w:rPr>
              <w:t>参与过的项目</w:t>
            </w:r>
          </w:p>
        </w:tc>
        <w:tc>
          <w:tcPr>
            <w:tcW w:w="966" w:type="dxa"/>
            <w:gridSpan w:val="2"/>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24"/>
                <w:szCs w:val="24"/>
                <w:highlight w:val="none"/>
              </w:rPr>
            </w:pPr>
            <w:r>
              <w:rPr>
                <w:rFonts w:hint="eastAsia" w:ascii="宋体" w:hAnsi="宋体" w:cs="宋体"/>
                <w:color w:val="auto"/>
                <w:kern w:val="0"/>
                <w:sz w:val="24"/>
                <w:szCs w:val="24"/>
                <w:highlight w:val="none"/>
              </w:rPr>
              <w:t>该项目中任职</w:t>
            </w:r>
          </w:p>
        </w:tc>
        <w:tc>
          <w:tcPr>
            <w:tcW w:w="1246" w:type="dxa"/>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24"/>
                <w:szCs w:val="24"/>
                <w:highlight w:val="none"/>
              </w:rPr>
            </w:pPr>
            <w:r>
              <w:rPr>
                <w:rFonts w:hint="eastAsia" w:ascii="宋体" w:hAnsi="宋体" w:cs="宋体"/>
                <w:color w:val="auto"/>
                <w:kern w:val="0"/>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786" w:type="dxa"/>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c>
          <w:tcPr>
            <w:tcW w:w="5059" w:type="dxa"/>
            <w:gridSpan w:val="3"/>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24"/>
                <w:szCs w:val="24"/>
                <w:highlight w:val="none"/>
              </w:rPr>
            </w:pPr>
          </w:p>
        </w:tc>
        <w:tc>
          <w:tcPr>
            <w:tcW w:w="966" w:type="dxa"/>
            <w:gridSpan w:val="2"/>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24"/>
                <w:szCs w:val="24"/>
                <w:highlight w:val="none"/>
              </w:rPr>
            </w:pPr>
          </w:p>
        </w:tc>
        <w:tc>
          <w:tcPr>
            <w:tcW w:w="1246" w:type="dxa"/>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786" w:type="dxa"/>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c>
          <w:tcPr>
            <w:tcW w:w="5059" w:type="dxa"/>
            <w:gridSpan w:val="3"/>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24"/>
                <w:szCs w:val="24"/>
                <w:highlight w:val="none"/>
              </w:rPr>
            </w:pPr>
          </w:p>
        </w:tc>
        <w:tc>
          <w:tcPr>
            <w:tcW w:w="966" w:type="dxa"/>
            <w:gridSpan w:val="2"/>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24"/>
                <w:szCs w:val="24"/>
                <w:highlight w:val="none"/>
              </w:rPr>
            </w:pPr>
          </w:p>
        </w:tc>
        <w:tc>
          <w:tcPr>
            <w:tcW w:w="1246" w:type="dxa"/>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9057" w:type="dxa"/>
            <w:gridSpan w:val="7"/>
            <w:vAlign w:val="center"/>
          </w:tcPr>
          <w:p>
            <w:pPr>
              <w:keepNext w:val="0"/>
              <w:keepLines w:val="0"/>
              <w:suppressLineNumbers w:val="0"/>
              <w:spacing w:before="0" w:beforeAutospacing="0" w:after="0" w:afterAutospacing="0"/>
              <w:ind w:left="0" w:right="0"/>
              <w:rPr>
                <w:rFonts w:hint="default" w:ascii="宋体" w:hAnsi="宋体" w:cs="宋体"/>
                <w:b/>
                <w:color w:val="auto"/>
                <w:sz w:val="24"/>
                <w:szCs w:val="24"/>
                <w:highlight w:val="none"/>
              </w:rPr>
            </w:pPr>
            <w:r>
              <w:rPr>
                <w:rFonts w:hint="eastAsia" w:ascii="宋体" w:hAnsi="宋体" w:cs="宋体"/>
                <w:b/>
                <w:color w:val="auto"/>
                <w:kern w:val="0"/>
                <w:sz w:val="24"/>
                <w:szCs w:val="24"/>
                <w:highlight w:val="none"/>
              </w:rPr>
              <w:t>3．获奖情况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9057" w:type="dxa"/>
            <w:gridSpan w:val="7"/>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057" w:type="dxa"/>
            <w:gridSpan w:val="7"/>
            <w:vAlign w:val="center"/>
          </w:tcPr>
          <w:p>
            <w:pPr>
              <w:keepNext w:val="0"/>
              <w:keepLines w:val="0"/>
              <w:suppressLineNumbers w:val="0"/>
              <w:spacing w:before="0" w:beforeAutospacing="0" w:after="0" w:afterAutospacing="0"/>
              <w:ind w:left="0" w:right="0"/>
              <w:rPr>
                <w:rFonts w:hint="default" w:ascii="宋体" w:hAnsi="宋体" w:cs="宋体"/>
                <w:b/>
                <w:color w:val="auto"/>
                <w:sz w:val="24"/>
                <w:szCs w:val="24"/>
                <w:highlight w:val="none"/>
              </w:rPr>
            </w:pPr>
            <w:r>
              <w:rPr>
                <w:rFonts w:hint="eastAsia" w:ascii="宋体" w:hAnsi="宋体" w:cs="宋体"/>
                <w:b/>
                <w:color w:val="auto"/>
                <w:kern w:val="0"/>
                <w:sz w:val="24"/>
                <w:szCs w:val="24"/>
                <w:highlight w:val="none"/>
              </w:rPr>
              <w:t>4．目前承担的任务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trPr>
        <w:tc>
          <w:tcPr>
            <w:tcW w:w="9057" w:type="dxa"/>
            <w:gridSpan w:val="7"/>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r>
    </w:tbl>
    <w:p>
      <w:pPr>
        <w:wordWrap w:val="0"/>
        <w:spacing w:before="120" w:beforeLines="50" w:after="120" w:afterLines="50"/>
        <w:ind w:right="420"/>
        <w:jc w:val="right"/>
        <w:rPr>
          <w:rFonts w:ascii="宋体" w:hAnsi="宋体" w:cs="宋体"/>
          <w:color w:val="auto"/>
          <w:kern w:val="0"/>
          <w:sz w:val="24"/>
          <w:szCs w:val="24"/>
          <w:highlight w:val="none"/>
          <w:u w:val="single"/>
        </w:rPr>
      </w:pPr>
    </w:p>
    <w:p>
      <w:pPr>
        <w:spacing w:before="120" w:beforeLines="50" w:after="120" w:afterLines="50"/>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身份证复印件</w:t>
      </w:r>
      <w:r>
        <w:rPr>
          <w:rFonts w:hint="eastAsia" w:ascii="宋体" w:hAnsi="宋体" w:cs="宋体"/>
          <w:color w:val="auto"/>
          <w:kern w:val="0"/>
          <w:sz w:val="24"/>
          <w:szCs w:val="24"/>
          <w:highlight w:val="none"/>
          <w:lang w:val="en-US" w:eastAsia="zh-CN"/>
        </w:rPr>
        <w:t>及其他证明材料</w:t>
      </w:r>
      <w:r>
        <w:rPr>
          <w:rFonts w:hint="eastAsia" w:ascii="宋体" w:hAnsi="宋体" w:cs="宋体"/>
          <w:color w:val="auto"/>
          <w:kern w:val="0"/>
          <w:sz w:val="24"/>
          <w:szCs w:val="24"/>
          <w:highlight w:val="none"/>
        </w:rPr>
        <w:t>等</w:t>
      </w:r>
    </w:p>
    <w:p>
      <w:pPr>
        <w:spacing w:before="120" w:beforeLines="50" w:after="120" w:afterLines="50"/>
        <w:rPr>
          <w:rFonts w:ascii="宋体" w:hAnsi="宋体" w:cs="宋体"/>
          <w:color w:val="auto"/>
          <w:kern w:val="0"/>
          <w:sz w:val="24"/>
          <w:szCs w:val="24"/>
          <w:highlight w:val="none"/>
        </w:rPr>
      </w:pPr>
      <w:r>
        <w:rPr>
          <w:rFonts w:hint="eastAsia" w:ascii="宋体" w:hAnsi="宋体" w:cs="宋体"/>
          <w:color w:val="auto"/>
          <w:kern w:val="0"/>
          <w:sz w:val="24"/>
          <w:szCs w:val="24"/>
          <w:highlight w:val="none"/>
        </w:rPr>
        <mc:AlternateContent>
          <mc:Choice Requires="wps">
            <w:drawing>
              <wp:anchor distT="0" distB="0" distL="114300" distR="114300" simplePos="0" relativeHeight="251661312" behindDoc="0" locked="0" layoutInCell="1" allowOverlap="1">
                <wp:simplePos x="0" y="0"/>
                <wp:positionH relativeFrom="column">
                  <wp:posOffset>866775</wp:posOffset>
                </wp:positionH>
                <wp:positionV relativeFrom="paragraph">
                  <wp:posOffset>66040</wp:posOffset>
                </wp:positionV>
                <wp:extent cx="4391025" cy="1582420"/>
                <wp:effectExtent l="0" t="0" r="9525" b="0"/>
                <wp:wrapNone/>
                <wp:docPr id="7" name="矩形 2"/>
                <wp:cNvGraphicFramePr/>
                <a:graphic xmlns:a="http://schemas.openxmlformats.org/drawingml/2006/main">
                  <a:graphicData uri="http://schemas.microsoft.com/office/word/2010/wordprocessingShape">
                    <wps:wsp>
                      <wps:cNvSpPr/>
                      <wps:spPr bwMode="auto">
                        <a:xfrm>
                          <a:off x="0" y="0"/>
                          <a:ext cx="4391025" cy="1582420"/>
                        </a:xfrm>
                        <a:prstGeom prst="rect">
                          <a:avLst/>
                        </a:prstGeom>
                        <a:solidFill>
                          <a:srgbClr val="FFFFFF"/>
                        </a:solidFill>
                        <a:ln w="9525">
                          <a:solidFill>
                            <a:srgbClr val="000000"/>
                          </a:solidFill>
                          <a:miter lim="800000"/>
                        </a:ln>
                      </wps:spPr>
                      <wps:txbx>
                        <w:txbxContent>
                          <w:p/>
                        </w:txbxContent>
                      </wps:txbx>
                      <wps:bodyPr rot="0" vert="horz" wrap="square" lIns="91440" tIns="45720" rIns="91440" bIns="45720" anchor="t" anchorCtr="0" upright="1">
                        <a:noAutofit/>
                      </wps:bodyPr>
                    </wps:wsp>
                  </a:graphicData>
                </a:graphic>
              </wp:anchor>
            </w:drawing>
          </mc:Choice>
          <mc:Fallback>
            <w:pict>
              <v:rect id="矩形 2" o:spid="_x0000_s1026" o:spt="1" style="position:absolute;left:0pt;margin-left:68.25pt;margin-top:5.2pt;height:124.6pt;width:345.75pt;z-index:251661312;mso-width-relative:page;mso-height-relative:page;" fillcolor="#FFFFFF" filled="t" stroked="t" coordsize="21600,21600" o:gfxdata="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M5ru9rYAAAA&#10;CgEAAA8AAAAAAAAAAQAgAAAAIgAAAGRycy9kb3ducmV2LnhtbFBLAQIUABQAAAAIAIdO4kAMwV30&#10;HQIAAEsEAAAOAAAAAAAAAAEAIAAAACcBAABkcnMvZTJvRG9jLnhtbFBLBQYAAAAABgAGAFkBAAC2&#10;BQAAAAA=&#10;">
                <v:fill on="t" focussize="0,0"/>
                <v:stroke color="#000000" miterlimit="8" joinstyle="miter"/>
                <v:imagedata o:title=""/>
                <o:lock v:ext="edit" aspectratio="f"/>
                <v:textbox>
                  <w:txbxContent>
                    <w:p/>
                  </w:txbxContent>
                </v:textbox>
              </v:rect>
            </w:pict>
          </mc:Fallback>
        </mc:AlternateContent>
      </w:r>
    </w:p>
    <w:p>
      <w:pPr>
        <w:spacing w:before="120" w:beforeLines="50" w:after="120" w:afterLines="50"/>
        <w:rPr>
          <w:rFonts w:ascii="宋体" w:hAnsi="宋体" w:cs="宋体"/>
          <w:color w:val="auto"/>
          <w:kern w:val="0"/>
          <w:sz w:val="24"/>
          <w:szCs w:val="24"/>
          <w:highlight w:val="none"/>
        </w:rPr>
      </w:pPr>
    </w:p>
    <w:p>
      <w:pPr>
        <w:spacing w:before="120" w:beforeLines="50" w:after="120" w:afterLines="50"/>
        <w:rPr>
          <w:rFonts w:ascii="宋体" w:hAnsi="宋体" w:cs="宋体"/>
          <w:color w:val="auto"/>
          <w:kern w:val="0"/>
          <w:sz w:val="24"/>
          <w:szCs w:val="24"/>
          <w:highlight w:val="none"/>
        </w:rPr>
      </w:pPr>
    </w:p>
    <w:p>
      <w:pPr>
        <w:spacing w:before="120" w:beforeLines="50" w:after="120" w:afterLines="50"/>
        <w:rPr>
          <w:rFonts w:ascii="宋体" w:hAnsi="宋体" w:cs="宋体"/>
          <w:color w:val="auto"/>
          <w:kern w:val="0"/>
          <w:sz w:val="24"/>
          <w:szCs w:val="24"/>
          <w:highlight w:val="none"/>
        </w:rPr>
      </w:pPr>
    </w:p>
    <w:p>
      <w:pPr>
        <w:ind w:left="960" w:hanging="960" w:hangingChars="400"/>
        <w:rPr>
          <w:rFonts w:ascii="宋体" w:hAnsi="宋体" w:cs="宋体"/>
          <w:color w:val="auto"/>
          <w:sz w:val="24"/>
          <w:szCs w:val="24"/>
          <w:highlight w:val="none"/>
          <w:u w:val="single"/>
        </w:rPr>
      </w:pPr>
    </w:p>
    <w:p>
      <w:pPr>
        <w:ind w:left="960" w:hanging="960" w:hangingChars="400"/>
        <w:rPr>
          <w:rFonts w:ascii="宋体" w:hAnsi="宋体" w:cs="宋体"/>
          <w:color w:val="auto"/>
          <w:sz w:val="24"/>
          <w:szCs w:val="24"/>
          <w:highlight w:val="none"/>
          <w:u w:val="single"/>
        </w:rPr>
      </w:pPr>
    </w:p>
    <w:p>
      <w:pPr>
        <w:jc w:val="center"/>
        <w:rPr>
          <w:rFonts w:ascii="宋体" w:hAnsi="宋体" w:cs="宋体"/>
          <w:b/>
          <w:color w:val="auto"/>
          <w:kern w:val="0"/>
          <w:sz w:val="24"/>
          <w:szCs w:val="24"/>
          <w:highlight w:val="none"/>
        </w:rPr>
      </w:pPr>
    </w:p>
    <w:p>
      <w:pPr>
        <w:jc w:val="center"/>
        <w:rPr>
          <w:rFonts w:ascii="宋体" w:hAnsi="宋体" w:cs="宋体"/>
          <w:b/>
          <w:color w:val="auto"/>
          <w:kern w:val="0"/>
          <w:sz w:val="24"/>
          <w:szCs w:val="24"/>
          <w:highlight w:val="none"/>
        </w:rPr>
      </w:pPr>
    </w:p>
    <w:p>
      <w:pPr>
        <w:jc w:val="center"/>
        <w:rPr>
          <w:rFonts w:ascii="宋体" w:hAnsi="宋体" w:cs="宋体"/>
          <w:b/>
          <w:color w:val="auto"/>
          <w:kern w:val="0"/>
          <w:sz w:val="24"/>
          <w:szCs w:val="24"/>
          <w:highlight w:val="none"/>
        </w:rPr>
      </w:pPr>
    </w:p>
    <w:p>
      <w:pPr>
        <w:jc w:val="left"/>
        <w:rPr>
          <w:rFonts w:ascii="宋体" w:hAnsi="宋体" w:cs="宋体"/>
          <w:color w:val="auto"/>
          <w:kern w:val="0"/>
          <w:sz w:val="28"/>
          <w:szCs w:val="28"/>
          <w:highlight w:val="none"/>
        </w:rPr>
      </w:pPr>
      <w:r>
        <w:rPr>
          <w:rFonts w:hint="eastAsia" w:ascii="宋体" w:hAnsi="宋体" w:cs="宋体"/>
          <w:color w:val="auto"/>
          <w:kern w:val="0"/>
          <w:sz w:val="28"/>
          <w:szCs w:val="28"/>
          <w:highlight w:val="none"/>
        </w:rPr>
        <w:br w:type="page"/>
      </w:r>
      <w:r>
        <w:rPr>
          <w:rFonts w:hint="eastAsia" w:ascii="宋体" w:hAnsi="宋体" w:cs="宋体"/>
          <w:color w:val="auto"/>
          <w:kern w:val="0"/>
          <w:sz w:val="28"/>
          <w:szCs w:val="28"/>
          <w:highlight w:val="none"/>
        </w:rPr>
        <w:t xml:space="preserve"> (五)其他资料表</w:t>
      </w:r>
    </w:p>
    <w:p>
      <w:pPr>
        <w:spacing w:before="120" w:beforeLines="50" w:after="120" w:afterLines="50"/>
        <w:rPr>
          <w:rFonts w:hint="eastAsia" w:ascii="宋体" w:hAnsi="宋体" w:cs="宋体"/>
          <w:bCs/>
          <w:color w:val="auto"/>
          <w:sz w:val="24"/>
          <w:highlight w:val="none"/>
        </w:rPr>
      </w:pPr>
    </w:p>
    <w:p>
      <w:pPr>
        <w:spacing w:before="120" w:beforeLines="50" w:after="120" w:afterLines="50"/>
        <w:jc w:val="center"/>
        <w:rPr>
          <w:rFonts w:hint="eastAsia" w:ascii="宋体" w:hAnsi="宋体" w:cs="宋体"/>
          <w:bCs/>
          <w:color w:val="auto"/>
          <w:sz w:val="24"/>
          <w:highlight w:val="none"/>
        </w:rPr>
      </w:pPr>
      <w:r>
        <w:rPr>
          <w:rFonts w:hint="eastAsia" w:ascii="宋体" w:hAnsi="宋体" w:cs="宋体"/>
          <w:bCs/>
          <w:color w:val="auto"/>
          <w:sz w:val="24"/>
          <w:highlight w:val="none"/>
          <w:lang w:val="en-US" w:eastAsia="zh-CN"/>
        </w:rPr>
        <w:t>技术标准及服务需求</w:t>
      </w:r>
      <w:r>
        <w:rPr>
          <w:rFonts w:hint="eastAsia" w:ascii="宋体" w:hAnsi="宋体" w:cs="宋体"/>
          <w:bCs/>
          <w:color w:val="auto"/>
          <w:sz w:val="24"/>
          <w:highlight w:val="none"/>
        </w:rPr>
        <w:t>偏离表</w:t>
      </w:r>
    </w:p>
    <w:tbl>
      <w:tblPr>
        <w:tblStyle w:val="46"/>
        <w:tblW w:w="10685" w:type="dxa"/>
        <w:jc w:val="center"/>
        <w:tblLayout w:type="fixed"/>
        <w:tblCellMar>
          <w:top w:w="0" w:type="dxa"/>
          <w:left w:w="108" w:type="dxa"/>
          <w:bottom w:w="0" w:type="dxa"/>
          <w:right w:w="108" w:type="dxa"/>
        </w:tblCellMar>
      </w:tblPr>
      <w:tblGrid>
        <w:gridCol w:w="3117"/>
        <w:gridCol w:w="3082"/>
        <w:gridCol w:w="1473"/>
        <w:gridCol w:w="3013"/>
      </w:tblGrid>
      <w:tr>
        <w:tblPrEx>
          <w:tblCellMar>
            <w:top w:w="0" w:type="dxa"/>
            <w:left w:w="108" w:type="dxa"/>
            <w:bottom w:w="0" w:type="dxa"/>
            <w:right w:w="108" w:type="dxa"/>
          </w:tblCellMar>
        </w:tblPrEx>
        <w:trPr>
          <w:trHeight w:val="840" w:hRule="atLeast"/>
          <w:jc w:val="center"/>
        </w:trPr>
        <w:tc>
          <w:tcPr>
            <w:tcW w:w="3117" w:type="dxa"/>
            <w:tcBorders>
              <w:top w:val="single" w:color="auto" w:sz="6" w:space="0"/>
              <w:left w:val="single" w:color="auto" w:sz="6" w:space="0"/>
              <w:bottom w:val="single" w:color="auto" w:sz="6" w:space="0"/>
              <w:right w:val="single" w:color="auto" w:sz="6" w:space="0"/>
            </w:tcBorders>
            <w:noWrap/>
            <w:vAlign w:val="center"/>
          </w:tcPr>
          <w:p>
            <w:pPr>
              <w:keepNext w:val="0"/>
              <w:keepLines w:val="0"/>
              <w:suppressLineNumbers w:val="0"/>
              <w:autoSpaceDE w:val="0"/>
              <w:autoSpaceDN w:val="0"/>
              <w:spacing w:before="120" w:beforeAutospacing="0" w:after="0" w:afterAutospacing="0"/>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序号</w:t>
            </w:r>
          </w:p>
        </w:tc>
        <w:tc>
          <w:tcPr>
            <w:tcW w:w="3082" w:type="dxa"/>
            <w:tcBorders>
              <w:top w:val="single" w:color="auto" w:sz="6" w:space="0"/>
              <w:left w:val="single" w:color="auto" w:sz="6" w:space="0"/>
              <w:bottom w:val="single" w:color="auto" w:sz="6" w:space="0"/>
              <w:right w:val="single" w:color="auto" w:sz="6" w:space="0"/>
            </w:tcBorders>
            <w:noWrap/>
            <w:vAlign w:val="center"/>
          </w:tcPr>
          <w:p>
            <w:pPr>
              <w:keepNext w:val="0"/>
              <w:keepLines w:val="0"/>
              <w:suppressLineNumbers w:val="0"/>
              <w:autoSpaceDE w:val="0"/>
              <w:autoSpaceDN w:val="0"/>
              <w:spacing w:before="120" w:beforeAutospacing="0" w:after="0" w:afterAutospacing="0"/>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lang w:val="zh-CN"/>
              </w:rPr>
              <w:t>招标文件要求</w:t>
            </w:r>
          </w:p>
        </w:tc>
        <w:tc>
          <w:tcPr>
            <w:tcW w:w="1473" w:type="dxa"/>
            <w:tcBorders>
              <w:top w:val="single" w:color="auto" w:sz="6" w:space="0"/>
              <w:left w:val="single" w:color="auto" w:sz="6" w:space="0"/>
              <w:bottom w:val="single" w:color="auto" w:sz="6" w:space="0"/>
              <w:right w:val="single" w:color="auto" w:sz="6" w:space="0"/>
            </w:tcBorders>
            <w:noWrap/>
            <w:vAlign w:val="center"/>
          </w:tcPr>
          <w:p>
            <w:pPr>
              <w:keepNext w:val="0"/>
              <w:keepLines w:val="0"/>
              <w:suppressLineNumbers w:val="0"/>
              <w:autoSpaceDE w:val="0"/>
              <w:autoSpaceDN w:val="0"/>
              <w:spacing w:before="120" w:beforeAutospacing="0" w:after="0" w:afterAutospacing="0"/>
              <w:ind w:left="0" w:right="0"/>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偏离情况</w:t>
            </w:r>
          </w:p>
        </w:tc>
        <w:tc>
          <w:tcPr>
            <w:tcW w:w="3013" w:type="dxa"/>
            <w:tcBorders>
              <w:top w:val="single" w:color="auto" w:sz="6" w:space="0"/>
              <w:left w:val="single" w:color="auto" w:sz="6" w:space="0"/>
              <w:bottom w:val="single" w:color="auto" w:sz="6" w:space="0"/>
              <w:right w:val="single" w:color="auto" w:sz="6" w:space="0"/>
            </w:tcBorders>
            <w:noWrap/>
            <w:vAlign w:val="center"/>
          </w:tcPr>
          <w:p>
            <w:pPr>
              <w:keepNext w:val="0"/>
              <w:keepLines w:val="0"/>
              <w:suppressLineNumbers w:val="0"/>
              <w:autoSpaceDE w:val="0"/>
              <w:autoSpaceDN w:val="0"/>
              <w:spacing w:before="120" w:beforeAutospacing="0" w:after="0" w:afterAutospacing="0"/>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lang w:val="zh-CN"/>
              </w:rPr>
              <w:t>投标人的承诺或者说明</w:t>
            </w:r>
          </w:p>
        </w:tc>
      </w:tr>
      <w:tr>
        <w:tblPrEx>
          <w:tblCellMar>
            <w:top w:w="0" w:type="dxa"/>
            <w:left w:w="108" w:type="dxa"/>
            <w:bottom w:w="0" w:type="dxa"/>
            <w:right w:w="108" w:type="dxa"/>
          </w:tblCellMar>
        </w:tblPrEx>
        <w:trPr>
          <w:trHeight w:val="840" w:hRule="atLeast"/>
          <w:jc w:val="center"/>
        </w:trPr>
        <w:tc>
          <w:tcPr>
            <w:tcW w:w="3117" w:type="dxa"/>
            <w:tcBorders>
              <w:top w:val="single" w:color="auto" w:sz="6" w:space="0"/>
              <w:left w:val="single" w:color="auto" w:sz="6" w:space="0"/>
              <w:bottom w:val="single" w:color="auto" w:sz="6" w:space="0"/>
              <w:right w:val="single" w:color="auto" w:sz="6" w:space="0"/>
            </w:tcBorders>
            <w:noWrap/>
            <w:vAlign w:val="center"/>
          </w:tcPr>
          <w:p>
            <w:pPr>
              <w:keepNext w:val="0"/>
              <w:keepLines w:val="0"/>
              <w:suppressLineNumbers w:val="0"/>
              <w:autoSpaceDE w:val="0"/>
              <w:autoSpaceDN w:val="0"/>
              <w:spacing w:before="0" w:beforeAutospacing="0" w:after="0" w:afterAutospacing="0"/>
              <w:ind w:left="0" w:right="0"/>
              <w:rPr>
                <w:rFonts w:hint="default" w:ascii="宋体" w:hAnsi="宋体" w:cs="宋体"/>
                <w:color w:val="auto"/>
                <w:szCs w:val="20"/>
                <w:highlight w:val="none"/>
              </w:rPr>
            </w:pPr>
          </w:p>
        </w:tc>
        <w:tc>
          <w:tcPr>
            <w:tcW w:w="3082" w:type="dxa"/>
            <w:tcBorders>
              <w:top w:val="single" w:color="auto" w:sz="6" w:space="0"/>
              <w:left w:val="single" w:color="auto" w:sz="6" w:space="0"/>
              <w:bottom w:val="single" w:color="auto" w:sz="6" w:space="0"/>
              <w:right w:val="single" w:color="auto" w:sz="6" w:space="0"/>
            </w:tcBorders>
            <w:noWrap/>
          </w:tcPr>
          <w:p>
            <w:pPr>
              <w:keepNext w:val="0"/>
              <w:keepLines w:val="0"/>
              <w:suppressLineNumbers w:val="0"/>
              <w:autoSpaceDE w:val="0"/>
              <w:autoSpaceDN w:val="0"/>
              <w:spacing w:before="120" w:beforeAutospacing="0" w:after="0" w:afterAutospacing="0"/>
              <w:ind w:left="0" w:right="0"/>
              <w:rPr>
                <w:rFonts w:hint="default" w:ascii="宋体" w:hAnsi="宋体" w:cs="宋体"/>
                <w:color w:val="auto"/>
                <w:szCs w:val="20"/>
                <w:highlight w:val="none"/>
              </w:rPr>
            </w:pPr>
          </w:p>
        </w:tc>
        <w:tc>
          <w:tcPr>
            <w:tcW w:w="1473" w:type="dxa"/>
            <w:tcBorders>
              <w:top w:val="single" w:color="auto" w:sz="6" w:space="0"/>
              <w:left w:val="single" w:color="auto" w:sz="6" w:space="0"/>
              <w:bottom w:val="single" w:color="auto" w:sz="6" w:space="0"/>
              <w:right w:val="single" w:color="auto" w:sz="6" w:space="0"/>
            </w:tcBorders>
            <w:noWrap/>
          </w:tcPr>
          <w:p>
            <w:pPr>
              <w:keepNext w:val="0"/>
              <w:keepLines w:val="0"/>
              <w:suppressLineNumbers w:val="0"/>
              <w:autoSpaceDE w:val="0"/>
              <w:autoSpaceDN w:val="0"/>
              <w:spacing w:before="120" w:beforeAutospacing="0" w:after="0" w:afterAutospacing="0"/>
              <w:ind w:left="0" w:right="0"/>
              <w:rPr>
                <w:rFonts w:hint="default" w:ascii="宋体" w:hAnsi="宋体" w:cs="宋体"/>
                <w:color w:val="auto"/>
                <w:szCs w:val="20"/>
                <w:highlight w:val="none"/>
              </w:rPr>
            </w:pPr>
          </w:p>
        </w:tc>
        <w:tc>
          <w:tcPr>
            <w:tcW w:w="3013" w:type="dxa"/>
            <w:tcBorders>
              <w:top w:val="single" w:color="auto" w:sz="6" w:space="0"/>
              <w:left w:val="single" w:color="auto" w:sz="6" w:space="0"/>
              <w:bottom w:val="single" w:color="auto" w:sz="6" w:space="0"/>
              <w:right w:val="single" w:color="auto" w:sz="6" w:space="0"/>
            </w:tcBorders>
            <w:noWrap/>
          </w:tcPr>
          <w:p>
            <w:pPr>
              <w:keepNext w:val="0"/>
              <w:keepLines w:val="0"/>
              <w:suppressLineNumbers w:val="0"/>
              <w:autoSpaceDE w:val="0"/>
              <w:autoSpaceDN w:val="0"/>
              <w:spacing w:before="120" w:beforeAutospacing="0" w:after="0" w:afterAutospacing="0"/>
              <w:ind w:left="0" w:right="0"/>
              <w:rPr>
                <w:rFonts w:hint="default" w:ascii="宋体" w:hAnsi="宋体" w:cs="宋体"/>
                <w:color w:val="auto"/>
                <w:szCs w:val="20"/>
                <w:highlight w:val="none"/>
              </w:rPr>
            </w:pPr>
          </w:p>
        </w:tc>
      </w:tr>
      <w:tr>
        <w:tblPrEx>
          <w:tblCellMar>
            <w:top w:w="0" w:type="dxa"/>
            <w:left w:w="108" w:type="dxa"/>
            <w:bottom w:w="0" w:type="dxa"/>
            <w:right w:w="108" w:type="dxa"/>
          </w:tblCellMar>
        </w:tblPrEx>
        <w:trPr>
          <w:trHeight w:val="840" w:hRule="atLeast"/>
          <w:jc w:val="center"/>
        </w:trPr>
        <w:tc>
          <w:tcPr>
            <w:tcW w:w="3117" w:type="dxa"/>
            <w:tcBorders>
              <w:top w:val="single" w:color="auto" w:sz="6" w:space="0"/>
              <w:left w:val="single" w:color="auto" w:sz="6" w:space="0"/>
              <w:bottom w:val="single" w:color="auto" w:sz="6" w:space="0"/>
              <w:right w:val="single" w:color="auto" w:sz="6" w:space="0"/>
            </w:tcBorders>
            <w:noWrap/>
            <w:vAlign w:val="center"/>
          </w:tcPr>
          <w:p>
            <w:pPr>
              <w:keepNext w:val="0"/>
              <w:keepLines w:val="0"/>
              <w:suppressLineNumbers w:val="0"/>
              <w:autoSpaceDE w:val="0"/>
              <w:autoSpaceDN w:val="0"/>
              <w:spacing w:before="0" w:beforeAutospacing="0" w:after="0" w:afterAutospacing="0"/>
              <w:ind w:left="0" w:right="0"/>
              <w:rPr>
                <w:rFonts w:hint="default" w:ascii="宋体" w:hAnsi="宋体" w:cs="宋体"/>
                <w:color w:val="auto"/>
                <w:szCs w:val="20"/>
                <w:highlight w:val="none"/>
              </w:rPr>
            </w:pPr>
          </w:p>
        </w:tc>
        <w:tc>
          <w:tcPr>
            <w:tcW w:w="3082" w:type="dxa"/>
            <w:tcBorders>
              <w:top w:val="single" w:color="auto" w:sz="6" w:space="0"/>
              <w:left w:val="single" w:color="auto" w:sz="6" w:space="0"/>
              <w:bottom w:val="single" w:color="auto" w:sz="6" w:space="0"/>
              <w:right w:val="single" w:color="auto" w:sz="6" w:space="0"/>
            </w:tcBorders>
            <w:noWrap/>
          </w:tcPr>
          <w:p>
            <w:pPr>
              <w:keepNext w:val="0"/>
              <w:keepLines w:val="0"/>
              <w:suppressLineNumbers w:val="0"/>
              <w:autoSpaceDE w:val="0"/>
              <w:autoSpaceDN w:val="0"/>
              <w:spacing w:before="120" w:beforeAutospacing="0" w:after="0" w:afterAutospacing="0"/>
              <w:ind w:left="0" w:right="0"/>
              <w:rPr>
                <w:rFonts w:hint="default" w:ascii="宋体" w:hAnsi="宋体" w:cs="宋体"/>
                <w:color w:val="auto"/>
                <w:szCs w:val="20"/>
                <w:highlight w:val="none"/>
              </w:rPr>
            </w:pPr>
          </w:p>
        </w:tc>
        <w:tc>
          <w:tcPr>
            <w:tcW w:w="1473" w:type="dxa"/>
            <w:tcBorders>
              <w:top w:val="single" w:color="auto" w:sz="6" w:space="0"/>
              <w:left w:val="single" w:color="auto" w:sz="6" w:space="0"/>
              <w:bottom w:val="single" w:color="auto" w:sz="6" w:space="0"/>
              <w:right w:val="single" w:color="auto" w:sz="6" w:space="0"/>
            </w:tcBorders>
            <w:noWrap/>
          </w:tcPr>
          <w:p>
            <w:pPr>
              <w:keepNext w:val="0"/>
              <w:keepLines w:val="0"/>
              <w:suppressLineNumbers w:val="0"/>
              <w:autoSpaceDE w:val="0"/>
              <w:autoSpaceDN w:val="0"/>
              <w:spacing w:before="120" w:beforeAutospacing="0" w:after="0" w:afterAutospacing="0"/>
              <w:ind w:left="43" w:right="0"/>
              <w:rPr>
                <w:rFonts w:hint="default" w:ascii="宋体" w:hAnsi="宋体" w:cs="宋体"/>
                <w:color w:val="auto"/>
                <w:szCs w:val="20"/>
                <w:highlight w:val="none"/>
              </w:rPr>
            </w:pPr>
          </w:p>
        </w:tc>
        <w:tc>
          <w:tcPr>
            <w:tcW w:w="3013" w:type="dxa"/>
            <w:tcBorders>
              <w:top w:val="single" w:color="auto" w:sz="6" w:space="0"/>
              <w:left w:val="single" w:color="auto" w:sz="6" w:space="0"/>
              <w:bottom w:val="single" w:color="auto" w:sz="6" w:space="0"/>
              <w:right w:val="single" w:color="auto" w:sz="6" w:space="0"/>
            </w:tcBorders>
            <w:noWrap/>
          </w:tcPr>
          <w:p>
            <w:pPr>
              <w:keepNext w:val="0"/>
              <w:keepLines w:val="0"/>
              <w:suppressLineNumbers w:val="0"/>
              <w:autoSpaceDE w:val="0"/>
              <w:autoSpaceDN w:val="0"/>
              <w:spacing w:before="120" w:beforeAutospacing="0" w:after="0" w:afterAutospacing="0"/>
              <w:ind w:left="43" w:right="0"/>
              <w:rPr>
                <w:rFonts w:hint="default" w:ascii="宋体" w:hAnsi="宋体" w:cs="宋体"/>
                <w:color w:val="auto"/>
                <w:szCs w:val="20"/>
                <w:highlight w:val="none"/>
              </w:rPr>
            </w:pPr>
          </w:p>
        </w:tc>
      </w:tr>
      <w:tr>
        <w:tblPrEx>
          <w:tblCellMar>
            <w:top w:w="0" w:type="dxa"/>
            <w:left w:w="108" w:type="dxa"/>
            <w:bottom w:w="0" w:type="dxa"/>
            <w:right w:w="108" w:type="dxa"/>
          </w:tblCellMar>
        </w:tblPrEx>
        <w:trPr>
          <w:trHeight w:val="840" w:hRule="atLeast"/>
          <w:jc w:val="center"/>
        </w:trPr>
        <w:tc>
          <w:tcPr>
            <w:tcW w:w="3117" w:type="dxa"/>
            <w:tcBorders>
              <w:top w:val="single" w:color="auto" w:sz="6" w:space="0"/>
              <w:left w:val="single" w:color="auto" w:sz="6" w:space="0"/>
              <w:bottom w:val="single" w:color="auto" w:sz="6" w:space="0"/>
              <w:right w:val="single" w:color="auto" w:sz="6" w:space="0"/>
            </w:tcBorders>
            <w:noWrap/>
            <w:vAlign w:val="center"/>
          </w:tcPr>
          <w:p>
            <w:pPr>
              <w:keepNext w:val="0"/>
              <w:keepLines w:val="0"/>
              <w:suppressLineNumbers w:val="0"/>
              <w:autoSpaceDE w:val="0"/>
              <w:autoSpaceDN w:val="0"/>
              <w:spacing w:before="0" w:beforeAutospacing="0" w:after="0" w:afterAutospacing="0"/>
              <w:ind w:left="0" w:right="0"/>
              <w:rPr>
                <w:rFonts w:hint="default" w:ascii="宋体" w:hAnsi="宋体" w:cs="宋体"/>
                <w:color w:val="auto"/>
                <w:szCs w:val="20"/>
                <w:highlight w:val="none"/>
              </w:rPr>
            </w:pPr>
          </w:p>
        </w:tc>
        <w:tc>
          <w:tcPr>
            <w:tcW w:w="3082" w:type="dxa"/>
            <w:tcBorders>
              <w:top w:val="single" w:color="auto" w:sz="6" w:space="0"/>
              <w:left w:val="single" w:color="auto" w:sz="6" w:space="0"/>
              <w:bottom w:val="single" w:color="auto" w:sz="6" w:space="0"/>
              <w:right w:val="single" w:color="auto" w:sz="6" w:space="0"/>
            </w:tcBorders>
            <w:noWrap/>
          </w:tcPr>
          <w:p>
            <w:pPr>
              <w:keepNext w:val="0"/>
              <w:keepLines w:val="0"/>
              <w:suppressLineNumbers w:val="0"/>
              <w:autoSpaceDE w:val="0"/>
              <w:autoSpaceDN w:val="0"/>
              <w:spacing w:before="120" w:beforeAutospacing="0" w:after="0" w:afterAutospacing="0"/>
              <w:ind w:left="0" w:right="0"/>
              <w:rPr>
                <w:rFonts w:hint="default" w:ascii="宋体" w:hAnsi="宋体" w:cs="宋体"/>
                <w:color w:val="auto"/>
                <w:szCs w:val="20"/>
                <w:highlight w:val="none"/>
              </w:rPr>
            </w:pPr>
          </w:p>
        </w:tc>
        <w:tc>
          <w:tcPr>
            <w:tcW w:w="1473" w:type="dxa"/>
            <w:tcBorders>
              <w:top w:val="single" w:color="auto" w:sz="6" w:space="0"/>
              <w:left w:val="single" w:color="auto" w:sz="6" w:space="0"/>
              <w:bottom w:val="single" w:color="auto" w:sz="6" w:space="0"/>
              <w:right w:val="single" w:color="auto" w:sz="6" w:space="0"/>
            </w:tcBorders>
            <w:noWrap/>
          </w:tcPr>
          <w:p>
            <w:pPr>
              <w:keepNext w:val="0"/>
              <w:keepLines w:val="0"/>
              <w:suppressLineNumbers w:val="0"/>
              <w:autoSpaceDE w:val="0"/>
              <w:autoSpaceDN w:val="0"/>
              <w:spacing w:before="120" w:beforeAutospacing="0" w:after="0" w:afterAutospacing="0"/>
              <w:ind w:left="0" w:right="0"/>
              <w:rPr>
                <w:rFonts w:hint="default" w:ascii="宋体" w:hAnsi="宋体" w:cs="宋体"/>
                <w:color w:val="auto"/>
                <w:szCs w:val="20"/>
                <w:highlight w:val="none"/>
              </w:rPr>
            </w:pPr>
          </w:p>
        </w:tc>
        <w:tc>
          <w:tcPr>
            <w:tcW w:w="3013" w:type="dxa"/>
            <w:tcBorders>
              <w:top w:val="single" w:color="auto" w:sz="6" w:space="0"/>
              <w:left w:val="single" w:color="auto" w:sz="6" w:space="0"/>
              <w:bottom w:val="single" w:color="auto" w:sz="6" w:space="0"/>
              <w:right w:val="single" w:color="auto" w:sz="6" w:space="0"/>
            </w:tcBorders>
            <w:noWrap/>
          </w:tcPr>
          <w:p>
            <w:pPr>
              <w:keepNext w:val="0"/>
              <w:keepLines w:val="0"/>
              <w:suppressLineNumbers w:val="0"/>
              <w:autoSpaceDE w:val="0"/>
              <w:autoSpaceDN w:val="0"/>
              <w:spacing w:before="120" w:beforeAutospacing="0" w:after="0" w:afterAutospacing="0"/>
              <w:ind w:left="0" w:right="0"/>
              <w:rPr>
                <w:rFonts w:hint="default" w:ascii="宋体" w:hAnsi="宋体" w:cs="宋体"/>
                <w:color w:val="auto"/>
                <w:szCs w:val="20"/>
                <w:highlight w:val="none"/>
              </w:rPr>
            </w:pPr>
          </w:p>
        </w:tc>
      </w:tr>
      <w:tr>
        <w:tblPrEx>
          <w:tblCellMar>
            <w:top w:w="0" w:type="dxa"/>
            <w:left w:w="108" w:type="dxa"/>
            <w:bottom w:w="0" w:type="dxa"/>
            <w:right w:w="108" w:type="dxa"/>
          </w:tblCellMar>
        </w:tblPrEx>
        <w:trPr>
          <w:trHeight w:val="840" w:hRule="atLeast"/>
          <w:jc w:val="center"/>
        </w:trPr>
        <w:tc>
          <w:tcPr>
            <w:tcW w:w="3117" w:type="dxa"/>
            <w:tcBorders>
              <w:top w:val="single" w:color="auto" w:sz="6" w:space="0"/>
              <w:left w:val="single" w:color="auto" w:sz="6" w:space="0"/>
              <w:bottom w:val="single" w:color="auto" w:sz="6" w:space="0"/>
              <w:right w:val="single" w:color="auto" w:sz="6" w:space="0"/>
            </w:tcBorders>
            <w:noWrap/>
            <w:vAlign w:val="center"/>
          </w:tcPr>
          <w:p>
            <w:pPr>
              <w:keepNext w:val="0"/>
              <w:keepLines w:val="0"/>
              <w:suppressLineNumbers w:val="0"/>
              <w:autoSpaceDE w:val="0"/>
              <w:autoSpaceDN w:val="0"/>
              <w:spacing w:before="0" w:beforeAutospacing="0" w:after="0" w:afterAutospacing="0"/>
              <w:ind w:left="0" w:right="0"/>
              <w:rPr>
                <w:rFonts w:hint="default" w:ascii="宋体" w:hAnsi="宋体" w:cs="宋体"/>
                <w:color w:val="auto"/>
                <w:szCs w:val="20"/>
                <w:highlight w:val="none"/>
              </w:rPr>
            </w:pPr>
          </w:p>
        </w:tc>
        <w:tc>
          <w:tcPr>
            <w:tcW w:w="3082" w:type="dxa"/>
            <w:tcBorders>
              <w:top w:val="single" w:color="auto" w:sz="6" w:space="0"/>
              <w:left w:val="single" w:color="auto" w:sz="6" w:space="0"/>
              <w:bottom w:val="single" w:color="auto" w:sz="6" w:space="0"/>
              <w:right w:val="single" w:color="auto" w:sz="6" w:space="0"/>
            </w:tcBorders>
            <w:noWrap/>
          </w:tcPr>
          <w:p>
            <w:pPr>
              <w:keepNext w:val="0"/>
              <w:keepLines w:val="0"/>
              <w:suppressLineNumbers w:val="0"/>
              <w:autoSpaceDE w:val="0"/>
              <w:autoSpaceDN w:val="0"/>
              <w:spacing w:before="120" w:beforeAutospacing="0" w:after="0" w:afterAutospacing="0"/>
              <w:ind w:left="0" w:right="0"/>
              <w:rPr>
                <w:rFonts w:hint="default" w:ascii="宋体" w:hAnsi="宋体" w:cs="宋体"/>
                <w:color w:val="auto"/>
                <w:szCs w:val="20"/>
                <w:highlight w:val="none"/>
              </w:rPr>
            </w:pPr>
          </w:p>
        </w:tc>
        <w:tc>
          <w:tcPr>
            <w:tcW w:w="1473" w:type="dxa"/>
            <w:tcBorders>
              <w:top w:val="single" w:color="auto" w:sz="6" w:space="0"/>
              <w:left w:val="single" w:color="auto" w:sz="6" w:space="0"/>
              <w:bottom w:val="single" w:color="auto" w:sz="6" w:space="0"/>
              <w:right w:val="single" w:color="auto" w:sz="6" w:space="0"/>
            </w:tcBorders>
            <w:noWrap/>
          </w:tcPr>
          <w:p>
            <w:pPr>
              <w:keepNext w:val="0"/>
              <w:keepLines w:val="0"/>
              <w:suppressLineNumbers w:val="0"/>
              <w:autoSpaceDE w:val="0"/>
              <w:autoSpaceDN w:val="0"/>
              <w:spacing w:before="120" w:beforeAutospacing="0" w:after="0" w:afterAutospacing="0"/>
              <w:ind w:left="0" w:right="0"/>
              <w:rPr>
                <w:rFonts w:hint="default" w:ascii="宋体" w:hAnsi="宋体" w:cs="宋体"/>
                <w:color w:val="auto"/>
                <w:szCs w:val="20"/>
                <w:highlight w:val="none"/>
              </w:rPr>
            </w:pPr>
          </w:p>
        </w:tc>
        <w:tc>
          <w:tcPr>
            <w:tcW w:w="3013" w:type="dxa"/>
            <w:tcBorders>
              <w:top w:val="single" w:color="auto" w:sz="6" w:space="0"/>
              <w:left w:val="single" w:color="auto" w:sz="6" w:space="0"/>
              <w:bottom w:val="single" w:color="auto" w:sz="6" w:space="0"/>
              <w:right w:val="single" w:color="auto" w:sz="6" w:space="0"/>
            </w:tcBorders>
            <w:noWrap/>
          </w:tcPr>
          <w:p>
            <w:pPr>
              <w:keepNext w:val="0"/>
              <w:keepLines w:val="0"/>
              <w:suppressLineNumbers w:val="0"/>
              <w:autoSpaceDE w:val="0"/>
              <w:autoSpaceDN w:val="0"/>
              <w:spacing w:before="120" w:beforeAutospacing="0" w:after="0" w:afterAutospacing="0"/>
              <w:ind w:left="0" w:right="0"/>
              <w:rPr>
                <w:rFonts w:hint="default" w:ascii="宋体" w:hAnsi="宋体" w:cs="宋体"/>
                <w:color w:val="auto"/>
                <w:szCs w:val="20"/>
                <w:highlight w:val="none"/>
              </w:rPr>
            </w:pPr>
          </w:p>
        </w:tc>
      </w:tr>
      <w:tr>
        <w:tblPrEx>
          <w:tblCellMar>
            <w:top w:w="0" w:type="dxa"/>
            <w:left w:w="108" w:type="dxa"/>
            <w:bottom w:w="0" w:type="dxa"/>
            <w:right w:w="108" w:type="dxa"/>
          </w:tblCellMar>
        </w:tblPrEx>
        <w:trPr>
          <w:trHeight w:val="840" w:hRule="atLeast"/>
          <w:jc w:val="center"/>
        </w:trPr>
        <w:tc>
          <w:tcPr>
            <w:tcW w:w="3117" w:type="dxa"/>
            <w:tcBorders>
              <w:top w:val="single" w:color="auto" w:sz="6" w:space="0"/>
              <w:left w:val="single" w:color="auto" w:sz="6" w:space="0"/>
              <w:bottom w:val="single" w:color="auto" w:sz="6" w:space="0"/>
              <w:right w:val="single" w:color="auto" w:sz="6" w:space="0"/>
            </w:tcBorders>
            <w:noWrap/>
            <w:vAlign w:val="center"/>
          </w:tcPr>
          <w:p>
            <w:pPr>
              <w:keepNext w:val="0"/>
              <w:keepLines w:val="0"/>
              <w:suppressLineNumbers w:val="0"/>
              <w:autoSpaceDE w:val="0"/>
              <w:autoSpaceDN w:val="0"/>
              <w:spacing w:before="0" w:beforeAutospacing="0" w:after="0" w:afterAutospacing="0"/>
              <w:ind w:left="0" w:right="0"/>
              <w:rPr>
                <w:rFonts w:hint="default" w:ascii="宋体" w:hAnsi="宋体" w:cs="宋体"/>
                <w:color w:val="auto"/>
                <w:szCs w:val="20"/>
                <w:highlight w:val="none"/>
              </w:rPr>
            </w:pPr>
          </w:p>
        </w:tc>
        <w:tc>
          <w:tcPr>
            <w:tcW w:w="3082" w:type="dxa"/>
            <w:tcBorders>
              <w:top w:val="single" w:color="auto" w:sz="6" w:space="0"/>
              <w:left w:val="single" w:color="auto" w:sz="6" w:space="0"/>
              <w:bottom w:val="single" w:color="auto" w:sz="6" w:space="0"/>
              <w:right w:val="single" w:color="auto" w:sz="6" w:space="0"/>
            </w:tcBorders>
            <w:noWrap/>
          </w:tcPr>
          <w:p>
            <w:pPr>
              <w:keepNext w:val="0"/>
              <w:keepLines w:val="0"/>
              <w:suppressLineNumbers w:val="0"/>
              <w:autoSpaceDE w:val="0"/>
              <w:autoSpaceDN w:val="0"/>
              <w:spacing w:before="120" w:beforeAutospacing="0" w:after="0" w:afterAutospacing="0"/>
              <w:ind w:left="0" w:right="0"/>
              <w:rPr>
                <w:rFonts w:hint="default" w:ascii="宋体" w:hAnsi="宋体" w:cs="宋体"/>
                <w:color w:val="auto"/>
                <w:szCs w:val="20"/>
                <w:highlight w:val="none"/>
              </w:rPr>
            </w:pPr>
          </w:p>
        </w:tc>
        <w:tc>
          <w:tcPr>
            <w:tcW w:w="1473" w:type="dxa"/>
            <w:tcBorders>
              <w:top w:val="single" w:color="auto" w:sz="6" w:space="0"/>
              <w:left w:val="single" w:color="auto" w:sz="6" w:space="0"/>
              <w:bottom w:val="single" w:color="auto" w:sz="6" w:space="0"/>
              <w:right w:val="single" w:color="auto" w:sz="6" w:space="0"/>
            </w:tcBorders>
            <w:noWrap/>
          </w:tcPr>
          <w:p>
            <w:pPr>
              <w:keepNext w:val="0"/>
              <w:keepLines w:val="0"/>
              <w:suppressLineNumbers w:val="0"/>
              <w:autoSpaceDE w:val="0"/>
              <w:autoSpaceDN w:val="0"/>
              <w:spacing w:before="120" w:beforeAutospacing="0" w:after="0" w:afterAutospacing="0"/>
              <w:ind w:left="0" w:right="0"/>
              <w:rPr>
                <w:rFonts w:hint="default" w:ascii="宋体" w:hAnsi="宋体" w:cs="宋体"/>
                <w:color w:val="auto"/>
                <w:szCs w:val="20"/>
                <w:highlight w:val="none"/>
              </w:rPr>
            </w:pPr>
          </w:p>
        </w:tc>
        <w:tc>
          <w:tcPr>
            <w:tcW w:w="3013" w:type="dxa"/>
            <w:tcBorders>
              <w:top w:val="single" w:color="auto" w:sz="6" w:space="0"/>
              <w:left w:val="single" w:color="auto" w:sz="6" w:space="0"/>
              <w:bottom w:val="single" w:color="auto" w:sz="6" w:space="0"/>
              <w:right w:val="single" w:color="auto" w:sz="6" w:space="0"/>
            </w:tcBorders>
            <w:noWrap/>
          </w:tcPr>
          <w:p>
            <w:pPr>
              <w:keepNext w:val="0"/>
              <w:keepLines w:val="0"/>
              <w:suppressLineNumbers w:val="0"/>
              <w:autoSpaceDE w:val="0"/>
              <w:autoSpaceDN w:val="0"/>
              <w:spacing w:before="120" w:beforeAutospacing="0" w:after="0" w:afterAutospacing="0"/>
              <w:ind w:left="0" w:right="0"/>
              <w:rPr>
                <w:rFonts w:hint="default" w:ascii="宋体" w:hAnsi="宋体" w:cs="宋体"/>
                <w:color w:val="auto"/>
                <w:szCs w:val="20"/>
                <w:highlight w:val="none"/>
              </w:rPr>
            </w:pPr>
          </w:p>
        </w:tc>
      </w:tr>
      <w:tr>
        <w:tblPrEx>
          <w:tblCellMar>
            <w:top w:w="0" w:type="dxa"/>
            <w:left w:w="108" w:type="dxa"/>
            <w:bottom w:w="0" w:type="dxa"/>
            <w:right w:w="108" w:type="dxa"/>
          </w:tblCellMar>
        </w:tblPrEx>
        <w:trPr>
          <w:trHeight w:val="840" w:hRule="atLeast"/>
          <w:jc w:val="center"/>
        </w:trPr>
        <w:tc>
          <w:tcPr>
            <w:tcW w:w="3117" w:type="dxa"/>
            <w:tcBorders>
              <w:top w:val="single" w:color="auto" w:sz="6" w:space="0"/>
              <w:left w:val="single" w:color="auto" w:sz="6" w:space="0"/>
              <w:bottom w:val="single" w:color="auto" w:sz="6" w:space="0"/>
              <w:right w:val="single" w:color="auto" w:sz="6" w:space="0"/>
            </w:tcBorders>
            <w:noWrap/>
            <w:vAlign w:val="center"/>
          </w:tcPr>
          <w:p>
            <w:pPr>
              <w:keepNext w:val="0"/>
              <w:keepLines w:val="0"/>
              <w:suppressLineNumbers w:val="0"/>
              <w:autoSpaceDE w:val="0"/>
              <w:autoSpaceDN w:val="0"/>
              <w:spacing w:before="0" w:beforeAutospacing="0" w:after="0" w:afterAutospacing="0"/>
              <w:ind w:left="0" w:right="0"/>
              <w:rPr>
                <w:rFonts w:hint="default" w:ascii="宋体" w:hAnsi="宋体" w:cs="宋体"/>
                <w:color w:val="auto"/>
                <w:szCs w:val="20"/>
                <w:highlight w:val="none"/>
              </w:rPr>
            </w:pPr>
          </w:p>
        </w:tc>
        <w:tc>
          <w:tcPr>
            <w:tcW w:w="3082" w:type="dxa"/>
            <w:tcBorders>
              <w:top w:val="single" w:color="auto" w:sz="6" w:space="0"/>
              <w:left w:val="single" w:color="auto" w:sz="6" w:space="0"/>
              <w:bottom w:val="single" w:color="auto" w:sz="6" w:space="0"/>
              <w:right w:val="single" w:color="auto" w:sz="6" w:space="0"/>
            </w:tcBorders>
            <w:noWrap/>
          </w:tcPr>
          <w:p>
            <w:pPr>
              <w:keepNext w:val="0"/>
              <w:keepLines w:val="0"/>
              <w:suppressLineNumbers w:val="0"/>
              <w:autoSpaceDE w:val="0"/>
              <w:autoSpaceDN w:val="0"/>
              <w:spacing w:before="120" w:beforeAutospacing="0" w:after="0" w:afterAutospacing="0"/>
              <w:ind w:left="0" w:right="0"/>
              <w:rPr>
                <w:rFonts w:hint="default" w:ascii="宋体" w:hAnsi="宋体" w:cs="宋体"/>
                <w:color w:val="auto"/>
                <w:szCs w:val="20"/>
                <w:highlight w:val="none"/>
              </w:rPr>
            </w:pPr>
          </w:p>
        </w:tc>
        <w:tc>
          <w:tcPr>
            <w:tcW w:w="1473" w:type="dxa"/>
            <w:tcBorders>
              <w:top w:val="single" w:color="auto" w:sz="6" w:space="0"/>
              <w:left w:val="single" w:color="auto" w:sz="6" w:space="0"/>
              <w:bottom w:val="single" w:color="auto" w:sz="6" w:space="0"/>
              <w:right w:val="single" w:color="auto" w:sz="6" w:space="0"/>
            </w:tcBorders>
            <w:noWrap/>
          </w:tcPr>
          <w:p>
            <w:pPr>
              <w:keepNext w:val="0"/>
              <w:keepLines w:val="0"/>
              <w:suppressLineNumbers w:val="0"/>
              <w:autoSpaceDE w:val="0"/>
              <w:autoSpaceDN w:val="0"/>
              <w:spacing w:before="120" w:beforeAutospacing="0" w:after="0" w:afterAutospacing="0"/>
              <w:ind w:left="0" w:right="0"/>
              <w:rPr>
                <w:rFonts w:hint="default" w:ascii="宋体" w:hAnsi="宋体" w:cs="宋体"/>
                <w:color w:val="auto"/>
                <w:szCs w:val="20"/>
                <w:highlight w:val="none"/>
              </w:rPr>
            </w:pPr>
          </w:p>
        </w:tc>
        <w:tc>
          <w:tcPr>
            <w:tcW w:w="3013" w:type="dxa"/>
            <w:tcBorders>
              <w:top w:val="single" w:color="auto" w:sz="6" w:space="0"/>
              <w:left w:val="single" w:color="auto" w:sz="6" w:space="0"/>
              <w:bottom w:val="single" w:color="auto" w:sz="6" w:space="0"/>
              <w:right w:val="single" w:color="auto" w:sz="6" w:space="0"/>
            </w:tcBorders>
            <w:noWrap/>
          </w:tcPr>
          <w:p>
            <w:pPr>
              <w:keepNext w:val="0"/>
              <w:keepLines w:val="0"/>
              <w:suppressLineNumbers w:val="0"/>
              <w:autoSpaceDE w:val="0"/>
              <w:autoSpaceDN w:val="0"/>
              <w:spacing w:before="120" w:beforeAutospacing="0" w:after="0" w:afterAutospacing="0"/>
              <w:ind w:left="0" w:right="0"/>
              <w:rPr>
                <w:rFonts w:hint="default" w:ascii="宋体" w:hAnsi="宋体" w:cs="宋体"/>
                <w:color w:val="auto"/>
                <w:szCs w:val="20"/>
                <w:highlight w:val="none"/>
              </w:rPr>
            </w:pPr>
          </w:p>
        </w:tc>
      </w:tr>
      <w:tr>
        <w:tblPrEx>
          <w:tblCellMar>
            <w:top w:w="0" w:type="dxa"/>
            <w:left w:w="108" w:type="dxa"/>
            <w:bottom w:w="0" w:type="dxa"/>
            <w:right w:w="108" w:type="dxa"/>
          </w:tblCellMar>
        </w:tblPrEx>
        <w:trPr>
          <w:trHeight w:val="840" w:hRule="atLeast"/>
          <w:jc w:val="center"/>
        </w:trPr>
        <w:tc>
          <w:tcPr>
            <w:tcW w:w="3117" w:type="dxa"/>
            <w:tcBorders>
              <w:top w:val="single" w:color="auto" w:sz="6" w:space="0"/>
              <w:left w:val="single" w:color="auto" w:sz="6" w:space="0"/>
              <w:bottom w:val="single" w:color="auto" w:sz="6" w:space="0"/>
              <w:right w:val="single" w:color="auto" w:sz="6" w:space="0"/>
            </w:tcBorders>
            <w:noWrap/>
            <w:vAlign w:val="center"/>
          </w:tcPr>
          <w:p>
            <w:pPr>
              <w:keepNext w:val="0"/>
              <w:keepLines w:val="0"/>
              <w:suppressLineNumbers w:val="0"/>
              <w:autoSpaceDE w:val="0"/>
              <w:autoSpaceDN w:val="0"/>
              <w:spacing w:before="0" w:beforeAutospacing="0" w:after="0" w:afterAutospacing="0"/>
              <w:ind w:left="0" w:right="0"/>
              <w:rPr>
                <w:rFonts w:hint="default" w:ascii="宋体" w:hAnsi="宋体" w:cs="宋体"/>
                <w:color w:val="auto"/>
                <w:szCs w:val="20"/>
                <w:highlight w:val="none"/>
              </w:rPr>
            </w:pPr>
          </w:p>
        </w:tc>
        <w:tc>
          <w:tcPr>
            <w:tcW w:w="3082" w:type="dxa"/>
            <w:tcBorders>
              <w:top w:val="single" w:color="auto" w:sz="6" w:space="0"/>
              <w:left w:val="single" w:color="auto" w:sz="6" w:space="0"/>
              <w:bottom w:val="single" w:color="auto" w:sz="6" w:space="0"/>
              <w:right w:val="single" w:color="auto" w:sz="6" w:space="0"/>
            </w:tcBorders>
            <w:noWrap/>
          </w:tcPr>
          <w:p>
            <w:pPr>
              <w:keepNext w:val="0"/>
              <w:keepLines w:val="0"/>
              <w:suppressLineNumbers w:val="0"/>
              <w:autoSpaceDE w:val="0"/>
              <w:autoSpaceDN w:val="0"/>
              <w:spacing w:before="120" w:beforeAutospacing="0" w:after="0" w:afterAutospacing="0"/>
              <w:ind w:left="0" w:right="0"/>
              <w:rPr>
                <w:rFonts w:hint="default" w:ascii="宋体" w:hAnsi="宋体" w:cs="宋体"/>
                <w:color w:val="auto"/>
                <w:szCs w:val="20"/>
                <w:highlight w:val="none"/>
              </w:rPr>
            </w:pPr>
          </w:p>
        </w:tc>
        <w:tc>
          <w:tcPr>
            <w:tcW w:w="1473" w:type="dxa"/>
            <w:tcBorders>
              <w:top w:val="single" w:color="auto" w:sz="6" w:space="0"/>
              <w:left w:val="single" w:color="auto" w:sz="6" w:space="0"/>
              <w:bottom w:val="single" w:color="auto" w:sz="6" w:space="0"/>
              <w:right w:val="single" w:color="auto" w:sz="6" w:space="0"/>
            </w:tcBorders>
            <w:noWrap/>
          </w:tcPr>
          <w:p>
            <w:pPr>
              <w:keepNext w:val="0"/>
              <w:keepLines w:val="0"/>
              <w:suppressLineNumbers w:val="0"/>
              <w:autoSpaceDE w:val="0"/>
              <w:autoSpaceDN w:val="0"/>
              <w:spacing w:before="120" w:beforeAutospacing="0" w:after="0" w:afterAutospacing="0"/>
              <w:ind w:left="0" w:right="0"/>
              <w:rPr>
                <w:rFonts w:hint="default" w:ascii="宋体" w:hAnsi="宋体" w:cs="宋体"/>
                <w:color w:val="auto"/>
                <w:szCs w:val="20"/>
                <w:highlight w:val="none"/>
              </w:rPr>
            </w:pPr>
          </w:p>
        </w:tc>
        <w:tc>
          <w:tcPr>
            <w:tcW w:w="3013" w:type="dxa"/>
            <w:tcBorders>
              <w:top w:val="single" w:color="auto" w:sz="6" w:space="0"/>
              <w:left w:val="single" w:color="auto" w:sz="6" w:space="0"/>
              <w:bottom w:val="single" w:color="auto" w:sz="6" w:space="0"/>
              <w:right w:val="single" w:color="auto" w:sz="6" w:space="0"/>
            </w:tcBorders>
            <w:noWrap/>
          </w:tcPr>
          <w:p>
            <w:pPr>
              <w:keepNext w:val="0"/>
              <w:keepLines w:val="0"/>
              <w:suppressLineNumbers w:val="0"/>
              <w:autoSpaceDE w:val="0"/>
              <w:autoSpaceDN w:val="0"/>
              <w:spacing w:before="120" w:beforeAutospacing="0" w:after="0" w:afterAutospacing="0"/>
              <w:ind w:left="0" w:right="0"/>
              <w:rPr>
                <w:rFonts w:hint="default" w:ascii="宋体" w:hAnsi="宋体" w:cs="宋体"/>
                <w:color w:val="auto"/>
                <w:szCs w:val="20"/>
                <w:highlight w:val="none"/>
              </w:rPr>
            </w:pPr>
          </w:p>
        </w:tc>
      </w:tr>
    </w:tbl>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宋体" w:hAnsi="宋体" w:eastAsia="宋体" w:cs="宋体"/>
          <w:b/>
          <w:bCs w:val="0"/>
          <w:color w:val="auto"/>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jc w:val="left"/>
        <w:textAlignment w:val="auto"/>
        <w:rPr>
          <w:rFonts w:hint="eastAsia" w:ascii="宋体" w:hAnsi="宋体" w:eastAsia="宋体" w:cs="宋体"/>
          <w:b/>
          <w:color w:val="auto"/>
          <w:sz w:val="28"/>
          <w:szCs w:val="28"/>
          <w:highlight w:val="none"/>
          <w:lang w:val="zh-CN"/>
        </w:rPr>
      </w:pPr>
      <w:r>
        <w:rPr>
          <w:rFonts w:hint="eastAsia" w:ascii="宋体" w:hAnsi="宋体" w:eastAsia="宋体" w:cs="宋体"/>
          <w:b/>
          <w:bCs w:val="0"/>
          <w:color w:val="auto"/>
          <w:sz w:val="28"/>
          <w:szCs w:val="28"/>
          <w:highlight w:val="none"/>
          <w:lang w:val="en-US" w:eastAsia="zh-CN"/>
        </w:rPr>
        <w:t>根据</w:t>
      </w:r>
      <w:r>
        <w:rPr>
          <w:rFonts w:hint="eastAsia" w:ascii="宋体" w:hAnsi="宋体" w:cs="宋体"/>
          <w:b/>
          <w:bCs w:val="0"/>
          <w:color w:val="auto"/>
          <w:sz w:val="28"/>
          <w:szCs w:val="28"/>
          <w:highlight w:val="none"/>
          <w:lang w:val="en-US" w:eastAsia="zh-CN"/>
        </w:rPr>
        <w:t>“</w:t>
      </w:r>
      <w:r>
        <w:rPr>
          <w:rFonts w:hint="eastAsia" w:ascii="宋体" w:hAnsi="宋体" w:eastAsia="宋体" w:cs="宋体"/>
          <w:b/>
          <w:bCs w:val="0"/>
          <w:color w:val="auto"/>
          <w:sz w:val="28"/>
          <w:szCs w:val="28"/>
          <w:highlight w:val="none"/>
          <w:lang w:val="en-US" w:eastAsia="zh-CN"/>
        </w:rPr>
        <w:t>第五章 技术标准及服务需求</w:t>
      </w:r>
      <w:r>
        <w:rPr>
          <w:rFonts w:hint="eastAsia" w:ascii="宋体" w:hAnsi="宋体" w:cs="宋体"/>
          <w:b/>
          <w:bCs w:val="0"/>
          <w:color w:val="auto"/>
          <w:sz w:val="28"/>
          <w:szCs w:val="28"/>
          <w:highlight w:val="none"/>
          <w:lang w:val="en-US" w:eastAsia="zh-CN"/>
        </w:rPr>
        <w:t>”</w:t>
      </w:r>
      <w:r>
        <w:rPr>
          <w:rFonts w:hint="eastAsia" w:ascii="宋体" w:hAnsi="宋体" w:eastAsia="宋体" w:cs="宋体"/>
          <w:b/>
          <w:bCs w:val="0"/>
          <w:color w:val="auto"/>
          <w:sz w:val="28"/>
          <w:szCs w:val="28"/>
          <w:highlight w:val="none"/>
          <w:lang w:val="zh-CN"/>
        </w:rPr>
        <w:t>，供应商的响应必须完全满足或者正偏离</w:t>
      </w:r>
      <w:r>
        <w:rPr>
          <w:rFonts w:hint="eastAsia" w:ascii="宋体" w:hAnsi="宋体" w:cs="宋体"/>
          <w:b/>
          <w:bCs w:val="0"/>
          <w:color w:val="auto"/>
          <w:sz w:val="28"/>
          <w:szCs w:val="28"/>
          <w:highlight w:val="none"/>
          <w:lang w:val="zh-CN"/>
        </w:rPr>
        <w:t>，</w:t>
      </w:r>
      <w:r>
        <w:rPr>
          <w:rFonts w:hint="eastAsia" w:ascii="宋体" w:hAnsi="宋体" w:cs="宋体"/>
          <w:b/>
          <w:bCs w:val="0"/>
          <w:color w:val="auto"/>
          <w:sz w:val="28"/>
          <w:szCs w:val="28"/>
          <w:highlight w:val="none"/>
          <w:lang w:val="en-US" w:eastAsia="zh-CN"/>
        </w:rPr>
        <w:t>负偏离</w:t>
      </w:r>
      <w:r>
        <w:rPr>
          <w:rFonts w:hint="eastAsia" w:ascii="宋体" w:hAnsi="宋体" w:eastAsia="宋体" w:cs="宋体"/>
          <w:b/>
          <w:bCs w:val="0"/>
          <w:color w:val="auto"/>
          <w:sz w:val="28"/>
          <w:szCs w:val="28"/>
          <w:highlight w:val="none"/>
        </w:rPr>
        <w:t>则按照响应无效处理</w:t>
      </w:r>
      <w:r>
        <w:rPr>
          <w:rFonts w:hint="eastAsia" w:ascii="宋体" w:hAnsi="宋体" w:cs="宋体"/>
          <w:b/>
          <w:bCs w:val="0"/>
          <w:color w:val="auto"/>
          <w:sz w:val="28"/>
          <w:szCs w:val="28"/>
          <w:highlight w:val="none"/>
          <w:lang w:eastAsia="zh-CN"/>
        </w:rPr>
        <w:t>。</w:t>
      </w:r>
      <w:r>
        <w:rPr>
          <w:rFonts w:hint="eastAsia" w:ascii="宋体" w:hAnsi="宋体" w:cs="宋体"/>
          <w:b/>
          <w:bCs w:val="0"/>
          <w:color w:val="auto"/>
          <w:sz w:val="28"/>
          <w:szCs w:val="28"/>
          <w:highlight w:val="none"/>
          <w:lang w:val="en-US" w:eastAsia="zh-CN"/>
        </w:rPr>
        <w:t>如无偏离，则只需填写无偏离。</w:t>
      </w:r>
    </w:p>
    <w:p>
      <w:pPr>
        <w:rPr>
          <w:rFonts w:hint="eastAsia" w:ascii="宋体" w:hAnsi="宋体" w:cs="宋体"/>
          <w:b/>
          <w:color w:val="auto"/>
          <w:sz w:val="36"/>
          <w:szCs w:val="36"/>
          <w:highlight w:val="none"/>
          <w:lang w:val="zh-CN"/>
        </w:rPr>
      </w:pPr>
      <w:r>
        <w:rPr>
          <w:rFonts w:hint="eastAsia" w:ascii="宋体" w:hAnsi="宋体" w:cs="宋体"/>
          <w:b/>
          <w:color w:val="auto"/>
          <w:sz w:val="36"/>
          <w:szCs w:val="36"/>
          <w:highlight w:val="none"/>
          <w:lang w:val="zh-CN"/>
        </w:rPr>
        <w:br w:type="page"/>
      </w:r>
    </w:p>
    <w:p>
      <w:pPr>
        <w:spacing w:before="120" w:beforeLines="50" w:after="120" w:afterLines="50"/>
        <w:jc w:val="center"/>
        <w:rPr>
          <w:rFonts w:ascii="宋体" w:hAnsi="宋体" w:cs="宋体"/>
          <w:b/>
          <w:bCs/>
          <w:color w:val="auto"/>
          <w:sz w:val="36"/>
          <w:szCs w:val="36"/>
          <w:highlight w:val="none"/>
        </w:rPr>
      </w:pPr>
      <w:r>
        <w:rPr>
          <w:rFonts w:hint="eastAsia" w:ascii="宋体" w:hAnsi="宋体" w:cs="宋体"/>
          <w:b/>
          <w:color w:val="auto"/>
          <w:sz w:val="36"/>
          <w:szCs w:val="36"/>
          <w:highlight w:val="none"/>
          <w:lang w:val="zh-CN"/>
        </w:rPr>
        <w:t>七、</w:t>
      </w:r>
      <w:r>
        <w:rPr>
          <w:rFonts w:hint="eastAsia" w:ascii="宋体" w:hAnsi="宋体" w:cs="宋体"/>
          <w:b/>
          <w:bCs/>
          <w:color w:val="auto"/>
          <w:sz w:val="36"/>
          <w:szCs w:val="36"/>
          <w:highlight w:val="none"/>
        </w:rPr>
        <w:t>服务方案及各项制度</w:t>
      </w:r>
    </w:p>
    <w:p>
      <w:pPr>
        <w:spacing w:before="120" w:beforeLines="50" w:after="120" w:afterLines="50"/>
        <w:jc w:val="center"/>
        <w:rPr>
          <w:rFonts w:ascii="宋体" w:hAnsi="宋体" w:cs="宋体"/>
          <w:bCs/>
          <w:color w:val="auto"/>
          <w:sz w:val="24"/>
          <w:highlight w:val="none"/>
        </w:rPr>
      </w:pPr>
    </w:p>
    <w:p>
      <w:pPr>
        <w:spacing w:before="120" w:beforeLines="50" w:after="120" w:afterLines="50" w:line="360" w:lineRule="auto"/>
        <w:jc w:val="center"/>
        <w:rPr>
          <w:rFonts w:ascii="宋体" w:hAnsi="宋体" w:cs="宋体"/>
          <w:b/>
          <w:color w:val="auto"/>
          <w:sz w:val="36"/>
          <w:szCs w:val="36"/>
          <w:highlight w:val="none"/>
          <w:lang w:val="zh-CN"/>
        </w:rPr>
      </w:pPr>
      <w:r>
        <w:rPr>
          <w:rFonts w:hint="eastAsia" w:ascii="宋体" w:hAnsi="宋体" w:cs="宋体"/>
          <w:bCs/>
          <w:color w:val="auto"/>
          <w:sz w:val="24"/>
          <w:highlight w:val="none"/>
        </w:rPr>
        <w:br w:type="page"/>
      </w:r>
      <w:r>
        <w:rPr>
          <w:rFonts w:hint="eastAsia" w:ascii="宋体" w:hAnsi="宋体" w:cs="宋体"/>
          <w:b/>
          <w:color w:val="auto"/>
          <w:sz w:val="36"/>
          <w:szCs w:val="36"/>
          <w:highlight w:val="none"/>
          <w:lang w:val="zh-CN"/>
        </w:rPr>
        <w:t>八、其他资料</w:t>
      </w:r>
    </w:p>
    <w:p>
      <w:pPr>
        <w:spacing w:before="100" w:beforeAutospacing="1" w:after="100" w:afterAutospacing="1" w:line="360" w:lineRule="auto"/>
        <w:ind w:firstLine="3240" w:firstLineChars="1350"/>
        <w:rPr>
          <w:rFonts w:ascii="宋体" w:hAnsi="宋体" w:cs="宋体"/>
          <w:color w:val="auto"/>
          <w:kern w:val="0"/>
          <w:sz w:val="24"/>
          <w:highlight w:val="none"/>
        </w:rPr>
      </w:pPr>
    </w:p>
    <w:p>
      <w:pPr>
        <w:spacing w:before="100" w:beforeAutospacing="1" w:after="100" w:afterAutospacing="1" w:line="360" w:lineRule="auto"/>
        <w:rPr>
          <w:rFonts w:ascii="宋体" w:hAnsi="宋体" w:cs="宋体"/>
          <w:color w:val="auto"/>
          <w:kern w:val="0"/>
          <w:sz w:val="24"/>
          <w:highlight w:val="none"/>
        </w:rPr>
      </w:pPr>
      <w:r>
        <w:rPr>
          <w:rFonts w:hint="eastAsia" w:ascii="宋体" w:hAnsi="宋体" w:cs="宋体"/>
          <w:color w:val="auto"/>
          <w:kern w:val="0"/>
          <w:sz w:val="24"/>
          <w:highlight w:val="none"/>
        </w:rPr>
        <w:t>（1）优惠条件</w:t>
      </w:r>
    </w:p>
    <w:p>
      <w:pPr>
        <w:spacing w:before="100" w:beforeAutospacing="1" w:after="100" w:afterAutospacing="1" w:line="360" w:lineRule="auto"/>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rPr>
        <w:t>（2）服务</w:t>
      </w:r>
      <w:r>
        <w:rPr>
          <w:rFonts w:hint="eastAsia" w:ascii="宋体" w:hAnsi="宋体" w:cs="宋体"/>
          <w:color w:val="auto"/>
          <w:kern w:val="0"/>
          <w:sz w:val="24"/>
          <w:highlight w:val="none"/>
          <w:lang w:val="en-US" w:eastAsia="zh-CN"/>
        </w:rPr>
        <w:t>承诺体系</w:t>
      </w:r>
    </w:p>
    <w:p>
      <w:pPr>
        <w:pStyle w:val="24"/>
        <w:spacing w:before="100" w:beforeAutospacing="1" w:after="100" w:afterAutospacing="1" w:line="360" w:lineRule="auto"/>
        <w:rPr>
          <w:rFonts w:hAnsi="宋体" w:cs="宋体"/>
          <w:bCs/>
          <w:color w:val="auto"/>
          <w:sz w:val="24"/>
          <w:szCs w:val="24"/>
          <w:highlight w:val="none"/>
          <w:lang w:val="zh-CN"/>
        </w:rPr>
      </w:pPr>
      <w:r>
        <w:rPr>
          <w:rFonts w:hint="eastAsia" w:hAnsi="宋体" w:cs="宋体"/>
          <w:bCs/>
          <w:color w:val="auto"/>
          <w:sz w:val="24"/>
          <w:szCs w:val="24"/>
          <w:highlight w:val="none"/>
          <w:lang w:val="zh-CN"/>
        </w:rPr>
        <w:t>（</w:t>
      </w:r>
      <w:r>
        <w:rPr>
          <w:rFonts w:hint="eastAsia" w:hAnsi="宋体" w:cs="宋体"/>
          <w:bCs/>
          <w:color w:val="auto"/>
          <w:sz w:val="24"/>
          <w:szCs w:val="24"/>
          <w:highlight w:val="none"/>
        </w:rPr>
        <w:t>3</w:t>
      </w:r>
      <w:r>
        <w:rPr>
          <w:rFonts w:hint="eastAsia" w:hAnsi="宋体" w:cs="宋体"/>
          <w:bCs/>
          <w:color w:val="auto"/>
          <w:sz w:val="24"/>
          <w:szCs w:val="24"/>
          <w:highlight w:val="none"/>
          <w:lang w:val="zh-CN"/>
        </w:rPr>
        <w:t>）供应商认为需要提供的其他资料</w:t>
      </w:r>
    </w:p>
    <w:p>
      <w:pPr>
        <w:pStyle w:val="3"/>
        <w:ind w:firstLine="1200" w:firstLineChars="500"/>
        <w:jc w:val="both"/>
        <w:rPr>
          <w:rFonts w:ascii="宋体" w:hAnsi="宋体" w:eastAsia="宋体" w:cs="宋体"/>
          <w:color w:val="auto"/>
          <w:sz w:val="24"/>
          <w:highlight w:val="none"/>
        </w:rPr>
      </w:pPr>
      <w:r>
        <w:rPr>
          <w:rFonts w:hint="eastAsia" w:ascii="宋体" w:hAnsi="宋体" w:eastAsia="宋体" w:cs="宋体"/>
          <w:bCs/>
          <w:color w:val="auto"/>
          <w:sz w:val="24"/>
          <w:szCs w:val="24"/>
          <w:highlight w:val="none"/>
          <w:lang w:val="zh-CN"/>
        </w:rPr>
        <w:br w:type="page"/>
      </w:r>
      <w:r>
        <w:rPr>
          <w:rFonts w:hint="eastAsia" w:ascii="宋体" w:hAnsi="宋体" w:eastAsia="宋体" w:cs="宋体"/>
          <w:b/>
          <w:color w:val="auto"/>
          <w:kern w:val="2"/>
          <w:sz w:val="36"/>
          <w:szCs w:val="36"/>
          <w:highlight w:val="none"/>
        </w:rPr>
        <w:t>九、</w:t>
      </w:r>
      <w:r>
        <w:rPr>
          <w:rFonts w:hint="eastAsia" w:ascii="宋体" w:hAnsi="宋体" w:eastAsia="宋体" w:cs="宋体"/>
          <w:b/>
          <w:color w:val="auto"/>
          <w:kern w:val="2"/>
          <w:sz w:val="36"/>
          <w:szCs w:val="36"/>
          <w:highlight w:val="none"/>
          <w:lang w:val="zh-CN"/>
        </w:rPr>
        <w:t>中小企业声明函（工程、服务）</w:t>
      </w:r>
    </w:p>
    <w:p>
      <w:pPr>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本公司(联合体)郑重声明，根据《政府采购促进中小企业发展管理办法》(财库(2020)46号)的规定，本公司(联合体</w:t>
      </w:r>
      <w:r>
        <w:rPr>
          <w:rFonts w:hint="eastAsia" w:ascii="宋体" w:hAnsi="宋体" w:cs="宋体"/>
          <w:color w:val="auto"/>
          <w:sz w:val="24"/>
          <w:szCs w:val="24"/>
          <w:highlight w:val="none"/>
          <w:u w:val="single"/>
        </w:rPr>
        <w:t>)参加   (单位名称)</w:t>
      </w:r>
      <w:r>
        <w:rPr>
          <w:rFonts w:hint="eastAsia" w:ascii="宋体" w:hAnsi="宋体" w:cs="宋体"/>
          <w:color w:val="auto"/>
          <w:sz w:val="24"/>
          <w:szCs w:val="24"/>
          <w:highlight w:val="none"/>
        </w:rPr>
        <w:t xml:space="preserve">的 </w:t>
      </w:r>
      <w:r>
        <w:rPr>
          <w:rFonts w:hint="eastAsia" w:ascii="宋体" w:hAnsi="宋体" w:cs="宋体"/>
          <w:color w:val="auto"/>
          <w:sz w:val="24"/>
          <w:szCs w:val="24"/>
          <w:highlight w:val="none"/>
          <w:u w:val="single"/>
        </w:rPr>
        <w:t xml:space="preserve">  (项目名称)</w:t>
      </w:r>
      <w:r>
        <w:rPr>
          <w:rFonts w:hint="eastAsia" w:ascii="宋体" w:hAnsi="宋体" w:cs="宋体"/>
          <w:color w:val="auto"/>
          <w:sz w:val="24"/>
          <w:szCs w:val="24"/>
          <w:highlight w:val="none"/>
        </w:rPr>
        <w:t>采购活动，工程的施工单位全部为由符合政策要求的中小企业（或者：服务全部由符合政策要求的中小企业承接）。相关企业（含联合体中的中小企业、签订分包意向协议的中小企业)的具体情况如下:</w:t>
      </w:r>
    </w:p>
    <w:p>
      <w:pPr>
        <w:spacing w:line="500" w:lineRule="exact"/>
        <w:ind w:firstLine="240" w:firstLineChars="100"/>
        <w:rPr>
          <w:rFonts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(标的名称)，属于</w:t>
      </w:r>
      <w:r>
        <w:rPr>
          <w:rFonts w:hint="eastAsia" w:ascii="宋体" w:hAnsi="宋体" w:cs="宋体"/>
          <w:color w:val="auto"/>
          <w:sz w:val="24"/>
          <w:szCs w:val="24"/>
          <w:highlight w:val="none"/>
          <w:u w:val="single"/>
        </w:rPr>
        <w:t xml:space="preserve">  (采购文件中明确的所属行业）</w:t>
      </w:r>
      <w:r>
        <w:rPr>
          <w:rFonts w:hint="eastAsia" w:ascii="宋体" w:hAnsi="宋体" w:cs="宋体"/>
          <w:color w:val="auto"/>
          <w:sz w:val="24"/>
          <w:szCs w:val="24"/>
          <w:highlight w:val="none"/>
        </w:rPr>
        <w:t>；承建（承接）企业为</w:t>
      </w:r>
      <w:r>
        <w:rPr>
          <w:rFonts w:hint="eastAsia" w:ascii="宋体" w:hAnsi="宋体" w:cs="宋体"/>
          <w:color w:val="auto"/>
          <w:sz w:val="24"/>
          <w:szCs w:val="24"/>
          <w:highlight w:val="none"/>
          <w:u w:val="single"/>
        </w:rPr>
        <w:t xml:space="preserve">   (企业名称)</w:t>
      </w:r>
      <w:r>
        <w:rPr>
          <w:rFonts w:hint="eastAsia" w:ascii="宋体" w:hAnsi="宋体" w:cs="宋体"/>
          <w:color w:val="auto"/>
          <w:sz w:val="24"/>
          <w:szCs w:val="24"/>
          <w:highlight w:val="none"/>
        </w:rPr>
        <w:t>，从业人员</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人，营业收入为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万元，资产总额为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万元</w:t>
      </w:r>
      <w:r>
        <w:rPr>
          <w:rFonts w:hint="eastAsia" w:ascii="宋体" w:hAnsi="宋体" w:cs="宋体"/>
          <w:color w:val="auto"/>
          <w:sz w:val="24"/>
          <w:szCs w:val="24"/>
          <w:highlight w:val="none"/>
          <w:vertAlign w:val="superscript"/>
        </w:rPr>
        <w:t>1</w:t>
      </w:r>
      <w:r>
        <w:rPr>
          <w:rFonts w:hint="eastAsia" w:ascii="宋体" w:hAnsi="宋体" w:cs="宋体"/>
          <w:color w:val="auto"/>
          <w:sz w:val="24"/>
          <w:szCs w:val="24"/>
          <w:highlight w:val="none"/>
        </w:rPr>
        <w:t>，属于</w:t>
      </w:r>
      <w:r>
        <w:rPr>
          <w:rFonts w:hint="eastAsia" w:ascii="宋体" w:hAnsi="宋体" w:cs="宋体"/>
          <w:color w:val="auto"/>
          <w:sz w:val="24"/>
          <w:szCs w:val="24"/>
          <w:highlight w:val="none"/>
          <w:u w:val="single"/>
        </w:rPr>
        <w:t xml:space="preserve">   (中型企业、小型企业、微型企业)；</w:t>
      </w:r>
    </w:p>
    <w:p>
      <w:pPr>
        <w:spacing w:line="500" w:lineRule="exact"/>
        <w:ind w:firstLine="480" w:firstLineChars="200"/>
        <w:rPr>
          <w:rFonts w:ascii="宋体" w:hAnsi="宋体" w:cs="宋体"/>
          <w:color w:val="auto"/>
          <w:sz w:val="24"/>
          <w:szCs w:val="24"/>
          <w:highlight w:val="none"/>
        </w:rPr>
      </w:pPr>
    </w:p>
    <w:p>
      <w:pPr>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(标的名称)，属于</w:t>
      </w:r>
      <w:r>
        <w:rPr>
          <w:rFonts w:hint="eastAsia" w:ascii="宋体" w:hAnsi="宋体" w:cs="宋体"/>
          <w:color w:val="auto"/>
          <w:sz w:val="24"/>
          <w:szCs w:val="24"/>
          <w:highlight w:val="none"/>
          <w:u w:val="single"/>
        </w:rPr>
        <w:t xml:space="preserve">  (采购文件中明确的所属行业）</w:t>
      </w:r>
      <w:r>
        <w:rPr>
          <w:rFonts w:hint="eastAsia" w:ascii="宋体" w:hAnsi="宋体" w:cs="宋体"/>
          <w:color w:val="auto"/>
          <w:sz w:val="24"/>
          <w:szCs w:val="24"/>
          <w:highlight w:val="none"/>
        </w:rPr>
        <w:t>；承建（承接）企业为</w:t>
      </w:r>
      <w:r>
        <w:rPr>
          <w:rFonts w:hint="eastAsia" w:ascii="宋体" w:hAnsi="宋体" w:cs="宋体"/>
          <w:color w:val="auto"/>
          <w:sz w:val="24"/>
          <w:szCs w:val="24"/>
          <w:highlight w:val="none"/>
          <w:u w:val="single"/>
        </w:rPr>
        <w:t xml:space="preserve">   (企业名称)</w:t>
      </w:r>
      <w:r>
        <w:rPr>
          <w:rFonts w:hint="eastAsia" w:ascii="宋体" w:hAnsi="宋体" w:cs="宋体"/>
          <w:color w:val="auto"/>
          <w:sz w:val="24"/>
          <w:szCs w:val="24"/>
          <w:highlight w:val="none"/>
        </w:rPr>
        <w:t>，从业人员</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人，营业收入为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万元，资产总额为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万元，属于</w:t>
      </w:r>
      <w:r>
        <w:rPr>
          <w:rFonts w:hint="eastAsia" w:ascii="宋体" w:hAnsi="宋体" w:cs="宋体"/>
          <w:color w:val="auto"/>
          <w:sz w:val="24"/>
          <w:szCs w:val="24"/>
          <w:highlight w:val="none"/>
          <w:u w:val="single"/>
        </w:rPr>
        <w:t xml:space="preserve">    (中型企业、小型企业、微型企业)；</w:t>
      </w:r>
    </w:p>
    <w:p>
      <w:pPr>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w:t>
      </w:r>
    </w:p>
    <w:p>
      <w:pPr>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以上企业，不属于大企业的分支机构，不存在控股股东为大企业的情形，也不存在与大企业的负责人为同一人的情形。</w:t>
      </w:r>
    </w:p>
    <w:p>
      <w:pPr>
        <w:spacing w:line="500" w:lineRule="exact"/>
        <w:ind w:firstLine="482" w:firstLineChars="200"/>
        <w:rPr>
          <w:b/>
          <w:bCs/>
          <w:color w:val="auto"/>
          <w:sz w:val="24"/>
          <w:szCs w:val="24"/>
          <w:highlight w:val="none"/>
        </w:rPr>
      </w:pPr>
      <w:r>
        <w:rPr>
          <w:rFonts w:hint="eastAsia" w:ascii="宋体" w:hAnsi="宋体" w:cs="宋体"/>
          <w:b/>
          <w:bCs/>
          <w:color w:val="auto"/>
          <w:sz w:val="24"/>
          <w:szCs w:val="24"/>
          <w:highlight w:val="none"/>
        </w:rPr>
        <w:t>本企业对上述声明内容的真实性负责。如有虚假，将依法承担相应责任。</w:t>
      </w:r>
    </w:p>
    <w:p>
      <w:pPr>
        <w:spacing w:line="500" w:lineRule="exact"/>
        <w:rPr>
          <w:rFonts w:ascii="宋体" w:hAnsi="宋体" w:cs="宋体"/>
          <w:color w:val="auto"/>
          <w:sz w:val="24"/>
          <w:szCs w:val="24"/>
          <w:highlight w:val="none"/>
        </w:rPr>
      </w:pPr>
    </w:p>
    <w:p>
      <w:pPr>
        <w:spacing w:line="500" w:lineRule="exact"/>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rPr>
        <w:t>　               　   企业名称（盖单）：</w:t>
      </w:r>
      <w:r>
        <w:rPr>
          <w:rFonts w:hint="eastAsia" w:ascii="宋体" w:hAnsi="宋体" w:cs="宋体"/>
          <w:color w:val="auto"/>
          <w:sz w:val="24"/>
          <w:szCs w:val="24"/>
          <w:highlight w:val="none"/>
          <w:u w:val="single"/>
        </w:rPr>
        <w:t xml:space="preserve">                      </w:t>
      </w:r>
    </w:p>
    <w:p>
      <w:pPr>
        <w:spacing w:line="500" w:lineRule="exact"/>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rPr>
        <w:t> 　                  日期：</w:t>
      </w:r>
      <w:r>
        <w:rPr>
          <w:rFonts w:hint="eastAsia" w:ascii="宋体" w:hAnsi="宋体" w:cs="宋体"/>
          <w:color w:val="auto"/>
          <w:sz w:val="24"/>
          <w:szCs w:val="24"/>
          <w:highlight w:val="none"/>
          <w:u w:val="single"/>
        </w:rPr>
        <w:t xml:space="preserve">                         </w:t>
      </w:r>
    </w:p>
    <w:p>
      <w:pPr>
        <w:spacing w:line="500" w:lineRule="exact"/>
        <w:ind w:firstLine="480" w:firstLineChars="200"/>
        <w:rPr>
          <w:rFonts w:ascii="宋体" w:hAnsi="宋体" w:cs="宋体"/>
          <w:color w:val="auto"/>
          <w:sz w:val="24"/>
          <w:szCs w:val="24"/>
          <w:highlight w:val="none"/>
        </w:rPr>
      </w:pPr>
    </w:p>
    <w:p>
      <w:pPr>
        <w:pStyle w:val="3"/>
        <w:rPr>
          <w:color w:val="auto"/>
          <w:sz w:val="24"/>
          <w:szCs w:val="24"/>
          <w:highlight w:val="none"/>
        </w:rPr>
      </w:pPr>
    </w:p>
    <w:p>
      <w:pPr>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从业人员，营业收入、资产总额填报上一年度数据，无上一年度数据的新成立企业可不填报。</w:t>
      </w:r>
    </w:p>
    <w:p>
      <w:pPr>
        <w:pStyle w:val="24"/>
        <w:spacing w:before="100" w:beforeAutospacing="1" w:after="100" w:afterAutospacing="1" w:line="360" w:lineRule="auto"/>
        <w:rPr>
          <w:rFonts w:hAnsi="宋体" w:cs="宋体"/>
          <w:bCs/>
          <w:color w:val="auto"/>
          <w:sz w:val="24"/>
          <w:szCs w:val="24"/>
          <w:highlight w:val="none"/>
          <w:lang w:val="zh-CN"/>
        </w:rPr>
      </w:pPr>
    </w:p>
    <w:p>
      <w:pPr>
        <w:autoSpaceDE w:val="0"/>
        <w:autoSpaceDN w:val="0"/>
        <w:adjustRightInd w:val="0"/>
        <w:spacing w:line="360" w:lineRule="auto"/>
        <w:jc w:val="left"/>
        <w:rPr>
          <w:rFonts w:ascii="宋体" w:hAnsi="宋体" w:cs="宋体"/>
          <w:color w:val="auto"/>
          <w:sz w:val="24"/>
          <w:szCs w:val="24"/>
          <w:highlight w:val="none"/>
        </w:rPr>
      </w:pPr>
    </w:p>
    <w:bookmarkEnd w:id="90"/>
    <w:sectPr>
      <w:footerReference r:id="rId9" w:type="first"/>
      <w:headerReference r:id="rId7" w:type="default"/>
      <w:footerReference r:id="rId8" w:type="default"/>
      <w:pgSz w:w="11905" w:h="16838"/>
      <w:pgMar w:top="1417" w:right="1417" w:bottom="1134" w:left="1797" w:header="850" w:footer="737" w:gutter="0"/>
      <w:cols w:space="720" w:num="1"/>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02"/>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MS Sans Serif">
    <w:altName w:val="Segoe Print"/>
    <w:panose1 w:val="00000000000000000000"/>
    <w:charset w:val="00"/>
    <w:family w:val="swiss"/>
    <w:pitch w:val="default"/>
    <w:sig w:usb0="00000000" w:usb1="00000000" w:usb2="00000000" w:usb3="00000000" w:csb0="00000001"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monospace">
    <w:altName w:val="Segoe Print"/>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Helvetica Neue">
    <w:altName w:val="Corbel"/>
    <w:panose1 w:val="00000000000000000000"/>
    <w:charset w:val="00"/>
    <w:family w:val="auto"/>
    <w:pitch w:val="default"/>
    <w:sig w:usb0="00000000" w:usb1="00000000" w:usb2="0000001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Corbel">
    <w:panose1 w:val="020B0503020204020204"/>
    <w:charset w:val="00"/>
    <w:family w:val="auto"/>
    <w:pitch w:val="default"/>
    <w:sig w:usb0="A00002EF" w:usb1="4000A44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57785" cy="131445"/>
              <wp:effectExtent l="0" t="635" r="635" b="1270"/>
              <wp:wrapNone/>
              <wp:docPr id="4" name="文本框 16"/>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pPr>
                            <w:pStyle w:val="30"/>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16" o:spid="_x0000_s1026" o:spt="202" type="#_x0000_t202" style="position:absolute;left:0pt;margin-top:0pt;height:10.35pt;width:4.55pt;mso-position-horizontal:center;mso-position-horizontal-relative:margin;mso-wrap-style:none;z-index:251661312;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Pi91E0AAAAAIBAAAPAAAAAAAAAAEAIAAAACIAAABkcnMv&#10;ZG93bnJldi54bWxQSwECFAAUAAAACACHTuJAQSVzCQsCAAACBAAADgAAAAAAAAABACAAAAAfAQAA&#10;ZHJzL2Uyb0RvYy54bWxQSwUGAAAAAAYABgBZAQAAnAUAAAAA&#10;">
              <v:fill on="f" focussize="0,0"/>
              <v:stroke on="f"/>
              <v:imagedata o:title=""/>
              <o:lock v:ext="edit" aspectratio="f"/>
              <v:textbox inset="0mm,0mm,0mm,0mm" style="mso-fit-shape-to-text:t;">
                <w:txbxContent>
                  <w:p>
                    <w:pPr>
                      <w:pStyle w:val="30"/>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ind w:right="36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57785" cy="131445"/>
              <wp:effectExtent l="0" t="0" r="1270" b="0"/>
              <wp:wrapNone/>
              <wp:docPr id="3" name="文本框 19"/>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pPr>
                            <w:pStyle w:val="30"/>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19" o:spid="_x0000_s1026" o:spt="202" type="#_x0000_t202" style="position:absolute;left:0pt;margin-top:0pt;height:10.35pt;width:4.55pt;mso-position-horizontal:center;mso-position-horizontal-relative:margin;mso-wrap-style:none;z-index:251662336;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z4vdRNAAAAACAQAADwAAAAAAAAABACAAAAAiAAAAZHJz&#10;L2Rvd25yZXYueG1sUEsBAhQAFAAAAAgAh07iQFxcCGQMAgAAAgQAAA4AAAAAAAAAAQAgAAAAHwEA&#10;AGRycy9lMm9Eb2MueG1sUEsFBgAAAAAGAAYAWQEAAJ0FAAAAAA==&#10;">
              <v:fill on="f" focussize="0,0"/>
              <v:stroke on="f"/>
              <v:imagedata o:title=""/>
              <o:lock v:ext="edit" aspectratio="f"/>
              <v:textbox inset="0mm,0mm,0mm,0mm" style="mso-fit-shape-to-text:t;">
                <w:txbxContent>
                  <w:p>
                    <w:pPr>
                      <w:pStyle w:val="30"/>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4445" t="0" r="4445" b="0"/>
              <wp:wrapNone/>
              <wp:docPr id="2" name="文本框 12"/>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30"/>
                          </w:pPr>
                          <w:r>
                            <w:rPr>
                              <w:rFonts w:hint="eastAsia"/>
                            </w:rPr>
                            <w:fldChar w:fldCharType="begin"/>
                          </w:r>
                          <w:r>
                            <w:rPr>
                              <w:rFonts w:hint="eastAsia"/>
                            </w:rPr>
                            <w:instrText xml:space="preserve"> PAGE  \* MERGEFORMAT </w:instrText>
                          </w:r>
                          <w:r>
                            <w:rPr>
                              <w:rFonts w:hint="eastAsia"/>
                            </w:rPr>
                            <w:fldChar w:fldCharType="separate"/>
                          </w:r>
                          <w:r>
                            <w:t>31</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12" o:spid="_x0000_s1026" o:spt="202" type="#_x0000_t202"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D5X5J0AAAAAMBAAAPAAAAAAAAAAEAIAAAACIAAABkcnMv&#10;ZG93bnJldi54bWxQSwECFAAUAAAACACHTuJA7BIxXgsCAAADBAAADgAAAAAAAAABACAAAAAfAQAA&#10;ZHJzL2Uyb0RvYy54bWxQSwUGAAAAAAYABgBZAQAAnAUAAAAA&#10;">
              <v:fill on="f" focussize="0,0"/>
              <v:stroke on="f"/>
              <v:imagedata o:title=""/>
              <o:lock v:ext="edit" aspectratio="f"/>
              <v:textbox inset="0mm,0mm,0mm,0mm" style="mso-fit-shape-to-text:t;">
                <w:txbxContent>
                  <w:p>
                    <w:pPr>
                      <w:pStyle w:val="30"/>
                    </w:pPr>
                    <w:r>
                      <w:rPr>
                        <w:rFonts w:hint="eastAsia"/>
                      </w:rPr>
                      <w:fldChar w:fldCharType="begin"/>
                    </w:r>
                    <w:r>
                      <w:rPr>
                        <w:rFonts w:hint="eastAsia"/>
                      </w:rPr>
                      <w:instrText xml:space="preserve"> PAGE  \* MERGEFORMAT </w:instrText>
                    </w:r>
                    <w:r>
                      <w:rPr>
                        <w:rFonts w:hint="eastAsia"/>
                      </w:rPr>
                      <w:fldChar w:fldCharType="separate"/>
                    </w:r>
                    <w:r>
                      <w:t>31</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4445" t="3175" r="4445" b="0"/>
              <wp:wrapNone/>
              <wp:docPr id="1" name="文本框 11"/>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30"/>
                          </w:pPr>
                          <w:r>
                            <w:rPr>
                              <w:rFonts w:hint="eastAsia"/>
                            </w:rPr>
                            <w:fldChar w:fldCharType="begin"/>
                          </w:r>
                          <w:r>
                            <w:rPr>
                              <w:rFonts w:hint="eastAsia"/>
                            </w:rPr>
                            <w:instrText xml:space="preserve"> PAGE  \* MERGEFORMAT </w:instrText>
                          </w:r>
                          <w:r>
                            <w:rPr>
                              <w:rFonts w:hint="eastAsia"/>
                            </w:rPr>
                            <w:fldChar w:fldCharType="separate"/>
                          </w:r>
                          <w:r>
                            <w:t>30</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11"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Q+V+SdAAAAADAQAADwAAAAAAAAABACAAAAAiAAAAZHJzL2Rv&#10;d25yZXYueG1sUEsBAhQAFAAAAAgAh07iQNK5c+YJAgAAAwQAAA4AAAAAAAAAAQAgAAAAHwEAAGRy&#10;cy9lMm9Eb2MueG1sUEsFBgAAAAAGAAYAWQEAAJoFAAAAAA==&#10;">
              <v:fill on="f" focussize="0,0"/>
              <v:stroke on="f"/>
              <v:imagedata o:title=""/>
              <o:lock v:ext="edit" aspectratio="f"/>
              <v:textbox inset="0mm,0mm,0mm,0mm" style="mso-fit-shape-to-text:t;">
                <w:txbxContent>
                  <w:p>
                    <w:pPr>
                      <w:pStyle w:val="30"/>
                    </w:pPr>
                    <w:r>
                      <w:rPr>
                        <w:rFonts w:hint="eastAsia"/>
                      </w:rPr>
                      <w:fldChar w:fldCharType="begin"/>
                    </w:r>
                    <w:r>
                      <w:rPr>
                        <w:rFonts w:hint="eastAsia"/>
                      </w:rPr>
                      <w:instrText xml:space="preserve"> PAGE  \* MERGEFORMAT </w:instrText>
                    </w:r>
                    <w:r>
                      <w:rPr>
                        <w:rFonts w:hint="eastAsia"/>
                      </w:rPr>
                      <w:fldChar w:fldCharType="separate"/>
                    </w:r>
                    <w:r>
                      <w:t>30</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4A40BB"/>
    <w:multiLevelType w:val="singleLevel"/>
    <w:tmpl w:val="AE4A40BB"/>
    <w:lvl w:ilvl="0" w:tentative="0">
      <w:start w:val="1"/>
      <w:numFmt w:val="decimal"/>
      <w:lvlText w:val="%1"/>
      <w:lvlJc w:val="center"/>
      <w:pPr>
        <w:ind w:left="454" w:leftChars="0" w:hanging="248" w:firstLineChars="0"/>
      </w:pPr>
      <w:rPr>
        <w:rFonts w:hint="default"/>
      </w:rPr>
    </w:lvl>
  </w:abstractNum>
  <w:abstractNum w:abstractNumId="1">
    <w:nsid w:val="FAEDF774"/>
    <w:multiLevelType w:val="singleLevel"/>
    <w:tmpl w:val="FAEDF774"/>
    <w:lvl w:ilvl="0" w:tentative="0">
      <w:start w:val="4"/>
      <w:numFmt w:val="chineseCounting"/>
      <w:suff w:val="space"/>
      <w:lvlText w:val="第%1章"/>
      <w:lvlJc w:val="left"/>
      <w:rPr>
        <w:rFonts w:hint="eastAsia"/>
      </w:rPr>
    </w:lvl>
  </w:abstractNum>
  <w:abstractNum w:abstractNumId="2">
    <w:nsid w:val="0000000F"/>
    <w:multiLevelType w:val="multilevel"/>
    <w:tmpl w:val="0000000F"/>
    <w:lvl w:ilvl="0" w:tentative="0">
      <w:start w:val="1"/>
      <w:numFmt w:val="decimal"/>
      <w:pStyle w:val="147"/>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pStyle w:val="154"/>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pStyle w:val="7"/>
      <w:lvlText w:val="%6."/>
      <w:lvlJc w:val="right"/>
      <w:pPr>
        <w:tabs>
          <w:tab w:val="left" w:pos="2520"/>
        </w:tabs>
        <w:ind w:left="2520" w:hanging="420"/>
      </w:pPr>
    </w:lvl>
    <w:lvl w:ilvl="6" w:tentative="0">
      <w:start w:val="1"/>
      <w:numFmt w:val="decimal"/>
      <w:pStyle w:val="8"/>
      <w:lvlText w:val="%7."/>
      <w:lvlJc w:val="left"/>
      <w:pPr>
        <w:tabs>
          <w:tab w:val="left" w:pos="2940"/>
        </w:tabs>
        <w:ind w:left="2940" w:hanging="420"/>
      </w:pPr>
    </w:lvl>
    <w:lvl w:ilvl="7" w:tentative="0">
      <w:start w:val="1"/>
      <w:numFmt w:val="lowerLetter"/>
      <w:pStyle w:val="9"/>
      <w:lvlText w:val="%8)"/>
      <w:lvlJc w:val="left"/>
      <w:pPr>
        <w:tabs>
          <w:tab w:val="left" w:pos="3360"/>
        </w:tabs>
        <w:ind w:left="3360" w:hanging="420"/>
      </w:pPr>
    </w:lvl>
    <w:lvl w:ilvl="8" w:tentative="0">
      <w:start w:val="1"/>
      <w:numFmt w:val="lowerRoman"/>
      <w:pStyle w:val="10"/>
      <w:lvlText w:val="%9."/>
      <w:lvlJc w:val="right"/>
      <w:pPr>
        <w:tabs>
          <w:tab w:val="left" w:pos="3780"/>
        </w:tabs>
        <w:ind w:left="3780" w:hanging="420"/>
      </w:pPr>
    </w:lvl>
  </w:abstractNum>
  <w:abstractNum w:abstractNumId="3">
    <w:nsid w:val="2C5917C3"/>
    <w:multiLevelType w:val="multilevel"/>
    <w:tmpl w:val="2C5917C3"/>
    <w:lvl w:ilvl="0" w:tentative="0">
      <w:start w:val="1"/>
      <w:numFmt w:val="none"/>
      <w:pStyle w:val="160"/>
      <w:suff w:val="nothing"/>
      <w:lvlText w:val="%1——"/>
      <w:lvlJc w:val="left"/>
      <w:pPr>
        <w:ind w:left="1248" w:hanging="408"/>
      </w:pPr>
      <w:rPr>
        <w:rFonts w:hint="eastAsia"/>
      </w:rPr>
    </w:lvl>
    <w:lvl w:ilvl="1" w:tentative="0">
      <w:start w:val="1"/>
      <w:numFmt w:val="bullet"/>
      <w:lvlText w:val=""/>
      <w:lvlJc w:val="left"/>
      <w:pPr>
        <w:tabs>
          <w:tab w:val="left" w:pos="760"/>
        </w:tabs>
        <w:ind w:left="1264" w:hanging="413"/>
      </w:pPr>
      <w:rPr>
        <w:rFonts w:hint="default" w:ascii="Symbol" w:hAnsi="Symbol"/>
        <w:color w:val="auto"/>
      </w:rPr>
    </w:lvl>
    <w:lvl w:ilvl="2" w:tentative="0">
      <w:start w:val="1"/>
      <w:numFmt w:val="bullet"/>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4">
    <w:nsid w:val="502CC322"/>
    <w:multiLevelType w:val="singleLevel"/>
    <w:tmpl w:val="502CC322"/>
    <w:lvl w:ilvl="0" w:tentative="0">
      <w:start w:val="1"/>
      <w:numFmt w:val="chineseCounting"/>
      <w:suff w:val="space"/>
      <w:lvlText w:val="第%1章"/>
      <w:lvlJc w:val="left"/>
      <w:rPr>
        <w:rFonts w:hint="eastAsia"/>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210"/>
  <w:drawingGridVerticalSpacing w:val="-7946"/>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NiZTc2ZGI4ODRjMTRjMzAzYzljNTM1ZjY3YTRmZmIifQ=="/>
  </w:docVars>
  <w:rsids>
    <w:rsidRoot w:val="00172A27"/>
    <w:rsid w:val="00092A78"/>
    <w:rsid w:val="00172A27"/>
    <w:rsid w:val="002120EF"/>
    <w:rsid w:val="0024093E"/>
    <w:rsid w:val="002D7065"/>
    <w:rsid w:val="003D3E01"/>
    <w:rsid w:val="003D5AEE"/>
    <w:rsid w:val="00526F91"/>
    <w:rsid w:val="00617552"/>
    <w:rsid w:val="00740001"/>
    <w:rsid w:val="00776B74"/>
    <w:rsid w:val="00895D07"/>
    <w:rsid w:val="009737D8"/>
    <w:rsid w:val="009A7452"/>
    <w:rsid w:val="009D2E89"/>
    <w:rsid w:val="00A71BC7"/>
    <w:rsid w:val="00AB408C"/>
    <w:rsid w:val="00BC1B25"/>
    <w:rsid w:val="00C054D9"/>
    <w:rsid w:val="00D369A5"/>
    <w:rsid w:val="00DA6182"/>
    <w:rsid w:val="00DB777A"/>
    <w:rsid w:val="00E16FE2"/>
    <w:rsid w:val="00E80370"/>
    <w:rsid w:val="00EA4E2E"/>
    <w:rsid w:val="00F01E76"/>
    <w:rsid w:val="00F376B8"/>
    <w:rsid w:val="00F76805"/>
    <w:rsid w:val="00FB0DA6"/>
    <w:rsid w:val="010C0502"/>
    <w:rsid w:val="011B076D"/>
    <w:rsid w:val="01364957"/>
    <w:rsid w:val="01392FF5"/>
    <w:rsid w:val="013B2B96"/>
    <w:rsid w:val="014D2CCE"/>
    <w:rsid w:val="01520E04"/>
    <w:rsid w:val="01562245"/>
    <w:rsid w:val="015A0117"/>
    <w:rsid w:val="016F1E6F"/>
    <w:rsid w:val="017B4801"/>
    <w:rsid w:val="018450D3"/>
    <w:rsid w:val="018D5CCC"/>
    <w:rsid w:val="018F3708"/>
    <w:rsid w:val="01A015C6"/>
    <w:rsid w:val="01B065BA"/>
    <w:rsid w:val="01C20306"/>
    <w:rsid w:val="01D058FF"/>
    <w:rsid w:val="01F2522C"/>
    <w:rsid w:val="01FE37DF"/>
    <w:rsid w:val="01FE4DD1"/>
    <w:rsid w:val="020B7E0E"/>
    <w:rsid w:val="02202A1E"/>
    <w:rsid w:val="02205CDC"/>
    <w:rsid w:val="024015FE"/>
    <w:rsid w:val="0283506D"/>
    <w:rsid w:val="0285696A"/>
    <w:rsid w:val="02AD20E0"/>
    <w:rsid w:val="02BA6DDD"/>
    <w:rsid w:val="02BC3451"/>
    <w:rsid w:val="02D24292"/>
    <w:rsid w:val="02DF5101"/>
    <w:rsid w:val="02E849B6"/>
    <w:rsid w:val="02EA287A"/>
    <w:rsid w:val="02EC24C8"/>
    <w:rsid w:val="02FD4CAD"/>
    <w:rsid w:val="02FE6B10"/>
    <w:rsid w:val="02FF5E45"/>
    <w:rsid w:val="03423B2D"/>
    <w:rsid w:val="034C5DA0"/>
    <w:rsid w:val="03620100"/>
    <w:rsid w:val="03624E28"/>
    <w:rsid w:val="036363D4"/>
    <w:rsid w:val="037315E4"/>
    <w:rsid w:val="03974967"/>
    <w:rsid w:val="039859AF"/>
    <w:rsid w:val="03991DF6"/>
    <w:rsid w:val="03AA4979"/>
    <w:rsid w:val="03B13118"/>
    <w:rsid w:val="03BE7D34"/>
    <w:rsid w:val="03C52AD7"/>
    <w:rsid w:val="03E56DE9"/>
    <w:rsid w:val="04002523"/>
    <w:rsid w:val="040B61EF"/>
    <w:rsid w:val="043B3CCE"/>
    <w:rsid w:val="04664F53"/>
    <w:rsid w:val="046A0822"/>
    <w:rsid w:val="0479788E"/>
    <w:rsid w:val="048F1237"/>
    <w:rsid w:val="04904FA7"/>
    <w:rsid w:val="04983AA2"/>
    <w:rsid w:val="04B862AB"/>
    <w:rsid w:val="04C74724"/>
    <w:rsid w:val="04D63758"/>
    <w:rsid w:val="04E71D9A"/>
    <w:rsid w:val="04EB5264"/>
    <w:rsid w:val="04EF19C1"/>
    <w:rsid w:val="050E437D"/>
    <w:rsid w:val="05285CBC"/>
    <w:rsid w:val="052A7B61"/>
    <w:rsid w:val="052C7FA3"/>
    <w:rsid w:val="05330C65"/>
    <w:rsid w:val="05345AE5"/>
    <w:rsid w:val="05397BC6"/>
    <w:rsid w:val="053A5AF9"/>
    <w:rsid w:val="053B6C38"/>
    <w:rsid w:val="0541145C"/>
    <w:rsid w:val="054A15F9"/>
    <w:rsid w:val="054F4E62"/>
    <w:rsid w:val="05A33920"/>
    <w:rsid w:val="05B413B4"/>
    <w:rsid w:val="05C1700E"/>
    <w:rsid w:val="05C44C85"/>
    <w:rsid w:val="05E352FD"/>
    <w:rsid w:val="05ED2F51"/>
    <w:rsid w:val="05F54962"/>
    <w:rsid w:val="05FA69FC"/>
    <w:rsid w:val="0600615C"/>
    <w:rsid w:val="06043D18"/>
    <w:rsid w:val="06095645"/>
    <w:rsid w:val="060F5B7A"/>
    <w:rsid w:val="06131D26"/>
    <w:rsid w:val="06141C07"/>
    <w:rsid w:val="06153268"/>
    <w:rsid w:val="06213A0F"/>
    <w:rsid w:val="06231700"/>
    <w:rsid w:val="067412BF"/>
    <w:rsid w:val="068154EF"/>
    <w:rsid w:val="068472C4"/>
    <w:rsid w:val="06856E29"/>
    <w:rsid w:val="068A1A74"/>
    <w:rsid w:val="068B7C0B"/>
    <w:rsid w:val="068C2B87"/>
    <w:rsid w:val="069F5975"/>
    <w:rsid w:val="06B14770"/>
    <w:rsid w:val="06B5358E"/>
    <w:rsid w:val="06D117C4"/>
    <w:rsid w:val="06D40886"/>
    <w:rsid w:val="06EE25A0"/>
    <w:rsid w:val="06FE159B"/>
    <w:rsid w:val="070752C8"/>
    <w:rsid w:val="0710034B"/>
    <w:rsid w:val="072702BE"/>
    <w:rsid w:val="073A43B2"/>
    <w:rsid w:val="074A173B"/>
    <w:rsid w:val="0755481D"/>
    <w:rsid w:val="07573D64"/>
    <w:rsid w:val="07587D5E"/>
    <w:rsid w:val="075D1F78"/>
    <w:rsid w:val="077D6C86"/>
    <w:rsid w:val="0788175D"/>
    <w:rsid w:val="079A19F7"/>
    <w:rsid w:val="079B3C45"/>
    <w:rsid w:val="079E6705"/>
    <w:rsid w:val="07A20C7B"/>
    <w:rsid w:val="07AB48C8"/>
    <w:rsid w:val="07BF5C81"/>
    <w:rsid w:val="07DA2C8A"/>
    <w:rsid w:val="07DC6899"/>
    <w:rsid w:val="08013891"/>
    <w:rsid w:val="0801495A"/>
    <w:rsid w:val="0808780A"/>
    <w:rsid w:val="081128A2"/>
    <w:rsid w:val="0814056B"/>
    <w:rsid w:val="081A536E"/>
    <w:rsid w:val="08395955"/>
    <w:rsid w:val="08431698"/>
    <w:rsid w:val="084C42C1"/>
    <w:rsid w:val="084E4CCA"/>
    <w:rsid w:val="08536A05"/>
    <w:rsid w:val="085D25BC"/>
    <w:rsid w:val="08606B7B"/>
    <w:rsid w:val="08656AB8"/>
    <w:rsid w:val="087A1602"/>
    <w:rsid w:val="087F6BF6"/>
    <w:rsid w:val="08834589"/>
    <w:rsid w:val="0888054E"/>
    <w:rsid w:val="088C66ED"/>
    <w:rsid w:val="08922EDF"/>
    <w:rsid w:val="08980249"/>
    <w:rsid w:val="0899065E"/>
    <w:rsid w:val="08A376C7"/>
    <w:rsid w:val="08B15B10"/>
    <w:rsid w:val="08B31388"/>
    <w:rsid w:val="08C84615"/>
    <w:rsid w:val="08D87BDA"/>
    <w:rsid w:val="08DE4E32"/>
    <w:rsid w:val="08E42242"/>
    <w:rsid w:val="08E46ABC"/>
    <w:rsid w:val="09043A5D"/>
    <w:rsid w:val="09211ABF"/>
    <w:rsid w:val="092F3125"/>
    <w:rsid w:val="0946032A"/>
    <w:rsid w:val="094C0A80"/>
    <w:rsid w:val="094C2194"/>
    <w:rsid w:val="094D5FE9"/>
    <w:rsid w:val="095E2056"/>
    <w:rsid w:val="09695E13"/>
    <w:rsid w:val="097D4AD8"/>
    <w:rsid w:val="09812026"/>
    <w:rsid w:val="09824F4E"/>
    <w:rsid w:val="099D7048"/>
    <w:rsid w:val="09AB2B27"/>
    <w:rsid w:val="09DF3948"/>
    <w:rsid w:val="09E71B0D"/>
    <w:rsid w:val="0A03621B"/>
    <w:rsid w:val="0A0A3895"/>
    <w:rsid w:val="0A36305A"/>
    <w:rsid w:val="0A3F7702"/>
    <w:rsid w:val="0A444BE2"/>
    <w:rsid w:val="0A4F5936"/>
    <w:rsid w:val="0A502B6F"/>
    <w:rsid w:val="0A56459C"/>
    <w:rsid w:val="0AA55524"/>
    <w:rsid w:val="0AAB1C10"/>
    <w:rsid w:val="0AAD3582"/>
    <w:rsid w:val="0AAE6380"/>
    <w:rsid w:val="0AC64852"/>
    <w:rsid w:val="0AD55E09"/>
    <w:rsid w:val="0AE01BA4"/>
    <w:rsid w:val="0AE41BA8"/>
    <w:rsid w:val="0AEA1189"/>
    <w:rsid w:val="0AEC2C46"/>
    <w:rsid w:val="0AFE40F4"/>
    <w:rsid w:val="0B0A2B7A"/>
    <w:rsid w:val="0B240DD3"/>
    <w:rsid w:val="0B251DE0"/>
    <w:rsid w:val="0B263833"/>
    <w:rsid w:val="0B346965"/>
    <w:rsid w:val="0B3B4781"/>
    <w:rsid w:val="0B4A6319"/>
    <w:rsid w:val="0B4C7FE6"/>
    <w:rsid w:val="0B501474"/>
    <w:rsid w:val="0B5A77DA"/>
    <w:rsid w:val="0B6815DC"/>
    <w:rsid w:val="0B723683"/>
    <w:rsid w:val="0B7E7098"/>
    <w:rsid w:val="0B802535"/>
    <w:rsid w:val="0B8C58C7"/>
    <w:rsid w:val="0B9B1A81"/>
    <w:rsid w:val="0BAD7E73"/>
    <w:rsid w:val="0BB655DF"/>
    <w:rsid w:val="0BB92254"/>
    <w:rsid w:val="0BBD21B8"/>
    <w:rsid w:val="0BBF6BBF"/>
    <w:rsid w:val="0BCB0FBA"/>
    <w:rsid w:val="0BEF39E7"/>
    <w:rsid w:val="0BF970B0"/>
    <w:rsid w:val="0C0555AD"/>
    <w:rsid w:val="0C327BDA"/>
    <w:rsid w:val="0C3415F0"/>
    <w:rsid w:val="0C6E2E42"/>
    <w:rsid w:val="0C7873AB"/>
    <w:rsid w:val="0C794471"/>
    <w:rsid w:val="0C7B28C4"/>
    <w:rsid w:val="0C803B05"/>
    <w:rsid w:val="0C926699"/>
    <w:rsid w:val="0CC015F5"/>
    <w:rsid w:val="0CD34B26"/>
    <w:rsid w:val="0CE7443B"/>
    <w:rsid w:val="0CF05A8B"/>
    <w:rsid w:val="0CFE4D6A"/>
    <w:rsid w:val="0D101598"/>
    <w:rsid w:val="0D1D167E"/>
    <w:rsid w:val="0D1F4EEE"/>
    <w:rsid w:val="0D303856"/>
    <w:rsid w:val="0D317212"/>
    <w:rsid w:val="0D5113D6"/>
    <w:rsid w:val="0D537991"/>
    <w:rsid w:val="0D64771B"/>
    <w:rsid w:val="0D7838A2"/>
    <w:rsid w:val="0D78679B"/>
    <w:rsid w:val="0D79347D"/>
    <w:rsid w:val="0D803F61"/>
    <w:rsid w:val="0D95000F"/>
    <w:rsid w:val="0D9948A2"/>
    <w:rsid w:val="0DA17846"/>
    <w:rsid w:val="0DB26FA6"/>
    <w:rsid w:val="0DB8556E"/>
    <w:rsid w:val="0DBA4A79"/>
    <w:rsid w:val="0DBE4C2B"/>
    <w:rsid w:val="0DDD0653"/>
    <w:rsid w:val="0DF27D93"/>
    <w:rsid w:val="0E006627"/>
    <w:rsid w:val="0E0A401C"/>
    <w:rsid w:val="0E33587B"/>
    <w:rsid w:val="0E4057C5"/>
    <w:rsid w:val="0E4245F1"/>
    <w:rsid w:val="0E466540"/>
    <w:rsid w:val="0E506236"/>
    <w:rsid w:val="0E6409CA"/>
    <w:rsid w:val="0E672E4D"/>
    <w:rsid w:val="0E711999"/>
    <w:rsid w:val="0E762C49"/>
    <w:rsid w:val="0E8A2A67"/>
    <w:rsid w:val="0E957105"/>
    <w:rsid w:val="0EA53C58"/>
    <w:rsid w:val="0EAC6E81"/>
    <w:rsid w:val="0ED014D7"/>
    <w:rsid w:val="0EEA2826"/>
    <w:rsid w:val="0EEA49B1"/>
    <w:rsid w:val="0F025E8B"/>
    <w:rsid w:val="0F122513"/>
    <w:rsid w:val="0F2B4346"/>
    <w:rsid w:val="0F4251AA"/>
    <w:rsid w:val="0F67514B"/>
    <w:rsid w:val="0F67627E"/>
    <w:rsid w:val="0F693E74"/>
    <w:rsid w:val="0F7278E4"/>
    <w:rsid w:val="0F845AE7"/>
    <w:rsid w:val="0F8F046F"/>
    <w:rsid w:val="0F8F27F2"/>
    <w:rsid w:val="0F982EF8"/>
    <w:rsid w:val="0F9B03B3"/>
    <w:rsid w:val="0FA958FA"/>
    <w:rsid w:val="0FAB11CA"/>
    <w:rsid w:val="0FAE0B7A"/>
    <w:rsid w:val="0FBC7598"/>
    <w:rsid w:val="0FC922CC"/>
    <w:rsid w:val="0FE80C30"/>
    <w:rsid w:val="0FF00438"/>
    <w:rsid w:val="0FF43096"/>
    <w:rsid w:val="0FFC2826"/>
    <w:rsid w:val="100D68C6"/>
    <w:rsid w:val="10243F77"/>
    <w:rsid w:val="10400BB6"/>
    <w:rsid w:val="104A5433"/>
    <w:rsid w:val="105064C1"/>
    <w:rsid w:val="10543CFF"/>
    <w:rsid w:val="105B2110"/>
    <w:rsid w:val="10616C61"/>
    <w:rsid w:val="1067687D"/>
    <w:rsid w:val="10825116"/>
    <w:rsid w:val="109C1B36"/>
    <w:rsid w:val="10A5780E"/>
    <w:rsid w:val="10A84798"/>
    <w:rsid w:val="10AC5449"/>
    <w:rsid w:val="10B0550D"/>
    <w:rsid w:val="10C276FF"/>
    <w:rsid w:val="10C27F2F"/>
    <w:rsid w:val="10C55D8B"/>
    <w:rsid w:val="10D65F69"/>
    <w:rsid w:val="10DE709A"/>
    <w:rsid w:val="10DF637D"/>
    <w:rsid w:val="10E86C7B"/>
    <w:rsid w:val="110100FA"/>
    <w:rsid w:val="113370D8"/>
    <w:rsid w:val="11524864"/>
    <w:rsid w:val="115D26B4"/>
    <w:rsid w:val="11722F54"/>
    <w:rsid w:val="117F4826"/>
    <w:rsid w:val="118D3E8D"/>
    <w:rsid w:val="119D6B16"/>
    <w:rsid w:val="11A11377"/>
    <w:rsid w:val="11BA244B"/>
    <w:rsid w:val="11C17D68"/>
    <w:rsid w:val="11C61E2E"/>
    <w:rsid w:val="11CD3120"/>
    <w:rsid w:val="11D1313E"/>
    <w:rsid w:val="11D2167A"/>
    <w:rsid w:val="11E76422"/>
    <w:rsid w:val="12247209"/>
    <w:rsid w:val="123F5E05"/>
    <w:rsid w:val="12413A35"/>
    <w:rsid w:val="12502AF8"/>
    <w:rsid w:val="1251381D"/>
    <w:rsid w:val="125F2920"/>
    <w:rsid w:val="12602F45"/>
    <w:rsid w:val="1266002A"/>
    <w:rsid w:val="12695089"/>
    <w:rsid w:val="12704669"/>
    <w:rsid w:val="12845984"/>
    <w:rsid w:val="12DB267E"/>
    <w:rsid w:val="12DD5F9D"/>
    <w:rsid w:val="13054DB2"/>
    <w:rsid w:val="130D1D5B"/>
    <w:rsid w:val="13150A91"/>
    <w:rsid w:val="13244039"/>
    <w:rsid w:val="13267C75"/>
    <w:rsid w:val="133D7514"/>
    <w:rsid w:val="134C21E1"/>
    <w:rsid w:val="1357122B"/>
    <w:rsid w:val="137B7D97"/>
    <w:rsid w:val="138E124B"/>
    <w:rsid w:val="139A31C7"/>
    <w:rsid w:val="139D3A91"/>
    <w:rsid w:val="13A06724"/>
    <w:rsid w:val="13A31088"/>
    <w:rsid w:val="13CA1B57"/>
    <w:rsid w:val="13E7221F"/>
    <w:rsid w:val="13F35E74"/>
    <w:rsid w:val="14075DB3"/>
    <w:rsid w:val="141D16F7"/>
    <w:rsid w:val="142916C8"/>
    <w:rsid w:val="14555D0B"/>
    <w:rsid w:val="1463312E"/>
    <w:rsid w:val="146C0833"/>
    <w:rsid w:val="147A7245"/>
    <w:rsid w:val="147D616A"/>
    <w:rsid w:val="148E78EB"/>
    <w:rsid w:val="14A10028"/>
    <w:rsid w:val="14B37C3C"/>
    <w:rsid w:val="14CC7584"/>
    <w:rsid w:val="14F378A1"/>
    <w:rsid w:val="14FF3E71"/>
    <w:rsid w:val="15085D61"/>
    <w:rsid w:val="151D003A"/>
    <w:rsid w:val="15372395"/>
    <w:rsid w:val="1544009F"/>
    <w:rsid w:val="154B2B6F"/>
    <w:rsid w:val="15526292"/>
    <w:rsid w:val="156C6CB0"/>
    <w:rsid w:val="15973CBB"/>
    <w:rsid w:val="15A41A3C"/>
    <w:rsid w:val="15AF406F"/>
    <w:rsid w:val="15B5492C"/>
    <w:rsid w:val="15BF4B5C"/>
    <w:rsid w:val="15C01464"/>
    <w:rsid w:val="15EE5FD1"/>
    <w:rsid w:val="15F6334A"/>
    <w:rsid w:val="15FD121B"/>
    <w:rsid w:val="161817F1"/>
    <w:rsid w:val="161F6BA8"/>
    <w:rsid w:val="16210D96"/>
    <w:rsid w:val="162972A8"/>
    <w:rsid w:val="162D131B"/>
    <w:rsid w:val="16310DDB"/>
    <w:rsid w:val="163631E4"/>
    <w:rsid w:val="163703FA"/>
    <w:rsid w:val="163B3ADF"/>
    <w:rsid w:val="16633F40"/>
    <w:rsid w:val="16634644"/>
    <w:rsid w:val="16794BCB"/>
    <w:rsid w:val="16891007"/>
    <w:rsid w:val="16895ECA"/>
    <w:rsid w:val="16A0117F"/>
    <w:rsid w:val="16A619B3"/>
    <w:rsid w:val="16AE401D"/>
    <w:rsid w:val="16B6352F"/>
    <w:rsid w:val="16B7582D"/>
    <w:rsid w:val="16CB757E"/>
    <w:rsid w:val="16D62423"/>
    <w:rsid w:val="16D907A9"/>
    <w:rsid w:val="16DE6045"/>
    <w:rsid w:val="16DF390A"/>
    <w:rsid w:val="171458BA"/>
    <w:rsid w:val="17190E2C"/>
    <w:rsid w:val="171E654F"/>
    <w:rsid w:val="17232448"/>
    <w:rsid w:val="17270EE0"/>
    <w:rsid w:val="173A7524"/>
    <w:rsid w:val="1748172E"/>
    <w:rsid w:val="174C51CF"/>
    <w:rsid w:val="175E775D"/>
    <w:rsid w:val="177D46D3"/>
    <w:rsid w:val="1784366D"/>
    <w:rsid w:val="17872C1D"/>
    <w:rsid w:val="17B37358"/>
    <w:rsid w:val="17C407C9"/>
    <w:rsid w:val="17D43B27"/>
    <w:rsid w:val="17F93262"/>
    <w:rsid w:val="180C00A9"/>
    <w:rsid w:val="181815F3"/>
    <w:rsid w:val="18274579"/>
    <w:rsid w:val="18405FC8"/>
    <w:rsid w:val="18575728"/>
    <w:rsid w:val="18611CA7"/>
    <w:rsid w:val="186162CD"/>
    <w:rsid w:val="186A34DC"/>
    <w:rsid w:val="1873157B"/>
    <w:rsid w:val="18820C52"/>
    <w:rsid w:val="18942389"/>
    <w:rsid w:val="189A2440"/>
    <w:rsid w:val="189E7D05"/>
    <w:rsid w:val="18B30D4E"/>
    <w:rsid w:val="18B93811"/>
    <w:rsid w:val="1908453D"/>
    <w:rsid w:val="190E4C14"/>
    <w:rsid w:val="1910615A"/>
    <w:rsid w:val="192A68BB"/>
    <w:rsid w:val="192E5743"/>
    <w:rsid w:val="19363610"/>
    <w:rsid w:val="19457D54"/>
    <w:rsid w:val="194742DC"/>
    <w:rsid w:val="194C5023"/>
    <w:rsid w:val="195F08E7"/>
    <w:rsid w:val="1962193B"/>
    <w:rsid w:val="19632E55"/>
    <w:rsid w:val="1970327A"/>
    <w:rsid w:val="198448E0"/>
    <w:rsid w:val="199A46C5"/>
    <w:rsid w:val="199E70C4"/>
    <w:rsid w:val="19AE31C6"/>
    <w:rsid w:val="19E65657"/>
    <w:rsid w:val="1A071B90"/>
    <w:rsid w:val="1A231855"/>
    <w:rsid w:val="1A2D7BBF"/>
    <w:rsid w:val="1A601882"/>
    <w:rsid w:val="1A7A13F4"/>
    <w:rsid w:val="1A7A5DCF"/>
    <w:rsid w:val="1A7F14E6"/>
    <w:rsid w:val="1A903AFB"/>
    <w:rsid w:val="1AAD3DF6"/>
    <w:rsid w:val="1ABA79BA"/>
    <w:rsid w:val="1AC41F4A"/>
    <w:rsid w:val="1ADB4F3C"/>
    <w:rsid w:val="1ADD74DE"/>
    <w:rsid w:val="1AF05E6E"/>
    <w:rsid w:val="1B0E23CC"/>
    <w:rsid w:val="1B297DA1"/>
    <w:rsid w:val="1B2B705F"/>
    <w:rsid w:val="1B476920"/>
    <w:rsid w:val="1B724FAE"/>
    <w:rsid w:val="1B8144A1"/>
    <w:rsid w:val="1B842482"/>
    <w:rsid w:val="1B8D1717"/>
    <w:rsid w:val="1B9E3FF5"/>
    <w:rsid w:val="1BA057D7"/>
    <w:rsid w:val="1BA6544E"/>
    <w:rsid w:val="1BA75FED"/>
    <w:rsid w:val="1BDC1C3A"/>
    <w:rsid w:val="1C295FB5"/>
    <w:rsid w:val="1C4F058B"/>
    <w:rsid w:val="1C5D3ED1"/>
    <w:rsid w:val="1C624D00"/>
    <w:rsid w:val="1C6A3ED7"/>
    <w:rsid w:val="1C7969BC"/>
    <w:rsid w:val="1C7A1A8C"/>
    <w:rsid w:val="1C7F15B3"/>
    <w:rsid w:val="1C9315D1"/>
    <w:rsid w:val="1C933645"/>
    <w:rsid w:val="1C9D5C80"/>
    <w:rsid w:val="1CA82B3D"/>
    <w:rsid w:val="1CBB76EF"/>
    <w:rsid w:val="1CE07903"/>
    <w:rsid w:val="1CE44D14"/>
    <w:rsid w:val="1D016290"/>
    <w:rsid w:val="1D1D719C"/>
    <w:rsid w:val="1D1E22CD"/>
    <w:rsid w:val="1D1E5CB6"/>
    <w:rsid w:val="1D3650F4"/>
    <w:rsid w:val="1D413DDA"/>
    <w:rsid w:val="1D44429B"/>
    <w:rsid w:val="1D661056"/>
    <w:rsid w:val="1D833336"/>
    <w:rsid w:val="1DB16389"/>
    <w:rsid w:val="1DB603FF"/>
    <w:rsid w:val="1DB72E7F"/>
    <w:rsid w:val="1DDA6A02"/>
    <w:rsid w:val="1DF26D30"/>
    <w:rsid w:val="1E123D50"/>
    <w:rsid w:val="1E1C3AF9"/>
    <w:rsid w:val="1E322933"/>
    <w:rsid w:val="1E5C4E09"/>
    <w:rsid w:val="1E5D0C58"/>
    <w:rsid w:val="1E617B02"/>
    <w:rsid w:val="1E6A5CB5"/>
    <w:rsid w:val="1E6D637E"/>
    <w:rsid w:val="1E761FE1"/>
    <w:rsid w:val="1E877114"/>
    <w:rsid w:val="1E962530"/>
    <w:rsid w:val="1E9A1FBD"/>
    <w:rsid w:val="1E9E082B"/>
    <w:rsid w:val="1EB31B66"/>
    <w:rsid w:val="1EC824FB"/>
    <w:rsid w:val="1ED45C06"/>
    <w:rsid w:val="1EF12BBD"/>
    <w:rsid w:val="1F054A33"/>
    <w:rsid w:val="1F0A6272"/>
    <w:rsid w:val="1F1473DF"/>
    <w:rsid w:val="1F156212"/>
    <w:rsid w:val="1F1958BA"/>
    <w:rsid w:val="1F32719E"/>
    <w:rsid w:val="1F54408F"/>
    <w:rsid w:val="1F62545A"/>
    <w:rsid w:val="1F7E581E"/>
    <w:rsid w:val="1F823EAB"/>
    <w:rsid w:val="1F971B40"/>
    <w:rsid w:val="1FB545ED"/>
    <w:rsid w:val="1FB57DC3"/>
    <w:rsid w:val="1FCA6AB3"/>
    <w:rsid w:val="1FDA5F68"/>
    <w:rsid w:val="1FE67038"/>
    <w:rsid w:val="2000527E"/>
    <w:rsid w:val="20121B80"/>
    <w:rsid w:val="201F05FC"/>
    <w:rsid w:val="20203829"/>
    <w:rsid w:val="20332056"/>
    <w:rsid w:val="203D6B35"/>
    <w:rsid w:val="2041436C"/>
    <w:rsid w:val="204C0515"/>
    <w:rsid w:val="20531CF4"/>
    <w:rsid w:val="20694BCD"/>
    <w:rsid w:val="20706FDE"/>
    <w:rsid w:val="209922E2"/>
    <w:rsid w:val="20A16929"/>
    <w:rsid w:val="20E06C8C"/>
    <w:rsid w:val="20E6639E"/>
    <w:rsid w:val="210963B5"/>
    <w:rsid w:val="21475E2A"/>
    <w:rsid w:val="214D7EA4"/>
    <w:rsid w:val="2151580C"/>
    <w:rsid w:val="217D1535"/>
    <w:rsid w:val="21885F0B"/>
    <w:rsid w:val="218B07A0"/>
    <w:rsid w:val="218F5B79"/>
    <w:rsid w:val="219A74E6"/>
    <w:rsid w:val="21A803FE"/>
    <w:rsid w:val="21A80976"/>
    <w:rsid w:val="21B03028"/>
    <w:rsid w:val="21B453DB"/>
    <w:rsid w:val="21EF053E"/>
    <w:rsid w:val="21F97B9E"/>
    <w:rsid w:val="22062FF3"/>
    <w:rsid w:val="22071062"/>
    <w:rsid w:val="220B1502"/>
    <w:rsid w:val="22122985"/>
    <w:rsid w:val="22207E5E"/>
    <w:rsid w:val="22291EA3"/>
    <w:rsid w:val="22341BA8"/>
    <w:rsid w:val="223C1833"/>
    <w:rsid w:val="22525B39"/>
    <w:rsid w:val="2257410B"/>
    <w:rsid w:val="22720320"/>
    <w:rsid w:val="227A6CEA"/>
    <w:rsid w:val="227E248B"/>
    <w:rsid w:val="22814F3D"/>
    <w:rsid w:val="228222D1"/>
    <w:rsid w:val="22841F71"/>
    <w:rsid w:val="22855306"/>
    <w:rsid w:val="228C2DF9"/>
    <w:rsid w:val="229F7B92"/>
    <w:rsid w:val="22A31938"/>
    <w:rsid w:val="22DE2F17"/>
    <w:rsid w:val="22EB53C4"/>
    <w:rsid w:val="22F34F2C"/>
    <w:rsid w:val="22F369ED"/>
    <w:rsid w:val="23030675"/>
    <w:rsid w:val="230615D2"/>
    <w:rsid w:val="23146838"/>
    <w:rsid w:val="231634B2"/>
    <w:rsid w:val="234019F7"/>
    <w:rsid w:val="234F06FC"/>
    <w:rsid w:val="237C24AA"/>
    <w:rsid w:val="237D33AE"/>
    <w:rsid w:val="23857832"/>
    <w:rsid w:val="239235A8"/>
    <w:rsid w:val="23930888"/>
    <w:rsid w:val="239A1C79"/>
    <w:rsid w:val="23AC797A"/>
    <w:rsid w:val="23CA3465"/>
    <w:rsid w:val="23CA615E"/>
    <w:rsid w:val="23E81F00"/>
    <w:rsid w:val="23EF464F"/>
    <w:rsid w:val="23F317F2"/>
    <w:rsid w:val="240277C4"/>
    <w:rsid w:val="2405059E"/>
    <w:rsid w:val="240A160A"/>
    <w:rsid w:val="240C4612"/>
    <w:rsid w:val="24101E98"/>
    <w:rsid w:val="242E1076"/>
    <w:rsid w:val="24335A38"/>
    <w:rsid w:val="2436725F"/>
    <w:rsid w:val="24507E90"/>
    <w:rsid w:val="2452446A"/>
    <w:rsid w:val="24683F28"/>
    <w:rsid w:val="2479546B"/>
    <w:rsid w:val="247D6D03"/>
    <w:rsid w:val="248B5B56"/>
    <w:rsid w:val="248D268E"/>
    <w:rsid w:val="24970470"/>
    <w:rsid w:val="24E01D81"/>
    <w:rsid w:val="24E67001"/>
    <w:rsid w:val="24E87A35"/>
    <w:rsid w:val="24FC532E"/>
    <w:rsid w:val="251330D6"/>
    <w:rsid w:val="251B2F91"/>
    <w:rsid w:val="25323BFF"/>
    <w:rsid w:val="25411F86"/>
    <w:rsid w:val="25522F96"/>
    <w:rsid w:val="256708F3"/>
    <w:rsid w:val="25681565"/>
    <w:rsid w:val="25781651"/>
    <w:rsid w:val="2587161A"/>
    <w:rsid w:val="25925415"/>
    <w:rsid w:val="25956469"/>
    <w:rsid w:val="25C074B4"/>
    <w:rsid w:val="25C16AEE"/>
    <w:rsid w:val="25D30D3F"/>
    <w:rsid w:val="25DA3E7C"/>
    <w:rsid w:val="25EC40D3"/>
    <w:rsid w:val="25F67FEE"/>
    <w:rsid w:val="26086C3B"/>
    <w:rsid w:val="260B390D"/>
    <w:rsid w:val="26241295"/>
    <w:rsid w:val="2626787B"/>
    <w:rsid w:val="265245CB"/>
    <w:rsid w:val="26950343"/>
    <w:rsid w:val="269E30FB"/>
    <w:rsid w:val="26A3494B"/>
    <w:rsid w:val="26C25CA8"/>
    <w:rsid w:val="26D858F4"/>
    <w:rsid w:val="26E2748C"/>
    <w:rsid w:val="26E64884"/>
    <w:rsid w:val="26EF2A2A"/>
    <w:rsid w:val="26EF3D36"/>
    <w:rsid w:val="26F84C3C"/>
    <w:rsid w:val="26FB0E17"/>
    <w:rsid w:val="27065A56"/>
    <w:rsid w:val="27151570"/>
    <w:rsid w:val="272D4E78"/>
    <w:rsid w:val="272F1FA5"/>
    <w:rsid w:val="2741364C"/>
    <w:rsid w:val="274D6455"/>
    <w:rsid w:val="274F6046"/>
    <w:rsid w:val="27592B6C"/>
    <w:rsid w:val="275968E8"/>
    <w:rsid w:val="27600B19"/>
    <w:rsid w:val="276319AD"/>
    <w:rsid w:val="276370CF"/>
    <w:rsid w:val="279D44C4"/>
    <w:rsid w:val="27B82C5E"/>
    <w:rsid w:val="27BC0C00"/>
    <w:rsid w:val="27BE1DE5"/>
    <w:rsid w:val="27F17082"/>
    <w:rsid w:val="281348E3"/>
    <w:rsid w:val="28154957"/>
    <w:rsid w:val="281D319D"/>
    <w:rsid w:val="28305FD5"/>
    <w:rsid w:val="28373807"/>
    <w:rsid w:val="2841301C"/>
    <w:rsid w:val="28422207"/>
    <w:rsid w:val="284E01C7"/>
    <w:rsid w:val="284E57F9"/>
    <w:rsid w:val="28540E8F"/>
    <w:rsid w:val="28552C51"/>
    <w:rsid w:val="285B7A31"/>
    <w:rsid w:val="285D685B"/>
    <w:rsid w:val="286A466A"/>
    <w:rsid w:val="286A5C37"/>
    <w:rsid w:val="286B2C8C"/>
    <w:rsid w:val="286C77DA"/>
    <w:rsid w:val="28833154"/>
    <w:rsid w:val="28E7692E"/>
    <w:rsid w:val="28EC7B6B"/>
    <w:rsid w:val="28F559E9"/>
    <w:rsid w:val="28FA12B8"/>
    <w:rsid w:val="290349F8"/>
    <w:rsid w:val="2905591C"/>
    <w:rsid w:val="290941F1"/>
    <w:rsid w:val="290B661E"/>
    <w:rsid w:val="291F1AEE"/>
    <w:rsid w:val="2936770C"/>
    <w:rsid w:val="294A0D31"/>
    <w:rsid w:val="295319DF"/>
    <w:rsid w:val="29531D4F"/>
    <w:rsid w:val="295E18CC"/>
    <w:rsid w:val="296B25F0"/>
    <w:rsid w:val="297509D7"/>
    <w:rsid w:val="297B008F"/>
    <w:rsid w:val="298D658A"/>
    <w:rsid w:val="29A64C6F"/>
    <w:rsid w:val="29A869E2"/>
    <w:rsid w:val="29B22F0B"/>
    <w:rsid w:val="29C86624"/>
    <w:rsid w:val="29CB2E2C"/>
    <w:rsid w:val="29D51BDA"/>
    <w:rsid w:val="29DB74A4"/>
    <w:rsid w:val="29F851AA"/>
    <w:rsid w:val="29FC4965"/>
    <w:rsid w:val="2A16558E"/>
    <w:rsid w:val="2A202F0C"/>
    <w:rsid w:val="2A3D7320"/>
    <w:rsid w:val="2A42388B"/>
    <w:rsid w:val="2A432FFD"/>
    <w:rsid w:val="2A4E331C"/>
    <w:rsid w:val="2A6B7798"/>
    <w:rsid w:val="2A944CF2"/>
    <w:rsid w:val="2A954299"/>
    <w:rsid w:val="2A99039B"/>
    <w:rsid w:val="2AC769A2"/>
    <w:rsid w:val="2AEA109A"/>
    <w:rsid w:val="2B0A0E68"/>
    <w:rsid w:val="2B480738"/>
    <w:rsid w:val="2B4832E8"/>
    <w:rsid w:val="2B561E63"/>
    <w:rsid w:val="2B6969E4"/>
    <w:rsid w:val="2B71065A"/>
    <w:rsid w:val="2B74267D"/>
    <w:rsid w:val="2B902D8F"/>
    <w:rsid w:val="2BBE7D9C"/>
    <w:rsid w:val="2BC22670"/>
    <w:rsid w:val="2BC327DF"/>
    <w:rsid w:val="2BD440AE"/>
    <w:rsid w:val="2BE75844"/>
    <w:rsid w:val="2C0038D6"/>
    <w:rsid w:val="2C127DCD"/>
    <w:rsid w:val="2C1A6E9A"/>
    <w:rsid w:val="2C2B73C8"/>
    <w:rsid w:val="2C305D28"/>
    <w:rsid w:val="2C384FD1"/>
    <w:rsid w:val="2C422635"/>
    <w:rsid w:val="2C51340A"/>
    <w:rsid w:val="2C602C01"/>
    <w:rsid w:val="2C6453A6"/>
    <w:rsid w:val="2C8A4FBA"/>
    <w:rsid w:val="2C925CF2"/>
    <w:rsid w:val="2CAE049D"/>
    <w:rsid w:val="2CC34D58"/>
    <w:rsid w:val="2CD12C80"/>
    <w:rsid w:val="2CD27787"/>
    <w:rsid w:val="2CDC3824"/>
    <w:rsid w:val="2D01457A"/>
    <w:rsid w:val="2D0716FA"/>
    <w:rsid w:val="2D0D5420"/>
    <w:rsid w:val="2D203839"/>
    <w:rsid w:val="2D40621E"/>
    <w:rsid w:val="2D5C2419"/>
    <w:rsid w:val="2D630BFB"/>
    <w:rsid w:val="2D6524A5"/>
    <w:rsid w:val="2D7B3C22"/>
    <w:rsid w:val="2DBB4FB1"/>
    <w:rsid w:val="2DD81565"/>
    <w:rsid w:val="2DEF3E65"/>
    <w:rsid w:val="2E1515FB"/>
    <w:rsid w:val="2E1530FC"/>
    <w:rsid w:val="2E1D134C"/>
    <w:rsid w:val="2E2E4BB9"/>
    <w:rsid w:val="2E3019AC"/>
    <w:rsid w:val="2E33445A"/>
    <w:rsid w:val="2E3604CF"/>
    <w:rsid w:val="2E421DA6"/>
    <w:rsid w:val="2E5A53B6"/>
    <w:rsid w:val="2E72543E"/>
    <w:rsid w:val="2E8A2D9B"/>
    <w:rsid w:val="2E8B597C"/>
    <w:rsid w:val="2EB6540C"/>
    <w:rsid w:val="2EC56679"/>
    <w:rsid w:val="2ED2042A"/>
    <w:rsid w:val="2ED32CD8"/>
    <w:rsid w:val="2ED93AA2"/>
    <w:rsid w:val="2EDA2C0E"/>
    <w:rsid w:val="2EE1755E"/>
    <w:rsid w:val="2EEA31F2"/>
    <w:rsid w:val="2EED7344"/>
    <w:rsid w:val="2EF51D26"/>
    <w:rsid w:val="2EFB7A83"/>
    <w:rsid w:val="2EFC66FC"/>
    <w:rsid w:val="2EFD5344"/>
    <w:rsid w:val="2F01471E"/>
    <w:rsid w:val="2F2A037F"/>
    <w:rsid w:val="2F2C55D0"/>
    <w:rsid w:val="2F5A3EFF"/>
    <w:rsid w:val="2F5F17E0"/>
    <w:rsid w:val="2F6032AA"/>
    <w:rsid w:val="2F813526"/>
    <w:rsid w:val="2F8310E0"/>
    <w:rsid w:val="2F8A37AA"/>
    <w:rsid w:val="2F8D228E"/>
    <w:rsid w:val="2F9A7DEA"/>
    <w:rsid w:val="2FB461ED"/>
    <w:rsid w:val="2FB66381"/>
    <w:rsid w:val="2FC71EE9"/>
    <w:rsid w:val="2FD9273E"/>
    <w:rsid w:val="2FDD171B"/>
    <w:rsid w:val="2FDE6C5E"/>
    <w:rsid w:val="2FFE24A2"/>
    <w:rsid w:val="300F1819"/>
    <w:rsid w:val="30145897"/>
    <w:rsid w:val="301C2A8B"/>
    <w:rsid w:val="30273805"/>
    <w:rsid w:val="302D74B1"/>
    <w:rsid w:val="30360C89"/>
    <w:rsid w:val="304057D0"/>
    <w:rsid w:val="30572A7C"/>
    <w:rsid w:val="30577AB4"/>
    <w:rsid w:val="305C2E53"/>
    <w:rsid w:val="305E0AAE"/>
    <w:rsid w:val="306952B7"/>
    <w:rsid w:val="30705B08"/>
    <w:rsid w:val="30730B67"/>
    <w:rsid w:val="30824022"/>
    <w:rsid w:val="308B46F0"/>
    <w:rsid w:val="308F00D3"/>
    <w:rsid w:val="30AB6B41"/>
    <w:rsid w:val="30B86334"/>
    <w:rsid w:val="30DD045E"/>
    <w:rsid w:val="30ED40B7"/>
    <w:rsid w:val="310A218D"/>
    <w:rsid w:val="311B02D8"/>
    <w:rsid w:val="3123112A"/>
    <w:rsid w:val="31250AAE"/>
    <w:rsid w:val="31306295"/>
    <w:rsid w:val="31315D21"/>
    <w:rsid w:val="31365CB3"/>
    <w:rsid w:val="313F15CA"/>
    <w:rsid w:val="31535544"/>
    <w:rsid w:val="31626EB2"/>
    <w:rsid w:val="3163462F"/>
    <w:rsid w:val="316513E5"/>
    <w:rsid w:val="3178735A"/>
    <w:rsid w:val="31937025"/>
    <w:rsid w:val="31951269"/>
    <w:rsid w:val="31966D8B"/>
    <w:rsid w:val="31A14BE9"/>
    <w:rsid w:val="31A81E86"/>
    <w:rsid w:val="31BF0034"/>
    <w:rsid w:val="31BF14DC"/>
    <w:rsid w:val="31D200FD"/>
    <w:rsid w:val="320824E3"/>
    <w:rsid w:val="321E6385"/>
    <w:rsid w:val="3236210D"/>
    <w:rsid w:val="3240441C"/>
    <w:rsid w:val="327601C6"/>
    <w:rsid w:val="32844B1A"/>
    <w:rsid w:val="32B3528A"/>
    <w:rsid w:val="32D91DC6"/>
    <w:rsid w:val="32FC5589"/>
    <w:rsid w:val="32FD1152"/>
    <w:rsid w:val="330C7699"/>
    <w:rsid w:val="33157FFB"/>
    <w:rsid w:val="33170150"/>
    <w:rsid w:val="331F14A7"/>
    <w:rsid w:val="33256212"/>
    <w:rsid w:val="33327CB0"/>
    <w:rsid w:val="3340198F"/>
    <w:rsid w:val="334F37D5"/>
    <w:rsid w:val="3366678C"/>
    <w:rsid w:val="337467D7"/>
    <w:rsid w:val="3376327D"/>
    <w:rsid w:val="339D794B"/>
    <w:rsid w:val="33A930DF"/>
    <w:rsid w:val="33B2553C"/>
    <w:rsid w:val="33C5637D"/>
    <w:rsid w:val="33C70F91"/>
    <w:rsid w:val="33CC491A"/>
    <w:rsid w:val="33CC4E50"/>
    <w:rsid w:val="33DC0DA6"/>
    <w:rsid w:val="33DE0FDB"/>
    <w:rsid w:val="33DF3E68"/>
    <w:rsid w:val="33E02FA5"/>
    <w:rsid w:val="3409429F"/>
    <w:rsid w:val="340B5413"/>
    <w:rsid w:val="340E0F5E"/>
    <w:rsid w:val="3416172F"/>
    <w:rsid w:val="344722CB"/>
    <w:rsid w:val="345319C9"/>
    <w:rsid w:val="3459271E"/>
    <w:rsid w:val="34656DB2"/>
    <w:rsid w:val="34711390"/>
    <w:rsid w:val="34732B28"/>
    <w:rsid w:val="34833175"/>
    <w:rsid w:val="34853B7A"/>
    <w:rsid w:val="34B90FB2"/>
    <w:rsid w:val="34BD369E"/>
    <w:rsid w:val="34C34D66"/>
    <w:rsid w:val="34D439B2"/>
    <w:rsid w:val="34E02AEA"/>
    <w:rsid w:val="34EB2066"/>
    <w:rsid w:val="34F12982"/>
    <w:rsid w:val="34F61513"/>
    <w:rsid w:val="34F70F95"/>
    <w:rsid w:val="34FC1F63"/>
    <w:rsid w:val="350918AB"/>
    <w:rsid w:val="35164BD7"/>
    <w:rsid w:val="351729F7"/>
    <w:rsid w:val="35476FDE"/>
    <w:rsid w:val="35531BEF"/>
    <w:rsid w:val="35680E89"/>
    <w:rsid w:val="357C6521"/>
    <w:rsid w:val="357E2DFA"/>
    <w:rsid w:val="35822783"/>
    <w:rsid w:val="3594168E"/>
    <w:rsid w:val="3596129D"/>
    <w:rsid w:val="35A63108"/>
    <w:rsid w:val="35BA6486"/>
    <w:rsid w:val="35BF4E3C"/>
    <w:rsid w:val="35C006BB"/>
    <w:rsid w:val="35C154E8"/>
    <w:rsid w:val="35EA3555"/>
    <w:rsid w:val="35F745D6"/>
    <w:rsid w:val="3619010D"/>
    <w:rsid w:val="363475D8"/>
    <w:rsid w:val="366963C1"/>
    <w:rsid w:val="36716136"/>
    <w:rsid w:val="36857491"/>
    <w:rsid w:val="368D270B"/>
    <w:rsid w:val="36967303"/>
    <w:rsid w:val="369F33B9"/>
    <w:rsid w:val="36CB0DA7"/>
    <w:rsid w:val="36E01C79"/>
    <w:rsid w:val="36EB50AE"/>
    <w:rsid w:val="373019DE"/>
    <w:rsid w:val="373B4949"/>
    <w:rsid w:val="37496540"/>
    <w:rsid w:val="37507FF6"/>
    <w:rsid w:val="37531461"/>
    <w:rsid w:val="3761086E"/>
    <w:rsid w:val="376143FD"/>
    <w:rsid w:val="37636CFF"/>
    <w:rsid w:val="376F1DB7"/>
    <w:rsid w:val="376F35E3"/>
    <w:rsid w:val="376F79E2"/>
    <w:rsid w:val="377039B9"/>
    <w:rsid w:val="3776440D"/>
    <w:rsid w:val="37782F85"/>
    <w:rsid w:val="37911C6B"/>
    <w:rsid w:val="37942DE2"/>
    <w:rsid w:val="379C5D37"/>
    <w:rsid w:val="379E50E8"/>
    <w:rsid w:val="379E702D"/>
    <w:rsid w:val="37AB6D9E"/>
    <w:rsid w:val="37B502A5"/>
    <w:rsid w:val="37BC2221"/>
    <w:rsid w:val="37C40AFB"/>
    <w:rsid w:val="37CA00C6"/>
    <w:rsid w:val="37CF29A3"/>
    <w:rsid w:val="37D963BF"/>
    <w:rsid w:val="37E35255"/>
    <w:rsid w:val="37F60FE9"/>
    <w:rsid w:val="37FD5394"/>
    <w:rsid w:val="38000D28"/>
    <w:rsid w:val="3808196F"/>
    <w:rsid w:val="38196B78"/>
    <w:rsid w:val="382F0057"/>
    <w:rsid w:val="382F702F"/>
    <w:rsid w:val="38421270"/>
    <w:rsid w:val="384C2D71"/>
    <w:rsid w:val="385667D5"/>
    <w:rsid w:val="3859068E"/>
    <w:rsid w:val="386E0F73"/>
    <w:rsid w:val="387115FF"/>
    <w:rsid w:val="387E5A95"/>
    <w:rsid w:val="38965173"/>
    <w:rsid w:val="38D67A7D"/>
    <w:rsid w:val="38E23DD8"/>
    <w:rsid w:val="38F34AC9"/>
    <w:rsid w:val="38F60D1F"/>
    <w:rsid w:val="39030B1B"/>
    <w:rsid w:val="39202592"/>
    <w:rsid w:val="392C73C4"/>
    <w:rsid w:val="394474CE"/>
    <w:rsid w:val="39573916"/>
    <w:rsid w:val="39620EFB"/>
    <w:rsid w:val="39676EB6"/>
    <w:rsid w:val="3969300D"/>
    <w:rsid w:val="39735E72"/>
    <w:rsid w:val="3980705A"/>
    <w:rsid w:val="39832FBC"/>
    <w:rsid w:val="39833E36"/>
    <w:rsid w:val="398B4A67"/>
    <w:rsid w:val="39953712"/>
    <w:rsid w:val="39A935C5"/>
    <w:rsid w:val="39C8766D"/>
    <w:rsid w:val="39DF1EE9"/>
    <w:rsid w:val="39ED42D6"/>
    <w:rsid w:val="3A03119A"/>
    <w:rsid w:val="3A0A46FA"/>
    <w:rsid w:val="3A1027BE"/>
    <w:rsid w:val="3A223978"/>
    <w:rsid w:val="3A386F87"/>
    <w:rsid w:val="3A3C0BBB"/>
    <w:rsid w:val="3A3C0EF2"/>
    <w:rsid w:val="3A4D4109"/>
    <w:rsid w:val="3A63048C"/>
    <w:rsid w:val="3A7908DF"/>
    <w:rsid w:val="3A7B57D6"/>
    <w:rsid w:val="3A7E5C7D"/>
    <w:rsid w:val="3A820628"/>
    <w:rsid w:val="3A887EF3"/>
    <w:rsid w:val="3AAC1E33"/>
    <w:rsid w:val="3AB37829"/>
    <w:rsid w:val="3ACD5BB8"/>
    <w:rsid w:val="3AD05793"/>
    <w:rsid w:val="3AD91380"/>
    <w:rsid w:val="3ADE52CC"/>
    <w:rsid w:val="3AE6715A"/>
    <w:rsid w:val="3AED266A"/>
    <w:rsid w:val="3AF13CEA"/>
    <w:rsid w:val="3AF506AC"/>
    <w:rsid w:val="3AF85087"/>
    <w:rsid w:val="3AFF6407"/>
    <w:rsid w:val="3B300635"/>
    <w:rsid w:val="3B4E6B32"/>
    <w:rsid w:val="3B527D91"/>
    <w:rsid w:val="3B63015B"/>
    <w:rsid w:val="3B643BB0"/>
    <w:rsid w:val="3B732347"/>
    <w:rsid w:val="3B807668"/>
    <w:rsid w:val="3B865EEC"/>
    <w:rsid w:val="3BAE311C"/>
    <w:rsid w:val="3BB16FD5"/>
    <w:rsid w:val="3BBC1B84"/>
    <w:rsid w:val="3BE051A5"/>
    <w:rsid w:val="3BE655DE"/>
    <w:rsid w:val="3BF76179"/>
    <w:rsid w:val="3C055914"/>
    <w:rsid w:val="3C127CC8"/>
    <w:rsid w:val="3C1A112C"/>
    <w:rsid w:val="3C1B1F65"/>
    <w:rsid w:val="3C2B322B"/>
    <w:rsid w:val="3C311449"/>
    <w:rsid w:val="3C353387"/>
    <w:rsid w:val="3C402D23"/>
    <w:rsid w:val="3C415CC8"/>
    <w:rsid w:val="3C437021"/>
    <w:rsid w:val="3C4F7E87"/>
    <w:rsid w:val="3C612519"/>
    <w:rsid w:val="3C627E77"/>
    <w:rsid w:val="3C676DDA"/>
    <w:rsid w:val="3C8E478E"/>
    <w:rsid w:val="3C9B7011"/>
    <w:rsid w:val="3CA20CB9"/>
    <w:rsid w:val="3CAD7649"/>
    <w:rsid w:val="3CB43221"/>
    <w:rsid w:val="3CB70E00"/>
    <w:rsid w:val="3CC152B7"/>
    <w:rsid w:val="3CD0188F"/>
    <w:rsid w:val="3CD4155C"/>
    <w:rsid w:val="3CD41E40"/>
    <w:rsid w:val="3CD54D4D"/>
    <w:rsid w:val="3CE069B7"/>
    <w:rsid w:val="3D141F11"/>
    <w:rsid w:val="3D335E86"/>
    <w:rsid w:val="3D367828"/>
    <w:rsid w:val="3D3C447E"/>
    <w:rsid w:val="3D3D165E"/>
    <w:rsid w:val="3D4B5315"/>
    <w:rsid w:val="3D5C592F"/>
    <w:rsid w:val="3D8802CC"/>
    <w:rsid w:val="3D90308F"/>
    <w:rsid w:val="3D915D95"/>
    <w:rsid w:val="3D965FEB"/>
    <w:rsid w:val="3D9E74A0"/>
    <w:rsid w:val="3DA165D7"/>
    <w:rsid w:val="3DC3591C"/>
    <w:rsid w:val="3DF5751B"/>
    <w:rsid w:val="3DFF671E"/>
    <w:rsid w:val="3E09134A"/>
    <w:rsid w:val="3E1A189C"/>
    <w:rsid w:val="3E1C04BF"/>
    <w:rsid w:val="3E1C3678"/>
    <w:rsid w:val="3E1F3045"/>
    <w:rsid w:val="3E273C42"/>
    <w:rsid w:val="3E2E4D96"/>
    <w:rsid w:val="3E3A4116"/>
    <w:rsid w:val="3E4225F0"/>
    <w:rsid w:val="3E433514"/>
    <w:rsid w:val="3E4929F7"/>
    <w:rsid w:val="3E495D43"/>
    <w:rsid w:val="3E5E2859"/>
    <w:rsid w:val="3E5F71BC"/>
    <w:rsid w:val="3E6C3359"/>
    <w:rsid w:val="3EA61C0D"/>
    <w:rsid w:val="3EA90437"/>
    <w:rsid w:val="3EC160BC"/>
    <w:rsid w:val="3ECF7AD4"/>
    <w:rsid w:val="3ED9181C"/>
    <w:rsid w:val="3EDA29D4"/>
    <w:rsid w:val="3EDE747D"/>
    <w:rsid w:val="3EE766E7"/>
    <w:rsid w:val="3EFC1401"/>
    <w:rsid w:val="3F0463EA"/>
    <w:rsid w:val="3F3344E8"/>
    <w:rsid w:val="3F387FA5"/>
    <w:rsid w:val="3F4403A3"/>
    <w:rsid w:val="3F462C12"/>
    <w:rsid w:val="3F557D3A"/>
    <w:rsid w:val="3F606598"/>
    <w:rsid w:val="3F6974EE"/>
    <w:rsid w:val="3F942C3E"/>
    <w:rsid w:val="3FBB0422"/>
    <w:rsid w:val="3FC74205"/>
    <w:rsid w:val="3FEA253D"/>
    <w:rsid w:val="3FF61548"/>
    <w:rsid w:val="40093DCF"/>
    <w:rsid w:val="402633E6"/>
    <w:rsid w:val="404E3C63"/>
    <w:rsid w:val="40543A77"/>
    <w:rsid w:val="40562AF2"/>
    <w:rsid w:val="40607C8E"/>
    <w:rsid w:val="409534D4"/>
    <w:rsid w:val="409C64A6"/>
    <w:rsid w:val="40A27888"/>
    <w:rsid w:val="40A567D9"/>
    <w:rsid w:val="40AA7EA6"/>
    <w:rsid w:val="40CA7670"/>
    <w:rsid w:val="40CD23C9"/>
    <w:rsid w:val="40EA21BB"/>
    <w:rsid w:val="40EC0389"/>
    <w:rsid w:val="40F66B0A"/>
    <w:rsid w:val="40FC1638"/>
    <w:rsid w:val="41054AFB"/>
    <w:rsid w:val="41135982"/>
    <w:rsid w:val="413A6815"/>
    <w:rsid w:val="41683840"/>
    <w:rsid w:val="41862D01"/>
    <w:rsid w:val="41A225FB"/>
    <w:rsid w:val="41D91034"/>
    <w:rsid w:val="41E77BF5"/>
    <w:rsid w:val="41EC0D67"/>
    <w:rsid w:val="41F91290"/>
    <w:rsid w:val="422C2A4E"/>
    <w:rsid w:val="422E7D02"/>
    <w:rsid w:val="42400FF7"/>
    <w:rsid w:val="424B6CFD"/>
    <w:rsid w:val="42511211"/>
    <w:rsid w:val="425179D3"/>
    <w:rsid w:val="426923B8"/>
    <w:rsid w:val="42694FC1"/>
    <w:rsid w:val="42747E97"/>
    <w:rsid w:val="42805A2D"/>
    <w:rsid w:val="42937208"/>
    <w:rsid w:val="42BC698B"/>
    <w:rsid w:val="42DB6100"/>
    <w:rsid w:val="42DC70F4"/>
    <w:rsid w:val="42E842CB"/>
    <w:rsid w:val="42F12362"/>
    <w:rsid w:val="42F30518"/>
    <w:rsid w:val="42F805A1"/>
    <w:rsid w:val="430627BC"/>
    <w:rsid w:val="431E7B7A"/>
    <w:rsid w:val="431F578E"/>
    <w:rsid w:val="432F3601"/>
    <w:rsid w:val="43315199"/>
    <w:rsid w:val="43316742"/>
    <w:rsid w:val="434E202B"/>
    <w:rsid w:val="43564E41"/>
    <w:rsid w:val="435F517D"/>
    <w:rsid w:val="43617A25"/>
    <w:rsid w:val="43A13899"/>
    <w:rsid w:val="43AC0ACD"/>
    <w:rsid w:val="43AD4A53"/>
    <w:rsid w:val="43B02B44"/>
    <w:rsid w:val="43B06524"/>
    <w:rsid w:val="43B14016"/>
    <w:rsid w:val="43BA656F"/>
    <w:rsid w:val="43CC2F32"/>
    <w:rsid w:val="43CD6450"/>
    <w:rsid w:val="43CE30BB"/>
    <w:rsid w:val="43DD53A7"/>
    <w:rsid w:val="43E31993"/>
    <w:rsid w:val="43E7169D"/>
    <w:rsid w:val="43E90705"/>
    <w:rsid w:val="440F6F8F"/>
    <w:rsid w:val="441C1441"/>
    <w:rsid w:val="443C4C7A"/>
    <w:rsid w:val="444478CD"/>
    <w:rsid w:val="446634D1"/>
    <w:rsid w:val="446A7EC8"/>
    <w:rsid w:val="4472423A"/>
    <w:rsid w:val="44731259"/>
    <w:rsid w:val="448434D9"/>
    <w:rsid w:val="44851F8E"/>
    <w:rsid w:val="44934DD1"/>
    <w:rsid w:val="44BB046E"/>
    <w:rsid w:val="44D25823"/>
    <w:rsid w:val="44D34460"/>
    <w:rsid w:val="44ED0C50"/>
    <w:rsid w:val="44FF3B08"/>
    <w:rsid w:val="45027043"/>
    <w:rsid w:val="45211C4C"/>
    <w:rsid w:val="4535243A"/>
    <w:rsid w:val="453964F1"/>
    <w:rsid w:val="455F46CF"/>
    <w:rsid w:val="45680290"/>
    <w:rsid w:val="45780A96"/>
    <w:rsid w:val="45805264"/>
    <w:rsid w:val="458A60D0"/>
    <w:rsid w:val="45943143"/>
    <w:rsid w:val="4597723C"/>
    <w:rsid w:val="459D79F5"/>
    <w:rsid w:val="45B46442"/>
    <w:rsid w:val="45B93B8C"/>
    <w:rsid w:val="45C637D6"/>
    <w:rsid w:val="45DB0866"/>
    <w:rsid w:val="460220EF"/>
    <w:rsid w:val="46094EFB"/>
    <w:rsid w:val="460F771A"/>
    <w:rsid w:val="46122889"/>
    <w:rsid w:val="4639108E"/>
    <w:rsid w:val="46480862"/>
    <w:rsid w:val="46533CD8"/>
    <w:rsid w:val="46864EAB"/>
    <w:rsid w:val="46941A31"/>
    <w:rsid w:val="469A2F6A"/>
    <w:rsid w:val="46A035A4"/>
    <w:rsid w:val="46AA05B1"/>
    <w:rsid w:val="46B71FFE"/>
    <w:rsid w:val="46E80268"/>
    <w:rsid w:val="46E9464B"/>
    <w:rsid w:val="46FF2B6E"/>
    <w:rsid w:val="47072FAE"/>
    <w:rsid w:val="470911B8"/>
    <w:rsid w:val="470D4A24"/>
    <w:rsid w:val="4714368D"/>
    <w:rsid w:val="471A5879"/>
    <w:rsid w:val="471B1DC2"/>
    <w:rsid w:val="471C1EA6"/>
    <w:rsid w:val="474B6BF9"/>
    <w:rsid w:val="476D1E96"/>
    <w:rsid w:val="476D64A6"/>
    <w:rsid w:val="4772770F"/>
    <w:rsid w:val="477A4B1A"/>
    <w:rsid w:val="478D304E"/>
    <w:rsid w:val="47995357"/>
    <w:rsid w:val="47AF0FFA"/>
    <w:rsid w:val="47B75973"/>
    <w:rsid w:val="47C87B80"/>
    <w:rsid w:val="47CA0277"/>
    <w:rsid w:val="47F4396E"/>
    <w:rsid w:val="47FF7E5D"/>
    <w:rsid w:val="481752A5"/>
    <w:rsid w:val="48197AED"/>
    <w:rsid w:val="4831607D"/>
    <w:rsid w:val="48424CC1"/>
    <w:rsid w:val="48514C46"/>
    <w:rsid w:val="485458B8"/>
    <w:rsid w:val="4883492F"/>
    <w:rsid w:val="48865E52"/>
    <w:rsid w:val="489F3E0A"/>
    <w:rsid w:val="48AC1443"/>
    <w:rsid w:val="48B230E5"/>
    <w:rsid w:val="48DB56C1"/>
    <w:rsid w:val="48E7796D"/>
    <w:rsid w:val="48EC5D8E"/>
    <w:rsid w:val="48FB5272"/>
    <w:rsid w:val="49130C28"/>
    <w:rsid w:val="491728F4"/>
    <w:rsid w:val="49354B1A"/>
    <w:rsid w:val="49365908"/>
    <w:rsid w:val="49390B9C"/>
    <w:rsid w:val="493D0088"/>
    <w:rsid w:val="495C0AA0"/>
    <w:rsid w:val="495E3838"/>
    <w:rsid w:val="499D660A"/>
    <w:rsid w:val="49AF6F45"/>
    <w:rsid w:val="49B14DFF"/>
    <w:rsid w:val="49C23B35"/>
    <w:rsid w:val="49C709E1"/>
    <w:rsid w:val="49D305FF"/>
    <w:rsid w:val="49D32142"/>
    <w:rsid w:val="49DE3F2F"/>
    <w:rsid w:val="49ED7329"/>
    <w:rsid w:val="49FD27EC"/>
    <w:rsid w:val="4A023C83"/>
    <w:rsid w:val="4A0C38BB"/>
    <w:rsid w:val="4A1E290C"/>
    <w:rsid w:val="4A262893"/>
    <w:rsid w:val="4A3D1391"/>
    <w:rsid w:val="4A5B2207"/>
    <w:rsid w:val="4A5E47CC"/>
    <w:rsid w:val="4A62378A"/>
    <w:rsid w:val="4A6841BE"/>
    <w:rsid w:val="4AB80380"/>
    <w:rsid w:val="4ACC7CB1"/>
    <w:rsid w:val="4AEE3923"/>
    <w:rsid w:val="4AF744AF"/>
    <w:rsid w:val="4AFC3920"/>
    <w:rsid w:val="4B1D6ABD"/>
    <w:rsid w:val="4B2E13BF"/>
    <w:rsid w:val="4B3A576E"/>
    <w:rsid w:val="4B4C5C77"/>
    <w:rsid w:val="4B6920E5"/>
    <w:rsid w:val="4B8D3776"/>
    <w:rsid w:val="4B90755C"/>
    <w:rsid w:val="4B934558"/>
    <w:rsid w:val="4BA205E4"/>
    <w:rsid w:val="4BAD7FC9"/>
    <w:rsid w:val="4BD30BD0"/>
    <w:rsid w:val="4BE42BF0"/>
    <w:rsid w:val="4C146A85"/>
    <w:rsid w:val="4C313428"/>
    <w:rsid w:val="4C4419B1"/>
    <w:rsid w:val="4C457143"/>
    <w:rsid w:val="4C516396"/>
    <w:rsid w:val="4C5A1718"/>
    <w:rsid w:val="4C6065BA"/>
    <w:rsid w:val="4C682B98"/>
    <w:rsid w:val="4C694F9D"/>
    <w:rsid w:val="4C696245"/>
    <w:rsid w:val="4C707C40"/>
    <w:rsid w:val="4C9F296F"/>
    <w:rsid w:val="4CAE038F"/>
    <w:rsid w:val="4CC45498"/>
    <w:rsid w:val="4CD038B8"/>
    <w:rsid w:val="4CD83B70"/>
    <w:rsid w:val="4CD8581D"/>
    <w:rsid w:val="4CDD42EB"/>
    <w:rsid w:val="4CDF6F8C"/>
    <w:rsid w:val="4CE94B87"/>
    <w:rsid w:val="4CF02842"/>
    <w:rsid w:val="4CF6084E"/>
    <w:rsid w:val="4CF620A5"/>
    <w:rsid w:val="4CF70E09"/>
    <w:rsid w:val="4CFE069C"/>
    <w:rsid w:val="4D001B6A"/>
    <w:rsid w:val="4D044F83"/>
    <w:rsid w:val="4D046E29"/>
    <w:rsid w:val="4D0F785A"/>
    <w:rsid w:val="4D191DC6"/>
    <w:rsid w:val="4D27201E"/>
    <w:rsid w:val="4D2D462F"/>
    <w:rsid w:val="4D330192"/>
    <w:rsid w:val="4D336B26"/>
    <w:rsid w:val="4D790CDE"/>
    <w:rsid w:val="4DA54215"/>
    <w:rsid w:val="4DAD1CF2"/>
    <w:rsid w:val="4DBA6E44"/>
    <w:rsid w:val="4DD17FA3"/>
    <w:rsid w:val="4DD27E5D"/>
    <w:rsid w:val="4DF603B7"/>
    <w:rsid w:val="4DFA480C"/>
    <w:rsid w:val="4E0D4BE0"/>
    <w:rsid w:val="4E272007"/>
    <w:rsid w:val="4E290190"/>
    <w:rsid w:val="4E2E3231"/>
    <w:rsid w:val="4E811599"/>
    <w:rsid w:val="4EAE182F"/>
    <w:rsid w:val="4EC55D9A"/>
    <w:rsid w:val="4ECF532A"/>
    <w:rsid w:val="4ED65E53"/>
    <w:rsid w:val="4EDB3AAB"/>
    <w:rsid w:val="4EE56BC1"/>
    <w:rsid w:val="4EE94BAE"/>
    <w:rsid w:val="4EF00E7C"/>
    <w:rsid w:val="4EF953BB"/>
    <w:rsid w:val="4F050C71"/>
    <w:rsid w:val="4F086B2B"/>
    <w:rsid w:val="4F146F0A"/>
    <w:rsid w:val="4F176EFD"/>
    <w:rsid w:val="4F247D92"/>
    <w:rsid w:val="4F4812FB"/>
    <w:rsid w:val="4F5D2225"/>
    <w:rsid w:val="4F6571D7"/>
    <w:rsid w:val="4F680A09"/>
    <w:rsid w:val="4F7657BE"/>
    <w:rsid w:val="4F986EB3"/>
    <w:rsid w:val="4F9D0B7A"/>
    <w:rsid w:val="4FB90197"/>
    <w:rsid w:val="4FCD7DE5"/>
    <w:rsid w:val="50004CC4"/>
    <w:rsid w:val="50082793"/>
    <w:rsid w:val="50106126"/>
    <w:rsid w:val="5011124B"/>
    <w:rsid w:val="501320F2"/>
    <w:rsid w:val="5015089F"/>
    <w:rsid w:val="501B2890"/>
    <w:rsid w:val="501E7659"/>
    <w:rsid w:val="502D1115"/>
    <w:rsid w:val="50305F66"/>
    <w:rsid w:val="503949D9"/>
    <w:rsid w:val="50453573"/>
    <w:rsid w:val="506A36AD"/>
    <w:rsid w:val="50796C50"/>
    <w:rsid w:val="50852AB2"/>
    <w:rsid w:val="50A74BC0"/>
    <w:rsid w:val="50D50D85"/>
    <w:rsid w:val="50E14691"/>
    <w:rsid w:val="50E73E78"/>
    <w:rsid w:val="51042C5A"/>
    <w:rsid w:val="5104358D"/>
    <w:rsid w:val="511F52C4"/>
    <w:rsid w:val="5120761D"/>
    <w:rsid w:val="512322CB"/>
    <w:rsid w:val="51370FA0"/>
    <w:rsid w:val="51491D32"/>
    <w:rsid w:val="516A4E5C"/>
    <w:rsid w:val="517543C1"/>
    <w:rsid w:val="519103AF"/>
    <w:rsid w:val="51A94DB9"/>
    <w:rsid w:val="51CC4095"/>
    <w:rsid w:val="51DD5FD6"/>
    <w:rsid w:val="51ED1A67"/>
    <w:rsid w:val="51FA711C"/>
    <w:rsid w:val="52245A5C"/>
    <w:rsid w:val="52353487"/>
    <w:rsid w:val="5255160B"/>
    <w:rsid w:val="526C20A2"/>
    <w:rsid w:val="526D6B29"/>
    <w:rsid w:val="526F01D1"/>
    <w:rsid w:val="52754AF4"/>
    <w:rsid w:val="527C4E5A"/>
    <w:rsid w:val="5288622C"/>
    <w:rsid w:val="529C4E3B"/>
    <w:rsid w:val="529E0927"/>
    <w:rsid w:val="52AB3CCA"/>
    <w:rsid w:val="52E13019"/>
    <w:rsid w:val="52E47813"/>
    <w:rsid w:val="53013DF1"/>
    <w:rsid w:val="530C47E2"/>
    <w:rsid w:val="532071D8"/>
    <w:rsid w:val="532975EB"/>
    <w:rsid w:val="53325CCA"/>
    <w:rsid w:val="534A266D"/>
    <w:rsid w:val="534A583A"/>
    <w:rsid w:val="536C732B"/>
    <w:rsid w:val="537E5E23"/>
    <w:rsid w:val="5385656B"/>
    <w:rsid w:val="53976FBE"/>
    <w:rsid w:val="539F4E06"/>
    <w:rsid w:val="53B10E9B"/>
    <w:rsid w:val="53CB7788"/>
    <w:rsid w:val="53E43915"/>
    <w:rsid w:val="54154B31"/>
    <w:rsid w:val="542E5FA8"/>
    <w:rsid w:val="54421A36"/>
    <w:rsid w:val="545757ED"/>
    <w:rsid w:val="545E2DEC"/>
    <w:rsid w:val="545F6160"/>
    <w:rsid w:val="547355EA"/>
    <w:rsid w:val="547F166B"/>
    <w:rsid w:val="54956C18"/>
    <w:rsid w:val="54996B2C"/>
    <w:rsid w:val="549B10C4"/>
    <w:rsid w:val="549D7EA2"/>
    <w:rsid w:val="54A008B7"/>
    <w:rsid w:val="54A56330"/>
    <w:rsid w:val="54B01F9D"/>
    <w:rsid w:val="54B0224D"/>
    <w:rsid w:val="54CA02A1"/>
    <w:rsid w:val="54D222B5"/>
    <w:rsid w:val="54D62EF8"/>
    <w:rsid w:val="54DE27D6"/>
    <w:rsid w:val="54E13FB2"/>
    <w:rsid w:val="55023D3B"/>
    <w:rsid w:val="55032242"/>
    <w:rsid w:val="551161E5"/>
    <w:rsid w:val="551326CD"/>
    <w:rsid w:val="55160FDB"/>
    <w:rsid w:val="55185559"/>
    <w:rsid w:val="552D5EED"/>
    <w:rsid w:val="555807C3"/>
    <w:rsid w:val="5570744E"/>
    <w:rsid w:val="557B6BF7"/>
    <w:rsid w:val="559954B7"/>
    <w:rsid w:val="55AF7734"/>
    <w:rsid w:val="55C034DC"/>
    <w:rsid w:val="55C20715"/>
    <w:rsid w:val="55C55E8B"/>
    <w:rsid w:val="55D6425F"/>
    <w:rsid w:val="55D6790C"/>
    <w:rsid w:val="55DD0C9B"/>
    <w:rsid w:val="55EC2634"/>
    <w:rsid w:val="55F927C0"/>
    <w:rsid w:val="560721BC"/>
    <w:rsid w:val="560D37A4"/>
    <w:rsid w:val="56237BBD"/>
    <w:rsid w:val="56492E55"/>
    <w:rsid w:val="56593453"/>
    <w:rsid w:val="565C246E"/>
    <w:rsid w:val="567F1BFA"/>
    <w:rsid w:val="56813763"/>
    <w:rsid w:val="568C72FF"/>
    <w:rsid w:val="56C41974"/>
    <w:rsid w:val="56CD0B1E"/>
    <w:rsid w:val="56DC0DBD"/>
    <w:rsid w:val="56E378AD"/>
    <w:rsid w:val="570B1BAF"/>
    <w:rsid w:val="57192A5E"/>
    <w:rsid w:val="572A3989"/>
    <w:rsid w:val="572E2886"/>
    <w:rsid w:val="5746051C"/>
    <w:rsid w:val="574865E8"/>
    <w:rsid w:val="57540E5F"/>
    <w:rsid w:val="57551C4D"/>
    <w:rsid w:val="57611949"/>
    <w:rsid w:val="57691912"/>
    <w:rsid w:val="577A48E5"/>
    <w:rsid w:val="57853243"/>
    <w:rsid w:val="579241C7"/>
    <w:rsid w:val="579A4486"/>
    <w:rsid w:val="57AD2C6F"/>
    <w:rsid w:val="57B62B14"/>
    <w:rsid w:val="57BD6FD6"/>
    <w:rsid w:val="57D50257"/>
    <w:rsid w:val="57D87387"/>
    <w:rsid w:val="57FB28E0"/>
    <w:rsid w:val="58062172"/>
    <w:rsid w:val="58095082"/>
    <w:rsid w:val="58142AE3"/>
    <w:rsid w:val="5829396A"/>
    <w:rsid w:val="583301AC"/>
    <w:rsid w:val="58331046"/>
    <w:rsid w:val="583B614D"/>
    <w:rsid w:val="58404DFC"/>
    <w:rsid w:val="5844688B"/>
    <w:rsid w:val="584D562D"/>
    <w:rsid w:val="584E4F36"/>
    <w:rsid w:val="58636FBD"/>
    <w:rsid w:val="5879262B"/>
    <w:rsid w:val="58863CB5"/>
    <w:rsid w:val="58B47027"/>
    <w:rsid w:val="58F55F09"/>
    <w:rsid w:val="59176CF3"/>
    <w:rsid w:val="59263893"/>
    <w:rsid w:val="593101D0"/>
    <w:rsid w:val="59404493"/>
    <w:rsid w:val="595728AD"/>
    <w:rsid w:val="596246D5"/>
    <w:rsid w:val="596A60BF"/>
    <w:rsid w:val="598B70A1"/>
    <w:rsid w:val="598F58DF"/>
    <w:rsid w:val="599D5FFB"/>
    <w:rsid w:val="59B77A55"/>
    <w:rsid w:val="59C90BE6"/>
    <w:rsid w:val="59E53FCF"/>
    <w:rsid w:val="59F12E05"/>
    <w:rsid w:val="59F376B2"/>
    <w:rsid w:val="5A2847FD"/>
    <w:rsid w:val="5A515B7E"/>
    <w:rsid w:val="5A531187"/>
    <w:rsid w:val="5A5832B1"/>
    <w:rsid w:val="5A5C5C51"/>
    <w:rsid w:val="5A7F4A16"/>
    <w:rsid w:val="5A7F67C4"/>
    <w:rsid w:val="5A836085"/>
    <w:rsid w:val="5A890069"/>
    <w:rsid w:val="5AA16002"/>
    <w:rsid w:val="5ABC2CF5"/>
    <w:rsid w:val="5AC109F8"/>
    <w:rsid w:val="5AC57B92"/>
    <w:rsid w:val="5AD847F9"/>
    <w:rsid w:val="5AFB0C52"/>
    <w:rsid w:val="5AFF72D5"/>
    <w:rsid w:val="5B165255"/>
    <w:rsid w:val="5B215F15"/>
    <w:rsid w:val="5B2A2BD4"/>
    <w:rsid w:val="5B386719"/>
    <w:rsid w:val="5B3951AC"/>
    <w:rsid w:val="5B493BE9"/>
    <w:rsid w:val="5B4A0E3F"/>
    <w:rsid w:val="5B5258E2"/>
    <w:rsid w:val="5B5833C6"/>
    <w:rsid w:val="5B5F6D6F"/>
    <w:rsid w:val="5B7F45A2"/>
    <w:rsid w:val="5B8026B5"/>
    <w:rsid w:val="5B9D6A33"/>
    <w:rsid w:val="5BA02ED7"/>
    <w:rsid w:val="5BB06BDE"/>
    <w:rsid w:val="5BCA2954"/>
    <w:rsid w:val="5BCF2F54"/>
    <w:rsid w:val="5BEB0156"/>
    <w:rsid w:val="5BF72B35"/>
    <w:rsid w:val="5BFF3AF0"/>
    <w:rsid w:val="5C02543D"/>
    <w:rsid w:val="5C1F7056"/>
    <w:rsid w:val="5C2313D1"/>
    <w:rsid w:val="5C2C378B"/>
    <w:rsid w:val="5C30746B"/>
    <w:rsid w:val="5C6E5BB7"/>
    <w:rsid w:val="5C80381D"/>
    <w:rsid w:val="5CAA1C7B"/>
    <w:rsid w:val="5CAB71AE"/>
    <w:rsid w:val="5CC51332"/>
    <w:rsid w:val="5CD44A8F"/>
    <w:rsid w:val="5CD526CC"/>
    <w:rsid w:val="5CDC3581"/>
    <w:rsid w:val="5CF63285"/>
    <w:rsid w:val="5D105DFA"/>
    <w:rsid w:val="5D1B72DD"/>
    <w:rsid w:val="5D2507FA"/>
    <w:rsid w:val="5D2812C2"/>
    <w:rsid w:val="5D6121B1"/>
    <w:rsid w:val="5D68760C"/>
    <w:rsid w:val="5D776ECB"/>
    <w:rsid w:val="5D7822A9"/>
    <w:rsid w:val="5D9B4536"/>
    <w:rsid w:val="5D9C16E7"/>
    <w:rsid w:val="5D9C417E"/>
    <w:rsid w:val="5DB1514E"/>
    <w:rsid w:val="5DD22D32"/>
    <w:rsid w:val="5DE94A19"/>
    <w:rsid w:val="5DF76312"/>
    <w:rsid w:val="5E0C2A1B"/>
    <w:rsid w:val="5E0D34C3"/>
    <w:rsid w:val="5E162DDF"/>
    <w:rsid w:val="5E1A58DA"/>
    <w:rsid w:val="5E1C257D"/>
    <w:rsid w:val="5E3968C0"/>
    <w:rsid w:val="5E3E33C0"/>
    <w:rsid w:val="5E402C20"/>
    <w:rsid w:val="5E664D99"/>
    <w:rsid w:val="5E776913"/>
    <w:rsid w:val="5E7E7DFC"/>
    <w:rsid w:val="5E837EE4"/>
    <w:rsid w:val="5E884785"/>
    <w:rsid w:val="5E8F00FF"/>
    <w:rsid w:val="5E960D37"/>
    <w:rsid w:val="5EA527C5"/>
    <w:rsid w:val="5EA97FDF"/>
    <w:rsid w:val="5EAB402C"/>
    <w:rsid w:val="5EC01E10"/>
    <w:rsid w:val="5EC401AA"/>
    <w:rsid w:val="5EE66E12"/>
    <w:rsid w:val="5EF77FB2"/>
    <w:rsid w:val="5F030660"/>
    <w:rsid w:val="5F1970E2"/>
    <w:rsid w:val="5F3621B0"/>
    <w:rsid w:val="5F6B1B19"/>
    <w:rsid w:val="5F706BBE"/>
    <w:rsid w:val="5F8605DF"/>
    <w:rsid w:val="5F96589A"/>
    <w:rsid w:val="5F9710C3"/>
    <w:rsid w:val="5FA1448F"/>
    <w:rsid w:val="5FA16C3A"/>
    <w:rsid w:val="5FB555A2"/>
    <w:rsid w:val="5FCB58BD"/>
    <w:rsid w:val="5FD25EE0"/>
    <w:rsid w:val="5FD537AD"/>
    <w:rsid w:val="60060CAA"/>
    <w:rsid w:val="601517A8"/>
    <w:rsid w:val="601776E3"/>
    <w:rsid w:val="603F04E6"/>
    <w:rsid w:val="60692E08"/>
    <w:rsid w:val="606C365E"/>
    <w:rsid w:val="6070127A"/>
    <w:rsid w:val="6078151A"/>
    <w:rsid w:val="60827D9D"/>
    <w:rsid w:val="60A64F86"/>
    <w:rsid w:val="60A70823"/>
    <w:rsid w:val="60B568CE"/>
    <w:rsid w:val="60CD4470"/>
    <w:rsid w:val="60DB18FB"/>
    <w:rsid w:val="60DB53BF"/>
    <w:rsid w:val="60DC4BAE"/>
    <w:rsid w:val="60EB2357"/>
    <w:rsid w:val="60FF2703"/>
    <w:rsid w:val="610A6723"/>
    <w:rsid w:val="613B20D6"/>
    <w:rsid w:val="61526094"/>
    <w:rsid w:val="617B609F"/>
    <w:rsid w:val="61915C95"/>
    <w:rsid w:val="61A02E98"/>
    <w:rsid w:val="61A15156"/>
    <w:rsid w:val="61A92379"/>
    <w:rsid w:val="61C516F9"/>
    <w:rsid w:val="61C77C1D"/>
    <w:rsid w:val="61D4389A"/>
    <w:rsid w:val="61DA3409"/>
    <w:rsid w:val="61E671F6"/>
    <w:rsid w:val="61F23BEC"/>
    <w:rsid w:val="61F74BFA"/>
    <w:rsid w:val="62050243"/>
    <w:rsid w:val="622246B9"/>
    <w:rsid w:val="622A095B"/>
    <w:rsid w:val="622A2DEB"/>
    <w:rsid w:val="62360E25"/>
    <w:rsid w:val="62450ADC"/>
    <w:rsid w:val="6251360F"/>
    <w:rsid w:val="6266594B"/>
    <w:rsid w:val="626F464F"/>
    <w:rsid w:val="627B1F67"/>
    <w:rsid w:val="628074C4"/>
    <w:rsid w:val="62A1274D"/>
    <w:rsid w:val="62A23444"/>
    <w:rsid w:val="62A9037D"/>
    <w:rsid w:val="62BC2B85"/>
    <w:rsid w:val="62BD2D1D"/>
    <w:rsid w:val="62D376AD"/>
    <w:rsid w:val="62E96ED1"/>
    <w:rsid w:val="62FD3A4D"/>
    <w:rsid w:val="630759DF"/>
    <w:rsid w:val="630B2F69"/>
    <w:rsid w:val="630F1C32"/>
    <w:rsid w:val="63123A47"/>
    <w:rsid w:val="6320500E"/>
    <w:rsid w:val="63261753"/>
    <w:rsid w:val="63262C0A"/>
    <w:rsid w:val="63341DFA"/>
    <w:rsid w:val="635764B1"/>
    <w:rsid w:val="635B6514"/>
    <w:rsid w:val="636239D7"/>
    <w:rsid w:val="636A01F6"/>
    <w:rsid w:val="63731484"/>
    <w:rsid w:val="63804DAC"/>
    <w:rsid w:val="63897B39"/>
    <w:rsid w:val="638D023E"/>
    <w:rsid w:val="63C118F1"/>
    <w:rsid w:val="63C64EF4"/>
    <w:rsid w:val="63CB242D"/>
    <w:rsid w:val="63D71080"/>
    <w:rsid w:val="63DC5FFC"/>
    <w:rsid w:val="63E11F9E"/>
    <w:rsid w:val="63FA666B"/>
    <w:rsid w:val="64326ECB"/>
    <w:rsid w:val="64485E79"/>
    <w:rsid w:val="644D5487"/>
    <w:rsid w:val="644F0FB6"/>
    <w:rsid w:val="645E070C"/>
    <w:rsid w:val="64615DEA"/>
    <w:rsid w:val="6468092B"/>
    <w:rsid w:val="646E197C"/>
    <w:rsid w:val="649975AE"/>
    <w:rsid w:val="64A855E9"/>
    <w:rsid w:val="64AB544B"/>
    <w:rsid w:val="64AC1014"/>
    <w:rsid w:val="64AC146F"/>
    <w:rsid w:val="64B30D05"/>
    <w:rsid w:val="64C323E4"/>
    <w:rsid w:val="64CF4718"/>
    <w:rsid w:val="64DB0C56"/>
    <w:rsid w:val="64E40D0C"/>
    <w:rsid w:val="64F40D20"/>
    <w:rsid w:val="64FB59D6"/>
    <w:rsid w:val="64FE438D"/>
    <w:rsid w:val="65160523"/>
    <w:rsid w:val="65273846"/>
    <w:rsid w:val="653D52B1"/>
    <w:rsid w:val="65532CE7"/>
    <w:rsid w:val="655D1818"/>
    <w:rsid w:val="65817895"/>
    <w:rsid w:val="658535D8"/>
    <w:rsid w:val="65932AEF"/>
    <w:rsid w:val="65A529F9"/>
    <w:rsid w:val="65AC6B45"/>
    <w:rsid w:val="65C069E1"/>
    <w:rsid w:val="65C77BFA"/>
    <w:rsid w:val="65D811D2"/>
    <w:rsid w:val="65DD49B8"/>
    <w:rsid w:val="65E71DA3"/>
    <w:rsid w:val="66087863"/>
    <w:rsid w:val="660C45AF"/>
    <w:rsid w:val="66157FDD"/>
    <w:rsid w:val="66177B41"/>
    <w:rsid w:val="663D4971"/>
    <w:rsid w:val="665C06E5"/>
    <w:rsid w:val="66705CF9"/>
    <w:rsid w:val="6678169B"/>
    <w:rsid w:val="668152C7"/>
    <w:rsid w:val="669929BC"/>
    <w:rsid w:val="66AC6C3E"/>
    <w:rsid w:val="66B03615"/>
    <w:rsid w:val="66B5176D"/>
    <w:rsid w:val="66C04248"/>
    <w:rsid w:val="66C674C3"/>
    <w:rsid w:val="66CC634A"/>
    <w:rsid w:val="66CD0260"/>
    <w:rsid w:val="66EC6F90"/>
    <w:rsid w:val="66F21A0E"/>
    <w:rsid w:val="67054A51"/>
    <w:rsid w:val="67057A7C"/>
    <w:rsid w:val="6736373F"/>
    <w:rsid w:val="673D3CDE"/>
    <w:rsid w:val="6743539C"/>
    <w:rsid w:val="674A631B"/>
    <w:rsid w:val="674F3B08"/>
    <w:rsid w:val="6758642F"/>
    <w:rsid w:val="67642FCA"/>
    <w:rsid w:val="67766D9B"/>
    <w:rsid w:val="677C0958"/>
    <w:rsid w:val="6784605C"/>
    <w:rsid w:val="678A0557"/>
    <w:rsid w:val="678C2447"/>
    <w:rsid w:val="678C679A"/>
    <w:rsid w:val="67994F05"/>
    <w:rsid w:val="679B362F"/>
    <w:rsid w:val="67BA52E0"/>
    <w:rsid w:val="67CE48E7"/>
    <w:rsid w:val="67EB4A06"/>
    <w:rsid w:val="680269E4"/>
    <w:rsid w:val="68473728"/>
    <w:rsid w:val="68580BED"/>
    <w:rsid w:val="68590435"/>
    <w:rsid w:val="68622E3D"/>
    <w:rsid w:val="686A0AB4"/>
    <w:rsid w:val="686F27A7"/>
    <w:rsid w:val="687C47E2"/>
    <w:rsid w:val="68816516"/>
    <w:rsid w:val="68B05B3B"/>
    <w:rsid w:val="68B22EB8"/>
    <w:rsid w:val="68B31D9C"/>
    <w:rsid w:val="68C070B7"/>
    <w:rsid w:val="68E11616"/>
    <w:rsid w:val="68E41B12"/>
    <w:rsid w:val="68EB7B8D"/>
    <w:rsid w:val="68FA543E"/>
    <w:rsid w:val="69105E62"/>
    <w:rsid w:val="691734E4"/>
    <w:rsid w:val="691B3DD3"/>
    <w:rsid w:val="69306FEB"/>
    <w:rsid w:val="693A110C"/>
    <w:rsid w:val="69550DAD"/>
    <w:rsid w:val="69564B94"/>
    <w:rsid w:val="69670D86"/>
    <w:rsid w:val="696F3EA8"/>
    <w:rsid w:val="6970455A"/>
    <w:rsid w:val="697E1F54"/>
    <w:rsid w:val="69850289"/>
    <w:rsid w:val="69927442"/>
    <w:rsid w:val="69BD0975"/>
    <w:rsid w:val="69C40AF3"/>
    <w:rsid w:val="69C87835"/>
    <w:rsid w:val="69CF4947"/>
    <w:rsid w:val="69E935E9"/>
    <w:rsid w:val="69F529BF"/>
    <w:rsid w:val="69F866F7"/>
    <w:rsid w:val="69FA09DD"/>
    <w:rsid w:val="69FC7262"/>
    <w:rsid w:val="6A123F58"/>
    <w:rsid w:val="6A172FA7"/>
    <w:rsid w:val="6A224376"/>
    <w:rsid w:val="6A272421"/>
    <w:rsid w:val="6A3442F0"/>
    <w:rsid w:val="6A3F4BE6"/>
    <w:rsid w:val="6A426EFE"/>
    <w:rsid w:val="6A575563"/>
    <w:rsid w:val="6A5C442C"/>
    <w:rsid w:val="6A6D0E6C"/>
    <w:rsid w:val="6A7328C7"/>
    <w:rsid w:val="6A745A62"/>
    <w:rsid w:val="6A770324"/>
    <w:rsid w:val="6A795CC5"/>
    <w:rsid w:val="6A863E32"/>
    <w:rsid w:val="6AB40A3E"/>
    <w:rsid w:val="6AB428CD"/>
    <w:rsid w:val="6ABD5FEA"/>
    <w:rsid w:val="6AD069C1"/>
    <w:rsid w:val="6AD7030E"/>
    <w:rsid w:val="6ADA17F5"/>
    <w:rsid w:val="6AE8354E"/>
    <w:rsid w:val="6AFB0824"/>
    <w:rsid w:val="6B0F489A"/>
    <w:rsid w:val="6B2D7A0E"/>
    <w:rsid w:val="6B363971"/>
    <w:rsid w:val="6B462CF7"/>
    <w:rsid w:val="6B5122E4"/>
    <w:rsid w:val="6B5B4715"/>
    <w:rsid w:val="6B7E4876"/>
    <w:rsid w:val="6B841E8D"/>
    <w:rsid w:val="6B860ECA"/>
    <w:rsid w:val="6B8A7781"/>
    <w:rsid w:val="6B9130F5"/>
    <w:rsid w:val="6B995E00"/>
    <w:rsid w:val="6BA177A2"/>
    <w:rsid w:val="6BAA2A14"/>
    <w:rsid w:val="6BAB0983"/>
    <w:rsid w:val="6BB12E5B"/>
    <w:rsid w:val="6BBF1257"/>
    <w:rsid w:val="6BD6505A"/>
    <w:rsid w:val="6BED374C"/>
    <w:rsid w:val="6BF15095"/>
    <w:rsid w:val="6C006BC9"/>
    <w:rsid w:val="6C105B82"/>
    <w:rsid w:val="6C172570"/>
    <w:rsid w:val="6C217A00"/>
    <w:rsid w:val="6C2934CE"/>
    <w:rsid w:val="6C2B1798"/>
    <w:rsid w:val="6C346005"/>
    <w:rsid w:val="6C380744"/>
    <w:rsid w:val="6C5630FD"/>
    <w:rsid w:val="6C6579A3"/>
    <w:rsid w:val="6C6631A1"/>
    <w:rsid w:val="6C697290"/>
    <w:rsid w:val="6C6E1423"/>
    <w:rsid w:val="6C8817AC"/>
    <w:rsid w:val="6C914F72"/>
    <w:rsid w:val="6CAF619F"/>
    <w:rsid w:val="6CC03DCD"/>
    <w:rsid w:val="6CE77E97"/>
    <w:rsid w:val="6CF4571F"/>
    <w:rsid w:val="6CF9200A"/>
    <w:rsid w:val="6D437B63"/>
    <w:rsid w:val="6D5B62A0"/>
    <w:rsid w:val="6D77157D"/>
    <w:rsid w:val="6D7A4C42"/>
    <w:rsid w:val="6D8221A6"/>
    <w:rsid w:val="6D877250"/>
    <w:rsid w:val="6D972CA8"/>
    <w:rsid w:val="6D987428"/>
    <w:rsid w:val="6D99105A"/>
    <w:rsid w:val="6DA74E75"/>
    <w:rsid w:val="6DC46C3B"/>
    <w:rsid w:val="6DD13495"/>
    <w:rsid w:val="6DD326A5"/>
    <w:rsid w:val="6DDE382A"/>
    <w:rsid w:val="6DE87481"/>
    <w:rsid w:val="6E0877BA"/>
    <w:rsid w:val="6E1C0EF6"/>
    <w:rsid w:val="6E401B84"/>
    <w:rsid w:val="6E4E3D6E"/>
    <w:rsid w:val="6E513ADF"/>
    <w:rsid w:val="6E572BF0"/>
    <w:rsid w:val="6E6B1EF6"/>
    <w:rsid w:val="6E6C4C42"/>
    <w:rsid w:val="6E79048E"/>
    <w:rsid w:val="6E840390"/>
    <w:rsid w:val="6E8D3157"/>
    <w:rsid w:val="6E8F67A8"/>
    <w:rsid w:val="6EA07FB3"/>
    <w:rsid w:val="6EA13ECC"/>
    <w:rsid w:val="6EB94044"/>
    <w:rsid w:val="6EBF7D39"/>
    <w:rsid w:val="6ECB45DA"/>
    <w:rsid w:val="6EE3336E"/>
    <w:rsid w:val="6EED49C0"/>
    <w:rsid w:val="6EF51463"/>
    <w:rsid w:val="6EF63293"/>
    <w:rsid w:val="6F230793"/>
    <w:rsid w:val="6F4610C2"/>
    <w:rsid w:val="6F6E11B3"/>
    <w:rsid w:val="6F88019D"/>
    <w:rsid w:val="6FB32286"/>
    <w:rsid w:val="6FC05C0F"/>
    <w:rsid w:val="6FCA5A5D"/>
    <w:rsid w:val="6FCE352C"/>
    <w:rsid w:val="6FDC588B"/>
    <w:rsid w:val="6FE24358"/>
    <w:rsid w:val="6FE26FDF"/>
    <w:rsid w:val="6FEA7EC5"/>
    <w:rsid w:val="6FF9096F"/>
    <w:rsid w:val="6FFD19CC"/>
    <w:rsid w:val="700D0A10"/>
    <w:rsid w:val="700D0E58"/>
    <w:rsid w:val="700F1F41"/>
    <w:rsid w:val="70203823"/>
    <w:rsid w:val="702B1C90"/>
    <w:rsid w:val="702D709F"/>
    <w:rsid w:val="703F7E89"/>
    <w:rsid w:val="705C4B38"/>
    <w:rsid w:val="70857086"/>
    <w:rsid w:val="708D412F"/>
    <w:rsid w:val="709D1187"/>
    <w:rsid w:val="709E7E23"/>
    <w:rsid w:val="70B86252"/>
    <w:rsid w:val="70CB5430"/>
    <w:rsid w:val="70EB4A25"/>
    <w:rsid w:val="70F13F4B"/>
    <w:rsid w:val="70F34E81"/>
    <w:rsid w:val="70F520CD"/>
    <w:rsid w:val="710D226C"/>
    <w:rsid w:val="7144325B"/>
    <w:rsid w:val="71594B6E"/>
    <w:rsid w:val="715B3690"/>
    <w:rsid w:val="716212DB"/>
    <w:rsid w:val="71624E12"/>
    <w:rsid w:val="716C79A5"/>
    <w:rsid w:val="71897772"/>
    <w:rsid w:val="718C2727"/>
    <w:rsid w:val="71950BFB"/>
    <w:rsid w:val="719C1D4A"/>
    <w:rsid w:val="71A94072"/>
    <w:rsid w:val="71AC20FB"/>
    <w:rsid w:val="71BE1432"/>
    <w:rsid w:val="71CF1988"/>
    <w:rsid w:val="71EA02BD"/>
    <w:rsid w:val="71FC4872"/>
    <w:rsid w:val="7224155D"/>
    <w:rsid w:val="72281B78"/>
    <w:rsid w:val="722A76FC"/>
    <w:rsid w:val="7231526A"/>
    <w:rsid w:val="72355D07"/>
    <w:rsid w:val="72391A79"/>
    <w:rsid w:val="724759C2"/>
    <w:rsid w:val="724E2AB3"/>
    <w:rsid w:val="72524AB8"/>
    <w:rsid w:val="72780225"/>
    <w:rsid w:val="72893EC0"/>
    <w:rsid w:val="7297431C"/>
    <w:rsid w:val="72B00E7B"/>
    <w:rsid w:val="72B3053F"/>
    <w:rsid w:val="72B356EC"/>
    <w:rsid w:val="72BC5C9B"/>
    <w:rsid w:val="72C03D97"/>
    <w:rsid w:val="72C86C56"/>
    <w:rsid w:val="72CC5F0C"/>
    <w:rsid w:val="72CD3966"/>
    <w:rsid w:val="72E215DC"/>
    <w:rsid w:val="72E938D6"/>
    <w:rsid w:val="72FA0C86"/>
    <w:rsid w:val="72FB5541"/>
    <w:rsid w:val="72FE3403"/>
    <w:rsid w:val="73123452"/>
    <w:rsid w:val="731F0D2A"/>
    <w:rsid w:val="732E4A7D"/>
    <w:rsid w:val="733216E8"/>
    <w:rsid w:val="733259BA"/>
    <w:rsid w:val="733644EB"/>
    <w:rsid w:val="733A7431"/>
    <w:rsid w:val="733E3031"/>
    <w:rsid w:val="73465221"/>
    <w:rsid w:val="73565C48"/>
    <w:rsid w:val="735F2AAB"/>
    <w:rsid w:val="738A5B9F"/>
    <w:rsid w:val="739026C1"/>
    <w:rsid w:val="73931BBD"/>
    <w:rsid w:val="73940E4E"/>
    <w:rsid w:val="73966C01"/>
    <w:rsid w:val="73A65FD4"/>
    <w:rsid w:val="73A861C6"/>
    <w:rsid w:val="73C42352"/>
    <w:rsid w:val="73D46E79"/>
    <w:rsid w:val="73DE5FF1"/>
    <w:rsid w:val="740E1202"/>
    <w:rsid w:val="741377FB"/>
    <w:rsid w:val="7417755D"/>
    <w:rsid w:val="74322508"/>
    <w:rsid w:val="74432FA4"/>
    <w:rsid w:val="74452ADF"/>
    <w:rsid w:val="744F2505"/>
    <w:rsid w:val="74555AFF"/>
    <w:rsid w:val="745D212B"/>
    <w:rsid w:val="74633C6E"/>
    <w:rsid w:val="746E2193"/>
    <w:rsid w:val="74A563F4"/>
    <w:rsid w:val="74B92643"/>
    <w:rsid w:val="74BA06CD"/>
    <w:rsid w:val="74BA2F9D"/>
    <w:rsid w:val="74D93C7C"/>
    <w:rsid w:val="74DE2400"/>
    <w:rsid w:val="74DF33D1"/>
    <w:rsid w:val="75163E08"/>
    <w:rsid w:val="75280F76"/>
    <w:rsid w:val="75455CD4"/>
    <w:rsid w:val="754C3DC7"/>
    <w:rsid w:val="755F74C6"/>
    <w:rsid w:val="75616D9B"/>
    <w:rsid w:val="757A100D"/>
    <w:rsid w:val="75832C33"/>
    <w:rsid w:val="75B9611A"/>
    <w:rsid w:val="75E04881"/>
    <w:rsid w:val="76051E1C"/>
    <w:rsid w:val="76164463"/>
    <w:rsid w:val="762068F5"/>
    <w:rsid w:val="76213533"/>
    <w:rsid w:val="76273C44"/>
    <w:rsid w:val="762B032C"/>
    <w:rsid w:val="764C0F04"/>
    <w:rsid w:val="765C57B4"/>
    <w:rsid w:val="767F110B"/>
    <w:rsid w:val="76930D1A"/>
    <w:rsid w:val="76947517"/>
    <w:rsid w:val="76C310B4"/>
    <w:rsid w:val="76CE29BF"/>
    <w:rsid w:val="76D374A5"/>
    <w:rsid w:val="76DF013F"/>
    <w:rsid w:val="76E301FF"/>
    <w:rsid w:val="76E677E1"/>
    <w:rsid w:val="7705405E"/>
    <w:rsid w:val="77054E5E"/>
    <w:rsid w:val="774D2F0F"/>
    <w:rsid w:val="774F6C00"/>
    <w:rsid w:val="7756760D"/>
    <w:rsid w:val="775C1067"/>
    <w:rsid w:val="77677435"/>
    <w:rsid w:val="77686C8A"/>
    <w:rsid w:val="776F42E7"/>
    <w:rsid w:val="77742125"/>
    <w:rsid w:val="778921AB"/>
    <w:rsid w:val="77AD45E5"/>
    <w:rsid w:val="77B040ED"/>
    <w:rsid w:val="77C470E3"/>
    <w:rsid w:val="77C71435"/>
    <w:rsid w:val="77E73640"/>
    <w:rsid w:val="77F8433C"/>
    <w:rsid w:val="77FE6B23"/>
    <w:rsid w:val="77FF341A"/>
    <w:rsid w:val="78175941"/>
    <w:rsid w:val="78244A5D"/>
    <w:rsid w:val="783B1B6C"/>
    <w:rsid w:val="78452F02"/>
    <w:rsid w:val="78545B7F"/>
    <w:rsid w:val="78706C74"/>
    <w:rsid w:val="78793518"/>
    <w:rsid w:val="787B769A"/>
    <w:rsid w:val="78855E52"/>
    <w:rsid w:val="789B3638"/>
    <w:rsid w:val="78B7284D"/>
    <w:rsid w:val="78BA3601"/>
    <w:rsid w:val="78F36773"/>
    <w:rsid w:val="791505C8"/>
    <w:rsid w:val="791F31F5"/>
    <w:rsid w:val="792A30CD"/>
    <w:rsid w:val="79344907"/>
    <w:rsid w:val="793A4926"/>
    <w:rsid w:val="793B3FD2"/>
    <w:rsid w:val="79440EAD"/>
    <w:rsid w:val="79443FC4"/>
    <w:rsid w:val="7950536D"/>
    <w:rsid w:val="79666E88"/>
    <w:rsid w:val="798A705B"/>
    <w:rsid w:val="79990D2A"/>
    <w:rsid w:val="79AB7E71"/>
    <w:rsid w:val="79C26D0D"/>
    <w:rsid w:val="79CE2729"/>
    <w:rsid w:val="7A0950DE"/>
    <w:rsid w:val="7A2F540E"/>
    <w:rsid w:val="7A311F12"/>
    <w:rsid w:val="7A5213AA"/>
    <w:rsid w:val="7A57940D"/>
    <w:rsid w:val="7A5B1A3A"/>
    <w:rsid w:val="7A5C362F"/>
    <w:rsid w:val="7A736ABB"/>
    <w:rsid w:val="7A8F46AC"/>
    <w:rsid w:val="7A950B8B"/>
    <w:rsid w:val="7AB03EDB"/>
    <w:rsid w:val="7AB14320"/>
    <w:rsid w:val="7AC064A1"/>
    <w:rsid w:val="7AD10804"/>
    <w:rsid w:val="7AD53602"/>
    <w:rsid w:val="7AD70B11"/>
    <w:rsid w:val="7AD7365B"/>
    <w:rsid w:val="7AF44CD7"/>
    <w:rsid w:val="7B0D52CF"/>
    <w:rsid w:val="7B0E40F9"/>
    <w:rsid w:val="7B1565B0"/>
    <w:rsid w:val="7B212D17"/>
    <w:rsid w:val="7B391533"/>
    <w:rsid w:val="7B3B13D3"/>
    <w:rsid w:val="7B3E01BF"/>
    <w:rsid w:val="7B566955"/>
    <w:rsid w:val="7B5B1B1D"/>
    <w:rsid w:val="7B7452EB"/>
    <w:rsid w:val="7B8267B3"/>
    <w:rsid w:val="7B841046"/>
    <w:rsid w:val="7B8937B3"/>
    <w:rsid w:val="7B9B7E0E"/>
    <w:rsid w:val="7BA70D1A"/>
    <w:rsid w:val="7BB22ECA"/>
    <w:rsid w:val="7BD60969"/>
    <w:rsid w:val="7BDD625C"/>
    <w:rsid w:val="7BF137C2"/>
    <w:rsid w:val="7C0C280B"/>
    <w:rsid w:val="7C186D40"/>
    <w:rsid w:val="7C49794C"/>
    <w:rsid w:val="7C4C331E"/>
    <w:rsid w:val="7C5003E6"/>
    <w:rsid w:val="7C714865"/>
    <w:rsid w:val="7C7A477A"/>
    <w:rsid w:val="7C7E3491"/>
    <w:rsid w:val="7C883008"/>
    <w:rsid w:val="7C9A2999"/>
    <w:rsid w:val="7CA2269D"/>
    <w:rsid w:val="7CB874CC"/>
    <w:rsid w:val="7CBF1B36"/>
    <w:rsid w:val="7CC815B3"/>
    <w:rsid w:val="7CD15019"/>
    <w:rsid w:val="7CED43A2"/>
    <w:rsid w:val="7CED5B70"/>
    <w:rsid w:val="7CF55942"/>
    <w:rsid w:val="7CF661F3"/>
    <w:rsid w:val="7D005360"/>
    <w:rsid w:val="7D1312C2"/>
    <w:rsid w:val="7D297EA7"/>
    <w:rsid w:val="7D2F3ADC"/>
    <w:rsid w:val="7D496CA3"/>
    <w:rsid w:val="7D5749E0"/>
    <w:rsid w:val="7D5B34C2"/>
    <w:rsid w:val="7DAA0E0C"/>
    <w:rsid w:val="7DAD2BFB"/>
    <w:rsid w:val="7DCD6B2C"/>
    <w:rsid w:val="7DEB21B0"/>
    <w:rsid w:val="7DFE3DC0"/>
    <w:rsid w:val="7E0268AB"/>
    <w:rsid w:val="7E2264CB"/>
    <w:rsid w:val="7E2D2677"/>
    <w:rsid w:val="7E342C81"/>
    <w:rsid w:val="7E347C99"/>
    <w:rsid w:val="7E425CF5"/>
    <w:rsid w:val="7E6C197E"/>
    <w:rsid w:val="7E8C61F0"/>
    <w:rsid w:val="7EA80DFD"/>
    <w:rsid w:val="7EB43986"/>
    <w:rsid w:val="7EB47F9E"/>
    <w:rsid w:val="7EDD3A02"/>
    <w:rsid w:val="7EEA3A51"/>
    <w:rsid w:val="7EF50D3F"/>
    <w:rsid w:val="7F034108"/>
    <w:rsid w:val="7F0B6DB8"/>
    <w:rsid w:val="7F0D3AEF"/>
    <w:rsid w:val="7F2D4ECB"/>
    <w:rsid w:val="7F355B69"/>
    <w:rsid w:val="7F3C3F72"/>
    <w:rsid w:val="7F413799"/>
    <w:rsid w:val="7F4B316B"/>
    <w:rsid w:val="7F76054A"/>
    <w:rsid w:val="7F9372BC"/>
    <w:rsid w:val="7F9F6E5F"/>
    <w:rsid w:val="7FAD5651"/>
    <w:rsid w:val="7FBA168C"/>
    <w:rsid w:val="7FC45774"/>
    <w:rsid w:val="7FD87181"/>
    <w:rsid w:val="7FE03BF0"/>
    <w:rsid w:val="7FFA5C4D"/>
    <w:rsid w:val="F3FC2A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64"/>
    <w:autoRedefine/>
    <w:qFormat/>
    <w:uiPriority w:val="0"/>
    <w:pPr>
      <w:keepNext/>
      <w:keepLines/>
      <w:spacing w:before="340" w:after="330"/>
      <w:jc w:val="center"/>
      <w:outlineLvl w:val="0"/>
    </w:pPr>
    <w:rPr>
      <w:b/>
      <w:kern w:val="44"/>
      <w:sz w:val="44"/>
    </w:rPr>
  </w:style>
  <w:style w:type="paragraph" w:styleId="3">
    <w:name w:val="heading 2"/>
    <w:basedOn w:val="1"/>
    <w:next w:val="1"/>
    <w:link w:val="113"/>
    <w:autoRedefine/>
    <w:qFormat/>
    <w:uiPriority w:val="0"/>
    <w:pPr>
      <w:keepNext/>
      <w:keepLines/>
      <w:widowControl/>
      <w:spacing w:before="260" w:after="260"/>
      <w:jc w:val="center"/>
      <w:outlineLvl w:val="1"/>
    </w:pPr>
    <w:rPr>
      <w:rFonts w:ascii="Arial" w:hAnsi="Arial" w:eastAsia="黑体"/>
      <w:kern w:val="0"/>
      <w:sz w:val="44"/>
    </w:rPr>
  </w:style>
  <w:style w:type="paragraph" w:styleId="4">
    <w:name w:val="heading 3"/>
    <w:basedOn w:val="1"/>
    <w:next w:val="1"/>
    <w:link w:val="117"/>
    <w:autoRedefine/>
    <w:qFormat/>
    <w:uiPriority w:val="0"/>
    <w:pPr>
      <w:keepNext/>
      <w:keepLines/>
      <w:spacing w:before="260" w:after="260" w:line="413" w:lineRule="auto"/>
      <w:outlineLvl w:val="2"/>
    </w:pPr>
    <w:rPr>
      <w:b/>
      <w:sz w:val="32"/>
    </w:rPr>
  </w:style>
  <w:style w:type="paragraph" w:styleId="5">
    <w:name w:val="heading 4"/>
    <w:basedOn w:val="1"/>
    <w:next w:val="1"/>
    <w:link w:val="123"/>
    <w:autoRedefine/>
    <w:qFormat/>
    <w:uiPriority w:val="0"/>
    <w:pPr>
      <w:keepNext/>
      <w:keepLines/>
      <w:widowControl/>
      <w:spacing w:before="120" w:after="120" w:line="360" w:lineRule="auto"/>
      <w:jc w:val="center"/>
      <w:outlineLvl w:val="3"/>
    </w:pPr>
    <w:rPr>
      <w:rFonts w:ascii="Arial" w:hAnsi="Arial" w:eastAsia="黑体"/>
      <w:b/>
      <w:kern w:val="0"/>
      <w:sz w:val="28"/>
    </w:rPr>
  </w:style>
  <w:style w:type="paragraph" w:styleId="6">
    <w:name w:val="heading 5"/>
    <w:basedOn w:val="1"/>
    <w:next w:val="1"/>
    <w:link w:val="79"/>
    <w:autoRedefine/>
    <w:qFormat/>
    <w:uiPriority w:val="0"/>
    <w:pPr>
      <w:keepNext/>
      <w:keepLines/>
      <w:widowControl/>
      <w:spacing w:before="120" w:after="120" w:line="360" w:lineRule="auto"/>
      <w:ind w:firstLine="499"/>
      <w:jc w:val="center"/>
      <w:outlineLvl w:val="4"/>
    </w:pPr>
    <w:rPr>
      <w:rFonts w:ascii="宋体" w:hAnsi="宋体"/>
      <w:kern w:val="0"/>
      <w:sz w:val="24"/>
    </w:rPr>
  </w:style>
  <w:style w:type="paragraph" w:styleId="7">
    <w:name w:val="heading 6"/>
    <w:basedOn w:val="1"/>
    <w:next w:val="1"/>
    <w:link w:val="94"/>
    <w:autoRedefine/>
    <w:qFormat/>
    <w:uiPriority w:val="0"/>
    <w:pPr>
      <w:keepNext/>
      <w:keepLines/>
      <w:widowControl/>
      <w:numPr>
        <w:ilvl w:val="5"/>
        <w:numId w:val="1"/>
      </w:numPr>
      <w:tabs>
        <w:tab w:val="left" w:pos="1440"/>
        <w:tab w:val="clear" w:pos="2520"/>
      </w:tabs>
      <w:spacing w:before="240" w:after="64" w:line="317" w:lineRule="auto"/>
      <w:jc w:val="center"/>
      <w:outlineLvl w:val="5"/>
    </w:pPr>
    <w:rPr>
      <w:rFonts w:ascii="Arial" w:hAnsi="Arial" w:eastAsia="黑体"/>
      <w:kern w:val="0"/>
      <w:sz w:val="24"/>
    </w:rPr>
  </w:style>
  <w:style w:type="paragraph" w:styleId="8">
    <w:name w:val="heading 7"/>
    <w:basedOn w:val="1"/>
    <w:next w:val="1"/>
    <w:link w:val="104"/>
    <w:autoRedefine/>
    <w:qFormat/>
    <w:uiPriority w:val="0"/>
    <w:pPr>
      <w:keepNext/>
      <w:keepLines/>
      <w:widowControl/>
      <w:numPr>
        <w:ilvl w:val="6"/>
        <w:numId w:val="1"/>
      </w:numPr>
      <w:tabs>
        <w:tab w:val="left" w:pos="2520"/>
        <w:tab w:val="clear" w:pos="2940"/>
      </w:tabs>
      <w:spacing w:before="240" w:after="64" w:line="317" w:lineRule="auto"/>
      <w:jc w:val="center"/>
      <w:outlineLvl w:val="6"/>
    </w:pPr>
    <w:rPr>
      <w:kern w:val="0"/>
      <w:sz w:val="24"/>
    </w:rPr>
  </w:style>
  <w:style w:type="paragraph" w:styleId="9">
    <w:name w:val="heading 8"/>
    <w:basedOn w:val="1"/>
    <w:next w:val="1"/>
    <w:link w:val="116"/>
    <w:autoRedefine/>
    <w:qFormat/>
    <w:uiPriority w:val="0"/>
    <w:pPr>
      <w:keepNext/>
      <w:keepLines/>
      <w:widowControl/>
      <w:numPr>
        <w:ilvl w:val="7"/>
        <w:numId w:val="1"/>
      </w:numPr>
      <w:tabs>
        <w:tab w:val="left" w:pos="1440"/>
        <w:tab w:val="clear" w:pos="3360"/>
      </w:tabs>
      <w:spacing w:before="240" w:after="64" w:line="317" w:lineRule="auto"/>
      <w:jc w:val="center"/>
      <w:outlineLvl w:val="7"/>
    </w:pPr>
    <w:rPr>
      <w:rFonts w:ascii="Arial" w:hAnsi="Arial" w:eastAsia="黑体"/>
      <w:b/>
      <w:kern w:val="0"/>
      <w:sz w:val="24"/>
    </w:rPr>
  </w:style>
  <w:style w:type="paragraph" w:styleId="10">
    <w:name w:val="heading 9"/>
    <w:basedOn w:val="1"/>
    <w:next w:val="1"/>
    <w:link w:val="98"/>
    <w:autoRedefine/>
    <w:qFormat/>
    <w:uiPriority w:val="0"/>
    <w:pPr>
      <w:keepNext/>
      <w:keepLines/>
      <w:widowControl/>
      <w:numPr>
        <w:ilvl w:val="8"/>
        <w:numId w:val="1"/>
      </w:numPr>
      <w:tabs>
        <w:tab w:val="left" w:pos="1584"/>
        <w:tab w:val="clear" w:pos="3780"/>
      </w:tabs>
      <w:spacing w:before="240" w:after="64" w:line="317" w:lineRule="auto"/>
      <w:jc w:val="center"/>
      <w:outlineLvl w:val="8"/>
    </w:pPr>
    <w:rPr>
      <w:rFonts w:ascii="Arial" w:hAnsi="Arial" w:eastAsia="黑体"/>
      <w:b/>
      <w:kern w:val="0"/>
    </w:rPr>
  </w:style>
  <w:style w:type="character" w:default="1" w:styleId="48">
    <w:name w:val="Default Paragraph Font"/>
    <w:autoRedefine/>
    <w:semiHidden/>
    <w:unhideWhenUsed/>
    <w:qFormat/>
    <w:uiPriority w:val="1"/>
  </w:style>
  <w:style w:type="table" w:default="1" w:styleId="46">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11">
    <w:name w:val="toc 7"/>
    <w:basedOn w:val="1"/>
    <w:next w:val="1"/>
    <w:autoRedefine/>
    <w:qFormat/>
    <w:uiPriority w:val="0"/>
    <w:pPr>
      <w:widowControl/>
      <w:ind w:left="2640"/>
      <w:jc w:val="left"/>
    </w:pPr>
    <w:rPr>
      <w:kern w:val="0"/>
      <w:sz w:val="44"/>
    </w:rPr>
  </w:style>
  <w:style w:type="paragraph" w:styleId="12">
    <w:name w:val="Normal Indent"/>
    <w:basedOn w:val="1"/>
    <w:next w:val="1"/>
    <w:link w:val="71"/>
    <w:autoRedefine/>
    <w:qFormat/>
    <w:uiPriority w:val="0"/>
    <w:pPr>
      <w:widowControl/>
      <w:ind w:firstLine="420"/>
      <w:jc w:val="center"/>
    </w:pPr>
    <w:rPr>
      <w:b/>
      <w:sz w:val="44"/>
    </w:rPr>
  </w:style>
  <w:style w:type="paragraph" w:styleId="13">
    <w:name w:val="caption"/>
    <w:basedOn w:val="1"/>
    <w:next w:val="1"/>
    <w:autoRedefine/>
    <w:qFormat/>
    <w:uiPriority w:val="0"/>
    <w:rPr>
      <w:rFonts w:ascii="Cambria" w:hAnsi="Cambria" w:eastAsia="黑体"/>
      <w:sz w:val="20"/>
    </w:rPr>
  </w:style>
  <w:style w:type="paragraph" w:styleId="14">
    <w:name w:val="Document Map"/>
    <w:basedOn w:val="1"/>
    <w:link w:val="65"/>
    <w:autoRedefine/>
    <w:qFormat/>
    <w:uiPriority w:val="0"/>
    <w:pPr>
      <w:widowControl/>
      <w:shd w:val="clear" w:color="auto" w:fill="000080"/>
      <w:jc w:val="center"/>
    </w:pPr>
    <w:rPr>
      <w:b/>
      <w:kern w:val="0"/>
      <w:sz w:val="44"/>
    </w:rPr>
  </w:style>
  <w:style w:type="paragraph" w:styleId="15">
    <w:name w:val="annotation text"/>
    <w:basedOn w:val="1"/>
    <w:link w:val="87"/>
    <w:autoRedefine/>
    <w:qFormat/>
    <w:uiPriority w:val="0"/>
    <w:pPr>
      <w:adjustRightInd w:val="0"/>
      <w:spacing w:line="360" w:lineRule="atLeast"/>
      <w:jc w:val="center"/>
      <w:textAlignment w:val="baseline"/>
    </w:pPr>
    <w:rPr>
      <w:b/>
      <w:kern w:val="0"/>
      <w:sz w:val="24"/>
    </w:rPr>
  </w:style>
  <w:style w:type="paragraph" w:styleId="16">
    <w:name w:val="Body Text 3"/>
    <w:basedOn w:val="1"/>
    <w:autoRedefine/>
    <w:qFormat/>
    <w:uiPriority w:val="0"/>
    <w:pPr>
      <w:spacing w:after="120"/>
    </w:pPr>
    <w:rPr>
      <w:sz w:val="16"/>
      <w:szCs w:val="16"/>
    </w:rPr>
  </w:style>
  <w:style w:type="paragraph" w:styleId="17">
    <w:name w:val="Body Text"/>
    <w:basedOn w:val="1"/>
    <w:next w:val="1"/>
    <w:link w:val="118"/>
    <w:autoRedefine/>
    <w:qFormat/>
    <w:uiPriority w:val="0"/>
    <w:rPr>
      <w:rFonts w:eastAsia="楷体_GB2312"/>
      <w:sz w:val="30"/>
    </w:rPr>
  </w:style>
  <w:style w:type="paragraph" w:styleId="18">
    <w:name w:val="Body Text Indent"/>
    <w:basedOn w:val="1"/>
    <w:next w:val="12"/>
    <w:link w:val="88"/>
    <w:autoRedefine/>
    <w:qFormat/>
    <w:uiPriority w:val="0"/>
    <w:pPr>
      <w:spacing w:after="120"/>
      <w:ind w:left="420" w:leftChars="200"/>
    </w:pPr>
  </w:style>
  <w:style w:type="paragraph" w:styleId="19">
    <w:name w:val="List 2"/>
    <w:basedOn w:val="1"/>
    <w:autoRedefine/>
    <w:qFormat/>
    <w:uiPriority w:val="0"/>
    <w:pPr>
      <w:ind w:left="100" w:leftChars="200" w:hanging="200" w:hangingChars="200"/>
    </w:pPr>
  </w:style>
  <w:style w:type="paragraph" w:styleId="20">
    <w:name w:val="Block Text"/>
    <w:basedOn w:val="1"/>
    <w:autoRedefine/>
    <w:qFormat/>
    <w:uiPriority w:val="0"/>
    <w:pPr>
      <w:adjustRightInd w:val="0"/>
      <w:ind w:left="420" w:right="33"/>
      <w:jc w:val="center"/>
      <w:textAlignment w:val="baseline"/>
    </w:pPr>
    <w:rPr>
      <w:b/>
      <w:kern w:val="0"/>
      <w:sz w:val="24"/>
    </w:rPr>
  </w:style>
  <w:style w:type="paragraph" w:styleId="21">
    <w:name w:val="index 4"/>
    <w:basedOn w:val="1"/>
    <w:next w:val="1"/>
    <w:autoRedefine/>
    <w:qFormat/>
    <w:uiPriority w:val="0"/>
    <w:pPr>
      <w:ind w:left="600" w:leftChars="600"/>
    </w:pPr>
    <w:rPr>
      <w:szCs w:val="24"/>
    </w:rPr>
  </w:style>
  <w:style w:type="paragraph" w:styleId="22">
    <w:name w:val="toc 5"/>
    <w:basedOn w:val="1"/>
    <w:next w:val="1"/>
    <w:autoRedefine/>
    <w:qFormat/>
    <w:uiPriority w:val="0"/>
    <w:pPr>
      <w:widowControl/>
      <w:ind w:left="1760"/>
      <w:jc w:val="left"/>
    </w:pPr>
    <w:rPr>
      <w:kern w:val="0"/>
      <w:sz w:val="44"/>
    </w:rPr>
  </w:style>
  <w:style w:type="paragraph" w:styleId="23">
    <w:name w:val="toc 3"/>
    <w:basedOn w:val="1"/>
    <w:next w:val="1"/>
    <w:autoRedefine/>
    <w:qFormat/>
    <w:uiPriority w:val="0"/>
    <w:pPr>
      <w:widowControl/>
      <w:ind w:left="880"/>
      <w:jc w:val="left"/>
    </w:pPr>
    <w:rPr>
      <w:i/>
      <w:kern w:val="0"/>
      <w:sz w:val="44"/>
    </w:rPr>
  </w:style>
  <w:style w:type="paragraph" w:styleId="24">
    <w:name w:val="Plain Text"/>
    <w:basedOn w:val="1"/>
    <w:link w:val="115"/>
    <w:autoRedefine/>
    <w:qFormat/>
    <w:uiPriority w:val="0"/>
    <w:rPr>
      <w:rFonts w:ascii="宋体" w:hAnsi="Courier New"/>
    </w:rPr>
  </w:style>
  <w:style w:type="paragraph" w:styleId="25">
    <w:name w:val="toc 8"/>
    <w:basedOn w:val="1"/>
    <w:next w:val="1"/>
    <w:autoRedefine/>
    <w:qFormat/>
    <w:uiPriority w:val="0"/>
    <w:pPr>
      <w:widowControl/>
      <w:ind w:left="3080"/>
      <w:jc w:val="left"/>
    </w:pPr>
    <w:rPr>
      <w:kern w:val="0"/>
      <w:sz w:val="44"/>
    </w:rPr>
  </w:style>
  <w:style w:type="paragraph" w:styleId="26">
    <w:name w:val="Date"/>
    <w:basedOn w:val="1"/>
    <w:next w:val="1"/>
    <w:autoRedefine/>
    <w:qFormat/>
    <w:uiPriority w:val="0"/>
    <w:pPr>
      <w:ind w:left="100" w:leftChars="2500"/>
    </w:pPr>
    <w:rPr>
      <w:sz w:val="36"/>
    </w:rPr>
  </w:style>
  <w:style w:type="paragraph" w:styleId="27">
    <w:name w:val="Body Text Indent 2"/>
    <w:basedOn w:val="1"/>
    <w:autoRedefine/>
    <w:qFormat/>
    <w:uiPriority w:val="0"/>
    <w:pPr>
      <w:spacing w:after="120" w:line="480" w:lineRule="auto"/>
      <w:ind w:left="420" w:leftChars="200"/>
    </w:pPr>
  </w:style>
  <w:style w:type="paragraph" w:styleId="28">
    <w:name w:val="endnote text"/>
    <w:basedOn w:val="1"/>
    <w:autoRedefine/>
    <w:qFormat/>
    <w:uiPriority w:val="0"/>
    <w:pPr>
      <w:widowControl/>
      <w:snapToGrid w:val="0"/>
      <w:jc w:val="center"/>
    </w:pPr>
    <w:rPr>
      <w:b/>
      <w:kern w:val="0"/>
      <w:sz w:val="44"/>
    </w:rPr>
  </w:style>
  <w:style w:type="paragraph" w:styleId="29">
    <w:name w:val="Balloon Text"/>
    <w:basedOn w:val="1"/>
    <w:link w:val="114"/>
    <w:autoRedefine/>
    <w:qFormat/>
    <w:uiPriority w:val="0"/>
    <w:rPr>
      <w:sz w:val="18"/>
    </w:rPr>
  </w:style>
  <w:style w:type="paragraph" w:styleId="30">
    <w:name w:val="footer"/>
    <w:basedOn w:val="1"/>
    <w:link w:val="109"/>
    <w:autoRedefine/>
    <w:qFormat/>
    <w:uiPriority w:val="0"/>
    <w:pPr>
      <w:tabs>
        <w:tab w:val="center" w:pos="4153"/>
        <w:tab w:val="right" w:pos="8306"/>
      </w:tabs>
      <w:snapToGrid w:val="0"/>
      <w:jc w:val="left"/>
    </w:pPr>
    <w:rPr>
      <w:sz w:val="18"/>
    </w:rPr>
  </w:style>
  <w:style w:type="paragraph" w:styleId="31">
    <w:name w:val="header"/>
    <w:basedOn w:val="1"/>
    <w:link w:val="73"/>
    <w:autoRedefine/>
    <w:qFormat/>
    <w:uiPriority w:val="0"/>
    <w:pPr>
      <w:pBdr>
        <w:bottom w:val="single" w:color="auto" w:sz="6" w:space="1"/>
      </w:pBdr>
      <w:tabs>
        <w:tab w:val="center" w:pos="4153"/>
        <w:tab w:val="right" w:pos="8306"/>
      </w:tabs>
      <w:snapToGrid w:val="0"/>
      <w:jc w:val="center"/>
    </w:pPr>
    <w:rPr>
      <w:sz w:val="18"/>
    </w:rPr>
  </w:style>
  <w:style w:type="paragraph" w:styleId="32">
    <w:name w:val="toc 1"/>
    <w:basedOn w:val="1"/>
    <w:next w:val="1"/>
    <w:autoRedefine/>
    <w:qFormat/>
    <w:uiPriority w:val="39"/>
  </w:style>
  <w:style w:type="paragraph" w:styleId="33">
    <w:name w:val="toc 4"/>
    <w:basedOn w:val="1"/>
    <w:next w:val="1"/>
    <w:autoRedefine/>
    <w:qFormat/>
    <w:uiPriority w:val="0"/>
    <w:pPr>
      <w:widowControl/>
      <w:ind w:left="1320"/>
      <w:jc w:val="left"/>
    </w:pPr>
    <w:rPr>
      <w:kern w:val="0"/>
      <w:sz w:val="44"/>
    </w:rPr>
  </w:style>
  <w:style w:type="paragraph" w:styleId="34">
    <w:name w:val="Subtitle"/>
    <w:basedOn w:val="1"/>
    <w:next w:val="1"/>
    <w:link w:val="66"/>
    <w:autoRedefine/>
    <w:qFormat/>
    <w:uiPriority w:val="0"/>
    <w:pPr>
      <w:spacing w:before="240" w:after="60" w:line="312" w:lineRule="auto"/>
      <w:jc w:val="center"/>
      <w:outlineLvl w:val="1"/>
    </w:pPr>
    <w:rPr>
      <w:rFonts w:ascii="Cambria" w:hAnsi="Cambria"/>
      <w:b/>
      <w:bCs/>
      <w:kern w:val="28"/>
      <w:sz w:val="32"/>
      <w:szCs w:val="32"/>
    </w:rPr>
  </w:style>
  <w:style w:type="paragraph" w:styleId="35">
    <w:name w:val="footnote text"/>
    <w:basedOn w:val="1"/>
    <w:autoRedefine/>
    <w:qFormat/>
    <w:uiPriority w:val="0"/>
    <w:pPr>
      <w:adjustRightInd w:val="0"/>
      <w:spacing w:line="312" w:lineRule="atLeast"/>
      <w:jc w:val="center"/>
      <w:textAlignment w:val="baseline"/>
    </w:pPr>
    <w:rPr>
      <w:b/>
      <w:kern w:val="0"/>
      <w:sz w:val="18"/>
    </w:rPr>
  </w:style>
  <w:style w:type="paragraph" w:styleId="36">
    <w:name w:val="toc 6"/>
    <w:basedOn w:val="1"/>
    <w:next w:val="1"/>
    <w:autoRedefine/>
    <w:qFormat/>
    <w:uiPriority w:val="0"/>
    <w:pPr>
      <w:widowControl/>
      <w:ind w:left="2200"/>
      <w:jc w:val="left"/>
    </w:pPr>
    <w:rPr>
      <w:kern w:val="0"/>
      <w:sz w:val="44"/>
    </w:rPr>
  </w:style>
  <w:style w:type="paragraph" w:styleId="37">
    <w:name w:val="Body Text Indent 3"/>
    <w:basedOn w:val="1"/>
    <w:autoRedefine/>
    <w:qFormat/>
    <w:uiPriority w:val="0"/>
    <w:pPr>
      <w:widowControl/>
      <w:overflowPunct w:val="0"/>
      <w:autoSpaceDE w:val="0"/>
      <w:autoSpaceDN w:val="0"/>
      <w:adjustRightInd w:val="0"/>
      <w:spacing w:line="360" w:lineRule="auto"/>
      <w:ind w:firstLine="540"/>
      <w:textAlignment w:val="baseline"/>
    </w:pPr>
    <w:rPr>
      <w:rFonts w:ascii="宋体" w:hAnsi="MS Sans Serif"/>
      <w:b/>
      <w:color w:val="000000"/>
      <w:kern w:val="0"/>
      <w:sz w:val="24"/>
    </w:rPr>
  </w:style>
  <w:style w:type="paragraph" w:styleId="38">
    <w:name w:val="toc 2"/>
    <w:basedOn w:val="1"/>
    <w:next w:val="1"/>
    <w:autoRedefine/>
    <w:qFormat/>
    <w:uiPriority w:val="0"/>
    <w:pPr>
      <w:widowControl/>
      <w:ind w:left="440"/>
      <w:jc w:val="left"/>
    </w:pPr>
    <w:rPr>
      <w:smallCaps/>
      <w:kern w:val="0"/>
      <w:sz w:val="44"/>
    </w:rPr>
  </w:style>
  <w:style w:type="paragraph" w:styleId="39">
    <w:name w:val="toc 9"/>
    <w:basedOn w:val="1"/>
    <w:next w:val="1"/>
    <w:autoRedefine/>
    <w:qFormat/>
    <w:uiPriority w:val="0"/>
    <w:pPr>
      <w:widowControl/>
      <w:ind w:left="3520"/>
      <w:jc w:val="left"/>
    </w:pPr>
    <w:rPr>
      <w:kern w:val="0"/>
      <w:sz w:val="44"/>
    </w:rPr>
  </w:style>
  <w:style w:type="paragraph" w:styleId="40">
    <w:name w:val="Body Text 2"/>
    <w:basedOn w:val="1"/>
    <w:autoRedefine/>
    <w:qFormat/>
    <w:uiPriority w:val="0"/>
    <w:pPr>
      <w:spacing w:after="120" w:line="480" w:lineRule="auto"/>
    </w:pPr>
    <w:rPr>
      <w:szCs w:val="24"/>
    </w:rPr>
  </w:style>
  <w:style w:type="paragraph" w:styleId="41">
    <w:name w:val="Normal (Web)"/>
    <w:basedOn w:val="1"/>
    <w:autoRedefine/>
    <w:qFormat/>
    <w:uiPriority w:val="0"/>
    <w:pPr>
      <w:widowControl/>
      <w:spacing w:before="100" w:beforeAutospacing="1" w:after="100" w:afterAutospacing="1"/>
      <w:jc w:val="left"/>
    </w:pPr>
    <w:rPr>
      <w:rFonts w:hint="eastAsia" w:ascii="宋体" w:hAnsi="宋体"/>
      <w:kern w:val="0"/>
      <w:sz w:val="24"/>
    </w:rPr>
  </w:style>
  <w:style w:type="paragraph" w:styleId="42">
    <w:name w:val="Title"/>
    <w:basedOn w:val="1"/>
    <w:next w:val="1"/>
    <w:link w:val="125"/>
    <w:autoRedefine/>
    <w:qFormat/>
    <w:uiPriority w:val="0"/>
    <w:pPr>
      <w:widowControl/>
      <w:spacing w:before="240" w:after="60"/>
      <w:jc w:val="center"/>
      <w:outlineLvl w:val="0"/>
    </w:pPr>
    <w:rPr>
      <w:rFonts w:ascii="Arial" w:hAnsi="Arial"/>
      <w:b/>
      <w:kern w:val="0"/>
      <w:sz w:val="44"/>
    </w:rPr>
  </w:style>
  <w:style w:type="paragraph" w:styleId="43">
    <w:name w:val="annotation subject"/>
    <w:basedOn w:val="15"/>
    <w:next w:val="15"/>
    <w:link w:val="67"/>
    <w:autoRedefine/>
    <w:semiHidden/>
    <w:qFormat/>
    <w:uiPriority w:val="0"/>
    <w:pPr>
      <w:adjustRightInd/>
      <w:spacing w:line="240" w:lineRule="auto"/>
      <w:jc w:val="left"/>
      <w:textAlignment w:val="auto"/>
    </w:pPr>
    <w:rPr>
      <w:bCs/>
      <w:kern w:val="2"/>
      <w:sz w:val="21"/>
    </w:rPr>
  </w:style>
  <w:style w:type="paragraph" w:styleId="44">
    <w:name w:val="Body Text First Indent"/>
    <w:basedOn w:val="17"/>
    <w:autoRedefine/>
    <w:qFormat/>
    <w:uiPriority w:val="0"/>
    <w:pPr>
      <w:spacing w:line="312" w:lineRule="auto"/>
      <w:ind w:firstLine="420"/>
    </w:pPr>
  </w:style>
  <w:style w:type="paragraph" w:styleId="45">
    <w:name w:val="Body Text First Indent 2"/>
    <w:basedOn w:val="18"/>
    <w:next w:val="1"/>
    <w:autoRedefine/>
    <w:qFormat/>
    <w:uiPriority w:val="0"/>
    <w:pPr>
      <w:ind w:firstLine="420" w:firstLineChars="200"/>
    </w:pPr>
  </w:style>
  <w:style w:type="table" w:styleId="47">
    <w:name w:val="Table Grid"/>
    <w:basedOn w:val="46"/>
    <w:autoRedefine/>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9">
    <w:name w:val="Strong"/>
    <w:basedOn w:val="48"/>
    <w:autoRedefine/>
    <w:qFormat/>
    <w:uiPriority w:val="0"/>
    <w:rPr>
      <w:rFonts w:ascii="Verdana" w:hAnsi="Verdana" w:eastAsia="仿宋_GB2312"/>
      <w:b/>
      <w:bCs/>
      <w:kern w:val="0"/>
      <w:sz w:val="24"/>
      <w:lang w:eastAsia="en-US"/>
    </w:rPr>
  </w:style>
  <w:style w:type="character" w:styleId="50">
    <w:name w:val="endnote reference"/>
    <w:basedOn w:val="48"/>
    <w:autoRedefine/>
    <w:qFormat/>
    <w:uiPriority w:val="0"/>
    <w:rPr>
      <w:rFonts w:ascii="Verdana" w:hAnsi="Verdana" w:eastAsia="仿宋_GB2312"/>
      <w:kern w:val="0"/>
      <w:sz w:val="24"/>
      <w:vertAlign w:val="superscript"/>
      <w:lang w:eastAsia="en-US"/>
    </w:rPr>
  </w:style>
  <w:style w:type="character" w:styleId="51">
    <w:name w:val="page number"/>
    <w:basedOn w:val="48"/>
    <w:autoRedefine/>
    <w:qFormat/>
    <w:uiPriority w:val="0"/>
    <w:rPr>
      <w:rFonts w:ascii="Verdana" w:hAnsi="Verdana" w:eastAsia="仿宋_GB2312"/>
      <w:kern w:val="0"/>
      <w:sz w:val="24"/>
      <w:lang w:eastAsia="en-US"/>
    </w:rPr>
  </w:style>
  <w:style w:type="character" w:styleId="52">
    <w:name w:val="FollowedHyperlink"/>
    <w:basedOn w:val="48"/>
    <w:autoRedefine/>
    <w:qFormat/>
    <w:uiPriority w:val="0"/>
    <w:rPr>
      <w:rFonts w:hint="eastAsia" w:ascii="微软雅黑" w:hAnsi="微软雅黑" w:eastAsia="微软雅黑" w:cs="微软雅黑"/>
      <w:color w:val="02396F"/>
      <w:kern w:val="0"/>
      <w:sz w:val="24"/>
      <w:u w:val="single"/>
      <w:lang w:eastAsia="en-US"/>
    </w:rPr>
  </w:style>
  <w:style w:type="character" w:styleId="53">
    <w:name w:val="Emphasis"/>
    <w:autoRedefine/>
    <w:qFormat/>
    <w:uiPriority w:val="0"/>
    <w:rPr>
      <w:i/>
      <w:iCs/>
    </w:rPr>
  </w:style>
  <w:style w:type="character" w:styleId="54">
    <w:name w:val="HTML Definition"/>
    <w:basedOn w:val="48"/>
    <w:autoRedefine/>
    <w:qFormat/>
    <w:uiPriority w:val="0"/>
    <w:rPr>
      <w:rFonts w:ascii="Verdana" w:hAnsi="Verdana" w:eastAsia="仿宋_GB2312"/>
      <w:kern w:val="0"/>
      <w:sz w:val="24"/>
      <w:lang w:eastAsia="en-US"/>
    </w:rPr>
  </w:style>
  <w:style w:type="character" w:styleId="55">
    <w:name w:val="HTML Typewriter"/>
    <w:basedOn w:val="48"/>
    <w:autoRedefine/>
    <w:qFormat/>
    <w:uiPriority w:val="0"/>
    <w:rPr>
      <w:rFonts w:hint="default" w:ascii="monospace" w:hAnsi="monospace" w:eastAsia="monospace" w:cs="monospace"/>
      <w:kern w:val="0"/>
      <w:sz w:val="20"/>
      <w:lang w:eastAsia="en-US"/>
    </w:rPr>
  </w:style>
  <w:style w:type="character" w:styleId="56">
    <w:name w:val="HTML Acronym"/>
    <w:basedOn w:val="48"/>
    <w:autoRedefine/>
    <w:qFormat/>
    <w:uiPriority w:val="0"/>
    <w:rPr>
      <w:rFonts w:ascii="Verdana" w:hAnsi="Verdana" w:eastAsia="仿宋_GB2312"/>
      <w:kern w:val="0"/>
      <w:sz w:val="24"/>
      <w:lang w:eastAsia="en-US"/>
    </w:rPr>
  </w:style>
  <w:style w:type="character" w:styleId="57">
    <w:name w:val="HTML Variable"/>
    <w:basedOn w:val="48"/>
    <w:autoRedefine/>
    <w:qFormat/>
    <w:uiPriority w:val="0"/>
    <w:rPr>
      <w:rFonts w:ascii="Verdana" w:hAnsi="Verdana" w:eastAsia="仿宋_GB2312"/>
      <w:kern w:val="0"/>
      <w:sz w:val="24"/>
      <w:lang w:eastAsia="en-US"/>
    </w:rPr>
  </w:style>
  <w:style w:type="character" w:styleId="58">
    <w:name w:val="Hyperlink"/>
    <w:basedOn w:val="48"/>
    <w:autoRedefine/>
    <w:qFormat/>
    <w:uiPriority w:val="99"/>
    <w:rPr>
      <w:rFonts w:ascii="微软雅黑" w:hAnsi="微软雅黑" w:eastAsia="微软雅黑" w:cs="微软雅黑"/>
      <w:color w:val="02396F"/>
      <w:kern w:val="0"/>
      <w:sz w:val="24"/>
      <w:u w:val="single"/>
      <w:lang w:eastAsia="en-US"/>
    </w:rPr>
  </w:style>
  <w:style w:type="character" w:styleId="59">
    <w:name w:val="HTML Code"/>
    <w:basedOn w:val="48"/>
    <w:autoRedefine/>
    <w:qFormat/>
    <w:uiPriority w:val="0"/>
    <w:rPr>
      <w:rFonts w:hint="default" w:ascii="monospace" w:hAnsi="monospace" w:eastAsia="monospace" w:cs="monospace"/>
      <w:kern w:val="0"/>
      <w:sz w:val="20"/>
      <w:lang w:eastAsia="en-US"/>
    </w:rPr>
  </w:style>
  <w:style w:type="character" w:styleId="60">
    <w:name w:val="HTML Cite"/>
    <w:basedOn w:val="48"/>
    <w:autoRedefine/>
    <w:qFormat/>
    <w:uiPriority w:val="0"/>
    <w:rPr>
      <w:rFonts w:ascii="Verdana" w:hAnsi="Verdana" w:eastAsia="仿宋_GB2312"/>
      <w:kern w:val="0"/>
      <w:sz w:val="24"/>
      <w:lang w:eastAsia="en-US"/>
    </w:rPr>
  </w:style>
  <w:style w:type="character" w:styleId="61">
    <w:name w:val="footnote reference"/>
    <w:basedOn w:val="48"/>
    <w:autoRedefine/>
    <w:qFormat/>
    <w:uiPriority w:val="0"/>
    <w:rPr>
      <w:rFonts w:ascii="Verdana" w:hAnsi="Verdana" w:eastAsia="仿宋_GB2312"/>
      <w:kern w:val="0"/>
      <w:sz w:val="24"/>
      <w:vertAlign w:val="superscript"/>
      <w:lang w:eastAsia="en-US"/>
    </w:rPr>
  </w:style>
  <w:style w:type="character" w:styleId="62">
    <w:name w:val="HTML Keyboard"/>
    <w:basedOn w:val="48"/>
    <w:autoRedefine/>
    <w:qFormat/>
    <w:uiPriority w:val="0"/>
    <w:rPr>
      <w:rFonts w:hint="default" w:ascii="monospace" w:hAnsi="monospace" w:eastAsia="monospace" w:cs="monospace"/>
      <w:kern w:val="0"/>
      <w:sz w:val="20"/>
      <w:lang w:eastAsia="en-US"/>
    </w:rPr>
  </w:style>
  <w:style w:type="character" w:styleId="63">
    <w:name w:val="HTML Sample"/>
    <w:basedOn w:val="48"/>
    <w:autoRedefine/>
    <w:qFormat/>
    <w:uiPriority w:val="0"/>
    <w:rPr>
      <w:rFonts w:ascii="monospace" w:hAnsi="monospace" w:eastAsia="monospace" w:cs="monospace"/>
      <w:kern w:val="0"/>
      <w:sz w:val="24"/>
      <w:lang w:eastAsia="en-US"/>
    </w:rPr>
  </w:style>
  <w:style w:type="character" w:customStyle="1" w:styleId="64">
    <w:name w:val="标题 1 Char"/>
    <w:link w:val="2"/>
    <w:autoRedefine/>
    <w:qFormat/>
    <w:uiPriority w:val="0"/>
    <w:rPr>
      <w:rFonts w:ascii="Times New Roman" w:hAnsi="Times New Roman" w:eastAsia="宋体"/>
      <w:b/>
      <w:kern w:val="44"/>
      <w:sz w:val="44"/>
      <w:lang w:val="en-US" w:eastAsia="zh-CN" w:bidi="ar-SA"/>
    </w:rPr>
  </w:style>
  <w:style w:type="character" w:customStyle="1" w:styleId="65">
    <w:name w:val="文档结构图 Char"/>
    <w:link w:val="14"/>
    <w:autoRedefine/>
    <w:qFormat/>
    <w:uiPriority w:val="0"/>
    <w:rPr>
      <w:rFonts w:eastAsia="宋体"/>
      <w:b/>
      <w:sz w:val="44"/>
      <w:lang w:val="en-US" w:eastAsia="zh-CN" w:bidi="ar-SA"/>
    </w:rPr>
  </w:style>
  <w:style w:type="character" w:customStyle="1" w:styleId="66">
    <w:name w:val="副标题 Char"/>
    <w:link w:val="34"/>
    <w:autoRedefine/>
    <w:qFormat/>
    <w:uiPriority w:val="0"/>
    <w:rPr>
      <w:rFonts w:ascii="Cambria" w:hAnsi="Cambria"/>
      <w:b/>
      <w:bCs/>
      <w:kern w:val="28"/>
      <w:sz w:val="32"/>
      <w:szCs w:val="32"/>
      <w:lang w:bidi="ar-SA"/>
    </w:rPr>
  </w:style>
  <w:style w:type="character" w:customStyle="1" w:styleId="67">
    <w:name w:val="批注主题 Char"/>
    <w:link w:val="43"/>
    <w:autoRedefine/>
    <w:qFormat/>
    <w:uiPriority w:val="0"/>
    <w:rPr>
      <w:rFonts w:eastAsia="宋体"/>
      <w:b/>
      <w:bCs/>
      <w:kern w:val="2"/>
      <w:sz w:val="21"/>
      <w:lang w:val="en-US" w:eastAsia="zh-CN" w:bidi="ar-SA"/>
    </w:rPr>
  </w:style>
  <w:style w:type="character" w:customStyle="1" w:styleId="68">
    <w:name w:val="s1"/>
    <w:basedOn w:val="48"/>
    <w:autoRedefine/>
    <w:qFormat/>
    <w:uiPriority w:val="0"/>
    <w:rPr>
      <w:rFonts w:ascii="Verdana" w:hAnsi="Verdana" w:eastAsia="仿宋_GB2312"/>
      <w:color w:val="118EFF"/>
      <w:kern w:val="0"/>
      <w:sz w:val="24"/>
      <w:lang w:eastAsia="en-US"/>
    </w:rPr>
  </w:style>
  <w:style w:type="character" w:customStyle="1" w:styleId="69">
    <w:name w:val="Intense Reference"/>
    <w:autoRedefine/>
    <w:qFormat/>
    <w:uiPriority w:val="0"/>
    <w:rPr>
      <w:b/>
      <w:bCs/>
      <w:smallCaps/>
      <w:color w:val="C0504D"/>
      <w:spacing w:val="5"/>
      <w:u w:val="single"/>
    </w:rPr>
  </w:style>
  <w:style w:type="character" w:customStyle="1" w:styleId="70">
    <w:name w:val="qxdate"/>
    <w:basedOn w:val="48"/>
    <w:autoRedefine/>
    <w:qFormat/>
    <w:uiPriority w:val="0"/>
    <w:rPr>
      <w:rFonts w:ascii="Verdana" w:hAnsi="Verdana" w:eastAsia="仿宋_GB2312"/>
      <w:color w:val="333333"/>
      <w:kern w:val="0"/>
      <w:sz w:val="18"/>
      <w:szCs w:val="18"/>
      <w:lang w:eastAsia="en-US"/>
    </w:rPr>
  </w:style>
  <w:style w:type="character" w:customStyle="1" w:styleId="71">
    <w:name w:val="正文缩进 Char"/>
    <w:basedOn w:val="48"/>
    <w:link w:val="12"/>
    <w:autoRedefine/>
    <w:qFormat/>
    <w:uiPriority w:val="0"/>
    <w:rPr>
      <w:rFonts w:ascii="Verdana" w:hAnsi="Verdana" w:eastAsia="宋体"/>
      <w:b/>
      <w:kern w:val="0"/>
      <w:sz w:val="44"/>
      <w:lang w:val="en-US" w:eastAsia="zh-CN"/>
    </w:rPr>
  </w:style>
  <w:style w:type="character" w:customStyle="1" w:styleId="72">
    <w:name w:val="prev2"/>
    <w:basedOn w:val="48"/>
    <w:autoRedefine/>
    <w:qFormat/>
    <w:uiPriority w:val="0"/>
    <w:rPr>
      <w:rFonts w:ascii="Verdana" w:hAnsi="Verdana" w:eastAsia="仿宋_GB2312"/>
      <w:color w:val="888888"/>
      <w:kern w:val="0"/>
      <w:sz w:val="24"/>
      <w:lang w:eastAsia="en-US"/>
    </w:rPr>
  </w:style>
  <w:style w:type="character" w:customStyle="1" w:styleId="73">
    <w:name w:val="页眉 Char"/>
    <w:link w:val="31"/>
    <w:autoRedefine/>
    <w:qFormat/>
    <w:uiPriority w:val="0"/>
    <w:rPr>
      <w:rFonts w:eastAsia="宋体"/>
      <w:kern w:val="2"/>
      <w:sz w:val="18"/>
      <w:lang w:val="en-US" w:eastAsia="zh-CN" w:bidi="ar-SA"/>
    </w:rPr>
  </w:style>
  <w:style w:type="character" w:customStyle="1" w:styleId="74">
    <w:name w:val="引用 Char"/>
    <w:link w:val="75"/>
    <w:autoRedefine/>
    <w:qFormat/>
    <w:uiPriority w:val="0"/>
    <w:rPr>
      <w:i/>
      <w:iCs/>
      <w:color w:val="000000"/>
      <w:kern w:val="2"/>
      <w:sz w:val="21"/>
      <w:szCs w:val="22"/>
      <w:lang w:bidi="ar-SA"/>
    </w:rPr>
  </w:style>
  <w:style w:type="paragraph" w:styleId="75">
    <w:name w:val="Quote"/>
    <w:basedOn w:val="1"/>
    <w:next w:val="1"/>
    <w:link w:val="74"/>
    <w:autoRedefine/>
    <w:qFormat/>
    <w:uiPriority w:val="0"/>
    <w:rPr>
      <w:i/>
      <w:iCs/>
      <w:color w:val="000000"/>
      <w:szCs w:val="22"/>
    </w:rPr>
  </w:style>
  <w:style w:type="character" w:customStyle="1" w:styleId="76">
    <w:name w:val="日期 Char1"/>
    <w:autoRedefine/>
    <w:qFormat/>
    <w:uiPriority w:val="0"/>
    <w:rPr>
      <w:kern w:val="2"/>
      <w:sz w:val="21"/>
      <w:szCs w:val="22"/>
    </w:rPr>
  </w:style>
  <w:style w:type="character" w:customStyle="1" w:styleId="77">
    <w:name w:val="next1"/>
    <w:basedOn w:val="48"/>
    <w:autoRedefine/>
    <w:qFormat/>
    <w:uiPriority w:val="0"/>
    <w:rPr>
      <w:rFonts w:ascii="Verdana" w:hAnsi="Verdana" w:eastAsia="仿宋_GB2312"/>
      <w:color w:val="888888"/>
      <w:kern w:val="0"/>
      <w:sz w:val="24"/>
      <w:lang w:eastAsia="en-US"/>
    </w:rPr>
  </w:style>
  <w:style w:type="character" w:customStyle="1" w:styleId="78">
    <w:name w:val="textcontents"/>
    <w:autoRedefine/>
    <w:qFormat/>
    <w:uiPriority w:val="0"/>
    <w:rPr>
      <w:rFonts w:cs="Times New Roman"/>
    </w:rPr>
  </w:style>
  <w:style w:type="character" w:customStyle="1" w:styleId="79">
    <w:name w:val="标题 5 Char"/>
    <w:link w:val="6"/>
    <w:autoRedefine/>
    <w:qFormat/>
    <w:uiPriority w:val="0"/>
    <w:rPr>
      <w:rFonts w:ascii="宋体" w:hAnsi="宋体" w:eastAsia="宋体"/>
      <w:sz w:val="24"/>
      <w:lang w:val="en-US" w:eastAsia="zh-CN" w:bidi="ar-SA"/>
    </w:rPr>
  </w:style>
  <w:style w:type="character" w:customStyle="1" w:styleId="80">
    <w:name w:val="prev"/>
    <w:basedOn w:val="48"/>
    <w:autoRedefine/>
    <w:qFormat/>
    <w:uiPriority w:val="0"/>
    <w:rPr>
      <w:rFonts w:hint="eastAsia" w:ascii="微软雅黑" w:hAnsi="微软雅黑" w:eastAsia="微软雅黑" w:cs="微软雅黑"/>
      <w:kern w:val="0"/>
      <w:sz w:val="21"/>
      <w:szCs w:val="21"/>
      <w:lang w:eastAsia="en-US"/>
    </w:rPr>
  </w:style>
  <w:style w:type="character" w:customStyle="1" w:styleId="81">
    <w:name w:val="c-icon28"/>
    <w:basedOn w:val="48"/>
    <w:autoRedefine/>
    <w:qFormat/>
    <w:uiPriority w:val="0"/>
    <w:rPr>
      <w:rFonts w:ascii="Verdana" w:hAnsi="Verdana" w:eastAsia="仿宋_GB2312"/>
      <w:kern w:val="0"/>
      <w:sz w:val="24"/>
      <w:lang w:eastAsia="en-US"/>
    </w:rPr>
  </w:style>
  <w:style w:type="character" w:customStyle="1" w:styleId="82">
    <w:name w:val="first-child"/>
    <w:basedOn w:val="48"/>
    <w:autoRedefine/>
    <w:qFormat/>
    <w:uiPriority w:val="0"/>
    <w:rPr>
      <w:rFonts w:ascii="Verdana" w:hAnsi="Verdana" w:eastAsia="仿宋_GB2312"/>
      <w:kern w:val="0"/>
      <w:sz w:val="24"/>
      <w:lang w:eastAsia="en-US"/>
    </w:rPr>
  </w:style>
  <w:style w:type="character" w:customStyle="1" w:styleId="83">
    <w:name w:val="Char Char4"/>
    <w:autoRedefine/>
    <w:qFormat/>
    <w:uiPriority w:val="0"/>
    <w:rPr>
      <w:rFonts w:eastAsia="楷体_GB2312"/>
      <w:kern w:val="2"/>
      <w:sz w:val="30"/>
      <w:lang w:val="en-US" w:eastAsia="zh-CN" w:bidi="ar-SA"/>
    </w:rPr>
  </w:style>
  <w:style w:type="character" w:customStyle="1" w:styleId="84">
    <w:name w:val="next2"/>
    <w:basedOn w:val="48"/>
    <w:autoRedefine/>
    <w:qFormat/>
    <w:uiPriority w:val="0"/>
    <w:rPr>
      <w:rFonts w:ascii="Verdana" w:hAnsi="Verdana" w:eastAsia="仿宋_GB2312"/>
      <w:color w:val="888888"/>
      <w:kern w:val="0"/>
      <w:sz w:val="24"/>
      <w:lang w:eastAsia="en-US"/>
    </w:rPr>
  </w:style>
  <w:style w:type="character" w:customStyle="1" w:styleId="85">
    <w:name w:val="纯文本 Char Char Char Char"/>
    <w:basedOn w:val="48"/>
    <w:autoRedefine/>
    <w:qFormat/>
    <w:uiPriority w:val="0"/>
    <w:rPr>
      <w:rFonts w:ascii="宋体" w:hAnsi="Courier New" w:eastAsia="宋体"/>
      <w:kern w:val="2"/>
      <w:sz w:val="21"/>
      <w:lang w:val="en-US" w:eastAsia="zh-CN"/>
    </w:rPr>
  </w:style>
  <w:style w:type="character" w:customStyle="1" w:styleId="86">
    <w:name w:val="文档结构图 Char1"/>
    <w:autoRedefine/>
    <w:qFormat/>
    <w:uiPriority w:val="0"/>
    <w:rPr>
      <w:rFonts w:ascii="宋体"/>
      <w:kern w:val="2"/>
      <w:sz w:val="18"/>
      <w:szCs w:val="18"/>
    </w:rPr>
  </w:style>
  <w:style w:type="character" w:customStyle="1" w:styleId="87">
    <w:name w:val="批注文字 Char"/>
    <w:basedOn w:val="48"/>
    <w:link w:val="15"/>
    <w:autoRedefine/>
    <w:qFormat/>
    <w:uiPriority w:val="0"/>
    <w:rPr>
      <w:rFonts w:ascii="Verdana" w:hAnsi="Verdana" w:eastAsia="宋体"/>
      <w:b/>
      <w:kern w:val="0"/>
      <w:sz w:val="24"/>
      <w:lang w:val="en-US" w:eastAsia="zh-CN" w:bidi="ar-SA"/>
    </w:rPr>
  </w:style>
  <w:style w:type="character" w:customStyle="1" w:styleId="88">
    <w:name w:val="正文文本缩进 Char"/>
    <w:basedOn w:val="48"/>
    <w:link w:val="18"/>
    <w:autoRedefine/>
    <w:qFormat/>
    <w:uiPriority w:val="0"/>
    <w:rPr>
      <w:rFonts w:ascii="Verdana" w:hAnsi="Verdana" w:eastAsia="宋体"/>
      <w:kern w:val="2"/>
      <w:sz w:val="21"/>
      <w:lang w:val="en-US" w:eastAsia="zh-CN"/>
    </w:rPr>
  </w:style>
  <w:style w:type="character" w:customStyle="1" w:styleId="89">
    <w:name w:val="hover22"/>
    <w:basedOn w:val="48"/>
    <w:autoRedefine/>
    <w:qFormat/>
    <w:uiPriority w:val="0"/>
    <w:rPr>
      <w:rFonts w:ascii="Verdana" w:hAnsi="Verdana" w:eastAsia="仿宋_GB2312"/>
      <w:kern w:val="0"/>
      <w:sz w:val="24"/>
      <w:lang w:eastAsia="en-US"/>
    </w:rPr>
  </w:style>
  <w:style w:type="character" w:customStyle="1" w:styleId="90">
    <w:name w:val="批注主题 Char1"/>
    <w:autoRedefine/>
    <w:qFormat/>
    <w:uiPriority w:val="0"/>
    <w:rPr>
      <w:b/>
      <w:bCs/>
      <w:kern w:val="2"/>
      <w:sz w:val="21"/>
      <w:szCs w:val="22"/>
    </w:rPr>
  </w:style>
  <w:style w:type="character" w:customStyle="1" w:styleId="91">
    <w:name w:val="Intense Emphasis"/>
    <w:autoRedefine/>
    <w:qFormat/>
    <w:uiPriority w:val="0"/>
    <w:rPr>
      <w:b/>
      <w:bCs/>
      <w:i/>
      <w:iCs/>
      <w:color w:val="4F81BD"/>
    </w:rPr>
  </w:style>
  <w:style w:type="character" w:customStyle="1" w:styleId="92">
    <w:name w:val="明显引用 Char"/>
    <w:link w:val="93"/>
    <w:autoRedefine/>
    <w:qFormat/>
    <w:uiPriority w:val="0"/>
    <w:rPr>
      <w:b/>
      <w:bCs/>
      <w:i/>
      <w:iCs/>
      <w:color w:val="4F81BD"/>
      <w:kern w:val="2"/>
      <w:sz w:val="21"/>
      <w:szCs w:val="22"/>
      <w:lang w:bidi="ar-SA"/>
    </w:rPr>
  </w:style>
  <w:style w:type="paragraph" w:styleId="93">
    <w:name w:val="Intense Quote"/>
    <w:basedOn w:val="1"/>
    <w:next w:val="1"/>
    <w:link w:val="92"/>
    <w:autoRedefine/>
    <w:qFormat/>
    <w:uiPriority w:val="0"/>
    <w:pPr>
      <w:pBdr>
        <w:bottom w:val="single" w:color="4F81BD" w:sz="4" w:space="4"/>
      </w:pBdr>
      <w:spacing w:before="200" w:after="280"/>
      <w:ind w:left="936" w:right="936"/>
    </w:pPr>
    <w:rPr>
      <w:b/>
      <w:bCs/>
      <w:i/>
      <w:iCs/>
      <w:color w:val="4F81BD"/>
      <w:szCs w:val="22"/>
    </w:rPr>
  </w:style>
  <w:style w:type="character" w:customStyle="1" w:styleId="94">
    <w:name w:val="标题 6 Char"/>
    <w:link w:val="7"/>
    <w:autoRedefine/>
    <w:qFormat/>
    <w:uiPriority w:val="0"/>
    <w:rPr>
      <w:rFonts w:ascii="Arial" w:hAnsi="Arial" w:eastAsia="黑体"/>
      <w:sz w:val="24"/>
      <w:lang w:val="en-US" w:eastAsia="zh-CN" w:bidi="ar-SA"/>
    </w:rPr>
  </w:style>
  <w:style w:type="character" w:customStyle="1" w:styleId="95">
    <w:name w:val="标题5 Char Char"/>
    <w:link w:val="96"/>
    <w:autoRedefine/>
    <w:qFormat/>
    <w:uiPriority w:val="0"/>
    <w:rPr>
      <w:rFonts w:ascii="Arial" w:hAnsi="Arial"/>
      <w:b/>
      <w:bCs/>
      <w:sz w:val="24"/>
      <w:szCs w:val="32"/>
      <w:lang w:bidi="ar-SA"/>
    </w:rPr>
  </w:style>
  <w:style w:type="paragraph" w:customStyle="1" w:styleId="96">
    <w:name w:val="标题5"/>
    <w:basedOn w:val="4"/>
    <w:link w:val="95"/>
    <w:autoRedefine/>
    <w:qFormat/>
    <w:uiPriority w:val="0"/>
    <w:rPr>
      <w:rFonts w:ascii="Arial" w:hAnsi="Arial"/>
      <w:bCs/>
      <w:kern w:val="0"/>
      <w:sz w:val="24"/>
      <w:szCs w:val="32"/>
    </w:rPr>
  </w:style>
  <w:style w:type="character" w:customStyle="1" w:styleId="97">
    <w:name w:val="Char Char Char Char Char"/>
    <w:basedOn w:val="48"/>
    <w:autoRedefine/>
    <w:qFormat/>
    <w:uiPriority w:val="0"/>
    <w:rPr>
      <w:rFonts w:ascii="宋体" w:hAnsi="Courier New" w:eastAsia="宋体"/>
      <w:kern w:val="2"/>
      <w:sz w:val="21"/>
      <w:lang w:val="en-US" w:eastAsia="zh-CN"/>
    </w:rPr>
  </w:style>
  <w:style w:type="character" w:customStyle="1" w:styleId="98">
    <w:name w:val="标题 9 Char"/>
    <w:link w:val="10"/>
    <w:autoRedefine/>
    <w:qFormat/>
    <w:uiPriority w:val="0"/>
    <w:rPr>
      <w:rFonts w:ascii="Arial" w:hAnsi="Arial" w:eastAsia="黑体"/>
      <w:b/>
      <w:sz w:val="21"/>
      <w:lang w:val="en-US" w:eastAsia="zh-CN" w:bidi="ar-SA"/>
    </w:rPr>
  </w:style>
  <w:style w:type="character" w:customStyle="1" w:styleId="99">
    <w:name w:val="Para head"/>
    <w:basedOn w:val="48"/>
    <w:autoRedefine/>
    <w:qFormat/>
    <w:uiPriority w:val="0"/>
    <w:rPr>
      <w:rFonts w:ascii="Arial" w:hAnsi="Arial" w:eastAsia="Times New Roman"/>
      <w:kern w:val="0"/>
      <w:sz w:val="20"/>
      <w:lang w:eastAsia="en-US"/>
    </w:rPr>
  </w:style>
  <w:style w:type="character" w:customStyle="1" w:styleId="100">
    <w:name w:val="hover23"/>
    <w:basedOn w:val="48"/>
    <w:autoRedefine/>
    <w:qFormat/>
    <w:uiPriority w:val="0"/>
    <w:rPr>
      <w:rFonts w:ascii="Verdana" w:hAnsi="Verdana" w:eastAsia="仿宋_GB2312"/>
      <w:color w:val="315EFB"/>
      <w:kern w:val="0"/>
      <w:sz w:val="24"/>
      <w:lang w:eastAsia="en-US"/>
    </w:rPr>
  </w:style>
  <w:style w:type="character" w:customStyle="1" w:styleId="101">
    <w:name w:val="批注文字 Char Char"/>
    <w:autoRedefine/>
    <w:qFormat/>
    <w:uiPriority w:val="0"/>
    <w:rPr>
      <w:rFonts w:ascii="宋体" w:hAnsi="Times New Roman" w:eastAsia="宋体" w:cs="Times New Roman"/>
      <w:sz w:val="28"/>
      <w:szCs w:val="20"/>
    </w:rPr>
  </w:style>
  <w:style w:type="character" w:customStyle="1" w:styleId="102">
    <w:name w:val="g1481"/>
    <w:basedOn w:val="48"/>
    <w:autoRedefine/>
    <w:qFormat/>
    <w:uiPriority w:val="0"/>
    <w:rPr>
      <w:rFonts w:ascii="Verdana" w:hAnsi="Verdana" w:eastAsia="仿宋_GB2312"/>
      <w:color w:val="5F897B"/>
      <w:kern w:val="0"/>
      <w:sz w:val="22"/>
      <w:lang w:eastAsia="en-US"/>
    </w:rPr>
  </w:style>
  <w:style w:type="character" w:customStyle="1" w:styleId="103">
    <w:name w:val="cfdate"/>
    <w:basedOn w:val="48"/>
    <w:autoRedefine/>
    <w:qFormat/>
    <w:uiPriority w:val="0"/>
    <w:rPr>
      <w:rFonts w:ascii="Verdana" w:hAnsi="Verdana" w:eastAsia="仿宋_GB2312"/>
      <w:color w:val="333333"/>
      <w:kern w:val="0"/>
      <w:sz w:val="18"/>
      <w:szCs w:val="18"/>
      <w:lang w:eastAsia="en-US"/>
    </w:rPr>
  </w:style>
  <w:style w:type="character" w:customStyle="1" w:styleId="104">
    <w:name w:val="标题 7 Char"/>
    <w:link w:val="8"/>
    <w:autoRedefine/>
    <w:qFormat/>
    <w:uiPriority w:val="0"/>
    <w:rPr>
      <w:rFonts w:eastAsia="宋体"/>
      <w:sz w:val="24"/>
      <w:lang w:val="en-US" w:eastAsia="zh-CN" w:bidi="ar-SA"/>
    </w:rPr>
  </w:style>
  <w:style w:type="character" w:customStyle="1" w:styleId="105">
    <w:name w:val="redfilenumber"/>
    <w:basedOn w:val="48"/>
    <w:autoRedefine/>
    <w:qFormat/>
    <w:uiPriority w:val="0"/>
    <w:rPr>
      <w:rFonts w:ascii="Verdana" w:hAnsi="Verdana" w:eastAsia="仿宋_GB2312"/>
      <w:color w:val="BA2636"/>
      <w:kern w:val="0"/>
      <w:sz w:val="18"/>
      <w:szCs w:val="18"/>
      <w:lang w:eastAsia="en-US"/>
    </w:rPr>
  </w:style>
  <w:style w:type="character" w:customStyle="1" w:styleId="106">
    <w:name w:val="displayarti"/>
    <w:basedOn w:val="48"/>
    <w:autoRedefine/>
    <w:qFormat/>
    <w:uiPriority w:val="0"/>
    <w:rPr>
      <w:rFonts w:ascii="Verdana" w:hAnsi="Verdana" w:eastAsia="仿宋_GB2312"/>
      <w:color w:val="FFFFFF"/>
      <w:kern w:val="0"/>
      <w:sz w:val="24"/>
      <w:shd w:val="clear" w:color="auto" w:fill="A00000"/>
      <w:lang w:eastAsia="en-US"/>
    </w:rPr>
  </w:style>
  <w:style w:type="character" w:customStyle="1" w:styleId="107">
    <w:name w:val="批注框文本 Char1"/>
    <w:autoRedefine/>
    <w:qFormat/>
    <w:uiPriority w:val="0"/>
    <w:rPr>
      <w:kern w:val="2"/>
      <w:sz w:val="18"/>
      <w:szCs w:val="18"/>
    </w:rPr>
  </w:style>
  <w:style w:type="character" w:customStyle="1" w:styleId="108">
    <w:name w:val="prev3"/>
    <w:basedOn w:val="48"/>
    <w:autoRedefine/>
    <w:qFormat/>
    <w:uiPriority w:val="0"/>
    <w:rPr>
      <w:rFonts w:ascii="微软雅黑" w:hAnsi="微软雅黑" w:eastAsia="微软雅黑" w:cs="微软雅黑"/>
      <w:kern w:val="0"/>
      <w:sz w:val="21"/>
      <w:szCs w:val="21"/>
      <w:lang w:eastAsia="en-US"/>
    </w:rPr>
  </w:style>
  <w:style w:type="character" w:customStyle="1" w:styleId="109">
    <w:name w:val="页脚 Char"/>
    <w:link w:val="30"/>
    <w:autoRedefine/>
    <w:qFormat/>
    <w:uiPriority w:val="0"/>
    <w:rPr>
      <w:rFonts w:eastAsia="宋体"/>
      <w:kern w:val="2"/>
      <w:sz w:val="18"/>
      <w:lang w:val="en-US" w:eastAsia="zh-CN" w:bidi="ar-SA"/>
    </w:rPr>
  </w:style>
  <w:style w:type="character" w:customStyle="1" w:styleId="110">
    <w:name w:val="next3"/>
    <w:basedOn w:val="48"/>
    <w:autoRedefine/>
    <w:qFormat/>
    <w:uiPriority w:val="0"/>
    <w:rPr>
      <w:rFonts w:hint="eastAsia" w:ascii="微软雅黑" w:hAnsi="微软雅黑" w:eastAsia="微软雅黑" w:cs="微软雅黑"/>
      <w:kern w:val="0"/>
      <w:sz w:val="21"/>
      <w:szCs w:val="21"/>
      <w:lang w:eastAsia="en-US"/>
    </w:rPr>
  </w:style>
  <w:style w:type="character" w:customStyle="1" w:styleId="111">
    <w:name w:val="next"/>
    <w:basedOn w:val="48"/>
    <w:autoRedefine/>
    <w:qFormat/>
    <w:uiPriority w:val="0"/>
    <w:rPr>
      <w:rFonts w:ascii="微软雅黑" w:hAnsi="微软雅黑" w:eastAsia="微软雅黑" w:cs="微软雅黑"/>
      <w:kern w:val="0"/>
      <w:sz w:val="21"/>
      <w:szCs w:val="21"/>
      <w:lang w:eastAsia="en-US"/>
    </w:rPr>
  </w:style>
  <w:style w:type="character" w:customStyle="1" w:styleId="112">
    <w:name w:val="redfilefwwh"/>
    <w:basedOn w:val="48"/>
    <w:autoRedefine/>
    <w:qFormat/>
    <w:uiPriority w:val="0"/>
    <w:rPr>
      <w:rFonts w:ascii="Verdana" w:hAnsi="Verdana" w:eastAsia="仿宋_GB2312"/>
      <w:color w:val="BA2636"/>
      <w:kern w:val="0"/>
      <w:sz w:val="18"/>
      <w:szCs w:val="18"/>
      <w:lang w:eastAsia="en-US"/>
    </w:rPr>
  </w:style>
  <w:style w:type="character" w:customStyle="1" w:styleId="113">
    <w:name w:val="标题 2 Char"/>
    <w:link w:val="3"/>
    <w:autoRedefine/>
    <w:qFormat/>
    <w:uiPriority w:val="0"/>
    <w:rPr>
      <w:rFonts w:ascii="Arial" w:hAnsi="Arial" w:eastAsia="黑体"/>
      <w:sz w:val="44"/>
      <w:lang w:val="en-US" w:eastAsia="zh-CN" w:bidi="ar-SA"/>
    </w:rPr>
  </w:style>
  <w:style w:type="character" w:customStyle="1" w:styleId="114">
    <w:name w:val="批注框文本 Char"/>
    <w:link w:val="29"/>
    <w:autoRedefine/>
    <w:qFormat/>
    <w:uiPriority w:val="0"/>
    <w:rPr>
      <w:rFonts w:eastAsia="宋体"/>
      <w:kern w:val="2"/>
      <w:sz w:val="18"/>
      <w:lang w:val="en-US" w:eastAsia="zh-CN" w:bidi="ar-SA"/>
    </w:rPr>
  </w:style>
  <w:style w:type="character" w:customStyle="1" w:styleId="115">
    <w:name w:val="纯文本 Char"/>
    <w:basedOn w:val="48"/>
    <w:link w:val="24"/>
    <w:autoRedefine/>
    <w:qFormat/>
    <w:uiPriority w:val="0"/>
    <w:rPr>
      <w:rFonts w:ascii="宋体" w:hAnsi="Courier New" w:eastAsia="宋体"/>
      <w:kern w:val="2"/>
      <w:sz w:val="21"/>
      <w:lang w:val="en-US" w:eastAsia="zh-CN"/>
    </w:rPr>
  </w:style>
  <w:style w:type="character" w:customStyle="1" w:styleId="116">
    <w:name w:val="标题 8 Char"/>
    <w:link w:val="9"/>
    <w:autoRedefine/>
    <w:qFormat/>
    <w:uiPriority w:val="0"/>
    <w:rPr>
      <w:rFonts w:ascii="Arial" w:hAnsi="Arial" w:eastAsia="黑体"/>
      <w:b/>
      <w:sz w:val="24"/>
      <w:lang w:val="en-US" w:eastAsia="zh-CN" w:bidi="ar-SA"/>
    </w:rPr>
  </w:style>
  <w:style w:type="character" w:customStyle="1" w:styleId="117">
    <w:name w:val="标题 3 Char"/>
    <w:basedOn w:val="48"/>
    <w:link w:val="4"/>
    <w:autoRedefine/>
    <w:qFormat/>
    <w:uiPriority w:val="0"/>
    <w:rPr>
      <w:rFonts w:ascii="Verdana" w:hAnsi="Verdana" w:eastAsia="宋体"/>
      <w:b/>
      <w:kern w:val="2"/>
      <w:sz w:val="32"/>
      <w:lang w:val="en-US" w:eastAsia="zh-CN"/>
    </w:rPr>
  </w:style>
  <w:style w:type="character" w:customStyle="1" w:styleId="118">
    <w:name w:val="正文文本 Char"/>
    <w:basedOn w:val="48"/>
    <w:link w:val="17"/>
    <w:autoRedefine/>
    <w:qFormat/>
    <w:uiPriority w:val="0"/>
    <w:rPr>
      <w:rFonts w:ascii="Verdana" w:hAnsi="Verdana" w:eastAsia="楷体_GB2312"/>
      <w:kern w:val="2"/>
      <w:sz w:val="30"/>
      <w:lang w:val="en-US" w:eastAsia="zh-CN"/>
    </w:rPr>
  </w:style>
  <w:style w:type="character" w:customStyle="1" w:styleId="119">
    <w:name w:val="正文文本 Char1"/>
    <w:autoRedefine/>
    <w:qFormat/>
    <w:uiPriority w:val="0"/>
    <w:rPr>
      <w:kern w:val="2"/>
      <w:sz w:val="21"/>
      <w:szCs w:val="22"/>
    </w:rPr>
  </w:style>
  <w:style w:type="character" w:customStyle="1" w:styleId="120">
    <w:name w:val="标题4 Char Char"/>
    <w:link w:val="121"/>
    <w:autoRedefine/>
    <w:qFormat/>
    <w:uiPriority w:val="0"/>
    <w:rPr>
      <w:rFonts w:ascii="Arial" w:hAnsi="Arial"/>
      <w:b/>
      <w:bCs/>
      <w:sz w:val="24"/>
      <w:szCs w:val="32"/>
      <w:lang w:bidi="ar-SA"/>
    </w:rPr>
  </w:style>
  <w:style w:type="paragraph" w:customStyle="1" w:styleId="121">
    <w:name w:val="标题4"/>
    <w:basedOn w:val="3"/>
    <w:next w:val="21"/>
    <w:link w:val="120"/>
    <w:autoRedefine/>
    <w:qFormat/>
    <w:uiPriority w:val="0"/>
    <w:pPr>
      <w:widowControl w:val="0"/>
      <w:jc w:val="both"/>
    </w:pPr>
    <w:rPr>
      <w:rFonts w:eastAsia="宋体"/>
      <w:b/>
      <w:bCs/>
      <w:sz w:val="24"/>
      <w:szCs w:val="32"/>
    </w:rPr>
  </w:style>
  <w:style w:type="character" w:customStyle="1" w:styleId="122">
    <w:name w:val="layui-layer-tabnow"/>
    <w:basedOn w:val="48"/>
    <w:autoRedefine/>
    <w:qFormat/>
    <w:uiPriority w:val="0"/>
    <w:rPr>
      <w:rFonts w:ascii="Verdana" w:hAnsi="Verdana" w:eastAsia="仿宋_GB2312"/>
      <w:kern w:val="0"/>
      <w:sz w:val="24"/>
      <w:bdr w:val="single" w:color="CCCCCC" w:sz="6" w:space="0"/>
      <w:shd w:val="clear" w:color="auto" w:fill="FFFFFF"/>
      <w:lang w:eastAsia="en-US"/>
    </w:rPr>
  </w:style>
  <w:style w:type="character" w:customStyle="1" w:styleId="123">
    <w:name w:val="标题 4 Char"/>
    <w:link w:val="5"/>
    <w:autoRedefine/>
    <w:qFormat/>
    <w:uiPriority w:val="0"/>
    <w:rPr>
      <w:rFonts w:ascii="Arial" w:hAnsi="Arial" w:eastAsia="黑体"/>
      <w:b/>
      <w:sz w:val="28"/>
      <w:lang w:val="en-US" w:eastAsia="zh-CN" w:bidi="ar-SA"/>
    </w:rPr>
  </w:style>
  <w:style w:type="character" w:customStyle="1" w:styleId="124">
    <w:name w:val="Char Char9"/>
    <w:autoRedefine/>
    <w:qFormat/>
    <w:uiPriority w:val="0"/>
    <w:rPr>
      <w:kern w:val="2"/>
      <w:sz w:val="21"/>
      <w:szCs w:val="22"/>
      <w:lang w:bidi="ar-SA"/>
    </w:rPr>
  </w:style>
  <w:style w:type="character" w:customStyle="1" w:styleId="125">
    <w:name w:val="标题 Char"/>
    <w:link w:val="42"/>
    <w:autoRedefine/>
    <w:qFormat/>
    <w:uiPriority w:val="0"/>
    <w:rPr>
      <w:rFonts w:ascii="Arial" w:hAnsi="Arial" w:eastAsia="宋体"/>
      <w:b/>
      <w:sz w:val="44"/>
      <w:lang w:val="en-US" w:eastAsia="zh-CN" w:bidi="ar-SA"/>
    </w:rPr>
  </w:style>
  <w:style w:type="character" w:customStyle="1" w:styleId="126">
    <w:name w:val="gjfg"/>
    <w:basedOn w:val="48"/>
    <w:autoRedefine/>
    <w:qFormat/>
    <w:uiPriority w:val="0"/>
    <w:rPr>
      <w:rFonts w:ascii="Verdana" w:hAnsi="Verdana" w:eastAsia="仿宋_GB2312"/>
      <w:kern w:val="0"/>
      <w:sz w:val="24"/>
      <w:lang w:eastAsia="en-US"/>
    </w:rPr>
  </w:style>
  <w:style w:type="character" w:customStyle="1" w:styleId="127">
    <w:name w:val="Subtle Reference"/>
    <w:autoRedefine/>
    <w:qFormat/>
    <w:uiPriority w:val="0"/>
    <w:rPr>
      <w:smallCaps/>
      <w:color w:val="C0504D"/>
      <w:u w:val="single"/>
    </w:rPr>
  </w:style>
  <w:style w:type="character" w:customStyle="1" w:styleId="128">
    <w:name w:val="Book Title"/>
    <w:autoRedefine/>
    <w:qFormat/>
    <w:uiPriority w:val="0"/>
    <w:rPr>
      <w:b/>
      <w:bCs/>
      <w:smallCaps/>
      <w:spacing w:val="5"/>
    </w:rPr>
  </w:style>
  <w:style w:type="character" w:customStyle="1" w:styleId="129">
    <w:name w:val="ewb-state"/>
    <w:basedOn w:val="48"/>
    <w:autoRedefine/>
    <w:qFormat/>
    <w:uiPriority w:val="0"/>
    <w:rPr>
      <w:rFonts w:ascii="Verdana" w:hAnsi="Verdana" w:eastAsia="仿宋_GB2312"/>
      <w:color w:val="FFFFFF"/>
      <w:kern w:val="0"/>
      <w:sz w:val="21"/>
      <w:szCs w:val="21"/>
      <w:lang w:eastAsia="en-US"/>
    </w:rPr>
  </w:style>
  <w:style w:type="character" w:customStyle="1" w:styleId="130">
    <w:name w:val="prev1"/>
    <w:basedOn w:val="48"/>
    <w:autoRedefine/>
    <w:qFormat/>
    <w:uiPriority w:val="0"/>
    <w:rPr>
      <w:rFonts w:ascii="Verdana" w:hAnsi="Verdana" w:eastAsia="仿宋_GB2312"/>
      <w:color w:val="888888"/>
      <w:kern w:val="0"/>
      <w:sz w:val="24"/>
      <w:lang w:eastAsia="en-US"/>
    </w:rPr>
  </w:style>
  <w:style w:type="character" w:customStyle="1" w:styleId="131">
    <w:name w:val="Subtle Emphasis"/>
    <w:autoRedefine/>
    <w:qFormat/>
    <w:uiPriority w:val="0"/>
    <w:rPr>
      <w:i/>
      <w:iCs/>
      <w:color w:val="808080"/>
    </w:rPr>
  </w:style>
  <w:style w:type="character" w:customStyle="1" w:styleId="132">
    <w:name w:val="Char Char16"/>
    <w:autoRedefine/>
    <w:qFormat/>
    <w:uiPriority w:val="0"/>
    <w:rPr>
      <w:rFonts w:eastAsia="宋体"/>
      <w:b/>
      <w:kern w:val="2"/>
      <w:sz w:val="32"/>
      <w:lang w:val="en-US" w:eastAsia="zh-CN" w:bidi="ar-SA"/>
    </w:rPr>
  </w:style>
  <w:style w:type="paragraph" w:styleId="133">
    <w:name w:val="List Paragraph"/>
    <w:basedOn w:val="1"/>
    <w:autoRedefine/>
    <w:qFormat/>
    <w:uiPriority w:val="0"/>
    <w:pPr>
      <w:ind w:firstLine="420" w:firstLineChars="200"/>
    </w:pPr>
    <w:rPr>
      <w:sz w:val="36"/>
    </w:rPr>
  </w:style>
  <w:style w:type="paragraph" w:customStyle="1" w:styleId="134">
    <w:name w:val="样式 标题 3 + (中文) 黑体 小四 非加粗 段前: 7.8 磅 段后: 0 磅 行距: 固定值 20 磅"/>
    <w:basedOn w:val="4"/>
    <w:autoRedefine/>
    <w:qFormat/>
    <w:uiPriority w:val="0"/>
    <w:pPr>
      <w:spacing w:before="0" w:after="0" w:line="400" w:lineRule="exact"/>
    </w:pPr>
    <w:rPr>
      <w:rFonts w:eastAsia="黑体" w:cs="宋体"/>
      <w:b w:val="0"/>
      <w:sz w:val="24"/>
    </w:rPr>
  </w:style>
  <w:style w:type="paragraph" w:customStyle="1" w:styleId="135">
    <w:name w:val="1正文"/>
    <w:basedOn w:val="1"/>
    <w:autoRedefine/>
    <w:qFormat/>
    <w:uiPriority w:val="0"/>
    <w:rPr>
      <w:rFonts w:ascii="宋体" w:hAnsi="宋体"/>
      <w:szCs w:val="24"/>
      <w:lang w:val="zh-CN"/>
    </w:rPr>
  </w:style>
  <w:style w:type="paragraph" w:customStyle="1" w:styleId="136">
    <w:name w:val="Char"/>
    <w:basedOn w:val="1"/>
    <w:autoRedefine/>
    <w:qFormat/>
    <w:uiPriority w:val="0"/>
    <w:pPr>
      <w:widowControl/>
      <w:spacing w:after="160" w:line="240" w:lineRule="exact"/>
      <w:jc w:val="left"/>
    </w:pPr>
    <w:rPr>
      <w:rFonts w:ascii="Verdana" w:hAnsi="Verdana" w:eastAsia="仿宋_GB2312"/>
      <w:kern w:val="0"/>
      <w:sz w:val="24"/>
      <w:lang w:eastAsia="en-US"/>
    </w:rPr>
  </w:style>
  <w:style w:type="paragraph" w:customStyle="1" w:styleId="137">
    <w:name w:val="Char Char Char"/>
    <w:basedOn w:val="1"/>
    <w:autoRedefine/>
    <w:qFormat/>
    <w:uiPriority w:val="0"/>
  </w:style>
  <w:style w:type="paragraph" w:customStyle="1" w:styleId="138">
    <w:name w:val="TOC Heading"/>
    <w:basedOn w:val="2"/>
    <w:next w:val="1"/>
    <w:autoRedefine/>
    <w:qFormat/>
    <w:uiPriority w:val="0"/>
    <w:pPr>
      <w:outlineLvl w:val="9"/>
    </w:pPr>
    <w:rPr>
      <w:rFonts w:ascii="Calibri" w:hAnsi="Calibri"/>
      <w:bCs/>
      <w:szCs w:val="44"/>
    </w:rPr>
  </w:style>
  <w:style w:type="paragraph" w:customStyle="1" w:styleId="139">
    <w:name w:val="Normal_0"/>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40">
    <w:name w:val="样式 标题 2 + Times New Roman 四号 非加粗 段前: 5 磅 段后: 0 磅 行距: 固定值 20..."/>
    <w:basedOn w:val="3"/>
    <w:autoRedefine/>
    <w:qFormat/>
    <w:uiPriority w:val="0"/>
    <w:pPr>
      <w:widowControl w:val="0"/>
      <w:spacing w:before="100" w:after="0" w:line="400" w:lineRule="exact"/>
      <w:jc w:val="both"/>
    </w:pPr>
    <w:rPr>
      <w:rFonts w:ascii="Times New Roman" w:hAnsi="Times New Roman" w:cs="宋体"/>
      <w:sz w:val="28"/>
    </w:rPr>
  </w:style>
  <w:style w:type="paragraph" w:customStyle="1" w:styleId="141">
    <w:name w:val="Default"/>
    <w:next w:val="26"/>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42">
    <w:name w:val="Char1"/>
    <w:basedOn w:val="1"/>
    <w:autoRedefine/>
    <w:qFormat/>
    <w:uiPriority w:val="0"/>
    <w:pPr>
      <w:widowControl/>
      <w:spacing w:after="160" w:line="240" w:lineRule="exact"/>
      <w:jc w:val="left"/>
    </w:pPr>
  </w:style>
  <w:style w:type="paragraph" w:customStyle="1" w:styleId="143">
    <w:name w:val="刊登"/>
    <w:basedOn w:val="1"/>
    <w:autoRedefine/>
    <w:qFormat/>
    <w:uiPriority w:val="0"/>
    <w:pPr>
      <w:ind w:firstLine="588"/>
    </w:pPr>
    <w:rPr>
      <w:sz w:val="30"/>
    </w:rPr>
  </w:style>
  <w:style w:type="paragraph" w:customStyle="1" w:styleId="144">
    <w:name w:val="列出段落1"/>
    <w:basedOn w:val="1"/>
    <w:autoRedefine/>
    <w:qFormat/>
    <w:uiPriority w:val="34"/>
    <w:pPr>
      <w:ind w:firstLine="420"/>
    </w:pPr>
    <w:rPr>
      <w:rFonts w:ascii="Calibri" w:hAnsi="Calibri"/>
      <w:szCs w:val="22"/>
    </w:rPr>
  </w:style>
  <w:style w:type="paragraph" w:customStyle="1" w:styleId="145">
    <w:name w:val="列表段落1"/>
    <w:basedOn w:val="1"/>
    <w:autoRedefine/>
    <w:qFormat/>
    <w:uiPriority w:val="34"/>
    <w:pPr>
      <w:ind w:firstLine="420"/>
    </w:pPr>
  </w:style>
  <w:style w:type="paragraph" w:customStyle="1" w:styleId="146">
    <w:name w:val="正文 New New"/>
    <w:autoRedefine/>
    <w:qFormat/>
    <w:uiPriority w:val="0"/>
    <w:pPr>
      <w:widowControl w:val="0"/>
      <w:jc w:val="both"/>
    </w:pPr>
    <w:rPr>
      <w:rFonts w:ascii="Times New Roman" w:hAnsi="Times New Roman" w:eastAsia="宋体" w:cs="Times New Roman"/>
      <w:lang w:val="en-US" w:eastAsia="zh-CN" w:bidi="ar-SA"/>
    </w:rPr>
  </w:style>
  <w:style w:type="paragraph" w:customStyle="1" w:styleId="147">
    <w:name w:val="菲页(卷)"/>
    <w:basedOn w:val="2"/>
    <w:next w:val="148"/>
    <w:autoRedefine/>
    <w:qFormat/>
    <w:uiPriority w:val="0"/>
    <w:pPr>
      <w:keepLines w:val="0"/>
      <w:widowControl/>
      <w:numPr>
        <w:ilvl w:val="0"/>
        <w:numId w:val="1"/>
      </w:numPr>
      <w:tabs>
        <w:tab w:val="left" w:pos="432"/>
        <w:tab w:val="clear" w:pos="360"/>
      </w:tabs>
      <w:spacing w:before="0" w:after="0"/>
      <w:outlineLvl w:val="1"/>
    </w:pPr>
    <w:rPr>
      <w:rFonts w:ascii="黑体" w:eastAsia="黑体"/>
      <w:kern w:val="0"/>
      <w:sz w:val="52"/>
    </w:rPr>
  </w:style>
  <w:style w:type="paragraph" w:customStyle="1" w:styleId="148">
    <w:name w:val="正文1"/>
    <w:autoRedefine/>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49">
    <w:name w:val="样式1"/>
    <w:basedOn w:val="1"/>
    <w:autoRedefine/>
    <w:qFormat/>
    <w:uiPriority w:val="0"/>
    <w:pPr>
      <w:spacing w:before="120" w:after="120" w:line="300" w:lineRule="auto"/>
    </w:pPr>
    <w:rPr>
      <w:rFonts w:ascii="宋体" w:hAnsi="宋体"/>
      <w:sz w:val="24"/>
    </w:rPr>
  </w:style>
  <w:style w:type="paragraph" w:customStyle="1" w:styleId="150">
    <w:name w:val="xl44"/>
    <w:basedOn w:val="1"/>
    <w:autoRedefine/>
    <w:qFormat/>
    <w:uiPriority w:val="0"/>
    <w:pPr>
      <w:widowControl/>
      <w:spacing w:before="100" w:beforeAutospacing="1" w:after="100" w:afterAutospacing="1"/>
      <w:jc w:val="center"/>
    </w:pPr>
    <w:rPr>
      <w:rFonts w:ascii="Arial Unicode MS" w:hAnsi="Arial Unicode MS" w:eastAsia="Arial Unicode MS"/>
      <w:kern w:val="0"/>
      <w:sz w:val="40"/>
    </w:rPr>
  </w:style>
  <w:style w:type="paragraph" w:customStyle="1" w:styleId="151">
    <w:name w:val="目录文字"/>
    <w:basedOn w:val="1"/>
    <w:autoRedefine/>
    <w:qFormat/>
    <w:uiPriority w:val="0"/>
    <w:pPr>
      <w:widowControl/>
      <w:spacing w:line="480" w:lineRule="auto"/>
      <w:jc w:val="center"/>
    </w:pPr>
    <w:rPr>
      <w:rFonts w:ascii="宋体" w:hAnsi="宋体"/>
      <w:b/>
      <w:kern w:val="0"/>
      <w:sz w:val="24"/>
    </w:rPr>
  </w:style>
  <w:style w:type="paragraph" w:customStyle="1" w:styleId="152">
    <w:name w:val="菲页1"/>
    <w:basedOn w:val="3"/>
    <w:autoRedefine/>
    <w:qFormat/>
    <w:uiPriority w:val="0"/>
    <w:rPr>
      <w:rFonts w:ascii="黑体" w:hAnsi="宋体"/>
      <w:b/>
      <w:sz w:val="52"/>
    </w:rPr>
  </w:style>
  <w:style w:type="paragraph" w:customStyle="1" w:styleId="153">
    <w:name w:val="Char11"/>
    <w:basedOn w:val="1"/>
    <w:autoRedefine/>
    <w:qFormat/>
    <w:uiPriority w:val="0"/>
    <w:rPr>
      <w:rFonts w:ascii="Tahoma" w:hAnsi="Tahoma"/>
      <w:sz w:val="24"/>
    </w:rPr>
  </w:style>
  <w:style w:type="paragraph" w:customStyle="1" w:styleId="154">
    <w:name w:val="菲页2"/>
    <w:basedOn w:val="4"/>
    <w:autoRedefine/>
    <w:qFormat/>
    <w:uiPriority w:val="0"/>
    <w:pPr>
      <w:widowControl/>
      <w:numPr>
        <w:ilvl w:val="2"/>
        <w:numId w:val="1"/>
      </w:numPr>
      <w:tabs>
        <w:tab w:val="left" w:pos="720"/>
        <w:tab w:val="clear" w:pos="1260"/>
      </w:tabs>
      <w:spacing w:before="120" w:after="120" w:line="360" w:lineRule="auto"/>
      <w:jc w:val="center"/>
    </w:pPr>
    <w:rPr>
      <w:rFonts w:ascii="黑体" w:hAnsi="宋体" w:eastAsia="黑体"/>
      <w:kern w:val="0"/>
      <w:sz w:val="44"/>
    </w:rPr>
  </w:style>
  <w:style w:type="paragraph" w:customStyle="1" w:styleId="155">
    <w:name w:val="Table Paragraph"/>
    <w:basedOn w:val="1"/>
    <w:autoRedefine/>
    <w:qFormat/>
    <w:uiPriority w:val="99"/>
    <w:pPr>
      <w:jc w:val="left"/>
    </w:pPr>
    <w:rPr>
      <w:rFonts w:ascii="宋体" w:hAnsi="宋体" w:cs="宋体"/>
      <w:kern w:val="0"/>
      <w:sz w:val="22"/>
      <w:szCs w:val="22"/>
      <w:lang w:eastAsia="en-US"/>
    </w:rPr>
  </w:style>
  <w:style w:type="paragraph" w:customStyle="1" w:styleId="156">
    <w:name w:val="正文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7">
    <w:name w:val="空半行"/>
    <w:basedOn w:val="1"/>
    <w:autoRedefine/>
    <w:qFormat/>
    <w:uiPriority w:val="0"/>
    <w:pPr>
      <w:adjustRightInd w:val="0"/>
      <w:spacing w:line="120" w:lineRule="exact"/>
      <w:textAlignment w:val="baseline"/>
    </w:pPr>
    <w:rPr>
      <w:rFonts w:eastAsia="仿宋_GB2312"/>
      <w:color w:val="FFFFFF"/>
      <w:kern w:val="0"/>
      <w:sz w:val="30"/>
    </w:rPr>
  </w:style>
  <w:style w:type="paragraph" w:customStyle="1" w:styleId="158">
    <w:name w:val="正文不缩进段落"/>
    <w:basedOn w:val="1"/>
    <w:next w:val="1"/>
    <w:autoRedefine/>
    <w:qFormat/>
    <w:uiPriority w:val="0"/>
    <w:pPr>
      <w:spacing w:beforeLines="50" w:line="276" w:lineRule="auto"/>
    </w:pPr>
    <w:rPr>
      <w:rFonts w:ascii="Arial" w:hAnsi="Arial" w:cs="Arial"/>
    </w:rPr>
  </w:style>
  <w:style w:type="paragraph" w:customStyle="1" w:styleId="159">
    <w:name w:val="flNote"/>
    <w:basedOn w:val="1"/>
    <w:autoRedefine/>
    <w:qFormat/>
    <w:uiPriority w:val="0"/>
    <w:pPr>
      <w:adjustRightInd w:val="0"/>
      <w:spacing w:before="320" w:after="160" w:line="360" w:lineRule="atLeast"/>
      <w:jc w:val="center"/>
      <w:textAlignment w:val="baseline"/>
    </w:pPr>
    <w:rPr>
      <w:rFonts w:ascii="Arial" w:eastAsia="黑体"/>
      <w:kern w:val="0"/>
      <w:sz w:val="30"/>
    </w:rPr>
  </w:style>
  <w:style w:type="paragraph" w:customStyle="1" w:styleId="160">
    <w:name w:val="列项——（一级）"/>
    <w:autoRedefine/>
    <w:qFormat/>
    <w:uiPriority w:val="0"/>
    <w:pPr>
      <w:widowControl w:val="0"/>
      <w:numPr>
        <w:ilvl w:val="0"/>
        <w:numId w:val="2"/>
      </w:numPr>
      <w:jc w:val="both"/>
    </w:pPr>
    <w:rPr>
      <w:rFonts w:ascii="宋体" w:hAnsi="Times New Roman" w:eastAsia="宋体" w:cs="Times New Roman"/>
      <w:sz w:val="21"/>
      <w:szCs w:val="22"/>
      <w:lang w:val="en-US" w:eastAsia="zh-CN" w:bidi="ar-SA"/>
    </w:rPr>
  </w:style>
  <w:style w:type="paragraph" w:customStyle="1" w:styleId="161">
    <w:name w:val="Char Char Char Char"/>
    <w:basedOn w:val="1"/>
    <w:autoRedefine/>
    <w:qFormat/>
    <w:uiPriority w:val="0"/>
    <w:pPr>
      <w:widowControl/>
      <w:spacing w:line="360" w:lineRule="auto"/>
      <w:ind w:firstLine="200" w:firstLineChars="200"/>
      <w:jc w:val="center"/>
    </w:pPr>
    <w:rPr>
      <w:b/>
      <w:kern w:val="0"/>
      <w:sz w:val="44"/>
    </w:rPr>
  </w:style>
  <w:style w:type="paragraph" w:customStyle="1" w:styleId="162">
    <w:name w:val="目录"/>
    <w:basedOn w:val="1"/>
    <w:autoRedefine/>
    <w:qFormat/>
    <w:uiPriority w:val="0"/>
    <w:pPr>
      <w:widowControl/>
      <w:jc w:val="center"/>
    </w:pPr>
    <w:rPr>
      <w:rFonts w:ascii="宋体"/>
      <w:kern w:val="0"/>
      <w:sz w:val="36"/>
    </w:rPr>
  </w:style>
  <w:style w:type="paragraph" w:customStyle="1" w:styleId="163">
    <w:name w:val="WPSOffice手动目录 1"/>
    <w:autoRedefine/>
    <w:qFormat/>
    <w:uiPriority w:val="0"/>
    <w:rPr>
      <w:rFonts w:ascii="Times New Roman" w:hAnsi="Times New Roman" w:eastAsia="宋体" w:cs="Times New Roman"/>
      <w:lang w:val="en-US" w:eastAsia="zh-CN" w:bidi="ar-SA"/>
    </w:rPr>
  </w:style>
  <w:style w:type="paragraph" w:customStyle="1" w:styleId="164">
    <w:name w:val="p1"/>
    <w:basedOn w:val="1"/>
    <w:autoRedefine/>
    <w:qFormat/>
    <w:uiPriority w:val="0"/>
    <w:pPr>
      <w:spacing w:line="380" w:lineRule="atLeast"/>
      <w:jc w:val="left"/>
    </w:pPr>
    <w:rPr>
      <w:rFonts w:ascii="Helvetica Neue" w:hAnsi="Helvetica Neue" w:eastAsia="Helvetica Neue"/>
      <w:color w:val="000000"/>
      <w:kern w:val="0"/>
      <w:sz w:val="26"/>
      <w:szCs w:val="26"/>
    </w:rPr>
  </w:style>
  <w:style w:type="paragraph" w:customStyle="1" w:styleId="165">
    <w:name w:val="默认段落字体 Para Char"/>
    <w:basedOn w:val="1"/>
    <w:autoRedefine/>
    <w:qFormat/>
    <w:uiPriority w:val="0"/>
    <w:rPr>
      <w:rFonts w:ascii="Tahoma" w:hAnsi="Tahoma"/>
      <w:sz w:val="24"/>
    </w:rPr>
  </w:style>
  <w:style w:type="paragraph" w:customStyle="1" w:styleId="166">
    <w:name w:val="Revision"/>
    <w:autoRedefine/>
    <w:qFormat/>
    <w:uiPriority w:val="0"/>
    <w:rPr>
      <w:rFonts w:ascii="Times New Roman" w:hAnsi="Times New Roman" w:eastAsia="宋体" w:cs="Times New Roman"/>
      <w:kern w:val="2"/>
      <w:sz w:val="21"/>
      <w:szCs w:val="24"/>
      <w:lang w:val="en-US" w:eastAsia="zh-CN" w:bidi="ar-SA"/>
    </w:rPr>
  </w:style>
  <w:style w:type="paragraph" w:customStyle="1" w:styleId="167">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center"/>
    </w:pPr>
    <w:rPr>
      <w:rFonts w:ascii="Courier New" w:hAnsi="Courier New"/>
      <w:b/>
      <w:kern w:val="0"/>
      <w:sz w:val="44"/>
    </w:rPr>
  </w:style>
  <w:style w:type="paragraph" w:customStyle="1" w:styleId="168">
    <w:name w:val="Char2"/>
    <w:basedOn w:val="1"/>
    <w:autoRedefine/>
    <w:qFormat/>
    <w:uiPriority w:val="0"/>
    <w:pPr>
      <w:adjustRightInd w:val="0"/>
      <w:spacing w:line="360" w:lineRule="auto"/>
    </w:pPr>
    <w:rPr>
      <w:kern w:val="0"/>
      <w:sz w:val="24"/>
    </w:rPr>
  </w:style>
  <w:style w:type="paragraph" w:styleId="169">
    <w:name w:val="No Spacing"/>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70">
    <w:name w:val="默认段落字体 Para Char Char Char Char"/>
    <w:basedOn w:val="1"/>
    <w:autoRedefine/>
    <w:qFormat/>
    <w:uiPriority w:val="0"/>
    <w:rPr>
      <w:szCs w:val="24"/>
    </w:rPr>
  </w:style>
  <w:style w:type="paragraph" w:customStyle="1" w:styleId="171">
    <w:name w:val="Char Char Char Char Char Char Char Char"/>
    <w:basedOn w:val="1"/>
    <w:autoRedefine/>
    <w:qFormat/>
    <w:uiPriority w:val="0"/>
  </w:style>
  <w:style w:type="character" w:customStyle="1" w:styleId="172">
    <w:name w:val="NormalCharacter"/>
    <w:autoRedefine/>
    <w:qFormat/>
    <w:uiPriority w:val="0"/>
  </w:style>
  <w:style w:type="character" w:customStyle="1" w:styleId="173">
    <w:name w:val="hover"/>
    <w:basedOn w:val="48"/>
    <w:autoRedefine/>
    <w:qFormat/>
    <w:uiPriority w:val="0"/>
    <w:rPr>
      <w:color w:val="0063BA"/>
    </w:rPr>
  </w:style>
  <w:style w:type="character" w:customStyle="1" w:styleId="174">
    <w:name w:val="active6"/>
    <w:basedOn w:val="48"/>
    <w:autoRedefine/>
    <w:qFormat/>
    <w:uiPriority w:val="0"/>
    <w:rPr>
      <w:color w:val="FFFFFF"/>
      <w:shd w:val="clear" w:fill="E22323"/>
    </w:rPr>
  </w:style>
  <w:style w:type="character" w:customStyle="1" w:styleId="175">
    <w:name w:val="margin_right202"/>
    <w:basedOn w:val="48"/>
    <w:autoRedefine/>
    <w:qFormat/>
    <w:uiPriority w:val="0"/>
  </w:style>
  <w:style w:type="character" w:customStyle="1" w:styleId="176">
    <w:name w:val="before"/>
    <w:basedOn w:val="48"/>
    <w:autoRedefine/>
    <w:qFormat/>
    <w:uiPriority w:val="0"/>
    <w:rPr>
      <w:shd w:val="clear" w:fill="E22323"/>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jlszfcgzx</Company>
  <Pages>46</Pages>
  <Words>22261</Words>
  <Characters>23654</Characters>
  <Lines>153</Lines>
  <Paragraphs>43</Paragraphs>
  <TotalTime>5</TotalTime>
  <ScaleCrop>false</ScaleCrop>
  <LinksUpToDate>false</LinksUpToDate>
  <CharactersWithSpaces>24529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2021-03-22T01:19:00Z</dcterms:created>
  <dc:creator>yxl</dc:creator>
  <cp:lastModifiedBy>云彩</cp:lastModifiedBy>
  <cp:lastPrinted>2020-12-10T02:24:00Z</cp:lastPrinted>
  <dcterms:modified xsi:type="dcterms:W3CDTF">2024-06-21T01:17:42Z</dcterms:modified>
  <dc:title>吉林省政府采购中心</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497F891E855D499FA7DE2AC93630C999</vt:lpwstr>
  </property>
</Properties>
</file>