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4A4BBDD">
      <w:pPr>
        <w:autoSpaceDN w:val="0"/>
        <w:spacing w:line="360" w:lineRule="auto"/>
        <w:jc w:val="center"/>
        <w:rPr>
          <w:rFonts w:hint="eastAsia" w:ascii="宋体" w:hAnsi="宋体" w:eastAsia="宋体" w:cs="宋体"/>
          <w:b/>
          <w:bCs/>
          <w:color w:val="auto"/>
          <w:sz w:val="52"/>
          <w:szCs w:val="52"/>
          <w:highlight w:val="none"/>
          <w:lang w:bidi="ar"/>
        </w:rPr>
      </w:pPr>
      <w:bookmarkStart w:id="0" w:name="_Hlk64874400"/>
      <w:bookmarkEnd w:id="0"/>
      <w:bookmarkStart w:id="1" w:name="_Toc246996898"/>
      <w:bookmarkStart w:id="2" w:name="_Toc247085669"/>
      <w:bookmarkStart w:id="3" w:name="_Toc296602400"/>
    </w:p>
    <w:p w14:paraId="4EC7F2F7">
      <w:pPr>
        <w:autoSpaceDN w:val="0"/>
        <w:spacing w:line="360" w:lineRule="auto"/>
        <w:jc w:val="center"/>
        <w:rPr>
          <w:rFonts w:hint="eastAsia" w:ascii="宋体" w:hAnsi="宋体" w:eastAsia="宋体" w:cs="宋体"/>
          <w:b/>
          <w:bCs/>
          <w:color w:val="auto"/>
          <w:sz w:val="52"/>
          <w:szCs w:val="52"/>
          <w:highlight w:val="none"/>
        </w:rPr>
      </w:pPr>
      <w:r>
        <w:rPr>
          <w:rFonts w:hint="eastAsia" w:ascii="宋体" w:hAnsi="宋体" w:eastAsia="宋体" w:cs="宋体"/>
          <w:b/>
          <w:bCs/>
          <w:color w:val="auto"/>
          <w:sz w:val="52"/>
          <w:szCs w:val="52"/>
          <w:highlight w:val="none"/>
          <w:lang w:bidi="ar"/>
        </w:rPr>
        <w:t>2025年度仪器设备购置</w:t>
      </w:r>
    </w:p>
    <w:p w14:paraId="67C0CADD">
      <w:pPr>
        <w:autoSpaceDN w:val="0"/>
        <w:spacing w:line="360" w:lineRule="auto"/>
        <w:jc w:val="center"/>
        <w:rPr>
          <w:rFonts w:hint="eastAsia" w:ascii="宋体" w:hAnsi="宋体" w:eastAsia="宋体" w:cs="宋体"/>
          <w:b/>
          <w:bCs/>
          <w:color w:val="auto"/>
          <w:sz w:val="84"/>
          <w:szCs w:val="84"/>
          <w:highlight w:val="none"/>
        </w:rPr>
      </w:pPr>
    </w:p>
    <w:p w14:paraId="6A337805">
      <w:pPr>
        <w:autoSpaceDN w:val="0"/>
        <w:spacing w:line="360" w:lineRule="auto"/>
        <w:jc w:val="center"/>
        <w:rPr>
          <w:rFonts w:hint="eastAsia" w:ascii="宋体" w:hAnsi="宋体" w:eastAsia="宋体" w:cs="宋体"/>
          <w:b/>
          <w:bCs/>
          <w:color w:val="auto"/>
          <w:sz w:val="84"/>
          <w:szCs w:val="84"/>
          <w:highlight w:val="none"/>
        </w:rPr>
      </w:pPr>
    </w:p>
    <w:p w14:paraId="53903BB2">
      <w:pPr>
        <w:autoSpaceDN w:val="0"/>
        <w:spacing w:line="360" w:lineRule="auto"/>
        <w:jc w:val="center"/>
        <w:rPr>
          <w:rFonts w:hint="eastAsia" w:ascii="宋体" w:hAnsi="宋体" w:eastAsia="宋体" w:cs="宋体"/>
          <w:b/>
          <w:bCs/>
          <w:color w:val="auto"/>
          <w:sz w:val="84"/>
          <w:szCs w:val="84"/>
          <w:highlight w:val="none"/>
        </w:rPr>
      </w:pPr>
      <w:r>
        <w:rPr>
          <w:rFonts w:hint="eastAsia" w:ascii="宋体" w:hAnsi="宋体" w:eastAsia="宋体" w:cs="宋体"/>
          <w:b/>
          <w:bCs/>
          <w:color w:val="auto"/>
          <w:sz w:val="84"/>
          <w:szCs w:val="84"/>
          <w:highlight w:val="none"/>
        </w:rPr>
        <w:t>公开招标文件</w:t>
      </w:r>
    </w:p>
    <w:p w14:paraId="5F4EFA5F">
      <w:pPr>
        <w:autoSpaceDN w:val="0"/>
        <w:rPr>
          <w:rFonts w:hint="eastAsia" w:ascii="宋体" w:hAnsi="宋体" w:eastAsia="宋体" w:cs="宋体"/>
          <w:b/>
          <w:bCs/>
          <w:color w:val="auto"/>
          <w:sz w:val="28"/>
          <w:szCs w:val="28"/>
          <w:highlight w:val="none"/>
        </w:rPr>
      </w:pPr>
    </w:p>
    <w:p w14:paraId="73E7FF20">
      <w:pPr>
        <w:autoSpaceDN w:val="0"/>
        <w:jc w:val="center"/>
        <w:rPr>
          <w:rFonts w:hint="eastAsia" w:ascii="宋体" w:hAnsi="宋体" w:eastAsia="宋体" w:cs="宋体"/>
          <w:b/>
          <w:bCs/>
          <w:color w:val="auto"/>
          <w:sz w:val="32"/>
          <w:highlight w:val="none"/>
          <w:lang w:eastAsia="zh-CN" w:bidi="ar"/>
        </w:rPr>
      </w:pPr>
      <w:r>
        <w:rPr>
          <w:rFonts w:hint="eastAsia" w:ascii="宋体" w:hAnsi="宋体" w:eastAsia="宋体" w:cs="宋体"/>
          <w:b/>
          <w:bCs/>
          <w:color w:val="auto"/>
          <w:sz w:val="32"/>
          <w:highlight w:val="none"/>
          <w:lang w:bidi="ar"/>
        </w:rPr>
        <w:t>项目编号：</w:t>
      </w:r>
      <w:bookmarkStart w:id="4" w:name="_Hlk64874388"/>
      <w:bookmarkEnd w:id="4"/>
      <w:r>
        <w:rPr>
          <w:rFonts w:hint="eastAsia" w:ascii="宋体" w:hAnsi="宋体" w:eastAsia="宋体" w:cs="宋体"/>
          <w:b/>
          <w:bCs/>
          <w:color w:val="auto"/>
          <w:sz w:val="32"/>
          <w:highlight w:val="none"/>
          <w:lang w:eastAsia="zh-CN" w:bidi="ar"/>
        </w:rPr>
        <w:t>采购计划-[2025]-01594号-JLJHCC-2025003</w:t>
      </w:r>
    </w:p>
    <w:p w14:paraId="26336F0E">
      <w:pPr>
        <w:autoSpaceDN w:val="0"/>
        <w:jc w:val="center"/>
        <w:rPr>
          <w:rFonts w:hint="eastAsia" w:ascii="宋体" w:hAnsi="宋体" w:eastAsia="宋体" w:cs="宋体"/>
          <w:color w:val="auto"/>
          <w:sz w:val="18"/>
          <w:szCs w:val="18"/>
          <w:highlight w:val="none"/>
        </w:rPr>
      </w:pPr>
    </w:p>
    <w:p w14:paraId="1E382C74">
      <w:pPr>
        <w:autoSpaceDN w:val="0"/>
        <w:jc w:val="center"/>
        <w:rPr>
          <w:rFonts w:hint="eastAsia" w:ascii="宋体" w:hAnsi="宋体" w:eastAsia="宋体" w:cs="宋体"/>
          <w:color w:val="auto"/>
          <w:sz w:val="18"/>
          <w:szCs w:val="18"/>
          <w:highlight w:val="none"/>
        </w:rPr>
      </w:pPr>
    </w:p>
    <w:p w14:paraId="6C0E12BD">
      <w:pPr>
        <w:autoSpaceDN w:val="0"/>
        <w:spacing w:line="480" w:lineRule="auto"/>
        <w:jc w:val="center"/>
        <w:rPr>
          <w:rFonts w:hint="eastAsia" w:ascii="宋体" w:hAnsi="宋体" w:eastAsia="宋体" w:cs="宋体"/>
          <w:color w:val="auto"/>
          <w:sz w:val="18"/>
          <w:szCs w:val="18"/>
          <w:highlight w:val="none"/>
        </w:rPr>
      </w:pPr>
    </w:p>
    <w:p w14:paraId="72F1CA21">
      <w:pPr>
        <w:autoSpaceDN w:val="0"/>
        <w:spacing w:line="480" w:lineRule="auto"/>
        <w:jc w:val="center"/>
        <w:rPr>
          <w:rFonts w:hint="eastAsia" w:ascii="宋体" w:hAnsi="宋体" w:eastAsia="宋体" w:cs="宋体"/>
          <w:color w:val="auto"/>
          <w:sz w:val="18"/>
          <w:szCs w:val="18"/>
          <w:highlight w:val="none"/>
        </w:rPr>
      </w:pPr>
    </w:p>
    <w:p w14:paraId="40E43C5D">
      <w:pPr>
        <w:autoSpaceDN w:val="0"/>
        <w:spacing w:line="480" w:lineRule="auto"/>
        <w:jc w:val="center"/>
        <w:rPr>
          <w:rFonts w:hint="eastAsia" w:ascii="宋体" w:hAnsi="宋体" w:eastAsia="宋体" w:cs="宋体"/>
          <w:color w:val="auto"/>
          <w:sz w:val="18"/>
          <w:szCs w:val="18"/>
          <w:highlight w:val="none"/>
        </w:rPr>
      </w:pPr>
    </w:p>
    <w:p w14:paraId="0EEC96AD">
      <w:pPr>
        <w:pStyle w:val="3"/>
        <w:rPr>
          <w:rFonts w:hint="eastAsia" w:ascii="宋体" w:hAnsi="宋体" w:eastAsia="宋体" w:cs="宋体"/>
          <w:color w:val="auto"/>
          <w:highlight w:val="none"/>
        </w:rPr>
      </w:pPr>
    </w:p>
    <w:p w14:paraId="255D2AFD">
      <w:pPr>
        <w:rPr>
          <w:rFonts w:hint="eastAsia" w:ascii="宋体" w:hAnsi="宋体" w:eastAsia="宋体" w:cs="宋体"/>
          <w:color w:val="auto"/>
          <w:highlight w:val="none"/>
        </w:rPr>
      </w:pPr>
    </w:p>
    <w:p w14:paraId="0246F1F9">
      <w:pPr>
        <w:autoSpaceDN w:val="0"/>
        <w:spacing w:line="480" w:lineRule="auto"/>
        <w:ind w:firstLine="562" w:firstLineChars="200"/>
        <w:jc w:val="center"/>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采 购 人： 吉林省水利科学研究院（盖章）</w:t>
      </w:r>
    </w:p>
    <w:p w14:paraId="76BD8A90">
      <w:pPr>
        <w:rPr>
          <w:rFonts w:hint="eastAsia" w:ascii="宋体" w:hAnsi="宋体" w:eastAsia="宋体" w:cs="宋体"/>
          <w:color w:val="auto"/>
          <w:highlight w:val="none"/>
        </w:rPr>
      </w:pPr>
    </w:p>
    <w:p w14:paraId="60799D7D">
      <w:pPr>
        <w:autoSpaceDN w:val="0"/>
        <w:spacing w:line="480" w:lineRule="auto"/>
        <w:ind w:firstLine="562" w:firstLineChars="200"/>
        <w:jc w:val="center"/>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采购代理机构： 吉林省九合工程咨询有限公司（盖章）</w:t>
      </w:r>
    </w:p>
    <w:p w14:paraId="349BB9D3">
      <w:pPr>
        <w:rPr>
          <w:rFonts w:hint="eastAsia" w:ascii="宋体" w:hAnsi="宋体" w:eastAsia="宋体" w:cs="宋体"/>
          <w:color w:val="auto"/>
          <w:highlight w:val="none"/>
        </w:rPr>
      </w:pPr>
    </w:p>
    <w:p w14:paraId="55349F54">
      <w:pPr>
        <w:autoSpaceDN w:val="0"/>
        <w:spacing w:line="480" w:lineRule="auto"/>
        <w:ind w:firstLine="562" w:firstLineChars="200"/>
        <w:jc w:val="center"/>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日 期：2025年</w:t>
      </w:r>
      <w:r>
        <w:rPr>
          <w:rFonts w:hint="eastAsia" w:ascii="宋体" w:hAnsi="宋体" w:eastAsia="宋体" w:cs="宋体"/>
          <w:b/>
          <w:bCs/>
          <w:color w:val="auto"/>
          <w:sz w:val="28"/>
          <w:szCs w:val="28"/>
          <w:highlight w:val="none"/>
          <w:lang w:val="en-US" w:eastAsia="zh-CN" w:bidi="ar"/>
        </w:rPr>
        <w:t>3</w:t>
      </w:r>
      <w:r>
        <w:rPr>
          <w:rFonts w:hint="eastAsia" w:ascii="宋体" w:hAnsi="宋体" w:eastAsia="宋体" w:cs="宋体"/>
          <w:b/>
          <w:bCs/>
          <w:color w:val="auto"/>
          <w:sz w:val="28"/>
          <w:szCs w:val="28"/>
          <w:highlight w:val="none"/>
          <w:lang w:bidi="ar"/>
        </w:rPr>
        <w:t>月</w:t>
      </w:r>
    </w:p>
    <w:p w14:paraId="5ED144E3">
      <w:pPr>
        <w:autoSpaceDN w:val="0"/>
        <w:adjustRightInd w:val="0"/>
        <w:snapToGrid w:val="0"/>
        <w:spacing w:line="360" w:lineRule="auto"/>
        <w:ind w:right="521" w:rightChars="248"/>
        <w:jc w:val="center"/>
        <w:rPr>
          <w:rFonts w:hint="eastAsia" w:ascii="宋体" w:hAnsi="宋体" w:eastAsia="宋体" w:cs="宋体"/>
          <w:b/>
          <w:bCs/>
          <w:color w:val="auto"/>
          <w:sz w:val="28"/>
          <w:szCs w:val="28"/>
          <w:highlight w:val="none"/>
        </w:rPr>
      </w:pPr>
    </w:p>
    <w:p w14:paraId="30285ED1">
      <w:pPr>
        <w:pStyle w:val="4"/>
        <w:rPr>
          <w:rFonts w:hint="eastAsia" w:ascii="宋体" w:hAnsi="宋体" w:eastAsia="宋体" w:cs="宋体"/>
          <w:color w:val="auto"/>
          <w:highlight w:val="none"/>
        </w:rPr>
        <w:sectPr>
          <w:pgSz w:w="11906" w:h="16839"/>
          <w:pgMar w:top="1440" w:right="1485" w:bottom="1440" w:left="1180" w:header="1" w:footer="660" w:gutter="1"/>
          <w:pgNumType w:start="1"/>
          <w:cols w:space="425" w:num="1"/>
          <w:docGrid w:type="lines" w:linePitch="312" w:charSpace="0"/>
        </w:sectPr>
      </w:pPr>
      <w:bookmarkStart w:id="5" w:name="_Toc98580389"/>
    </w:p>
    <w:p w14:paraId="1F41D8BE">
      <w:pPr>
        <w:tabs>
          <w:tab w:val="left" w:pos="9379"/>
        </w:tabs>
        <w:autoSpaceDN w:val="0"/>
        <w:spacing w:line="360" w:lineRule="auto"/>
        <w:jc w:val="center"/>
        <w:rPr>
          <w:rFonts w:hint="eastAsia" w:ascii="宋体" w:hAnsi="宋体" w:eastAsia="宋体" w:cs="宋体"/>
          <w:color w:val="auto"/>
          <w:sz w:val="52"/>
          <w:szCs w:val="52"/>
          <w:highlight w:val="none"/>
        </w:rPr>
      </w:pPr>
      <w:r>
        <w:rPr>
          <w:rFonts w:hint="eastAsia" w:ascii="宋体" w:hAnsi="宋体" w:eastAsia="宋体" w:cs="宋体"/>
          <w:b/>
          <w:bCs/>
          <w:color w:val="auto"/>
          <w:sz w:val="52"/>
          <w:szCs w:val="52"/>
          <w:highlight w:val="none"/>
          <w:lang w:bidi="ar"/>
        </w:rPr>
        <w:t>目 录</w:t>
      </w:r>
    </w:p>
    <w:bookmarkEnd w:id="5"/>
    <w:p w14:paraId="3C24A3D3">
      <w:pPr>
        <w:pStyle w:val="17"/>
        <w:tabs>
          <w:tab w:val="right" w:leader="dot" w:pos="9240"/>
        </w:tabs>
        <w:rPr>
          <w:rFonts w:hint="eastAsia" w:ascii="宋体" w:hAnsi="宋体" w:cs="宋体"/>
          <w:color w:val="auto"/>
          <w:sz w:val="32"/>
          <w:szCs w:val="32"/>
          <w:highlight w:val="none"/>
        </w:rPr>
      </w:pP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TOC \o "1-2" \h \u </w:instrText>
      </w:r>
      <w:r>
        <w:rPr>
          <w:rFonts w:hint="eastAsia" w:ascii="宋体" w:hAnsi="宋体" w:cs="宋体"/>
          <w:color w:val="auto"/>
          <w:sz w:val="32"/>
          <w:szCs w:val="32"/>
          <w:highlight w:val="none"/>
        </w:rPr>
        <w:fldChar w:fldCharType="separate"/>
      </w:r>
      <w:r>
        <w:rPr>
          <w:color w:val="auto"/>
          <w:highlight w:val="none"/>
        </w:rPr>
        <w:fldChar w:fldCharType="begin"/>
      </w:r>
      <w:r>
        <w:rPr>
          <w:color w:val="auto"/>
          <w:highlight w:val="none"/>
        </w:rPr>
        <w:instrText xml:space="preserve"> HYPERLINK \l "_Toc13690" </w:instrText>
      </w:r>
      <w:r>
        <w:rPr>
          <w:color w:val="auto"/>
          <w:highlight w:val="none"/>
        </w:rPr>
        <w:fldChar w:fldCharType="separate"/>
      </w:r>
      <w:r>
        <w:rPr>
          <w:rFonts w:hint="eastAsia" w:ascii="宋体" w:hAnsi="宋体" w:cs="宋体"/>
          <w:color w:val="auto"/>
          <w:kern w:val="44"/>
          <w:sz w:val="32"/>
          <w:szCs w:val="32"/>
          <w:highlight w:val="none"/>
          <w:lang w:bidi="ar"/>
        </w:rPr>
        <w:t>第一部分  招标公告</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_Toc13690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3</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64ADB555">
      <w:pPr>
        <w:pStyle w:val="17"/>
        <w:tabs>
          <w:tab w:val="right" w:leader="dot" w:pos="9240"/>
        </w:tabs>
        <w:rPr>
          <w:rFonts w:hint="eastAsia" w:ascii="宋体" w:hAnsi="宋体" w:cs="宋体"/>
          <w:color w:val="auto"/>
          <w:sz w:val="32"/>
          <w:szCs w:val="32"/>
          <w:highlight w:val="none"/>
        </w:rPr>
      </w:pPr>
      <w:r>
        <w:rPr>
          <w:color w:val="auto"/>
          <w:highlight w:val="none"/>
        </w:rPr>
        <w:fldChar w:fldCharType="begin"/>
      </w:r>
      <w:r>
        <w:rPr>
          <w:color w:val="auto"/>
          <w:highlight w:val="none"/>
        </w:rPr>
        <w:instrText xml:space="preserve"> HYPERLINK \l "_Toc13778" </w:instrText>
      </w:r>
      <w:r>
        <w:rPr>
          <w:color w:val="auto"/>
          <w:highlight w:val="none"/>
        </w:rPr>
        <w:fldChar w:fldCharType="separate"/>
      </w:r>
      <w:r>
        <w:rPr>
          <w:rFonts w:hint="eastAsia" w:ascii="宋体" w:hAnsi="宋体" w:cs="宋体"/>
          <w:color w:val="auto"/>
          <w:sz w:val="32"/>
          <w:szCs w:val="32"/>
          <w:highlight w:val="none"/>
        </w:rPr>
        <w:t>第二部分  投标人须知</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_Toc13778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5</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77127C5B">
      <w:pPr>
        <w:pStyle w:val="17"/>
        <w:tabs>
          <w:tab w:val="right" w:leader="dot" w:pos="9240"/>
        </w:tabs>
        <w:rPr>
          <w:rFonts w:hint="eastAsia" w:ascii="宋体" w:hAnsi="宋体" w:cs="宋体"/>
          <w:color w:val="auto"/>
          <w:sz w:val="32"/>
          <w:szCs w:val="32"/>
          <w:highlight w:val="none"/>
        </w:rPr>
      </w:pPr>
      <w:r>
        <w:rPr>
          <w:color w:val="auto"/>
          <w:highlight w:val="none"/>
        </w:rPr>
        <w:fldChar w:fldCharType="begin"/>
      </w:r>
      <w:r>
        <w:rPr>
          <w:color w:val="auto"/>
          <w:highlight w:val="none"/>
        </w:rPr>
        <w:instrText xml:space="preserve"> HYPERLINK \l "_Toc13310" </w:instrText>
      </w:r>
      <w:r>
        <w:rPr>
          <w:color w:val="auto"/>
          <w:highlight w:val="none"/>
        </w:rPr>
        <w:fldChar w:fldCharType="separate"/>
      </w:r>
      <w:r>
        <w:rPr>
          <w:rFonts w:hint="eastAsia" w:ascii="宋体" w:hAnsi="宋体" w:cs="宋体"/>
          <w:color w:val="auto"/>
          <w:sz w:val="32"/>
          <w:szCs w:val="32"/>
          <w:highlight w:val="none"/>
        </w:rPr>
        <w:t>第三部分  评标办法</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_Toc13310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17</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1B39A047">
      <w:pPr>
        <w:pStyle w:val="19"/>
        <w:tabs>
          <w:tab w:val="right" w:leader="dot" w:pos="9240"/>
        </w:tabs>
        <w:rPr>
          <w:rFonts w:hint="eastAsia" w:ascii="宋体" w:hAnsi="宋体" w:eastAsia="宋体" w:cs="宋体"/>
          <w:b/>
          <w:bCs/>
          <w:color w:val="auto"/>
          <w:sz w:val="32"/>
          <w:szCs w:val="32"/>
          <w:highlight w:val="none"/>
        </w:rPr>
      </w:pPr>
      <w:r>
        <w:rPr>
          <w:color w:val="auto"/>
          <w:highlight w:val="none"/>
        </w:rPr>
        <w:fldChar w:fldCharType="begin"/>
      </w:r>
      <w:r>
        <w:rPr>
          <w:color w:val="auto"/>
          <w:highlight w:val="none"/>
        </w:rPr>
        <w:instrText xml:space="preserve"> HYPERLINK \l "_Toc338" </w:instrText>
      </w:r>
      <w:r>
        <w:rPr>
          <w:color w:val="auto"/>
          <w:highlight w:val="none"/>
        </w:rPr>
        <w:fldChar w:fldCharType="separate"/>
      </w:r>
      <w:r>
        <w:rPr>
          <w:rFonts w:hint="eastAsia" w:ascii="宋体" w:hAnsi="宋体" w:eastAsia="宋体" w:cs="宋体"/>
          <w:b/>
          <w:bCs/>
          <w:color w:val="auto"/>
          <w:sz w:val="32"/>
          <w:szCs w:val="32"/>
          <w:highlight w:val="none"/>
        </w:rPr>
        <w:t>一、评 标 程 序</w:t>
      </w:r>
      <w:r>
        <w:rPr>
          <w:rFonts w:hint="eastAsia" w:ascii="宋体" w:hAnsi="宋体" w:eastAsia="宋体" w:cs="宋体"/>
          <w:b/>
          <w:bCs/>
          <w:color w:val="auto"/>
          <w:sz w:val="32"/>
          <w:szCs w:val="32"/>
          <w:highlight w:val="none"/>
        </w:rPr>
        <w:tab/>
      </w:r>
      <w:r>
        <w:rPr>
          <w:rFonts w:hint="eastAsia" w:ascii="宋体" w:hAnsi="宋体" w:eastAsia="宋体" w:cs="宋体"/>
          <w:b/>
          <w:bCs/>
          <w:color w:val="auto"/>
          <w:sz w:val="32"/>
          <w:szCs w:val="32"/>
          <w:highlight w:val="none"/>
        </w:rPr>
        <w:fldChar w:fldCharType="begin"/>
      </w:r>
      <w:r>
        <w:rPr>
          <w:rFonts w:hint="eastAsia" w:ascii="宋体" w:hAnsi="宋体" w:eastAsia="宋体" w:cs="宋体"/>
          <w:b/>
          <w:bCs/>
          <w:color w:val="auto"/>
          <w:sz w:val="32"/>
          <w:szCs w:val="32"/>
          <w:highlight w:val="none"/>
        </w:rPr>
        <w:instrText xml:space="preserve"> PAGEREF _Toc338 \h </w:instrText>
      </w:r>
      <w:r>
        <w:rPr>
          <w:rFonts w:hint="eastAsia" w:ascii="宋体" w:hAnsi="宋体" w:eastAsia="宋体" w:cs="宋体"/>
          <w:b/>
          <w:bCs/>
          <w:color w:val="auto"/>
          <w:sz w:val="32"/>
          <w:szCs w:val="32"/>
          <w:highlight w:val="none"/>
        </w:rPr>
        <w:fldChar w:fldCharType="separate"/>
      </w:r>
      <w:r>
        <w:rPr>
          <w:rFonts w:hint="eastAsia" w:ascii="宋体" w:hAnsi="宋体" w:eastAsia="宋体" w:cs="宋体"/>
          <w:b/>
          <w:bCs/>
          <w:color w:val="auto"/>
          <w:sz w:val="32"/>
          <w:szCs w:val="32"/>
          <w:highlight w:val="none"/>
        </w:rPr>
        <w:t>17</w:t>
      </w:r>
      <w:r>
        <w:rPr>
          <w:rFonts w:hint="eastAsia" w:ascii="宋体" w:hAnsi="宋体" w:eastAsia="宋体" w:cs="宋体"/>
          <w:b/>
          <w:bCs/>
          <w:color w:val="auto"/>
          <w:sz w:val="32"/>
          <w:szCs w:val="32"/>
          <w:highlight w:val="none"/>
        </w:rPr>
        <w:fldChar w:fldCharType="end"/>
      </w:r>
      <w:r>
        <w:rPr>
          <w:rFonts w:hint="eastAsia" w:ascii="宋体" w:hAnsi="宋体" w:eastAsia="宋体" w:cs="宋体"/>
          <w:b/>
          <w:bCs/>
          <w:color w:val="auto"/>
          <w:sz w:val="32"/>
          <w:szCs w:val="32"/>
          <w:highlight w:val="none"/>
        </w:rPr>
        <w:fldChar w:fldCharType="end"/>
      </w:r>
    </w:p>
    <w:p w14:paraId="0CC688F5">
      <w:pPr>
        <w:pStyle w:val="19"/>
        <w:tabs>
          <w:tab w:val="right" w:leader="dot" w:pos="9240"/>
        </w:tabs>
        <w:rPr>
          <w:rFonts w:hint="eastAsia" w:ascii="宋体" w:hAnsi="宋体" w:eastAsia="宋体" w:cs="宋体"/>
          <w:b/>
          <w:bCs/>
          <w:color w:val="auto"/>
          <w:sz w:val="32"/>
          <w:szCs w:val="32"/>
          <w:highlight w:val="none"/>
        </w:rPr>
      </w:pPr>
      <w:r>
        <w:rPr>
          <w:color w:val="auto"/>
          <w:highlight w:val="none"/>
        </w:rPr>
        <w:fldChar w:fldCharType="begin"/>
      </w:r>
      <w:r>
        <w:rPr>
          <w:color w:val="auto"/>
          <w:highlight w:val="none"/>
        </w:rPr>
        <w:instrText xml:space="preserve"> HYPERLINK \l "_Toc12668" </w:instrText>
      </w:r>
      <w:r>
        <w:rPr>
          <w:color w:val="auto"/>
          <w:highlight w:val="none"/>
        </w:rPr>
        <w:fldChar w:fldCharType="separate"/>
      </w:r>
      <w:r>
        <w:rPr>
          <w:rFonts w:hint="eastAsia" w:ascii="宋体" w:hAnsi="宋体" w:eastAsia="宋体" w:cs="宋体"/>
          <w:b/>
          <w:bCs/>
          <w:color w:val="auto"/>
          <w:sz w:val="32"/>
          <w:szCs w:val="32"/>
          <w:highlight w:val="none"/>
        </w:rPr>
        <w:t>二、评 标 办 法</w:t>
      </w:r>
      <w:r>
        <w:rPr>
          <w:rFonts w:hint="eastAsia" w:ascii="宋体" w:hAnsi="宋体" w:eastAsia="宋体" w:cs="宋体"/>
          <w:b/>
          <w:bCs/>
          <w:color w:val="auto"/>
          <w:sz w:val="32"/>
          <w:szCs w:val="32"/>
          <w:highlight w:val="none"/>
        </w:rPr>
        <w:tab/>
      </w:r>
      <w:r>
        <w:rPr>
          <w:rFonts w:hint="eastAsia" w:ascii="宋体" w:hAnsi="宋体" w:eastAsia="宋体" w:cs="宋体"/>
          <w:b/>
          <w:bCs/>
          <w:color w:val="auto"/>
          <w:sz w:val="32"/>
          <w:szCs w:val="32"/>
          <w:highlight w:val="none"/>
        </w:rPr>
        <w:fldChar w:fldCharType="begin"/>
      </w:r>
      <w:r>
        <w:rPr>
          <w:rFonts w:hint="eastAsia" w:ascii="宋体" w:hAnsi="宋体" w:eastAsia="宋体" w:cs="宋体"/>
          <w:b/>
          <w:bCs/>
          <w:color w:val="auto"/>
          <w:sz w:val="32"/>
          <w:szCs w:val="32"/>
          <w:highlight w:val="none"/>
        </w:rPr>
        <w:instrText xml:space="preserve"> PAGEREF _Toc12668 \h </w:instrText>
      </w:r>
      <w:r>
        <w:rPr>
          <w:rFonts w:hint="eastAsia" w:ascii="宋体" w:hAnsi="宋体" w:eastAsia="宋体" w:cs="宋体"/>
          <w:b/>
          <w:bCs/>
          <w:color w:val="auto"/>
          <w:sz w:val="32"/>
          <w:szCs w:val="32"/>
          <w:highlight w:val="none"/>
        </w:rPr>
        <w:fldChar w:fldCharType="separate"/>
      </w:r>
      <w:r>
        <w:rPr>
          <w:rFonts w:hint="eastAsia" w:ascii="宋体" w:hAnsi="宋体" w:eastAsia="宋体" w:cs="宋体"/>
          <w:b/>
          <w:bCs/>
          <w:color w:val="auto"/>
          <w:sz w:val="32"/>
          <w:szCs w:val="32"/>
          <w:highlight w:val="none"/>
        </w:rPr>
        <w:t>18</w:t>
      </w:r>
      <w:r>
        <w:rPr>
          <w:rFonts w:hint="eastAsia" w:ascii="宋体" w:hAnsi="宋体" w:eastAsia="宋体" w:cs="宋体"/>
          <w:b/>
          <w:bCs/>
          <w:color w:val="auto"/>
          <w:sz w:val="32"/>
          <w:szCs w:val="32"/>
          <w:highlight w:val="none"/>
        </w:rPr>
        <w:fldChar w:fldCharType="end"/>
      </w:r>
      <w:r>
        <w:rPr>
          <w:rFonts w:hint="eastAsia" w:ascii="宋体" w:hAnsi="宋体" w:eastAsia="宋体" w:cs="宋体"/>
          <w:b/>
          <w:bCs/>
          <w:color w:val="auto"/>
          <w:sz w:val="32"/>
          <w:szCs w:val="32"/>
          <w:highlight w:val="none"/>
        </w:rPr>
        <w:fldChar w:fldCharType="end"/>
      </w:r>
    </w:p>
    <w:p w14:paraId="3780C538">
      <w:pPr>
        <w:pStyle w:val="17"/>
        <w:tabs>
          <w:tab w:val="right" w:leader="dot" w:pos="9240"/>
        </w:tabs>
        <w:rPr>
          <w:rFonts w:hint="eastAsia" w:ascii="宋体" w:hAnsi="宋体" w:cs="宋体"/>
          <w:color w:val="auto"/>
          <w:sz w:val="32"/>
          <w:szCs w:val="32"/>
          <w:highlight w:val="none"/>
        </w:rPr>
      </w:pPr>
      <w:r>
        <w:rPr>
          <w:color w:val="auto"/>
          <w:highlight w:val="none"/>
        </w:rPr>
        <w:fldChar w:fldCharType="begin"/>
      </w:r>
      <w:r>
        <w:rPr>
          <w:color w:val="auto"/>
          <w:highlight w:val="none"/>
        </w:rPr>
        <w:instrText xml:space="preserve"> HYPERLINK \l "_Toc18808" </w:instrText>
      </w:r>
      <w:r>
        <w:rPr>
          <w:color w:val="auto"/>
          <w:highlight w:val="none"/>
        </w:rPr>
        <w:fldChar w:fldCharType="separate"/>
      </w:r>
      <w:r>
        <w:rPr>
          <w:rFonts w:hint="eastAsia" w:ascii="宋体" w:hAnsi="宋体" w:cs="宋体"/>
          <w:color w:val="auto"/>
          <w:sz w:val="32"/>
          <w:szCs w:val="32"/>
          <w:highlight w:val="none"/>
          <w:lang w:val="zh-CN"/>
        </w:rPr>
        <w:t>评标办法前附表（一）</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_Toc18808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18</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621AC13F">
      <w:pPr>
        <w:pStyle w:val="17"/>
        <w:tabs>
          <w:tab w:val="right" w:leader="dot" w:pos="9240"/>
        </w:tabs>
        <w:rPr>
          <w:rFonts w:hint="eastAsia" w:ascii="宋体" w:hAnsi="宋体" w:cs="宋体"/>
          <w:color w:val="auto"/>
          <w:sz w:val="32"/>
          <w:szCs w:val="32"/>
          <w:highlight w:val="none"/>
        </w:rPr>
      </w:pPr>
      <w:r>
        <w:rPr>
          <w:color w:val="auto"/>
          <w:highlight w:val="none"/>
        </w:rPr>
        <w:fldChar w:fldCharType="begin"/>
      </w:r>
      <w:r>
        <w:rPr>
          <w:color w:val="auto"/>
          <w:highlight w:val="none"/>
        </w:rPr>
        <w:instrText xml:space="preserve"> HYPERLINK \l "_Toc30024" </w:instrText>
      </w:r>
      <w:r>
        <w:rPr>
          <w:color w:val="auto"/>
          <w:highlight w:val="none"/>
        </w:rPr>
        <w:fldChar w:fldCharType="separate"/>
      </w:r>
      <w:r>
        <w:rPr>
          <w:rFonts w:hint="eastAsia" w:ascii="宋体" w:hAnsi="宋体" w:cs="宋体"/>
          <w:color w:val="auto"/>
          <w:sz w:val="32"/>
          <w:szCs w:val="32"/>
          <w:highlight w:val="none"/>
          <w:lang w:val="zh-CN"/>
        </w:rPr>
        <w:t>评标办法前附表（二）</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_Toc30024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22</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377467CD">
      <w:pPr>
        <w:pStyle w:val="17"/>
        <w:tabs>
          <w:tab w:val="right" w:leader="dot" w:pos="9240"/>
        </w:tabs>
        <w:rPr>
          <w:rFonts w:hint="eastAsia" w:ascii="宋体" w:hAnsi="宋体" w:cs="宋体"/>
          <w:color w:val="auto"/>
          <w:sz w:val="32"/>
          <w:szCs w:val="32"/>
          <w:highlight w:val="none"/>
        </w:rPr>
      </w:pPr>
      <w:r>
        <w:rPr>
          <w:color w:val="auto"/>
          <w:highlight w:val="none"/>
        </w:rPr>
        <w:fldChar w:fldCharType="begin"/>
      </w:r>
      <w:r>
        <w:rPr>
          <w:color w:val="auto"/>
          <w:highlight w:val="none"/>
        </w:rPr>
        <w:instrText xml:space="preserve"> HYPERLINK \l "_Toc16662" </w:instrText>
      </w:r>
      <w:r>
        <w:rPr>
          <w:color w:val="auto"/>
          <w:highlight w:val="none"/>
        </w:rPr>
        <w:fldChar w:fldCharType="separate"/>
      </w:r>
      <w:r>
        <w:rPr>
          <w:rFonts w:hint="eastAsia" w:ascii="宋体" w:hAnsi="宋体" w:cs="宋体"/>
          <w:color w:val="auto"/>
          <w:sz w:val="32"/>
          <w:szCs w:val="32"/>
          <w:highlight w:val="none"/>
        </w:rPr>
        <w:t>第四部分 采购需求</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_Toc16662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45</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07BEFC1E">
      <w:pPr>
        <w:pStyle w:val="17"/>
        <w:tabs>
          <w:tab w:val="right" w:leader="dot" w:pos="9240"/>
        </w:tabs>
        <w:rPr>
          <w:rFonts w:hint="eastAsia" w:ascii="宋体" w:hAnsi="宋体" w:cs="宋体"/>
          <w:color w:val="auto"/>
          <w:sz w:val="32"/>
          <w:szCs w:val="32"/>
          <w:highlight w:val="none"/>
        </w:rPr>
      </w:pPr>
      <w:r>
        <w:rPr>
          <w:color w:val="auto"/>
          <w:highlight w:val="none"/>
        </w:rPr>
        <w:fldChar w:fldCharType="begin"/>
      </w:r>
      <w:r>
        <w:rPr>
          <w:color w:val="auto"/>
          <w:highlight w:val="none"/>
        </w:rPr>
        <w:instrText xml:space="preserve"> HYPERLINK \l "_Toc26888" </w:instrText>
      </w:r>
      <w:r>
        <w:rPr>
          <w:color w:val="auto"/>
          <w:highlight w:val="none"/>
        </w:rPr>
        <w:fldChar w:fldCharType="separate"/>
      </w:r>
      <w:r>
        <w:rPr>
          <w:rFonts w:hint="eastAsia" w:ascii="宋体" w:hAnsi="宋体" w:cs="宋体"/>
          <w:color w:val="auto"/>
          <w:sz w:val="32"/>
          <w:szCs w:val="32"/>
          <w:highlight w:val="none"/>
        </w:rPr>
        <w:t>第五部分 合同条款及格式</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_Toc26888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45</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44DAB9CE">
      <w:pPr>
        <w:pStyle w:val="17"/>
        <w:tabs>
          <w:tab w:val="right" w:leader="dot" w:pos="9240"/>
        </w:tabs>
        <w:rPr>
          <w:rFonts w:hint="eastAsia" w:ascii="宋体" w:hAnsi="宋体" w:cs="宋体"/>
          <w:color w:val="auto"/>
          <w:sz w:val="32"/>
          <w:szCs w:val="32"/>
          <w:highlight w:val="none"/>
        </w:rPr>
      </w:pPr>
      <w:r>
        <w:rPr>
          <w:color w:val="auto"/>
          <w:highlight w:val="none"/>
        </w:rPr>
        <w:fldChar w:fldCharType="begin"/>
      </w:r>
      <w:r>
        <w:rPr>
          <w:color w:val="auto"/>
          <w:highlight w:val="none"/>
        </w:rPr>
        <w:instrText xml:space="preserve"> HYPERLINK \l "_Toc17091" </w:instrText>
      </w:r>
      <w:r>
        <w:rPr>
          <w:color w:val="auto"/>
          <w:highlight w:val="none"/>
        </w:rPr>
        <w:fldChar w:fldCharType="separate"/>
      </w:r>
      <w:r>
        <w:rPr>
          <w:rFonts w:hint="eastAsia" w:ascii="宋体" w:hAnsi="宋体" w:cs="宋体"/>
          <w:color w:val="auto"/>
          <w:sz w:val="32"/>
          <w:szCs w:val="32"/>
          <w:highlight w:val="none"/>
        </w:rPr>
        <w:t>第六部分 投标文件格式</w:t>
      </w:r>
      <w:r>
        <w:rPr>
          <w:rFonts w:hint="eastAsia" w:ascii="宋体" w:hAnsi="宋体" w:cs="宋体"/>
          <w:color w:val="auto"/>
          <w:sz w:val="32"/>
          <w:szCs w:val="32"/>
          <w:highlight w:val="none"/>
        </w:rPr>
        <w:tab/>
      </w:r>
      <w:r>
        <w:rPr>
          <w:rFonts w:hint="eastAsia" w:ascii="宋体" w:hAnsi="宋体" w:cs="宋体"/>
          <w:color w:val="auto"/>
          <w:sz w:val="32"/>
          <w:szCs w:val="32"/>
          <w:highlight w:val="none"/>
        </w:rPr>
        <w:fldChar w:fldCharType="begin"/>
      </w:r>
      <w:r>
        <w:rPr>
          <w:rFonts w:hint="eastAsia" w:ascii="宋体" w:hAnsi="宋体" w:cs="宋体"/>
          <w:color w:val="auto"/>
          <w:sz w:val="32"/>
          <w:szCs w:val="32"/>
          <w:highlight w:val="none"/>
        </w:rPr>
        <w:instrText xml:space="preserve"> PAGEREF _Toc17091 \h </w:instrText>
      </w:r>
      <w:r>
        <w:rPr>
          <w:rFonts w:hint="eastAsia" w:ascii="宋体" w:hAnsi="宋体" w:cs="宋体"/>
          <w:color w:val="auto"/>
          <w:sz w:val="32"/>
          <w:szCs w:val="32"/>
          <w:highlight w:val="none"/>
        </w:rPr>
        <w:fldChar w:fldCharType="separate"/>
      </w:r>
      <w:r>
        <w:rPr>
          <w:rFonts w:hint="eastAsia" w:ascii="宋体" w:hAnsi="宋体" w:cs="宋体"/>
          <w:color w:val="auto"/>
          <w:sz w:val="32"/>
          <w:szCs w:val="32"/>
          <w:highlight w:val="none"/>
        </w:rPr>
        <w:t>62</w:t>
      </w:r>
      <w:r>
        <w:rPr>
          <w:rFonts w:hint="eastAsia" w:ascii="宋体" w:hAnsi="宋体" w:cs="宋体"/>
          <w:color w:val="auto"/>
          <w:sz w:val="32"/>
          <w:szCs w:val="32"/>
          <w:highlight w:val="none"/>
        </w:rPr>
        <w:fldChar w:fldCharType="end"/>
      </w:r>
      <w:r>
        <w:rPr>
          <w:rFonts w:hint="eastAsia" w:ascii="宋体" w:hAnsi="宋体" w:cs="宋体"/>
          <w:color w:val="auto"/>
          <w:sz w:val="32"/>
          <w:szCs w:val="32"/>
          <w:highlight w:val="none"/>
        </w:rPr>
        <w:fldChar w:fldCharType="end"/>
      </w:r>
    </w:p>
    <w:p w14:paraId="1616E270">
      <w:pP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fldChar w:fldCharType="end"/>
      </w:r>
    </w:p>
    <w:p w14:paraId="06F9AAEC">
      <w:pPr>
        <w:pStyle w:val="2"/>
        <w:autoSpaceDN w:val="0"/>
        <w:spacing w:before="0" w:after="0" w:line="360" w:lineRule="auto"/>
        <w:jc w:val="center"/>
        <w:rPr>
          <w:rFonts w:hint="eastAsia" w:ascii="宋体" w:hAnsi="宋体" w:cs="宋体"/>
          <w:color w:val="auto"/>
          <w:highlight w:val="none"/>
        </w:rPr>
      </w:pPr>
      <w:r>
        <w:rPr>
          <w:rFonts w:hint="eastAsia" w:ascii="宋体" w:hAnsi="宋体" w:cs="宋体"/>
          <w:color w:val="auto"/>
          <w:highlight w:val="none"/>
        </w:rPr>
        <w:br w:type="page"/>
      </w:r>
      <w:bookmarkStart w:id="6" w:name="_Toc13690"/>
      <w:bookmarkStart w:id="7" w:name="_Toc26544"/>
      <w:r>
        <w:rPr>
          <w:rFonts w:hint="eastAsia" w:ascii="宋体" w:hAnsi="宋体" w:cs="宋体"/>
          <w:color w:val="auto"/>
          <w:sz w:val="32"/>
          <w:szCs w:val="32"/>
          <w:highlight w:val="none"/>
          <w:lang w:bidi="ar"/>
        </w:rPr>
        <w:t>第一部分  招标公告</w:t>
      </w:r>
      <w:bookmarkEnd w:id="6"/>
      <w:bookmarkEnd w:id="7"/>
    </w:p>
    <w:p w14:paraId="331ED71C">
      <w:pPr>
        <w:autoSpaceDN w:val="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w:t>
      </w:r>
      <w:bookmarkStart w:id="8" w:name="blank24_copy_1619581275000"/>
      <w:r>
        <w:rPr>
          <w:rFonts w:hint="eastAsia" w:ascii="宋体" w:hAnsi="宋体" w:eastAsia="宋体" w:cs="宋体"/>
          <w:b/>
          <w:bCs/>
          <w:color w:val="auto"/>
          <w:kern w:val="0"/>
          <w:szCs w:val="21"/>
          <w:highlight w:val="none"/>
          <w:lang w:bidi="ar"/>
        </w:rPr>
        <w:t>资格后审</w:t>
      </w:r>
      <w:bookmarkEnd w:id="8"/>
      <w:r>
        <w:rPr>
          <w:rFonts w:hint="eastAsia" w:ascii="宋体" w:hAnsi="宋体" w:eastAsia="宋体" w:cs="宋体"/>
          <w:b/>
          <w:bCs/>
          <w:color w:val="auto"/>
          <w:szCs w:val="21"/>
          <w:highlight w:val="none"/>
          <w:lang w:bidi="ar"/>
        </w:rPr>
        <w:t>）</w:t>
      </w:r>
    </w:p>
    <w:p w14:paraId="412F0990">
      <w:pPr>
        <w:autoSpaceDN w:val="0"/>
        <w:rPr>
          <w:rFonts w:hint="eastAsia" w:ascii="宋体" w:hAnsi="宋体" w:eastAsia="宋体" w:cs="宋体"/>
          <w:b/>
          <w:bCs/>
          <w:color w:val="auto"/>
          <w:szCs w:val="21"/>
          <w:highlight w:val="none"/>
          <w:lang w:bidi="ar"/>
        </w:rPr>
      </w:pPr>
    </w:p>
    <w:tbl>
      <w:tblPr>
        <w:tblStyle w:val="24"/>
        <w:tblW w:w="95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66"/>
      </w:tblGrid>
      <w:tr w14:paraId="2DE53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1" w:hRule="atLeast"/>
          <w:jc w:val="center"/>
        </w:trPr>
        <w:tc>
          <w:tcPr>
            <w:tcW w:w="9566" w:type="dxa"/>
            <w:tcBorders>
              <w:top w:val="single" w:color="auto" w:sz="4" w:space="0"/>
              <w:left w:val="single" w:color="auto" w:sz="4" w:space="0"/>
              <w:bottom w:val="single" w:color="auto" w:sz="4" w:space="0"/>
              <w:right w:val="single" w:color="auto" w:sz="4" w:space="0"/>
            </w:tcBorders>
          </w:tcPr>
          <w:p w14:paraId="448EC296">
            <w:pPr>
              <w:spacing w:line="360" w:lineRule="auto"/>
              <w:ind w:left="-27"/>
              <w:rPr>
                <w:rFonts w:hint="eastAsia" w:ascii="宋体" w:hAnsi="宋体" w:eastAsia="宋体" w:cs="宋体"/>
                <w:b/>
                <w:color w:val="auto"/>
                <w:szCs w:val="21"/>
                <w:highlight w:val="none"/>
              </w:rPr>
            </w:pPr>
            <w:bookmarkStart w:id="9" w:name="_Toc28359002"/>
            <w:r>
              <w:rPr>
                <w:rFonts w:hint="eastAsia" w:ascii="宋体" w:hAnsi="宋体" w:eastAsia="宋体" w:cs="宋体"/>
                <w:b/>
                <w:color w:val="auto"/>
                <w:szCs w:val="21"/>
                <w:highlight w:val="none"/>
              </w:rPr>
              <w:t>项目概况</w:t>
            </w:r>
            <w:bookmarkEnd w:id="9"/>
          </w:p>
          <w:p w14:paraId="33CBD633">
            <w:pPr>
              <w:spacing w:line="360" w:lineRule="auto"/>
              <w:ind w:firstLine="437"/>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u w:val="single"/>
              </w:rPr>
              <w:t>2025年度仪器设备购置</w:t>
            </w:r>
            <w:r>
              <w:rPr>
                <w:rFonts w:hint="eastAsia" w:ascii="宋体" w:hAnsi="宋体" w:eastAsia="宋体" w:cs="宋体"/>
                <w:color w:val="auto"/>
                <w:szCs w:val="21"/>
                <w:highlight w:val="none"/>
                <w:lang w:val="zh-CN"/>
              </w:rPr>
              <w:t>的潜在供应商应在</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政采云</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平台</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网址</w:t>
            </w:r>
            <w:r>
              <w:rPr>
                <w:rFonts w:hint="eastAsia" w:ascii="宋体" w:hAnsi="宋体" w:eastAsia="宋体" w:cs="宋体"/>
                <w:color w:val="auto"/>
                <w:szCs w:val="21"/>
                <w:highlight w:val="none"/>
              </w:rPr>
              <w:t>：http://www.zcygov.cn）</w:t>
            </w:r>
            <w:r>
              <w:rPr>
                <w:rFonts w:hint="eastAsia" w:ascii="宋体" w:hAnsi="宋体" w:eastAsia="宋体" w:cs="宋体"/>
                <w:color w:val="auto"/>
                <w:szCs w:val="21"/>
                <w:highlight w:val="none"/>
                <w:lang w:val="zh-CN"/>
              </w:rPr>
              <w:t>下载招标文件</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并于</w:t>
            </w:r>
            <w:r>
              <w:rPr>
                <w:rFonts w:hint="eastAsia" w:ascii="宋体" w:hAnsi="宋体" w:eastAsia="宋体" w:cs="宋体"/>
                <w:b/>
                <w:bCs/>
                <w:color w:val="auto"/>
                <w:szCs w:val="21"/>
                <w:highlight w:val="none"/>
                <w:u w:val="single"/>
                <w:lang w:eastAsia="zh-CN" w:bidi="ar"/>
              </w:rPr>
              <w:t>2025年03月27日09时00分</w:t>
            </w:r>
            <w:r>
              <w:rPr>
                <w:rFonts w:hint="eastAsia" w:ascii="宋体" w:hAnsi="宋体" w:eastAsia="宋体" w:cs="宋体"/>
                <w:color w:val="auto"/>
                <w:szCs w:val="21"/>
                <w:highlight w:val="none"/>
                <w:lang w:bidi="ar"/>
              </w:rPr>
              <w:t>（</w:t>
            </w:r>
            <w:r>
              <w:rPr>
                <w:rFonts w:hint="eastAsia" w:ascii="宋体" w:hAnsi="宋体" w:eastAsia="宋体" w:cs="宋体"/>
                <w:color w:val="auto"/>
                <w:szCs w:val="21"/>
                <w:highlight w:val="none"/>
              </w:rPr>
              <w:t>北京时间）前递交投标文件。</w:t>
            </w:r>
          </w:p>
        </w:tc>
      </w:tr>
    </w:tbl>
    <w:p w14:paraId="4D7ABD22">
      <w:pPr>
        <w:autoSpaceDN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一、项目基本情况</w:t>
      </w:r>
    </w:p>
    <w:p w14:paraId="78B6908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1.项目编号：</w:t>
      </w:r>
      <w:r>
        <w:rPr>
          <w:rFonts w:hint="eastAsia" w:ascii="宋体" w:hAnsi="宋体" w:eastAsia="宋体" w:cs="宋体"/>
          <w:color w:val="auto"/>
          <w:szCs w:val="21"/>
          <w:highlight w:val="none"/>
          <w:lang w:eastAsia="zh-CN" w:bidi="ar"/>
        </w:rPr>
        <w:t>采购计划-[2025]-01594号-JLJHCC-2025003</w:t>
      </w:r>
      <w:r>
        <w:rPr>
          <w:rFonts w:hint="eastAsia" w:ascii="宋体" w:hAnsi="宋体" w:eastAsia="宋体" w:cs="宋体"/>
          <w:color w:val="auto"/>
          <w:szCs w:val="21"/>
          <w:highlight w:val="none"/>
          <w:lang w:bidi="ar"/>
        </w:rPr>
        <w:t>；</w:t>
      </w:r>
    </w:p>
    <w:p w14:paraId="0ED44AD7">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2.项目名称：2025年度仪器设备购置；</w:t>
      </w:r>
    </w:p>
    <w:p w14:paraId="0147D6E0">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3.预算金额：</w:t>
      </w:r>
      <w:r>
        <w:rPr>
          <w:rFonts w:hint="eastAsia" w:ascii="宋体" w:hAnsi="宋体" w:eastAsia="宋体" w:cs="宋体"/>
          <w:color w:val="auto"/>
          <w:kern w:val="0"/>
          <w:szCs w:val="21"/>
          <w:highlight w:val="none"/>
        </w:rPr>
        <w:t>145.00万元</w:t>
      </w:r>
      <w:r>
        <w:rPr>
          <w:rFonts w:hint="eastAsia" w:ascii="宋体" w:hAnsi="宋体" w:eastAsia="宋体" w:cs="宋体"/>
          <w:color w:val="auto"/>
          <w:szCs w:val="21"/>
          <w:highlight w:val="none"/>
          <w:lang w:bidi="ar"/>
        </w:rPr>
        <w:t>；</w:t>
      </w:r>
    </w:p>
    <w:p w14:paraId="3C0B0EC4">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4.最高限价：</w:t>
      </w:r>
      <w:r>
        <w:rPr>
          <w:rFonts w:hint="eastAsia" w:ascii="宋体" w:hAnsi="宋体" w:eastAsia="宋体" w:cs="宋体"/>
          <w:color w:val="auto"/>
          <w:kern w:val="0"/>
          <w:szCs w:val="21"/>
          <w:highlight w:val="none"/>
        </w:rPr>
        <w:t>145.00万元</w:t>
      </w:r>
      <w:r>
        <w:rPr>
          <w:rFonts w:hint="eastAsia" w:ascii="宋体" w:hAnsi="宋体" w:eastAsia="宋体" w:cs="宋体"/>
          <w:color w:val="auto"/>
          <w:szCs w:val="21"/>
          <w:highlight w:val="none"/>
          <w:lang w:bidi="ar"/>
        </w:rPr>
        <w:t>；</w:t>
      </w:r>
    </w:p>
    <w:p w14:paraId="0F42424F">
      <w:pPr>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5.采购需求：基桩高应变检测仪1台、粗粒土三轴剪切试验机1台、粗粒土直剪固结一体机1台、高密度电法仪1台、数字化农业生态服务平台1套、农林气象环境监测系统1套等（详见采购需求））；</w:t>
      </w:r>
    </w:p>
    <w:p w14:paraId="7BF68C1D">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6.合同履行期限</w:t>
      </w:r>
      <w:r>
        <w:rPr>
          <w:rFonts w:hint="eastAsia" w:ascii="宋体" w:hAnsi="宋体" w:eastAsia="宋体" w:cs="宋体"/>
          <w:color w:val="auto"/>
          <w:szCs w:val="21"/>
          <w:highlight w:val="none"/>
        </w:rPr>
        <w:t>：自合同签订之日起90日供货并安装调试验收合格；</w:t>
      </w:r>
    </w:p>
    <w:p w14:paraId="3C6A3650">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7.本项目是否接受联合体投标：否；</w:t>
      </w:r>
    </w:p>
    <w:p w14:paraId="51B2659E">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8.交货地点：吉林省长春市人民大街8220号的吉林省水利科学研究院；</w:t>
      </w:r>
    </w:p>
    <w:p w14:paraId="43F12DF9">
      <w:pPr>
        <w:autoSpaceDN w:val="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bidi="ar"/>
        </w:rPr>
        <w:t>9.质量标准：验收产品必须符合国家及地方有关标准规定。</w:t>
      </w:r>
    </w:p>
    <w:p w14:paraId="167D7F8D">
      <w:pPr>
        <w:autoSpaceDN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二、申请人的资格要求</w:t>
      </w:r>
    </w:p>
    <w:p w14:paraId="679312B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 满足《中华人民共和国政府采购法》第二十二条规定。</w:t>
      </w:r>
    </w:p>
    <w:p w14:paraId="10431104">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2.落实政府采购政策需满足的资格要求：本项目专门面向中小企业采购。</w:t>
      </w:r>
    </w:p>
    <w:p w14:paraId="77F081F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3.本项目的特定资格要求：</w:t>
      </w:r>
    </w:p>
    <w:p w14:paraId="60B6034B">
      <w:pPr>
        <w:autoSpaceDN w:val="0"/>
        <w:rPr>
          <w:rFonts w:hint="eastAsia" w:ascii="宋体" w:hAnsi="宋体" w:eastAsia="宋体" w:cs="宋体"/>
          <w:color w:val="auto"/>
          <w:szCs w:val="21"/>
          <w:highlight w:val="none"/>
          <w:lang w:val="zh-CN" w:bidi="ar"/>
        </w:rPr>
      </w:pPr>
      <w:r>
        <w:rPr>
          <w:rFonts w:hint="eastAsia" w:ascii="宋体" w:hAnsi="宋体" w:eastAsia="宋体" w:cs="宋体"/>
          <w:color w:val="auto"/>
          <w:szCs w:val="21"/>
          <w:highlight w:val="none"/>
          <w:lang w:bidi="ar"/>
        </w:rPr>
        <w:t>3.</w:t>
      </w:r>
      <w:r>
        <w:rPr>
          <w:rFonts w:hint="eastAsia" w:ascii="宋体" w:hAnsi="宋体" w:eastAsia="宋体" w:cs="宋体"/>
          <w:color w:val="auto"/>
          <w:szCs w:val="21"/>
          <w:highlight w:val="none"/>
          <w:lang w:val="zh-CN" w:bidi="ar"/>
        </w:rPr>
        <w:t>1</w:t>
      </w:r>
      <w:r>
        <w:rPr>
          <w:rFonts w:hint="eastAsia" w:ascii="宋体" w:hAnsi="宋体" w:eastAsia="宋体" w:cs="宋体"/>
          <w:color w:val="auto"/>
          <w:szCs w:val="21"/>
          <w:highlight w:val="none"/>
          <w:lang w:bidi="ar"/>
        </w:rPr>
        <w:t>.</w:t>
      </w:r>
      <w:r>
        <w:rPr>
          <w:rFonts w:hint="eastAsia" w:ascii="宋体" w:hAnsi="宋体" w:eastAsia="宋体" w:cs="宋体"/>
          <w:color w:val="auto"/>
          <w:szCs w:val="21"/>
          <w:highlight w:val="none"/>
          <w:lang w:val="zh-CN" w:bidi="ar"/>
        </w:rPr>
        <w:t>供应商须是中华人民共和国境内注册的，具有独立法人资格的、能独立承担民事责任，具有有效的营业执照，并在人员、设备、资金等方面具有相应的服务能力。</w:t>
      </w:r>
    </w:p>
    <w:p w14:paraId="41A9411E">
      <w:pPr>
        <w:autoSpaceDN w:val="0"/>
        <w:rPr>
          <w:rFonts w:hint="eastAsia" w:ascii="宋体" w:hAnsi="宋体" w:eastAsia="宋体" w:cs="宋体"/>
          <w:color w:val="auto"/>
          <w:szCs w:val="21"/>
          <w:highlight w:val="none"/>
          <w:lang w:val="zh-CN" w:bidi="ar"/>
        </w:rPr>
      </w:pPr>
      <w:r>
        <w:rPr>
          <w:rFonts w:hint="eastAsia" w:ascii="宋体" w:hAnsi="宋体" w:eastAsia="宋体" w:cs="宋体"/>
          <w:color w:val="auto"/>
          <w:szCs w:val="21"/>
          <w:highlight w:val="none"/>
          <w:lang w:bidi="ar"/>
        </w:rPr>
        <w:t>3.2</w:t>
      </w:r>
      <w:r>
        <w:rPr>
          <w:rFonts w:hint="eastAsia" w:ascii="宋体" w:hAnsi="宋体" w:eastAsia="宋体" w:cs="宋体"/>
          <w:color w:val="auto"/>
          <w:szCs w:val="21"/>
          <w:highlight w:val="none"/>
          <w:lang w:val="zh-CN" w:bidi="ar"/>
        </w:rPr>
        <w:t>本项目不接受被政府列入取消投标资格期限内的企业或个人参加投标。参加政府采购活动前3年内在经营活动中没有重大违法记录。</w:t>
      </w:r>
    </w:p>
    <w:p w14:paraId="1533F2D1">
      <w:pPr>
        <w:autoSpaceDN w:val="0"/>
        <w:rPr>
          <w:rFonts w:hint="eastAsia" w:ascii="宋体" w:hAnsi="宋体" w:eastAsia="宋体" w:cs="宋体"/>
          <w:color w:val="auto"/>
          <w:highlight w:val="none"/>
        </w:rPr>
      </w:pPr>
      <w:r>
        <w:rPr>
          <w:rFonts w:hint="eastAsia" w:ascii="宋体" w:hAnsi="宋体" w:eastAsia="宋体" w:cs="宋体"/>
          <w:color w:val="auto"/>
          <w:szCs w:val="21"/>
          <w:highlight w:val="none"/>
          <w:lang w:bidi="ar"/>
        </w:rPr>
        <w:t>3.3投标人不得为“信用中国”网站（www.creditchin.gov.cn）中列入失信被执行人和重大税收违法案件当事人名单的供应商，不得为中国政府采购网（www.ccgp.gov.cn）政府采购严重违法失信行为记录名单中被财政部门禁止参加政府采购活动的供应商（在处罚决定规定的时间和地域范围内）（详见财库【2016】125号文）。</w:t>
      </w:r>
    </w:p>
    <w:p w14:paraId="04F70A6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3.4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1455E58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3.5为采购项目提供整体设计、规范编制或者项目管理、监理、检测等服务的单位，不得再参加该采购项目的其他采购活动。</w:t>
      </w:r>
    </w:p>
    <w:p w14:paraId="3E537862">
      <w:pP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rPr>
        <w:t>3.6</w:t>
      </w:r>
      <w:r>
        <w:rPr>
          <w:rFonts w:hint="eastAsia" w:ascii="宋体" w:hAnsi="宋体" w:eastAsia="宋体" w:cs="宋体"/>
          <w:color w:val="auto"/>
          <w:szCs w:val="21"/>
          <w:highlight w:val="none"/>
          <w:lang w:val="zh-CN"/>
        </w:rPr>
        <w:t>具备法律、行政法规规定的其它条件的证明材料。</w:t>
      </w:r>
    </w:p>
    <w:p w14:paraId="233E299C">
      <w:pPr>
        <w:autoSpaceDN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三、获取招标文件</w:t>
      </w:r>
    </w:p>
    <w:p w14:paraId="22CF0FA1">
      <w:pPr>
        <w:adjustRightInd w:val="0"/>
        <w:snapToGrid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1. 时间：</w:t>
      </w:r>
      <w:r>
        <w:rPr>
          <w:rFonts w:hint="eastAsia" w:ascii="宋体" w:hAnsi="宋体" w:eastAsia="宋体" w:cs="宋体"/>
          <w:color w:val="auto"/>
          <w:szCs w:val="21"/>
          <w:highlight w:val="none"/>
        </w:rPr>
        <w:t>2025年</w:t>
      </w:r>
      <w:r>
        <w:rPr>
          <w:rFonts w:hint="eastAsia" w:ascii="宋体" w:hAnsi="宋体" w:eastAsia="宋体" w:cs="宋体"/>
          <w:color w:val="auto"/>
          <w:szCs w:val="21"/>
          <w:highlight w:val="none"/>
          <w:lang w:val="en-US" w:eastAsia="zh-CN"/>
        </w:rPr>
        <w:t>03</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lang w:val="en-US" w:eastAsia="zh-CN"/>
        </w:rPr>
        <w:t>06</w:t>
      </w:r>
      <w:r>
        <w:rPr>
          <w:rFonts w:hint="eastAsia" w:ascii="宋体" w:hAnsi="宋体" w:eastAsia="宋体" w:cs="宋体"/>
          <w:color w:val="auto"/>
          <w:szCs w:val="21"/>
          <w:highlight w:val="none"/>
        </w:rPr>
        <w:t>日至2024年</w:t>
      </w:r>
      <w:r>
        <w:rPr>
          <w:rFonts w:hint="eastAsia" w:ascii="宋体" w:hAnsi="宋体" w:eastAsia="宋体" w:cs="宋体"/>
          <w:color w:val="auto"/>
          <w:szCs w:val="21"/>
          <w:highlight w:val="none"/>
          <w:lang w:val="en-US" w:eastAsia="zh-CN"/>
        </w:rPr>
        <w:t>03</w:t>
      </w:r>
      <w:r>
        <w:rPr>
          <w:rFonts w:hint="eastAsia" w:ascii="宋体" w:hAnsi="宋体" w:eastAsia="宋体" w:cs="宋体"/>
          <w:color w:val="auto"/>
          <w:szCs w:val="21"/>
          <w:highlight w:val="none"/>
        </w:rPr>
        <w:t>月</w:t>
      </w:r>
      <w:r>
        <w:rPr>
          <w:rFonts w:hint="eastAsia" w:ascii="宋体" w:hAnsi="宋体" w:eastAsia="宋体" w:cs="宋体"/>
          <w:color w:val="auto"/>
          <w:szCs w:val="21"/>
          <w:highlight w:val="none"/>
          <w:lang w:val="en-US" w:eastAsia="zh-CN"/>
        </w:rPr>
        <w:t>13</w:t>
      </w:r>
      <w:r>
        <w:rPr>
          <w:rFonts w:hint="eastAsia" w:ascii="宋体" w:hAnsi="宋体" w:eastAsia="宋体" w:cs="宋体"/>
          <w:color w:val="auto"/>
          <w:szCs w:val="21"/>
          <w:highlight w:val="none"/>
        </w:rPr>
        <w:t>日，每天上午8:30至16:00（北京时间，法定节假日除外）</w:t>
      </w:r>
      <w:r>
        <w:rPr>
          <w:rFonts w:hint="eastAsia" w:ascii="宋体" w:hAnsi="宋体" w:eastAsia="宋体" w:cs="宋体"/>
          <w:color w:val="auto"/>
          <w:szCs w:val="21"/>
          <w:highlight w:val="none"/>
          <w:lang w:bidi="ar"/>
        </w:rPr>
        <w:t>。</w:t>
      </w:r>
    </w:p>
    <w:p w14:paraId="7C9751A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获取方式:政府采购云平台（网址：http://www.zcygov.cn）。本项目不发放纸质文件，投标人可自行在“政采云”平台（http：//www.zcygov.cn）下载招标文件（操作路径：登录“政采云”平台-项目采购-获取采购文件-找到本项目-点击“申请获取采购文件”），电子投标文件制作需要基于“政采云”平台获取的招标文件编制。</w:t>
      </w:r>
    </w:p>
    <w:p w14:paraId="542550E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3.未进行网上注册并办理CA认证的投标人将无法参与本次招标活动，技术支持客服：95763。</w:t>
      </w:r>
    </w:p>
    <w:p w14:paraId="369DC64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售价：0元。</w:t>
      </w:r>
    </w:p>
    <w:p w14:paraId="5DCB434A">
      <w:pPr>
        <w:autoSpaceDN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四、提交投标文件截止时间、开标时间和地点</w:t>
      </w:r>
    </w:p>
    <w:p w14:paraId="59E15702">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1.提交投标文件的截止时间、开标时间：</w:t>
      </w:r>
      <w:r>
        <w:rPr>
          <w:rFonts w:hint="eastAsia" w:ascii="宋体" w:hAnsi="宋体" w:eastAsia="宋体" w:cs="宋体"/>
          <w:b/>
          <w:bCs/>
          <w:color w:val="auto"/>
          <w:szCs w:val="21"/>
          <w:highlight w:val="none"/>
          <w:u w:val="single"/>
          <w:lang w:eastAsia="zh-CN" w:bidi="ar"/>
        </w:rPr>
        <w:t>2025年03月27日09时00分</w:t>
      </w:r>
      <w:r>
        <w:rPr>
          <w:rFonts w:hint="eastAsia" w:ascii="宋体" w:hAnsi="宋体" w:eastAsia="宋体" w:cs="宋体"/>
          <w:color w:val="auto"/>
          <w:szCs w:val="21"/>
          <w:highlight w:val="none"/>
          <w:lang w:bidi="ar"/>
        </w:rPr>
        <w:t>（北京时间）</w:t>
      </w:r>
    </w:p>
    <w:p w14:paraId="34D3BB7F">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2.提交投标文件地点和开标地点：</w:t>
      </w:r>
      <w:r>
        <w:rPr>
          <w:rFonts w:hint="eastAsia" w:ascii="宋体" w:hAnsi="宋体" w:eastAsia="宋体" w:cs="宋体"/>
          <w:color w:val="auto"/>
          <w:szCs w:val="21"/>
          <w:highlight w:val="none"/>
        </w:rPr>
        <w:t>长春市二道区洋浦大街6999号凯利中心AB栋101开标四室。</w:t>
      </w:r>
    </w:p>
    <w:p w14:paraId="39CCD3D3">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1）投标文件提交方式：本项目为全流程电子化项目，通过“政采云”平台（http：//www.zcygov.cn）实行在线电子投标，投标人应先安装“政采云电子交易客户端”（请自行前往“政采云”平台进行下载），并按照本项目招标文件和“政采云”平台的要求编制、加密后在投标截止时间前通过网络上传至“政采云”平台，投标人在“政采云”平台提交电子版投标文件时，请填写参加开标活动经办人联系方式。</w:t>
      </w:r>
    </w:p>
    <w:p w14:paraId="01E71395">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（2）未进行网上注册并办理数字证书（CA认证）的投标人将无法参与本项目政府采购活动，潜在投标人应当在投标截止时间前，完成电子交易平台上的CA数字证书办理及投标文件的提交。</w:t>
      </w:r>
    </w:p>
    <w:p w14:paraId="18E6EB03">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（3）为确保网上操作合法、有效和安全，请投标人确保在电子投标过程中能够对相关数据电文进行加密和使用电子签章，妥善保管CA数字证书并使用有效的CA数字证书参与整个招标活动。</w:t>
      </w:r>
    </w:p>
    <w:p w14:paraId="6DD28830">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40BF8FD3">
      <w:pPr>
        <w:autoSpaceDN w:val="0"/>
        <w:rPr>
          <w:rFonts w:hint="eastAsia" w:ascii="宋体" w:hAnsi="宋体" w:eastAsia="宋体" w:cs="宋体"/>
          <w:color w:val="auto"/>
          <w:szCs w:val="21"/>
          <w:highlight w:val="none"/>
        </w:rPr>
      </w:pPr>
      <w:r>
        <w:rPr>
          <w:rFonts w:hint="eastAsia" w:ascii="宋体" w:hAnsi="宋体" w:eastAsia="宋体" w:cs="宋体"/>
          <w:color w:val="auto"/>
          <w:szCs w:val="21"/>
          <w:highlight w:val="none"/>
          <w:lang w:bidi="ar"/>
        </w:rPr>
        <w:t>（4）CA 证书解密：投标人持制作该电子投标文件的同一数字证书（CA 锁）及电脑进行远程解密（各投标人开标前及网上开评标系统公布投标人名单前，不要提前进行远程解密；建议供应商自行携带笔记本电脑进行现场解密或进行远程解密。</w:t>
      </w:r>
    </w:p>
    <w:p w14:paraId="0FFD6B32">
      <w:pPr>
        <w:autoSpaceDN w:val="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五、公告期限</w:t>
      </w:r>
    </w:p>
    <w:p w14:paraId="080612F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自本公告发布之日起5个工作日。</w:t>
      </w:r>
    </w:p>
    <w:p w14:paraId="6C12513D">
      <w:pPr>
        <w:autoSpaceDN w:val="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lang w:bidi="ar"/>
        </w:rPr>
        <w:t>六、其他补充事宜</w:t>
      </w:r>
    </w:p>
    <w:p w14:paraId="15C3844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本次招标公告同时在</w:t>
      </w:r>
      <w:r>
        <w:rPr>
          <w:rFonts w:hint="eastAsia" w:ascii="宋体" w:hAnsi="宋体" w:eastAsia="宋体" w:cs="宋体"/>
          <w:color w:val="auto"/>
          <w:szCs w:val="21"/>
          <w:highlight w:val="none"/>
        </w:rPr>
        <w:t>吉林省政府采购网、中国政府采购网、中国招标投标公共服务平台</w:t>
      </w:r>
      <w:r>
        <w:rPr>
          <w:rFonts w:hint="eastAsia" w:ascii="宋体" w:hAnsi="宋体" w:eastAsia="宋体" w:cs="宋体"/>
          <w:color w:val="auto"/>
          <w:szCs w:val="21"/>
          <w:highlight w:val="none"/>
          <w:lang w:bidi="ar"/>
        </w:rPr>
        <w:t>上发布。</w:t>
      </w:r>
    </w:p>
    <w:p w14:paraId="08B56518">
      <w:pPr>
        <w:autoSpaceDN w:val="0"/>
        <w:rPr>
          <w:rFonts w:hint="eastAsia" w:ascii="宋体" w:hAnsi="宋体" w:eastAsia="宋体" w:cs="宋体"/>
          <w:color w:val="auto"/>
          <w:szCs w:val="21"/>
          <w:highlight w:val="none"/>
        </w:rPr>
      </w:pPr>
      <w:r>
        <w:rPr>
          <w:rFonts w:hint="eastAsia" w:ascii="宋体" w:hAnsi="宋体" w:eastAsia="宋体" w:cs="宋体"/>
          <w:b/>
          <w:bCs/>
          <w:color w:val="auto"/>
          <w:szCs w:val="21"/>
          <w:highlight w:val="none"/>
          <w:lang w:bidi="ar"/>
        </w:rPr>
        <w:t>七、对本次招标提出询问，请按以下方式联系</w:t>
      </w:r>
    </w:p>
    <w:p w14:paraId="31F3F507">
      <w:pPr>
        <w:autoSpaceDN w:val="0"/>
        <w:rPr>
          <w:rFonts w:hint="eastAsia" w:ascii="宋体" w:hAnsi="宋体" w:eastAsia="宋体" w:cs="宋体"/>
          <w:color w:val="auto"/>
          <w:szCs w:val="21"/>
          <w:highlight w:val="none"/>
          <w:lang w:bidi="ar"/>
        </w:rPr>
      </w:pPr>
      <w:bookmarkStart w:id="10" w:name="_Toc13778"/>
      <w:r>
        <w:rPr>
          <w:rFonts w:hint="eastAsia" w:ascii="宋体" w:hAnsi="宋体" w:eastAsia="宋体" w:cs="宋体"/>
          <w:color w:val="auto"/>
          <w:szCs w:val="21"/>
          <w:highlight w:val="none"/>
          <w:lang w:bidi="ar"/>
        </w:rPr>
        <w:t>1.采购人信息</w:t>
      </w:r>
    </w:p>
    <w:p w14:paraId="770BE6E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名称：</w:t>
      </w:r>
      <w:r>
        <w:rPr>
          <w:rFonts w:hint="eastAsia" w:ascii="宋体" w:hAnsi="宋体" w:eastAsia="宋体" w:cs="宋体"/>
          <w:color w:val="auto"/>
          <w:szCs w:val="21"/>
          <w:highlight w:val="none"/>
          <w:lang w:val="zh-CN" w:bidi="ar"/>
        </w:rPr>
        <w:t>吉林省水利科学研究院</w:t>
      </w:r>
    </w:p>
    <w:p w14:paraId="1EA72D0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地址：吉林省长春市人民大街8220号</w:t>
      </w:r>
    </w:p>
    <w:p w14:paraId="0E78177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联系人：张佳迪</w:t>
      </w:r>
    </w:p>
    <w:p w14:paraId="30296F4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电话：0431-85383854</w:t>
      </w:r>
    </w:p>
    <w:p w14:paraId="409F977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2.采购代理机构信息</w:t>
      </w:r>
    </w:p>
    <w:p w14:paraId="4583914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名称：吉林省九合工程咨询有限公司</w:t>
      </w:r>
    </w:p>
    <w:p w14:paraId="6369BFE3">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地址：长春市二道区远达大街以东红星美凯龙全球家居生活广场第7幢1008号房</w:t>
      </w:r>
    </w:p>
    <w:p w14:paraId="6AF358E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联系人：聂蕾</w:t>
      </w:r>
    </w:p>
    <w:p w14:paraId="14A6964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电话：0431-88547197　</w:t>
      </w:r>
    </w:p>
    <w:p w14:paraId="55DFB4C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3.项目联系方式</w:t>
      </w:r>
    </w:p>
    <w:p w14:paraId="022601D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联系人：聂蕾</w:t>
      </w:r>
    </w:p>
    <w:p w14:paraId="07226C8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电话：0431-88547197</w:t>
      </w:r>
    </w:p>
    <w:p w14:paraId="4EA955F3">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4监督管理部门：吉林省财政厅政府采购管理处</w:t>
      </w:r>
    </w:p>
    <w:p w14:paraId="515327E1">
      <w:pPr>
        <w:rPr>
          <w:rStyle w:val="31"/>
          <w:rFonts w:hint="eastAsia" w:ascii="宋体" w:hAnsi="宋体" w:cs="宋体"/>
          <w:color w:val="auto"/>
          <w:sz w:val="21"/>
          <w:szCs w:val="21"/>
          <w:highlight w:val="none"/>
        </w:rPr>
      </w:pPr>
      <w:r>
        <w:rPr>
          <w:rStyle w:val="31"/>
          <w:rFonts w:hint="eastAsia" w:ascii="宋体" w:hAnsi="宋体" w:cs="宋体"/>
          <w:color w:val="auto"/>
          <w:sz w:val="21"/>
          <w:szCs w:val="21"/>
          <w:highlight w:val="none"/>
        </w:rPr>
        <w:br w:type="page"/>
      </w:r>
    </w:p>
    <w:p w14:paraId="7E2DC0C5">
      <w:pPr>
        <w:autoSpaceDN w:val="0"/>
        <w:spacing w:line="360" w:lineRule="auto"/>
        <w:jc w:val="center"/>
        <w:rPr>
          <w:rStyle w:val="31"/>
          <w:rFonts w:hint="eastAsia" w:ascii="宋体" w:hAnsi="宋体" w:cs="宋体"/>
          <w:color w:val="auto"/>
          <w:sz w:val="32"/>
          <w:szCs w:val="32"/>
          <w:highlight w:val="none"/>
        </w:rPr>
      </w:pPr>
      <w:r>
        <w:rPr>
          <w:rStyle w:val="31"/>
          <w:rFonts w:hint="eastAsia" w:ascii="宋体" w:hAnsi="宋体" w:cs="宋体"/>
          <w:color w:val="auto"/>
          <w:sz w:val="32"/>
          <w:szCs w:val="32"/>
          <w:highlight w:val="none"/>
        </w:rPr>
        <w:t>第二部分   投标人须知</w:t>
      </w:r>
    </w:p>
    <w:bookmarkEnd w:id="10"/>
    <w:p w14:paraId="3C494432">
      <w:pPr>
        <w:autoSpaceDN w:val="0"/>
        <w:jc w:val="center"/>
        <w:rPr>
          <w:rFonts w:hint="eastAsia" w:ascii="宋体" w:hAnsi="宋体" w:eastAsia="宋体" w:cs="宋体"/>
          <w:color w:val="auto"/>
          <w:szCs w:val="21"/>
          <w:highlight w:val="none"/>
          <w:lang w:bidi="ar"/>
        </w:rPr>
      </w:pPr>
      <w:r>
        <w:rPr>
          <w:rFonts w:hint="eastAsia" w:ascii="宋体" w:hAnsi="宋体" w:eastAsia="宋体" w:cs="宋体"/>
          <w:b/>
          <w:bCs/>
          <w:color w:val="auto"/>
          <w:sz w:val="24"/>
          <w:highlight w:val="none"/>
          <w:lang w:bidi="ar"/>
        </w:rPr>
        <w:t>一、投标人须知前附表</w:t>
      </w:r>
    </w:p>
    <w:tbl>
      <w:tblPr>
        <w:tblStyle w:val="24"/>
        <w:tblW w:w="90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1"/>
        <w:gridCol w:w="2211"/>
        <w:gridCol w:w="5886"/>
      </w:tblGrid>
      <w:tr w14:paraId="61BF7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61CA0B1A">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序号</w:t>
            </w:r>
          </w:p>
        </w:tc>
        <w:tc>
          <w:tcPr>
            <w:tcW w:w="2211" w:type="dxa"/>
            <w:shd w:val="clear" w:color="auto" w:fill="auto"/>
            <w:noWrap/>
            <w:vAlign w:val="center"/>
          </w:tcPr>
          <w:p w14:paraId="1F18D597">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内    容</w:t>
            </w:r>
          </w:p>
        </w:tc>
        <w:tc>
          <w:tcPr>
            <w:tcW w:w="5886" w:type="dxa"/>
            <w:shd w:val="clear" w:color="auto" w:fill="auto"/>
            <w:noWrap/>
            <w:vAlign w:val="center"/>
          </w:tcPr>
          <w:p w14:paraId="16C6BFF9">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说明与要求</w:t>
            </w:r>
          </w:p>
        </w:tc>
      </w:tr>
      <w:tr w14:paraId="4316F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0A326A17">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w:t>
            </w:r>
          </w:p>
        </w:tc>
        <w:tc>
          <w:tcPr>
            <w:tcW w:w="2211" w:type="dxa"/>
            <w:shd w:val="clear" w:color="auto" w:fill="auto"/>
            <w:noWrap/>
            <w:vAlign w:val="center"/>
          </w:tcPr>
          <w:p w14:paraId="4B1CAB0E">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采购人</w:t>
            </w:r>
          </w:p>
        </w:tc>
        <w:tc>
          <w:tcPr>
            <w:tcW w:w="5886" w:type="dxa"/>
            <w:shd w:val="clear" w:color="auto" w:fill="auto"/>
            <w:noWrap/>
            <w:vAlign w:val="center"/>
          </w:tcPr>
          <w:p w14:paraId="25DB027E">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名称：</w:t>
            </w:r>
            <w:r>
              <w:rPr>
                <w:rFonts w:hint="eastAsia" w:ascii="宋体" w:hAnsi="宋体" w:eastAsia="宋体" w:cs="宋体"/>
                <w:color w:val="auto"/>
                <w:szCs w:val="21"/>
                <w:highlight w:val="none"/>
                <w:lang w:val="zh-CN" w:bidi="ar"/>
              </w:rPr>
              <w:t>吉林省水利科学研究院</w:t>
            </w:r>
          </w:p>
          <w:p w14:paraId="5DFB5D69">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地址：吉林省长春市人民大街8220号</w:t>
            </w:r>
          </w:p>
          <w:p w14:paraId="0F3B637C">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联系人：张佳迪</w:t>
            </w:r>
          </w:p>
          <w:p w14:paraId="74643375">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电话：0431-85383854</w:t>
            </w:r>
          </w:p>
        </w:tc>
      </w:tr>
      <w:tr w14:paraId="35AFAA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6421C2C3">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w:t>
            </w:r>
          </w:p>
        </w:tc>
        <w:tc>
          <w:tcPr>
            <w:tcW w:w="2211" w:type="dxa"/>
            <w:shd w:val="clear" w:color="auto" w:fill="auto"/>
            <w:noWrap/>
            <w:vAlign w:val="center"/>
          </w:tcPr>
          <w:p w14:paraId="7E399870">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采购代理机构</w:t>
            </w:r>
          </w:p>
        </w:tc>
        <w:tc>
          <w:tcPr>
            <w:tcW w:w="5886" w:type="dxa"/>
            <w:shd w:val="clear" w:color="auto" w:fill="auto"/>
            <w:noWrap/>
            <w:vAlign w:val="center"/>
          </w:tcPr>
          <w:p w14:paraId="029A0C95">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名称：吉林省九合工程咨询有限公司</w:t>
            </w:r>
          </w:p>
          <w:p w14:paraId="6AE16866">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地址：长春市二道区远达大街以东红星美凯龙全球家居生活广场第7幢1008号房</w:t>
            </w:r>
          </w:p>
          <w:p w14:paraId="646EFAB4">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联系人：聂蕾</w:t>
            </w:r>
          </w:p>
          <w:p w14:paraId="1094C0A8">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电话：0431-88547197</w:t>
            </w:r>
          </w:p>
        </w:tc>
      </w:tr>
      <w:tr w14:paraId="2B9DE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2F373B2F">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w:t>
            </w:r>
          </w:p>
        </w:tc>
        <w:tc>
          <w:tcPr>
            <w:tcW w:w="2211" w:type="dxa"/>
            <w:shd w:val="clear" w:color="auto" w:fill="auto"/>
            <w:noWrap/>
            <w:vAlign w:val="center"/>
          </w:tcPr>
          <w:p w14:paraId="74E637F6">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项目名称</w:t>
            </w:r>
          </w:p>
        </w:tc>
        <w:tc>
          <w:tcPr>
            <w:tcW w:w="5886" w:type="dxa"/>
            <w:shd w:val="clear" w:color="auto" w:fill="auto"/>
            <w:noWrap/>
            <w:vAlign w:val="center"/>
          </w:tcPr>
          <w:p w14:paraId="3EFDD9EB">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2025年度仪器设备购置</w:t>
            </w:r>
          </w:p>
        </w:tc>
      </w:tr>
      <w:tr w14:paraId="5E499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63EBB36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w:t>
            </w:r>
          </w:p>
        </w:tc>
        <w:tc>
          <w:tcPr>
            <w:tcW w:w="2211" w:type="dxa"/>
            <w:shd w:val="clear" w:color="auto" w:fill="auto"/>
            <w:noWrap/>
            <w:vAlign w:val="center"/>
          </w:tcPr>
          <w:p w14:paraId="644E93FE">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项目编号及采购计划文号</w:t>
            </w:r>
          </w:p>
        </w:tc>
        <w:tc>
          <w:tcPr>
            <w:tcW w:w="5886" w:type="dxa"/>
            <w:shd w:val="clear" w:color="auto" w:fill="auto"/>
            <w:noWrap/>
            <w:vAlign w:val="center"/>
          </w:tcPr>
          <w:p w14:paraId="7C7637DA">
            <w:pPr>
              <w:widowControl/>
              <w:autoSpaceDN w:val="0"/>
              <w:rPr>
                <w:rFonts w:hint="eastAsia" w:ascii="宋体" w:hAnsi="宋体" w:eastAsia="宋体" w:cs="宋体"/>
                <w:color w:val="auto"/>
                <w:szCs w:val="21"/>
                <w:highlight w:val="none"/>
                <w:lang w:eastAsia="zh-CN" w:bidi="ar"/>
              </w:rPr>
            </w:pPr>
            <w:r>
              <w:rPr>
                <w:rFonts w:hint="eastAsia" w:ascii="宋体" w:hAnsi="宋体" w:eastAsia="宋体" w:cs="宋体"/>
                <w:color w:val="auto"/>
                <w:szCs w:val="21"/>
                <w:highlight w:val="none"/>
                <w:lang w:bidi="ar"/>
              </w:rPr>
              <w:t>项目编号：</w:t>
            </w:r>
            <w:r>
              <w:rPr>
                <w:rFonts w:hint="eastAsia" w:ascii="宋体" w:hAnsi="宋体" w:eastAsia="宋体" w:cs="宋体"/>
                <w:color w:val="auto"/>
                <w:szCs w:val="21"/>
                <w:highlight w:val="none"/>
                <w:lang w:eastAsia="zh-CN" w:bidi="ar"/>
              </w:rPr>
              <w:t>采购计划-[2025]-01594号-JLJHCC-2025003</w:t>
            </w:r>
          </w:p>
        </w:tc>
      </w:tr>
      <w:tr w14:paraId="017BC3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981" w:type="dxa"/>
            <w:vMerge w:val="restart"/>
            <w:shd w:val="clear" w:color="auto" w:fill="auto"/>
            <w:noWrap/>
            <w:vAlign w:val="center"/>
          </w:tcPr>
          <w:p w14:paraId="47C6E827">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5</w:t>
            </w:r>
          </w:p>
        </w:tc>
        <w:tc>
          <w:tcPr>
            <w:tcW w:w="2211" w:type="dxa"/>
            <w:shd w:val="clear" w:color="auto" w:fill="auto"/>
            <w:noWrap/>
            <w:vAlign w:val="center"/>
          </w:tcPr>
          <w:p w14:paraId="34C4FD8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预算金额（最高限价）</w:t>
            </w:r>
          </w:p>
        </w:tc>
        <w:tc>
          <w:tcPr>
            <w:tcW w:w="5886" w:type="dxa"/>
            <w:shd w:val="clear" w:color="auto" w:fill="auto"/>
            <w:noWrap/>
            <w:vAlign w:val="center"/>
          </w:tcPr>
          <w:p w14:paraId="043F0A53">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kern w:val="0"/>
                <w:szCs w:val="21"/>
                <w:highlight w:val="none"/>
              </w:rPr>
              <w:t>145.00万</w:t>
            </w:r>
            <w:r>
              <w:rPr>
                <w:rFonts w:hint="eastAsia" w:ascii="宋体" w:hAnsi="宋体" w:eastAsia="宋体" w:cs="宋体"/>
                <w:color w:val="auto"/>
                <w:szCs w:val="21"/>
                <w:highlight w:val="none"/>
                <w:lang w:bidi="ar"/>
              </w:rPr>
              <w:t>元</w:t>
            </w:r>
          </w:p>
        </w:tc>
      </w:tr>
      <w:tr w14:paraId="2FFDF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jc w:val="center"/>
        </w:trPr>
        <w:tc>
          <w:tcPr>
            <w:tcW w:w="981" w:type="dxa"/>
            <w:vMerge w:val="continue"/>
            <w:shd w:val="clear" w:color="auto" w:fill="auto"/>
            <w:noWrap/>
            <w:vAlign w:val="center"/>
          </w:tcPr>
          <w:p w14:paraId="0400672C">
            <w:pPr>
              <w:widowControl/>
              <w:autoSpaceDN w:val="0"/>
              <w:jc w:val="center"/>
              <w:rPr>
                <w:rFonts w:hint="eastAsia" w:ascii="宋体" w:hAnsi="宋体" w:eastAsia="宋体" w:cs="宋体"/>
                <w:color w:val="auto"/>
                <w:szCs w:val="21"/>
                <w:highlight w:val="none"/>
                <w:lang w:bidi="ar"/>
              </w:rPr>
            </w:pPr>
          </w:p>
        </w:tc>
        <w:tc>
          <w:tcPr>
            <w:tcW w:w="2211" w:type="dxa"/>
            <w:shd w:val="clear" w:color="auto" w:fill="auto"/>
            <w:noWrap/>
            <w:vAlign w:val="center"/>
          </w:tcPr>
          <w:p w14:paraId="1E82C2AD">
            <w:pPr>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投标报价方式</w:t>
            </w:r>
          </w:p>
        </w:tc>
        <w:tc>
          <w:tcPr>
            <w:tcW w:w="5886" w:type="dxa"/>
            <w:shd w:val="clear" w:color="auto" w:fill="auto"/>
            <w:noWrap/>
            <w:vAlign w:val="center"/>
          </w:tcPr>
          <w:p w14:paraId="197334F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1.所有投标均以人民币报价；</w:t>
            </w:r>
          </w:p>
          <w:p w14:paraId="73C367D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2.投标人应在填写分项报价表时注明各项单价、总价。如果单价与总价有出入，以单价为准。代理机构不接受有任何选择的报价；报价须有法人代表或授权代表签署。</w:t>
            </w:r>
          </w:p>
          <w:p w14:paraId="2A739A95">
            <w:pPr>
              <w:autoSpaceDN w:val="0"/>
              <w:rPr>
                <w:rFonts w:hint="eastAsia" w:ascii="宋体" w:hAnsi="宋体" w:eastAsia="宋体" w:cs="宋体"/>
                <w:color w:val="auto"/>
                <w:kern w:val="0"/>
                <w:szCs w:val="21"/>
                <w:highlight w:val="none"/>
              </w:rPr>
            </w:pPr>
            <w:r>
              <w:rPr>
                <w:rFonts w:hint="eastAsia" w:ascii="宋体" w:hAnsi="宋体" w:eastAsia="宋体" w:cs="宋体"/>
                <w:b/>
                <w:bCs/>
                <w:color w:val="auto"/>
                <w:szCs w:val="21"/>
                <w:highlight w:val="none"/>
                <w:lang w:bidi="ar"/>
              </w:rPr>
              <w:t>报价说明：投标人的报价应当包含为完成本项目全部工作所需的一切费用，包括成本、利润、税金及货物在途中的一切风险及运输、卸货、安装耗材等一切费用，并包含在所报的单价或总额价内。</w:t>
            </w:r>
          </w:p>
        </w:tc>
      </w:tr>
      <w:tr w14:paraId="3C71F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981" w:type="dxa"/>
            <w:shd w:val="clear" w:color="auto" w:fill="auto"/>
            <w:noWrap/>
            <w:vAlign w:val="center"/>
          </w:tcPr>
          <w:p w14:paraId="3E1B3872">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6</w:t>
            </w:r>
          </w:p>
        </w:tc>
        <w:tc>
          <w:tcPr>
            <w:tcW w:w="2211" w:type="dxa"/>
            <w:shd w:val="clear" w:color="auto" w:fill="auto"/>
            <w:noWrap/>
            <w:vAlign w:val="center"/>
          </w:tcPr>
          <w:p w14:paraId="3551435C">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交货地点</w:t>
            </w:r>
          </w:p>
        </w:tc>
        <w:tc>
          <w:tcPr>
            <w:tcW w:w="5886" w:type="dxa"/>
            <w:shd w:val="clear" w:color="auto" w:fill="auto"/>
            <w:noWrap/>
            <w:vAlign w:val="center"/>
          </w:tcPr>
          <w:p w14:paraId="0991E104">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吉林省长春市人民大街8220号的吉林省水利科学研究院</w:t>
            </w:r>
          </w:p>
        </w:tc>
      </w:tr>
      <w:tr w14:paraId="3B38A5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7B811D53">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7</w:t>
            </w:r>
          </w:p>
        </w:tc>
        <w:tc>
          <w:tcPr>
            <w:tcW w:w="2211" w:type="dxa"/>
            <w:shd w:val="clear" w:color="auto" w:fill="auto"/>
            <w:noWrap/>
            <w:vAlign w:val="center"/>
          </w:tcPr>
          <w:p w14:paraId="234EE294">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采购需求</w:t>
            </w:r>
          </w:p>
        </w:tc>
        <w:tc>
          <w:tcPr>
            <w:tcW w:w="5886" w:type="dxa"/>
            <w:shd w:val="clear" w:color="auto" w:fill="auto"/>
            <w:noWrap/>
            <w:vAlign w:val="center"/>
          </w:tcPr>
          <w:p w14:paraId="2457111F">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基桩高应变检测仪1台、粗粒土三轴剪切试验机1台、粗粒土直剪固结一体机1台、高密度电法仪1台、数字化农业生态服务平台1套、农林气象环境监测系统1套等（详见采购需求）</w:t>
            </w:r>
          </w:p>
        </w:tc>
      </w:tr>
      <w:tr w14:paraId="792C66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072F5EA2">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8</w:t>
            </w:r>
          </w:p>
        </w:tc>
        <w:tc>
          <w:tcPr>
            <w:tcW w:w="2211" w:type="dxa"/>
            <w:shd w:val="clear" w:color="auto" w:fill="auto"/>
            <w:noWrap/>
            <w:vAlign w:val="center"/>
          </w:tcPr>
          <w:p w14:paraId="3F4E0F05">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合同履行期限</w:t>
            </w:r>
          </w:p>
        </w:tc>
        <w:tc>
          <w:tcPr>
            <w:tcW w:w="5886" w:type="dxa"/>
            <w:shd w:val="clear" w:color="auto" w:fill="auto"/>
            <w:noWrap/>
            <w:vAlign w:val="center"/>
          </w:tcPr>
          <w:p w14:paraId="30A30610">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自合同签订之日起90日供货并安装调试验收合格。</w:t>
            </w:r>
          </w:p>
        </w:tc>
      </w:tr>
      <w:tr w14:paraId="6EE97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981" w:type="dxa"/>
            <w:shd w:val="clear" w:color="auto" w:fill="auto"/>
            <w:noWrap/>
            <w:vAlign w:val="center"/>
          </w:tcPr>
          <w:p w14:paraId="37551E67">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9</w:t>
            </w:r>
          </w:p>
        </w:tc>
        <w:tc>
          <w:tcPr>
            <w:tcW w:w="2211" w:type="dxa"/>
            <w:shd w:val="clear" w:color="auto" w:fill="auto"/>
            <w:noWrap/>
            <w:vAlign w:val="center"/>
          </w:tcPr>
          <w:p w14:paraId="577C291D">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资金来源</w:t>
            </w:r>
          </w:p>
        </w:tc>
        <w:tc>
          <w:tcPr>
            <w:tcW w:w="5886" w:type="dxa"/>
            <w:shd w:val="clear" w:color="auto" w:fill="auto"/>
            <w:noWrap/>
            <w:vAlign w:val="center"/>
          </w:tcPr>
          <w:p w14:paraId="51421341">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财政资金</w:t>
            </w:r>
          </w:p>
        </w:tc>
      </w:tr>
      <w:tr w14:paraId="2C7FC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jc w:val="center"/>
        </w:trPr>
        <w:tc>
          <w:tcPr>
            <w:tcW w:w="981" w:type="dxa"/>
            <w:shd w:val="clear" w:color="auto" w:fill="auto"/>
            <w:noWrap/>
            <w:vAlign w:val="center"/>
          </w:tcPr>
          <w:p w14:paraId="0D7A0744">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10</w:t>
            </w:r>
          </w:p>
        </w:tc>
        <w:tc>
          <w:tcPr>
            <w:tcW w:w="2211" w:type="dxa"/>
            <w:shd w:val="clear" w:color="auto" w:fill="auto"/>
            <w:noWrap/>
            <w:vAlign w:val="center"/>
          </w:tcPr>
          <w:p w14:paraId="1D75757A">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供应商资格要求</w:t>
            </w:r>
          </w:p>
        </w:tc>
        <w:tc>
          <w:tcPr>
            <w:tcW w:w="5886" w:type="dxa"/>
            <w:shd w:val="clear" w:color="auto" w:fill="auto"/>
            <w:noWrap/>
            <w:vAlign w:val="center"/>
          </w:tcPr>
          <w:p w14:paraId="3E287E8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 满足《中华人民共和国政府采购法》第二十二条规定。</w:t>
            </w:r>
          </w:p>
          <w:p w14:paraId="328A8CC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2.落实政府采购政策需满足的资格要求：本项目专门面向中小企业采购。</w:t>
            </w:r>
          </w:p>
          <w:p w14:paraId="0848A88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3.本项目的特定资格要求：</w:t>
            </w:r>
          </w:p>
          <w:p w14:paraId="6676403F">
            <w:pPr>
              <w:autoSpaceDN w:val="0"/>
              <w:rPr>
                <w:rFonts w:hint="eastAsia" w:ascii="宋体" w:hAnsi="宋体" w:eastAsia="宋体" w:cs="宋体"/>
                <w:color w:val="auto"/>
                <w:szCs w:val="21"/>
                <w:highlight w:val="none"/>
                <w:lang w:val="zh-CN" w:bidi="ar"/>
              </w:rPr>
            </w:pPr>
            <w:r>
              <w:rPr>
                <w:rFonts w:hint="eastAsia" w:ascii="宋体" w:hAnsi="宋体" w:eastAsia="宋体" w:cs="宋体"/>
                <w:color w:val="auto"/>
                <w:szCs w:val="21"/>
                <w:highlight w:val="none"/>
                <w:lang w:bidi="ar"/>
              </w:rPr>
              <w:t>3.</w:t>
            </w:r>
            <w:r>
              <w:rPr>
                <w:rFonts w:hint="eastAsia" w:ascii="宋体" w:hAnsi="宋体" w:eastAsia="宋体" w:cs="宋体"/>
                <w:color w:val="auto"/>
                <w:szCs w:val="21"/>
                <w:highlight w:val="none"/>
                <w:lang w:val="zh-CN" w:bidi="ar"/>
              </w:rPr>
              <w:t>1</w:t>
            </w:r>
            <w:r>
              <w:rPr>
                <w:rFonts w:hint="eastAsia" w:ascii="宋体" w:hAnsi="宋体" w:eastAsia="宋体" w:cs="宋体"/>
                <w:color w:val="auto"/>
                <w:szCs w:val="21"/>
                <w:highlight w:val="none"/>
                <w:lang w:bidi="ar"/>
              </w:rPr>
              <w:t>.</w:t>
            </w:r>
            <w:r>
              <w:rPr>
                <w:rFonts w:hint="eastAsia" w:ascii="宋体" w:hAnsi="宋体" w:eastAsia="宋体" w:cs="宋体"/>
                <w:color w:val="auto"/>
                <w:szCs w:val="21"/>
                <w:highlight w:val="none"/>
                <w:lang w:val="zh-CN" w:bidi="ar"/>
              </w:rPr>
              <w:t>供应商须是中华人民共和国境内注册的，具有独立法人资格的、能独立承担民事责任，具有有效的营业执照，并在人员、设备、资金等方面具有相应的服务能力。</w:t>
            </w:r>
          </w:p>
          <w:p w14:paraId="618B9EBB">
            <w:pPr>
              <w:autoSpaceDN w:val="0"/>
              <w:rPr>
                <w:rFonts w:hint="eastAsia" w:ascii="宋体" w:hAnsi="宋体" w:eastAsia="宋体" w:cs="宋体"/>
                <w:color w:val="auto"/>
                <w:szCs w:val="21"/>
                <w:highlight w:val="none"/>
                <w:lang w:val="zh-CN" w:bidi="ar"/>
              </w:rPr>
            </w:pPr>
            <w:r>
              <w:rPr>
                <w:rFonts w:hint="eastAsia" w:ascii="宋体" w:hAnsi="宋体" w:eastAsia="宋体" w:cs="宋体"/>
                <w:color w:val="auto"/>
                <w:szCs w:val="21"/>
                <w:highlight w:val="none"/>
                <w:lang w:bidi="ar"/>
              </w:rPr>
              <w:t>3.2</w:t>
            </w:r>
            <w:r>
              <w:rPr>
                <w:rFonts w:hint="eastAsia" w:ascii="宋体" w:hAnsi="宋体" w:eastAsia="宋体" w:cs="宋体"/>
                <w:color w:val="auto"/>
                <w:szCs w:val="21"/>
                <w:highlight w:val="none"/>
                <w:lang w:val="zh-CN" w:bidi="ar"/>
              </w:rPr>
              <w:t>本项目不接受被政府列入取消投标资格期限内的企业或个人参加投标。参加政府采购活动前3年内在经营活动中没有重大违法记录。</w:t>
            </w:r>
          </w:p>
          <w:p w14:paraId="445550B6">
            <w:pPr>
              <w:autoSpaceDN w:val="0"/>
              <w:rPr>
                <w:rFonts w:hint="eastAsia" w:ascii="宋体" w:hAnsi="宋体" w:eastAsia="宋体" w:cs="宋体"/>
                <w:color w:val="auto"/>
                <w:highlight w:val="none"/>
              </w:rPr>
            </w:pPr>
            <w:r>
              <w:rPr>
                <w:rFonts w:hint="eastAsia" w:ascii="宋体" w:hAnsi="宋体" w:eastAsia="宋体" w:cs="宋体"/>
                <w:color w:val="auto"/>
                <w:szCs w:val="21"/>
                <w:highlight w:val="none"/>
                <w:lang w:bidi="ar"/>
              </w:rPr>
              <w:t>3.3投标人不得为“信用中国”网站（www.creditchin.gov.cn）中列入失信被执行人和重大税收违法案件当事人名单的供应商，不得为中国政府采购网（www.ccgp.gov.cn）政府采购严重违法失信行为记录名单中被财政部门禁止参加政府采购活动的供应商（在处罚决定规定的时间和地域范围内）（详见财库【2016】125号文）。</w:t>
            </w:r>
          </w:p>
          <w:p w14:paraId="18063BB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3.4与招标人存在利害关系可能影响招标公正性的法人、其他组织或者个人，不得参加投标。单位负责人为同一人或者存在控股、管理关系的不同单位，不得参加同一标段投标或者未划分标段的同一招标项目投标。违反上述规定的，相关投标均无效。</w:t>
            </w:r>
          </w:p>
          <w:p w14:paraId="422DE75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3.5为采购项目提供整体设计、规范编制或者项目管理、监理、检测等服务的单位，不得再参加该采购项目的其他采购活动。</w:t>
            </w:r>
          </w:p>
          <w:p w14:paraId="76120611">
            <w:pP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rPr>
              <w:t>3.6</w:t>
            </w:r>
            <w:r>
              <w:rPr>
                <w:rFonts w:hint="eastAsia" w:ascii="宋体" w:hAnsi="宋体" w:eastAsia="宋体" w:cs="宋体"/>
                <w:color w:val="auto"/>
                <w:szCs w:val="21"/>
                <w:highlight w:val="none"/>
                <w:lang w:val="zh-CN"/>
              </w:rPr>
              <w:t>具备法律、行政法规规定的其它条件的证明材料。</w:t>
            </w:r>
          </w:p>
        </w:tc>
      </w:tr>
      <w:tr w14:paraId="7EA81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6" w:hRule="atLeast"/>
          <w:jc w:val="center"/>
        </w:trPr>
        <w:tc>
          <w:tcPr>
            <w:tcW w:w="981" w:type="dxa"/>
            <w:shd w:val="clear" w:color="auto" w:fill="auto"/>
            <w:noWrap/>
            <w:vAlign w:val="center"/>
          </w:tcPr>
          <w:p w14:paraId="3C711DBA">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11</w:t>
            </w:r>
          </w:p>
        </w:tc>
        <w:tc>
          <w:tcPr>
            <w:tcW w:w="2211" w:type="dxa"/>
            <w:shd w:val="clear" w:color="auto" w:fill="auto"/>
            <w:noWrap/>
            <w:vAlign w:val="center"/>
          </w:tcPr>
          <w:p w14:paraId="5A8E2F00">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是否接受联合体投标</w:t>
            </w:r>
          </w:p>
        </w:tc>
        <w:tc>
          <w:tcPr>
            <w:tcW w:w="5886" w:type="dxa"/>
            <w:shd w:val="clear" w:color="auto" w:fill="auto"/>
            <w:noWrap/>
            <w:vAlign w:val="center"/>
          </w:tcPr>
          <w:p w14:paraId="1BAE0950">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否</w:t>
            </w:r>
          </w:p>
        </w:tc>
      </w:tr>
      <w:tr w14:paraId="2E81D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1" w:type="dxa"/>
            <w:shd w:val="clear" w:color="auto" w:fill="auto"/>
            <w:noWrap/>
            <w:vAlign w:val="center"/>
          </w:tcPr>
          <w:p w14:paraId="112C6B23">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12</w:t>
            </w:r>
          </w:p>
        </w:tc>
        <w:tc>
          <w:tcPr>
            <w:tcW w:w="2211" w:type="dxa"/>
            <w:shd w:val="clear" w:color="auto" w:fill="auto"/>
            <w:noWrap/>
            <w:vAlign w:val="center"/>
          </w:tcPr>
          <w:p w14:paraId="7016E0EC">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踏勘现场</w:t>
            </w:r>
          </w:p>
        </w:tc>
        <w:tc>
          <w:tcPr>
            <w:tcW w:w="5886" w:type="dxa"/>
            <w:shd w:val="clear" w:color="auto" w:fill="auto"/>
            <w:noWrap/>
            <w:vAlign w:val="center"/>
          </w:tcPr>
          <w:p w14:paraId="38BFBB51">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不组织</w:t>
            </w:r>
          </w:p>
        </w:tc>
      </w:tr>
      <w:tr w14:paraId="597FE6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 w:hRule="atLeast"/>
          <w:jc w:val="center"/>
        </w:trPr>
        <w:tc>
          <w:tcPr>
            <w:tcW w:w="981" w:type="dxa"/>
            <w:shd w:val="clear" w:color="auto" w:fill="auto"/>
            <w:noWrap/>
            <w:vAlign w:val="center"/>
          </w:tcPr>
          <w:p w14:paraId="460A6423">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w:t>
            </w:r>
          </w:p>
        </w:tc>
        <w:tc>
          <w:tcPr>
            <w:tcW w:w="2211" w:type="dxa"/>
            <w:shd w:val="clear" w:color="auto" w:fill="auto"/>
            <w:noWrap/>
            <w:vAlign w:val="center"/>
          </w:tcPr>
          <w:p w14:paraId="17B07A32">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答疑会时间及地点</w:t>
            </w:r>
          </w:p>
        </w:tc>
        <w:tc>
          <w:tcPr>
            <w:tcW w:w="5886" w:type="dxa"/>
            <w:shd w:val="clear" w:color="auto" w:fill="auto"/>
            <w:noWrap/>
            <w:vAlign w:val="center"/>
          </w:tcPr>
          <w:p w14:paraId="684C7DB8">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不召开</w:t>
            </w:r>
          </w:p>
        </w:tc>
      </w:tr>
      <w:tr w14:paraId="62C79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1" w:type="dxa"/>
            <w:shd w:val="clear" w:color="auto" w:fill="auto"/>
            <w:noWrap/>
            <w:vAlign w:val="center"/>
          </w:tcPr>
          <w:p w14:paraId="1AB94F4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14</w:t>
            </w:r>
          </w:p>
        </w:tc>
        <w:tc>
          <w:tcPr>
            <w:tcW w:w="2211" w:type="dxa"/>
            <w:shd w:val="clear" w:color="auto" w:fill="auto"/>
            <w:noWrap/>
            <w:vAlign w:val="center"/>
          </w:tcPr>
          <w:p w14:paraId="52232DC9">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分包、转包</w:t>
            </w:r>
          </w:p>
        </w:tc>
        <w:tc>
          <w:tcPr>
            <w:tcW w:w="5886" w:type="dxa"/>
            <w:shd w:val="clear" w:color="auto" w:fill="auto"/>
            <w:noWrap/>
            <w:vAlign w:val="center"/>
          </w:tcPr>
          <w:p w14:paraId="2AA04D70">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不允许</w:t>
            </w:r>
          </w:p>
        </w:tc>
      </w:tr>
      <w:tr w14:paraId="11817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981" w:type="dxa"/>
            <w:shd w:val="clear" w:color="auto" w:fill="auto"/>
            <w:noWrap/>
            <w:vAlign w:val="center"/>
          </w:tcPr>
          <w:p w14:paraId="1F0DD710">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w:t>
            </w:r>
          </w:p>
        </w:tc>
        <w:tc>
          <w:tcPr>
            <w:tcW w:w="2211" w:type="dxa"/>
            <w:shd w:val="clear" w:color="auto" w:fill="auto"/>
            <w:noWrap/>
            <w:vAlign w:val="center"/>
          </w:tcPr>
          <w:p w14:paraId="710038EE">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highlight w:val="none"/>
              </w:rPr>
              <w:t>*</w:t>
            </w:r>
            <w:r>
              <w:rPr>
                <w:rFonts w:hint="eastAsia" w:ascii="宋体" w:hAnsi="宋体" w:eastAsia="宋体" w:cs="宋体"/>
                <w:color w:val="auto"/>
                <w:szCs w:val="21"/>
                <w:highlight w:val="none"/>
                <w:lang w:bidi="ar"/>
              </w:rPr>
              <w:t>偏离</w:t>
            </w:r>
          </w:p>
        </w:tc>
        <w:tc>
          <w:tcPr>
            <w:tcW w:w="5886" w:type="dxa"/>
            <w:shd w:val="clear" w:color="auto" w:fill="auto"/>
            <w:noWrap/>
            <w:vAlign w:val="center"/>
          </w:tcPr>
          <w:p w14:paraId="3095048A">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w:t>
            </w:r>
            <w:r>
              <w:rPr>
                <w:rFonts w:hint="eastAsia" w:ascii="宋体" w:hAnsi="宋体" w:eastAsia="宋体" w:cs="宋体"/>
                <w:color w:val="auto"/>
                <w:highlight w:val="none"/>
              </w:rPr>
              <w:t>“*”</w:t>
            </w:r>
            <w:r>
              <w:rPr>
                <w:rFonts w:hint="eastAsia" w:ascii="宋体" w:hAnsi="宋体" w:eastAsia="宋体" w:cs="宋体"/>
                <w:color w:val="auto"/>
                <w:szCs w:val="21"/>
                <w:highlight w:val="none"/>
                <w:lang w:bidi="ar"/>
              </w:rPr>
              <w:t>条款允许正偏离，不允许负偏离，</w:t>
            </w:r>
            <w:r>
              <w:rPr>
                <w:rFonts w:hint="eastAsia" w:ascii="宋体" w:hAnsi="宋体" w:eastAsia="宋体" w:cs="宋体"/>
                <w:color w:val="auto"/>
                <w:highlight w:val="none"/>
              </w:rPr>
              <w:t>若负偏离，按投标文件无效处理。</w:t>
            </w:r>
          </w:p>
          <w:p w14:paraId="5FDBE232">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□不接受任何偏离</w:t>
            </w:r>
          </w:p>
        </w:tc>
      </w:tr>
      <w:tr w14:paraId="35869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981" w:type="dxa"/>
            <w:shd w:val="clear" w:color="auto" w:fill="auto"/>
            <w:noWrap/>
            <w:vAlign w:val="center"/>
          </w:tcPr>
          <w:p w14:paraId="2FBCEDFE">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w:t>
            </w:r>
          </w:p>
        </w:tc>
        <w:tc>
          <w:tcPr>
            <w:tcW w:w="2211" w:type="dxa"/>
            <w:shd w:val="clear" w:color="auto" w:fill="auto"/>
            <w:noWrap/>
            <w:vAlign w:val="center"/>
          </w:tcPr>
          <w:p w14:paraId="7E02E9B5">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构成投标文件</w:t>
            </w:r>
          </w:p>
          <w:p w14:paraId="50CCCD0C">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的其他材料</w:t>
            </w:r>
          </w:p>
        </w:tc>
        <w:tc>
          <w:tcPr>
            <w:tcW w:w="5886" w:type="dxa"/>
            <w:shd w:val="clear" w:color="auto" w:fill="auto"/>
            <w:noWrap/>
            <w:vAlign w:val="center"/>
          </w:tcPr>
          <w:p w14:paraId="5BE32EC8">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rPr>
              <w:t>/</w:t>
            </w:r>
          </w:p>
        </w:tc>
      </w:tr>
      <w:tr w14:paraId="3B6EF9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0873BC2E">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17</w:t>
            </w:r>
          </w:p>
        </w:tc>
        <w:tc>
          <w:tcPr>
            <w:tcW w:w="2211" w:type="dxa"/>
            <w:shd w:val="clear" w:color="auto" w:fill="auto"/>
            <w:noWrap/>
            <w:vAlign w:val="center"/>
          </w:tcPr>
          <w:p w14:paraId="5B06D9C5">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签字或盖章要求</w:t>
            </w:r>
          </w:p>
        </w:tc>
        <w:tc>
          <w:tcPr>
            <w:tcW w:w="5886" w:type="dxa"/>
            <w:shd w:val="clear" w:color="auto" w:fill="auto"/>
            <w:noWrap/>
            <w:vAlign w:val="center"/>
          </w:tcPr>
          <w:p w14:paraId="30DD4916">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（1）所有要求签字的地方都应用不褪色的墨水或签字笔由本人亲笔手写签字（包括姓和名），不得用盖章（如签名章、签字章等）代替，也不得由他人代签。 </w:t>
            </w:r>
          </w:p>
          <w:p w14:paraId="3449A7C3">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（2）所有要求盖章的地方都应按照招标文件的规定加盖与投标人名称全称相一致的标准公章，不得使用彩喷或者彩印的印章、可使用专用章（如合同专用章、投标专用章等）代替。 </w:t>
            </w:r>
          </w:p>
          <w:p w14:paraId="08B5A45B">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投标文件格式中要求投标人“法定代表人或其委托代理人”签字的，如法定代表人亲自投标而不委托代理人投标，由法定代表人签字；如法定代表人授权委托代理人投标，由委托代理人签字，也可由法定代表人签字。</w:t>
            </w:r>
          </w:p>
        </w:tc>
      </w:tr>
      <w:tr w14:paraId="68280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981" w:type="dxa"/>
            <w:shd w:val="clear" w:color="auto" w:fill="auto"/>
            <w:noWrap/>
            <w:vAlign w:val="center"/>
          </w:tcPr>
          <w:p w14:paraId="2B6A2173">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18</w:t>
            </w:r>
          </w:p>
        </w:tc>
        <w:tc>
          <w:tcPr>
            <w:tcW w:w="2211" w:type="dxa"/>
            <w:shd w:val="clear" w:color="auto" w:fill="auto"/>
            <w:noWrap/>
            <w:vAlign w:val="center"/>
          </w:tcPr>
          <w:p w14:paraId="2191FB77">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投标有效期</w:t>
            </w:r>
          </w:p>
        </w:tc>
        <w:tc>
          <w:tcPr>
            <w:tcW w:w="5886" w:type="dxa"/>
            <w:shd w:val="clear" w:color="auto" w:fill="auto"/>
            <w:noWrap/>
            <w:vAlign w:val="center"/>
          </w:tcPr>
          <w:p w14:paraId="7868D107">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90日历天（从投标截止之日算起）</w:t>
            </w:r>
          </w:p>
        </w:tc>
      </w:tr>
      <w:tr w14:paraId="566A5B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61B03A0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19</w:t>
            </w:r>
          </w:p>
        </w:tc>
        <w:tc>
          <w:tcPr>
            <w:tcW w:w="2211" w:type="dxa"/>
            <w:shd w:val="clear" w:color="auto" w:fill="auto"/>
            <w:noWrap/>
            <w:vAlign w:val="center"/>
          </w:tcPr>
          <w:p w14:paraId="40AF1EAC">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投标保证金</w:t>
            </w:r>
          </w:p>
        </w:tc>
        <w:tc>
          <w:tcPr>
            <w:tcW w:w="5886" w:type="dxa"/>
            <w:shd w:val="clear" w:color="auto" w:fill="auto"/>
            <w:noWrap/>
          </w:tcPr>
          <w:p w14:paraId="319349DC">
            <w:pP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投标保证金的金额：</w:t>
            </w:r>
            <w:r>
              <w:rPr>
                <w:rFonts w:hint="eastAsia" w:ascii="宋体" w:hAnsi="宋体" w:eastAsia="宋体" w:cs="宋体"/>
                <w:b/>
                <w:bCs/>
                <w:color w:val="auto"/>
                <w:szCs w:val="21"/>
                <w:highlight w:val="none"/>
                <w:lang w:val="en-US" w:eastAsia="zh-CN"/>
              </w:rPr>
              <w:t>14500.00元</w:t>
            </w:r>
          </w:p>
          <w:p w14:paraId="19387731">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保证金形式：投标人应在投标截止时间前将投标保证金采用电汇、转账、支票、汇票、本票或者金融机构、担保机构出具的保函等非现金形式交纳，投标保证金应当从投标人的基本账户转出。采购人不接受以现金方式提交的投标保证金，以现金方式提交的投标保证金无效。</w:t>
            </w:r>
          </w:p>
          <w:p w14:paraId="264149F3">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投标保证金账户：</w:t>
            </w:r>
          </w:p>
          <w:p w14:paraId="31BEBD21">
            <w:pP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单位名称：吉林省九合</w:t>
            </w:r>
            <w:bookmarkStart w:id="73" w:name="_GoBack"/>
            <w:bookmarkEnd w:id="73"/>
            <w:r>
              <w:rPr>
                <w:rFonts w:hint="eastAsia" w:ascii="宋体" w:hAnsi="宋体" w:eastAsia="宋体" w:cs="宋体"/>
                <w:b/>
                <w:bCs/>
                <w:color w:val="auto"/>
                <w:szCs w:val="21"/>
                <w:highlight w:val="none"/>
                <w:lang w:val="zh-CN"/>
              </w:rPr>
              <w:t xml:space="preserve">工程咨询有限公司 </w:t>
            </w:r>
          </w:p>
          <w:p w14:paraId="7D6A6A42">
            <w:pP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开户行名称：吉林银行长春西安大路支行</w:t>
            </w:r>
          </w:p>
          <w:p w14:paraId="767B6CEB">
            <w:pP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账号：8935 0561 0400 0001</w:t>
            </w:r>
          </w:p>
          <w:p w14:paraId="780E78D1">
            <w:pP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开户银行代码：313 241 010 535</w:t>
            </w:r>
          </w:p>
          <w:p w14:paraId="5E3DD718">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保证金的缴纳以到账时间为准。</w:t>
            </w:r>
          </w:p>
          <w:p w14:paraId="0571A696">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投标保证金其他要求：</w:t>
            </w:r>
          </w:p>
          <w:p w14:paraId="74108D6C">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1.投标人以保函方式提交投标保证金的，须将保函原件在提交投标文件同时递交给招标代理机构，并将复印件装入投标文件中。</w:t>
            </w:r>
          </w:p>
          <w:p w14:paraId="3A0E6CA2">
            <w:pPr>
              <w:widowControl/>
              <w:autoSpaceDN w:val="0"/>
              <w:rPr>
                <w:rFonts w:hint="eastAsia" w:ascii="宋体" w:hAnsi="宋体" w:eastAsia="宋体" w:cs="宋体"/>
                <w:color w:val="auto"/>
                <w:szCs w:val="21"/>
                <w:highlight w:val="none"/>
                <w:lang w:bidi="ar"/>
              </w:rPr>
            </w:pPr>
            <w:r>
              <w:rPr>
                <w:rFonts w:hint="eastAsia" w:ascii="宋体" w:hAnsi="宋体" w:eastAsia="宋体" w:cs="宋体"/>
                <w:b/>
                <w:bCs/>
                <w:color w:val="auto"/>
                <w:szCs w:val="21"/>
                <w:highlight w:val="none"/>
              </w:rPr>
              <w:t>注：投标人应在电汇或转账凭证上明确用途、项目名称，备注信息过长可适当简写，并于提交投标文件截止时间前将电汇或转账凭证（或保函、银行汇票等保证金递交凭证）、基本账户信息（完整清晰）以电子档扫描发送到采购代理机构邮箱“jljhccgs@163.com”邮箱中，如不及时发送，后果投标人自行负责。</w:t>
            </w:r>
          </w:p>
        </w:tc>
      </w:tr>
      <w:tr w14:paraId="29DE56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81" w:type="dxa"/>
            <w:shd w:val="clear" w:color="auto" w:fill="auto"/>
            <w:noWrap/>
            <w:vAlign w:val="center"/>
          </w:tcPr>
          <w:p w14:paraId="4939468F">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20</w:t>
            </w:r>
          </w:p>
        </w:tc>
        <w:tc>
          <w:tcPr>
            <w:tcW w:w="2211" w:type="dxa"/>
            <w:shd w:val="clear" w:color="auto" w:fill="auto"/>
            <w:noWrap/>
            <w:vAlign w:val="center"/>
          </w:tcPr>
          <w:p w14:paraId="3554BB09">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投标文件份数</w:t>
            </w:r>
          </w:p>
        </w:tc>
        <w:tc>
          <w:tcPr>
            <w:tcW w:w="5886" w:type="dxa"/>
            <w:shd w:val="clear" w:color="auto" w:fill="auto"/>
            <w:noWrap/>
            <w:vAlign w:val="center"/>
          </w:tcPr>
          <w:p w14:paraId="0E980F01">
            <w:pPr>
              <w:widowControl/>
              <w:autoSpaceDN w:val="0"/>
              <w:rPr>
                <w:rFonts w:hint="eastAsia" w:ascii="宋体" w:hAnsi="宋体" w:eastAsia="宋体" w:cs="宋体"/>
                <w:color w:val="auto"/>
                <w:szCs w:val="21"/>
                <w:highlight w:val="none"/>
                <w:lang w:bidi="ar"/>
              </w:rPr>
            </w:pPr>
            <w:r>
              <w:rPr>
                <w:rFonts w:hint="eastAsia" w:ascii="宋体" w:hAnsi="宋体" w:eastAsia="宋体" w:cs="宋体"/>
                <w:b/>
                <w:bCs/>
                <w:color w:val="auto"/>
                <w:szCs w:val="21"/>
                <w:highlight w:val="none"/>
                <w:lang w:bidi="ar"/>
              </w:rPr>
              <w:t>投标截止时间后16时前将</w:t>
            </w:r>
            <w:r>
              <w:rPr>
                <w:rFonts w:hint="eastAsia" w:ascii="宋体" w:hAnsi="宋体" w:eastAsia="宋体" w:cs="宋体"/>
                <w:color w:val="auto"/>
                <w:szCs w:val="21"/>
                <w:highlight w:val="none"/>
                <w:lang w:bidi="ar"/>
              </w:rPr>
              <w:t>纸质版投标文件送达代理机构地址:</w:t>
            </w:r>
            <w:r>
              <w:rPr>
                <w:rFonts w:hint="eastAsia" w:ascii="宋体" w:hAnsi="宋体" w:eastAsia="宋体" w:cs="宋体"/>
                <w:b/>
                <w:bCs/>
                <w:color w:val="auto"/>
                <w:szCs w:val="21"/>
                <w:highlight w:val="none"/>
                <w:lang w:bidi="ar"/>
              </w:rPr>
              <w:t>长春市朝阳区西安大路与康平街交汇吉发广场C座西区2002室。</w:t>
            </w:r>
          </w:p>
          <w:p w14:paraId="7A845ED2">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1、份数要求：</w:t>
            </w:r>
          </w:p>
          <w:p w14:paraId="433686BD">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正本1份，副本4份，同时提供电子文件U盘4份（</w:t>
            </w:r>
            <w:r>
              <w:rPr>
                <w:rFonts w:hint="eastAsia" w:ascii="宋体" w:hAnsi="宋体" w:eastAsia="宋体" w:cs="宋体"/>
                <w:b/>
                <w:color w:val="auto"/>
                <w:kern w:val="15"/>
                <w:szCs w:val="21"/>
                <w:highlight w:val="none"/>
              </w:rPr>
              <w:t>PDF为最终上传到政采云系统的签字盖章版本，WORD为投标文件可编辑版本</w:t>
            </w:r>
            <w:r>
              <w:rPr>
                <w:rFonts w:hint="eastAsia" w:ascii="宋体" w:hAnsi="宋体" w:eastAsia="宋体" w:cs="宋体"/>
                <w:color w:val="auto"/>
                <w:szCs w:val="21"/>
                <w:highlight w:val="none"/>
                <w:lang w:bidi="ar"/>
              </w:rPr>
              <w:t>），提交电子文件中要求的内容应包括纸质投标文件的全部内容。</w:t>
            </w:r>
          </w:p>
          <w:p w14:paraId="1DDBE298">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2、其他要求：</w:t>
            </w:r>
          </w:p>
          <w:p w14:paraId="1790A435">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（1）投标单位在“政采云”平台（http：//www.zcygov.cn）上制作投标文件1份（此投标文件须上传至“政采云”平台）。</w:t>
            </w:r>
          </w:p>
          <w:p w14:paraId="22F84791">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（2）投标单位在制作投标文件时，电子投标文件与纸质版本投标文件均以“政采云”平台的投标文件格式为准，投标单位上传至“政采云”平台的电子投标文件内容，在纸质投标文件中均应体现。</w:t>
            </w:r>
          </w:p>
        </w:tc>
      </w:tr>
      <w:tr w14:paraId="735C21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1" w:type="dxa"/>
            <w:shd w:val="clear" w:color="auto" w:fill="auto"/>
            <w:noWrap/>
            <w:vAlign w:val="center"/>
          </w:tcPr>
          <w:p w14:paraId="51960D0C">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21</w:t>
            </w:r>
          </w:p>
        </w:tc>
        <w:tc>
          <w:tcPr>
            <w:tcW w:w="2211" w:type="dxa"/>
            <w:shd w:val="clear" w:color="auto" w:fill="auto"/>
            <w:noWrap/>
            <w:vAlign w:val="center"/>
          </w:tcPr>
          <w:p w14:paraId="047F7767">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投标文件提交地点及截止时间</w:t>
            </w:r>
          </w:p>
        </w:tc>
        <w:tc>
          <w:tcPr>
            <w:tcW w:w="5886" w:type="dxa"/>
            <w:shd w:val="clear" w:color="auto" w:fill="auto"/>
            <w:noWrap/>
            <w:vAlign w:val="center"/>
          </w:tcPr>
          <w:p w14:paraId="29146F6E">
            <w:pPr>
              <w:widowControl/>
              <w:autoSpaceDN w:val="0"/>
              <w:rPr>
                <w:rFonts w:hint="eastAsia" w:ascii="宋体" w:hAnsi="宋体" w:eastAsia="宋体" w:cs="宋体"/>
                <w:color w:val="auto"/>
                <w:szCs w:val="21"/>
                <w:highlight w:val="none"/>
                <w:lang w:eastAsia="zh-CN" w:bidi="ar"/>
              </w:rPr>
            </w:pPr>
            <w:r>
              <w:rPr>
                <w:rFonts w:hint="eastAsia" w:ascii="宋体" w:hAnsi="宋体" w:eastAsia="宋体" w:cs="宋体"/>
                <w:color w:val="auto"/>
                <w:szCs w:val="21"/>
                <w:highlight w:val="none"/>
                <w:lang w:bidi="ar"/>
              </w:rPr>
              <w:t>时间：</w:t>
            </w:r>
            <w:r>
              <w:rPr>
                <w:rFonts w:hint="eastAsia" w:ascii="宋体" w:hAnsi="宋体" w:eastAsia="宋体" w:cs="宋体"/>
                <w:color w:val="auto"/>
                <w:szCs w:val="21"/>
                <w:highlight w:val="none"/>
                <w:lang w:eastAsia="zh-CN" w:bidi="ar"/>
              </w:rPr>
              <w:t>2025年03月27日09时00分</w:t>
            </w:r>
          </w:p>
          <w:p w14:paraId="10038D9B">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地点：长春市二道区洋浦大街6999号凯利中心AB栋101开标四室。</w:t>
            </w:r>
          </w:p>
        </w:tc>
      </w:tr>
      <w:tr w14:paraId="24DEA4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306E4885">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22</w:t>
            </w:r>
          </w:p>
        </w:tc>
        <w:tc>
          <w:tcPr>
            <w:tcW w:w="2211" w:type="dxa"/>
            <w:shd w:val="clear" w:color="auto" w:fill="auto"/>
            <w:noWrap/>
            <w:vAlign w:val="center"/>
          </w:tcPr>
          <w:p w14:paraId="11E0F627">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开标</w:t>
            </w:r>
          </w:p>
        </w:tc>
        <w:tc>
          <w:tcPr>
            <w:tcW w:w="5886" w:type="dxa"/>
            <w:shd w:val="clear" w:color="auto" w:fill="auto"/>
            <w:noWrap/>
            <w:vAlign w:val="center"/>
          </w:tcPr>
          <w:p w14:paraId="7E4FF5DB">
            <w:pPr>
              <w:widowControl/>
              <w:autoSpaceDN w:val="0"/>
              <w:rPr>
                <w:rFonts w:hint="eastAsia" w:ascii="宋体" w:hAnsi="宋体" w:eastAsia="宋体" w:cs="宋体"/>
                <w:color w:val="auto"/>
                <w:szCs w:val="21"/>
                <w:highlight w:val="none"/>
                <w:lang w:eastAsia="zh-CN" w:bidi="ar"/>
              </w:rPr>
            </w:pPr>
            <w:r>
              <w:rPr>
                <w:rFonts w:hint="eastAsia" w:ascii="宋体" w:hAnsi="宋体" w:eastAsia="宋体" w:cs="宋体"/>
                <w:color w:val="auto"/>
                <w:szCs w:val="21"/>
                <w:highlight w:val="none"/>
                <w:lang w:bidi="ar"/>
              </w:rPr>
              <w:t>时间：</w:t>
            </w:r>
            <w:r>
              <w:rPr>
                <w:rFonts w:hint="eastAsia" w:ascii="宋体" w:hAnsi="宋体" w:eastAsia="宋体" w:cs="宋体"/>
                <w:color w:val="auto"/>
                <w:szCs w:val="21"/>
                <w:highlight w:val="none"/>
                <w:lang w:eastAsia="zh-CN" w:bidi="ar"/>
              </w:rPr>
              <w:t>2025年03月27日09时00分</w:t>
            </w:r>
          </w:p>
          <w:p w14:paraId="5C97BB88">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地点：长春市二道区洋浦大街6999号凯利中心AB栋101开标四室。</w:t>
            </w:r>
          </w:p>
          <w:p w14:paraId="44023CAD">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投标人无须到达开标现场，提前下载好腾讯会议，至少开标前10分钟进入</w:t>
            </w:r>
            <w:r>
              <w:rPr>
                <w:rFonts w:hint="eastAsia" w:ascii="宋体" w:hAnsi="宋体" w:eastAsia="宋体" w:cs="宋体"/>
                <w:b/>
                <w:bCs/>
                <w:color w:val="auto"/>
                <w:szCs w:val="21"/>
                <w:highlight w:val="none"/>
                <w:lang w:bidi="ar"/>
              </w:rPr>
              <w:t>会议号</w:t>
            </w:r>
            <w:r>
              <w:rPr>
                <w:rFonts w:hint="eastAsia" w:ascii="宋体" w:hAnsi="宋体" w:eastAsia="宋体" w:cs="宋体"/>
                <w:b/>
                <w:bCs/>
                <w:color w:val="auto"/>
                <w:szCs w:val="21"/>
                <w:highlight w:val="none"/>
                <w:lang w:bidi="ar"/>
              </w:rPr>
              <w:t>“774 473 276”，</w:t>
            </w:r>
            <w:r>
              <w:rPr>
                <w:rFonts w:hint="eastAsia" w:ascii="宋体" w:hAnsi="宋体" w:eastAsia="宋体" w:cs="宋体"/>
                <w:color w:val="auto"/>
                <w:szCs w:val="21"/>
                <w:highlight w:val="none"/>
                <w:lang w:bidi="ar"/>
              </w:rPr>
              <w:t>并保持电话畅通。</w:t>
            </w:r>
          </w:p>
        </w:tc>
      </w:tr>
      <w:tr w14:paraId="3279A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981" w:type="dxa"/>
            <w:shd w:val="clear" w:color="auto" w:fill="auto"/>
            <w:noWrap/>
            <w:vAlign w:val="center"/>
          </w:tcPr>
          <w:p w14:paraId="0C62FC72">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23</w:t>
            </w:r>
          </w:p>
        </w:tc>
        <w:tc>
          <w:tcPr>
            <w:tcW w:w="2211" w:type="dxa"/>
            <w:shd w:val="clear" w:color="auto" w:fill="auto"/>
            <w:noWrap/>
            <w:vAlign w:val="center"/>
          </w:tcPr>
          <w:p w14:paraId="4C7B58B6">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评标方法及标准</w:t>
            </w:r>
          </w:p>
        </w:tc>
        <w:tc>
          <w:tcPr>
            <w:tcW w:w="5886" w:type="dxa"/>
            <w:shd w:val="clear" w:color="auto" w:fill="auto"/>
            <w:noWrap/>
            <w:vAlign w:val="center"/>
          </w:tcPr>
          <w:p w14:paraId="330719E8">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综合评分法</w:t>
            </w:r>
          </w:p>
        </w:tc>
      </w:tr>
      <w:tr w14:paraId="28739A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981" w:type="dxa"/>
            <w:shd w:val="clear" w:color="auto" w:fill="auto"/>
            <w:noWrap/>
            <w:vAlign w:val="center"/>
          </w:tcPr>
          <w:p w14:paraId="7F07FE64">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24</w:t>
            </w:r>
          </w:p>
        </w:tc>
        <w:tc>
          <w:tcPr>
            <w:tcW w:w="2211" w:type="dxa"/>
            <w:shd w:val="clear" w:color="auto" w:fill="auto"/>
            <w:noWrap/>
            <w:vAlign w:val="center"/>
          </w:tcPr>
          <w:p w14:paraId="70B740A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资格审查方式</w:t>
            </w:r>
          </w:p>
        </w:tc>
        <w:tc>
          <w:tcPr>
            <w:tcW w:w="5886" w:type="dxa"/>
            <w:shd w:val="clear" w:color="auto" w:fill="auto"/>
            <w:noWrap/>
            <w:vAlign w:val="center"/>
          </w:tcPr>
          <w:p w14:paraId="41385076">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资格后审</w:t>
            </w:r>
          </w:p>
        </w:tc>
      </w:tr>
      <w:tr w14:paraId="16D88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81" w:type="dxa"/>
            <w:shd w:val="clear" w:color="auto" w:fill="auto"/>
            <w:noWrap/>
            <w:vAlign w:val="center"/>
          </w:tcPr>
          <w:p w14:paraId="75EFA6D6">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25</w:t>
            </w:r>
          </w:p>
        </w:tc>
        <w:tc>
          <w:tcPr>
            <w:tcW w:w="2211" w:type="dxa"/>
            <w:shd w:val="clear" w:color="auto" w:fill="auto"/>
            <w:noWrap/>
            <w:vAlign w:val="center"/>
          </w:tcPr>
          <w:p w14:paraId="05E059CE">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评标委员会的组建</w:t>
            </w:r>
          </w:p>
        </w:tc>
        <w:tc>
          <w:tcPr>
            <w:tcW w:w="5886" w:type="dxa"/>
            <w:shd w:val="clear" w:color="auto" w:fill="auto"/>
            <w:noWrap/>
            <w:vAlign w:val="center"/>
          </w:tcPr>
          <w:p w14:paraId="0AE1E345">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评标委员会构成：5人，评标委员会专家确定方式：从政府采购评审专家库中随机抽取产生。</w:t>
            </w:r>
          </w:p>
        </w:tc>
      </w:tr>
      <w:tr w14:paraId="192BBD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81" w:type="dxa"/>
            <w:shd w:val="clear" w:color="auto" w:fill="auto"/>
            <w:noWrap/>
            <w:vAlign w:val="center"/>
          </w:tcPr>
          <w:p w14:paraId="0ACEE49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26</w:t>
            </w:r>
          </w:p>
        </w:tc>
        <w:tc>
          <w:tcPr>
            <w:tcW w:w="2211" w:type="dxa"/>
            <w:shd w:val="clear" w:color="auto" w:fill="auto"/>
            <w:noWrap/>
            <w:vAlign w:val="center"/>
          </w:tcPr>
          <w:p w14:paraId="3E245537">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是否授权评标委员会确定中标人</w:t>
            </w:r>
          </w:p>
        </w:tc>
        <w:tc>
          <w:tcPr>
            <w:tcW w:w="5886" w:type="dxa"/>
            <w:shd w:val="clear" w:color="auto" w:fill="auto"/>
            <w:noWrap/>
            <w:vAlign w:val="center"/>
          </w:tcPr>
          <w:p w14:paraId="12E5E916">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招标人委托评标委员会直接确定中标人</w:t>
            </w:r>
          </w:p>
        </w:tc>
      </w:tr>
      <w:tr w14:paraId="048754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981" w:type="dxa"/>
            <w:shd w:val="clear" w:color="auto" w:fill="auto"/>
            <w:noWrap/>
            <w:vAlign w:val="center"/>
          </w:tcPr>
          <w:p w14:paraId="3E0316B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27</w:t>
            </w:r>
          </w:p>
        </w:tc>
        <w:tc>
          <w:tcPr>
            <w:tcW w:w="2211" w:type="dxa"/>
            <w:shd w:val="clear" w:color="auto" w:fill="auto"/>
            <w:noWrap/>
            <w:vAlign w:val="center"/>
          </w:tcPr>
          <w:p w14:paraId="178B5D20">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履约保证金</w:t>
            </w:r>
          </w:p>
        </w:tc>
        <w:tc>
          <w:tcPr>
            <w:tcW w:w="5886" w:type="dxa"/>
            <w:shd w:val="clear" w:color="auto" w:fill="auto"/>
            <w:noWrap/>
            <w:vAlign w:val="center"/>
          </w:tcPr>
          <w:p w14:paraId="588044A7">
            <w:pPr>
              <w:widowControl/>
              <w:autoSpaceDN w:val="0"/>
              <w:jc w:val="left"/>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有，具体以甲乙双方实际签订合同约定为准；</w:t>
            </w:r>
          </w:p>
          <w:p w14:paraId="4BD6A511">
            <w:pPr>
              <w:widowControl/>
              <w:autoSpaceDN w:val="0"/>
              <w:jc w:val="left"/>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缴纳方式：银行转账到采购人账户，具体内容以实际签订合同为准，履约保证金退还的方式、时间、条件和不予退还的情形。</w:t>
            </w:r>
          </w:p>
        </w:tc>
      </w:tr>
      <w:tr w14:paraId="6CE50B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81" w:type="dxa"/>
            <w:shd w:val="clear" w:color="auto" w:fill="auto"/>
            <w:noWrap/>
            <w:vAlign w:val="center"/>
          </w:tcPr>
          <w:p w14:paraId="56BA8AC8">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28</w:t>
            </w:r>
          </w:p>
        </w:tc>
        <w:tc>
          <w:tcPr>
            <w:tcW w:w="2211" w:type="dxa"/>
            <w:shd w:val="clear" w:color="auto" w:fill="auto"/>
            <w:noWrap/>
            <w:vAlign w:val="center"/>
          </w:tcPr>
          <w:p w14:paraId="4D6AEEF3">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质量保证期</w:t>
            </w:r>
          </w:p>
        </w:tc>
        <w:tc>
          <w:tcPr>
            <w:tcW w:w="5886" w:type="dxa"/>
            <w:shd w:val="clear" w:color="auto" w:fill="auto"/>
            <w:noWrap/>
            <w:vAlign w:val="center"/>
          </w:tcPr>
          <w:p w14:paraId="1A5DC762">
            <w:pPr>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质量保证期：1年，并达到采购人验收标准。</w:t>
            </w:r>
          </w:p>
          <w:p w14:paraId="1AB6ABAF">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rPr>
              <w:t>供方应保证所提供的货物是经过合法销售渠道取得的，满足采购人技术需求，详见《招标文件（技术需求）》。</w:t>
            </w:r>
          </w:p>
        </w:tc>
      </w:tr>
      <w:tr w14:paraId="0767DA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9" w:hRule="atLeast"/>
          <w:jc w:val="center"/>
        </w:trPr>
        <w:tc>
          <w:tcPr>
            <w:tcW w:w="981" w:type="dxa"/>
            <w:shd w:val="clear" w:color="auto" w:fill="auto"/>
            <w:noWrap/>
            <w:vAlign w:val="center"/>
          </w:tcPr>
          <w:p w14:paraId="29E6C214">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29</w:t>
            </w:r>
          </w:p>
        </w:tc>
        <w:tc>
          <w:tcPr>
            <w:tcW w:w="2211" w:type="dxa"/>
            <w:shd w:val="clear" w:color="auto" w:fill="auto"/>
            <w:noWrap/>
            <w:vAlign w:val="center"/>
          </w:tcPr>
          <w:p w14:paraId="14B03B95">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支付方式</w:t>
            </w:r>
          </w:p>
        </w:tc>
        <w:tc>
          <w:tcPr>
            <w:tcW w:w="5886" w:type="dxa"/>
            <w:shd w:val="clear" w:color="auto" w:fill="auto"/>
            <w:noWrap/>
            <w:vAlign w:val="center"/>
          </w:tcPr>
          <w:p w14:paraId="47EA6D17">
            <w:pPr>
              <w:widowControl/>
              <w:autoSpaceDN w:val="0"/>
              <w:rPr>
                <w:rFonts w:hint="eastAsia" w:ascii="宋体" w:hAnsi="宋体" w:eastAsia="宋体" w:cs="宋体"/>
                <w:color w:val="auto"/>
                <w:szCs w:val="21"/>
                <w:highlight w:val="none"/>
                <w:lang w:eastAsia="zh-CN" w:bidi="ar"/>
              </w:rPr>
            </w:pPr>
            <w:r>
              <w:rPr>
                <w:rFonts w:hint="eastAsia" w:ascii="宋体" w:hAnsi="宋体" w:eastAsia="宋体" w:cs="宋体"/>
                <w:color w:val="auto"/>
                <w:szCs w:val="21"/>
                <w:highlight w:val="none"/>
              </w:rPr>
              <w:t>产品全部交付验收合格后，14个工作日内通过财政国库支付，达到付款条件起14日</w:t>
            </w:r>
            <w:r>
              <w:rPr>
                <w:rFonts w:hint="eastAsia" w:ascii="宋体" w:hAnsi="宋体" w:eastAsia="宋体" w:cs="宋体"/>
                <w:color w:val="auto"/>
                <w:szCs w:val="21"/>
                <w:highlight w:val="none"/>
                <w:lang w:eastAsia="zh-CN"/>
              </w:rPr>
              <w:t>，一次性支付。</w:t>
            </w:r>
          </w:p>
        </w:tc>
      </w:tr>
      <w:tr w14:paraId="2E2465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981" w:type="dxa"/>
            <w:shd w:val="clear" w:color="auto" w:fill="auto"/>
            <w:noWrap/>
            <w:vAlign w:val="center"/>
          </w:tcPr>
          <w:p w14:paraId="36329376">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30</w:t>
            </w:r>
          </w:p>
        </w:tc>
        <w:tc>
          <w:tcPr>
            <w:tcW w:w="2211" w:type="dxa"/>
            <w:shd w:val="clear" w:color="auto" w:fill="auto"/>
            <w:noWrap/>
            <w:vAlign w:val="center"/>
          </w:tcPr>
          <w:p w14:paraId="4D4FDAE0">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付款方式</w:t>
            </w:r>
          </w:p>
        </w:tc>
        <w:tc>
          <w:tcPr>
            <w:tcW w:w="5886" w:type="dxa"/>
            <w:shd w:val="clear" w:color="auto" w:fill="auto"/>
            <w:noWrap/>
            <w:vAlign w:val="center"/>
          </w:tcPr>
          <w:p w14:paraId="0B8CA862">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rPr>
              <w:t>产品全部交付验收合格后，14个工作日内通过财政国库支付，达到付款条件起14日，支付合同总金额的100.00%。</w:t>
            </w:r>
          </w:p>
        </w:tc>
      </w:tr>
      <w:tr w14:paraId="47E4D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6" w:hRule="atLeast"/>
          <w:jc w:val="center"/>
        </w:trPr>
        <w:tc>
          <w:tcPr>
            <w:tcW w:w="981" w:type="dxa"/>
            <w:shd w:val="clear" w:color="auto" w:fill="auto"/>
            <w:noWrap/>
            <w:vAlign w:val="center"/>
          </w:tcPr>
          <w:p w14:paraId="455239C4">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31</w:t>
            </w:r>
          </w:p>
        </w:tc>
        <w:tc>
          <w:tcPr>
            <w:tcW w:w="2211" w:type="dxa"/>
            <w:shd w:val="clear" w:color="auto" w:fill="auto"/>
            <w:noWrap/>
            <w:vAlign w:val="center"/>
          </w:tcPr>
          <w:p w14:paraId="7E7EF3E2">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签订合同</w:t>
            </w:r>
          </w:p>
        </w:tc>
        <w:tc>
          <w:tcPr>
            <w:tcW w:w="5886" w:type="dxa"/>
            <w:shd w:val="clear" w:color="auto" w:fill="auto"/>
            <w:noWrap/>
            <w:vAlign w:val="center"/>
          </w:tcPr>
          <w:p w14:paraId="675F2394">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中标人应在中标结果确定后15天内签订采购合同</w:t>
            </w:r>
          </w:p>
        </w:tc>
      </w:tr>
      <w:tr w14:paraId="17AAC3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30F1E9A2">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32</w:t>
            </w:r>
          </w:p>
        </w:tc>
        <w:tc>
          <w:tcPr>
            <w:tcW w:w="2211" w:type="dxa"/>
            <w:shd w:val="clear" w:color="auto" w:fill="auto"/>
            <w:noWrap/>
            <w:vAlign w:val="center"/>
          </w:tcPr>
          <w:p w14:paraId="4B9CB176">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合同存档</w:t>
            </w:r>
          </w:p>
        </w:tc>
        <w:tc>
          <w:tcPr>
            <w:tcW w:w="5886" w:type="dxa"/>
            <w:shd w:val="clear" w:color="auto" w:fill="auto"/>
            <w:noWrap/>
            <w:vAlign w:val="center"/>
          </w:tcPr>
          <w:p w14:paraId="5550CBE4">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中标单位与采购人签订合同后5个工作日内将采购合同复印件送至采购代理机构存档。</w:t>
            </w:r>
          </w:p>
        </w:tc>
      </w:tr>
      <w:tr w14:paraId="5FD47C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0D15C950">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33</w:t>
            </w:r>
          </w:p>
        </w:tc>
        <w:tc>
          <w:tcPr>
            <w:tcW w:w="2211" w:type="dxa"/>
            <w:shd w:val="clear" w:color="auto" w:fill="auto"/>
            <w:noWrap/>
            <w:vAlign w:val="center"/>
          </w:tcPr>
          <w:p w14:paraId="17D8C593">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招标代理服务费</w:t>
            </w:r>
          </w:p>
        </w:tc>
        <w:tc>
          <w:tcPr>
            <w:tcW w:w="5886" w:type="dxa"/>
            <w:shd w:val="clear" w:color="auto" w:fill="auto"/>
            <w:noWrap/>
            <w:vAlign w:val="center"/>
          </w:tcPr>
          <w:p w14:paraId="72206520">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依据国家发展改革委发改价格[2015]299号文件收取，本项目代理费由中标人支付，</w:t>
            </w:r>
            <w:r>
              <w:rPr>
                <w:rFonts w:hint="eastAsia" w:ascii="宋体" w:hAnsi="宋体" w:eastAsia="宋体" w:cs="宋体"/>
                <w:color w:val="auto"/>
                <w:highlight w:val="none"/>
              </w:rPr>
              <w:t>招标代理</w:t>
            </w:r>
            <w:r>
              <w:rPr>
                <w:rFonts w:hint="eastAsia" w:ascii="宋体" w:hAnsi="宋体" w:eastAsia="宋体" w:cs="宋体"/>
                <w:color w:val="auto"/>
                <w:szCs w:val="21"/>
                <w:highlight w:val="none"/>
              </w:rPr>
              <w:t>服务费金额为中标金额的2%。</w:t>
            </w:r>
          </w:p>
        </w:tc>
      </w:tr>
      <w:tr w14:paraId="3004E0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75C5A2C2">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34</w:t>
            </w:r>
          </w:p>
        </w:tc>
        <w:tc>
          <w:tcPr>
            <w:tcW w:w="2211" w:type="dxa"/>
            <w:shd w:val="clear" w:color="auto" w:fill="auto"/>
            <w:noWrap/>
            <w:vAlign w:val="center"/>
          </w:tcPr>
          <w:p w14:paraId="3A01F333">
            <w:pPr>
              <w:widowControl/>
              <w:autoSpaceDN w:val="0"/>
              <w:jc w:val="center"/>
              <w:rPr>
                <w:rFonts w:hint="eastAsia" w:ascii="宋体" w:hAnsi="宋体" w:eastAsia="宋体" w:cs="宋体"/>
                <w:color w:val="auto"/>
                <w:szCs w:val="21"/>
                <w:highlight w:val="none"/>
                <w:lang w:val="zh-CN" w:bidi="ar"/>
              </w:rPr>
            </w:pPr>
            <w:r>
              <w:rPr>
                <w:rFonts w:hint="eastAsia" w:ascii="宋体" w:hAnsi="宋体" w:eastAsia="宋体" w:cs="宋体"/>
                <w:color w:val="auto"/>
                <w:szCs w:val="21"/>
                <w:highlight w:val="none"/>
                <w:lang w:bidi="ar"/>
              </w:rPr>
              <w:t>信用信息查询渠道及截止时点</w:t>
            </w:r>
          </w:p>
        </w:tc>
        <w:tc>
          <w:tcPr>
            <w:tcW w:w="5886" w:type="dxa"/>
            <w:shd w:val="clear" w:color="auto" w:fill="auto"/>
            <w:noWrap/>
            <w:vAlign w:val="center"/>
          </w:tcPr>
          <w:p w14:paraId="77DBB5C7">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查询渠道：“信用中国”网站（www.creditchina.gov.cn）及中国政府采购网【www.ccgp.gov.cn）；</w:t>
            </w:r>
          </w:p>
          <w:p w14:paraId="42D993B8">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截止时点：开标之后评标之前（由采购代理机构查询）</w:t>
            </w:r>
          </w:p>
        </w:tc>
      </w:tr>
      <w:tr w14:paraId="6EE13D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vMerge w:val="restart"/>
            <w:shd w:val="clear" w:color="auto" w:fill="auto"/>
            <w:noWrap/>
            <w:vAlign w:val="center"/>
          </w:tcPr>
          <w:p w14:paraId="46281C01">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35</w:t>
            </w:r>
          </w:p>
        </w:tc>
        <w:tc>
          <w:tcPr>
            <w:tcW w:w="2211" w:type="dxa"/>
            <w:vMerge w:val="restart"/>
            <w:shd w:val="clear" w:color="auto" w:fill="auto"/>
            <w:noWrap/>
            <w:vAlign w:val="center"/>
          </w:tcPr>
          <w:p w14:paraId="0BC71979">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其他要求</w:t>
            </w:r>
          </w:p>
        </w:tc>
        <w:tc>
          <w:tcPr>
            <w:tcW w:w="5886" w:type="dxa"/>
            <w:shd w:val="clear" w:color="auto" w:fill="auto"/>
            <w:noWrap/>
            <w:vAlign w:val="center"/>
          </w:tcPr>
          <w:p w14:paraId="7028F8E4">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投标人必须保证投标时所报资料真实有效，采购人保留对资料的核查权力，一旦发现资料有虚假现象将没收投标人投标保证金，并移交有关部门处理。</w:t>
            </w:r>
          </w:p>
        </w:tc>
      </w:tr>
      <w:tr w14:paraId="728922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 w:hRule="atLeast"/>
          <w:jc w:val="center"/>
        </w:trPr>
        <w:tc>
          <w:tcPr>
            <w:tcW w:w="981" w:type="dxa"/>
            <w:vMerge w:val="continue"/>
            <w:shd w:val="clear" w:color="auto" w:fill="auto"/>
            <w:noWrap/>
            <w:vAlign w:val="center"/>
          </w:tcPr>
          <w:p w14:paraId="51EF6600">
            <w:pPr>
              <w:rPr>
                <w:rFonts w:hint="eastAsia" w:ascii="宋体" w:hAnsi="宋体" w:eastAsia="宋体" w:cs="宋体"/>
                <w:color w:val="auto"/>
                <w:szCs w:val="21"/>
                <w:highlight w:val="none"/>
              </w:rPr>
            </w:pPr>
          </w:p>
        </w:tc>
        <w:tc>
          <w:tcPr>
            <w:tcW w:w="2211" w:type="dxa"/>
            <w:vMerge w:val="continue"/>
            <w:shd w:val="clear" w:color="auto" w:fill="auto"/>
            <w:noWrap/>
            <w:vAlign w:val="center"/>
          </w:tcPr>
          <w:p w14:paraId="6828DED8">
            <w:pPr>
              <w:rPr>
                <w:rFonts w:hint="eastAsia" w:ascii="宋体" w:hAnsi="宋体" w:eastAsia="宋体" w:cs="宋体"/>
                <w:color w:val="auto"/>
                <w:szCs w:val="21"/>
                <w:highlight w:val="none"/>
              </w:rPr>
            </w:pPr>
          </w:p>
        </w:tc>
        <w:tc>
          <w:tcPr>
            <w:tcW w:w="5886" w:type="dxa"/>
            <w:shd w:val="clear" w:color="auto" w:fill="auto"/>
            <w:noWrap/>
            <w:vAlign w:val="center"/>
          </w:tcPr>
          <w:p w14:paraId="02FA044D">
            <w:pPr>
              <w:numPr>
                <w:ilvl w:val="0"/>
                <w:numId w:val="1"/>
              </w:numPr>
              <w:spacing w:line="32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按照财政部、发展改革委、生态环境部、市场监管总局最新发布执行的《关于调整优化节能产品、环境标志产品政府采购执行机制的通知》的规定，《货物清单及技术参数》中凡包含强制采购产品的，投标人必须提供列入《节能产品政府采购品目清单》的产品，投标文件中需提供认证证明，认证机构须在市场监管总局公布的名录内（详见《市场监管总局关于发布参与实施政府采购节能产品、环境标志产品认证机构名录的公告》2019年第16号文件），否则投标无效。</w:t>
            </w:r>
          </w:p>
          <w:p w14:paraId="4C83ACCD">
            <w:pPr>
              <w:widowControl/>
              <w:autoSpaceDN w:val="0"/>
              <w:rPr>
                <w:rFonts w:hint="eastAsia" w:ascii="宋体" w:hAnsi="宋体" w:eastAsia="宋体" w:cs="宋体"/>
                <w:color w:val="auto"/>
                <w:szCs w:val="21"/>
                <w:highlight w:val="none"/>
                <w:lang w:bidi="ar"/>
              </w:rPr>
            </w:pPr>
            <w:r>
              <w:rPr>
                <w:rFonts w:hint="eastAsia" w:ascii="宋体" w:hAnsi="宋体" w:eastAsia="宋体" w:cs="宋体"/>
                <w:bCs/>
                <w:color w:val="auto"/>
                <w:szCs w:val="21"/>
                <w:highlight w:val="none"/>
              </w:rPr>
              <w:t>2、</w:t>
            </w:r>
            <w:r>
              <w:rPr>
                <w:rFonts w:hint="eastAsia" w:ascii="宋体" w:hAnsi="宋体" w:eastAsia="宋体" w:cs="宋体"/>
                <w:bCs/>
                <w:color w:val="auto"/>
                <w:szCs w:val="21"/>
                <w:highlight w:val="none"/>
                <w:lang w:val="zh-CN"/>
              </w:rPr>
              <w:t>《货物清单及技术参数》中包含计算机设备的，投标人必须投标预装正版操作系统软件的计算机产品，否则无效。</w:t>
            </w:r>
          </w:p>
        </w:tc>
      </w:tr>
      <w:tr w14:paraId="010E7E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9" w:hRule="atLeast"/>
          <w:jc w:val="center"/>
        </w:trPr>
        <w:tc>
          <w:tcPr>
            <w:tcW w:w="981" w:type="dxa"/>
            <w:vMerge w:val="continue"/>
            <w:shd w:val="clear" w:color="auto" w:fill="auto"/>
            <w:noWrap/>
            <w:vAlign w:val="center"/>
          </w:tcPr>
          <w:p w14:paraId="11FC38F4">
            <w:pPr>
              <w:rPr>
                <w:rFonts w:hint="eastAsia" w:ascii="宋体" w:hAnsi="宋体" w:eastAsia="宋体" w:cs="宋体"/>
                <w:color w:val="auto"/>
                <w:szCs w:val="21"/>
                <w:highlight w:val="none"/>
              </w:rPr>
            </w:pPr>
          </w:p>
        </w:tc>
        <w:tc>
          <w:tcPr>
            <w:tcW w:w="2211" w:type="dxa"/>
            <w:vMerge w:val="continue"/>
            <w:shd w:val="clear" w:color="auto" w:fill="auto"/>
            <w:noWrap/>
            <w:vAlign w:val="center"/>
          </w:tcPr>
          <w:p w14:paraId="142196B9">
            <w:pPr>
              <w:rPr>
                <w:rFonts w:hint="eastAsia" w:ascii="宋体" w:hAnsi="宋体" w:eastAsia="宋体" w:cs="宋体"/>
                <w:color w:val="auto"/>
                <w:szCs w:val="21"/>
                <w:highlight w:val="none"/>
              </w:rPr>
            </w:pPr>
          </w:p>
        </w:tc>
        <w:tc>
          <w:tcPr>
            <w:tcW w:w="5886" w:type="dxa"/>
            <w:shd w:val="clear" w:color="auto" w:fill="auto"/>
            <w:noWrap/>
            <w:vAlign w:val="center"/>
          </w:tcPr>
          <w:p w14:paraId="67A005E1">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对于小型或微型企业参与本项目投标的：投标人需提供小微企业主管部门出具的《小微企业声明函》原件，在评审中将对小型或微型企业上生产的产品价格给予10%的扣除，用扣除后的价格参与评审。</w:t>
            </w:r>
            <w:r>
              <w:rPr>
                <w:rFonts w:hint="eastAsia" w:ascii="宋体" w:hAnsi="宋体" w:eastAsia="宋体" w:cs="宋体"/>
                <w:color w:val="auto"/>
                <w:szCs w:val="21"/>
                <w:highlight w:val="none"/>
              </w:rPr>
              <w:t>中小企业声明函中项目采购标的对应的企业划分标准所属行业为</w:t>
            </w:r>
            <w:r>
              <w:rPr>
                <w:rFonts w:hint="eastAsia" w:ascii="宋体" w:hAnsi="宋体" w:eastAsia="宋体" w:cs="宋体"/>
                <w:b/>
                <w:bCs/>
                <w:color w:val="auto"/>
                <w:szCs w:val="21"/>
                <w:highlight w:val="none"/>
                <w:u w:val="single"/>
              </w:rPr>
              <w:t>工业。</w:t>
            </w:r>
          </w:p>
        </w:tc>
      </w:tr>
      <w:tr w14:paraId="596CD8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vMerge w:val="continue"/>
            <w:shd w:val="clear" w:color="auto" w:fill="auto"/>
            <w:noWrap/>
            <w:vAlign w:val="center"/>
          </w:tcPr>
          <w:p w14:paraId="24102997">
            <w:pPr>
              <w:rPr>
                <w:rFonts w:hint="eastAsia" w:ascii="宋体" w:hAnsi="宋体" w:eastAsia="宋体" w:cs="宋体"/>
                <w:color w:val="auto"/>
                <w:szCs w:val="21"/>
                <w:highlight w:val="none"/>
              </w:rPr>
            </w:pPr>
          </w:p>
        </w:tc>
        <w:tc>
          <w:tcPr>
            <w:tcW w:w="2211" w:type="dxa"/>
            <w:vMerge w:val="continue"/>
            <w:shd w:val="clear" w:color="auto" w:fill="auto"/>
            <w:noWrap/>
            <w:vAlign w:val="center"/>
          </w:tcPr>
          <w:p w14:paraId="1B1842A0">
            <w:pPr>
              <w:rPr>
                <w:rFonts w:hint="eastAsia" w:ascii="宋体" w:hAnsi="宋体" w:eastAsia="宋体" w:cs="宋体"/>
                <w:color w:val="auto"/>
                <w:szCs w:val="21"/>
                <w:highlight w:val="none"/>
              </w:rPr>
            </w:pPr>
          </w:p>
        </w:tc>
        <w:tc>
          <w:tcPr>
            <w:tcW w:w="5886" w:type="dxa"/>
            <w:shd w:val="clear" w:color="auto" w:fill="auto"/>
            <w:noWrap/>
            <w:vAlign w:val="center"/>
          </w:tcPr>
          <w:p w14:paraId="0CC0BF05">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只接受以书面形式向采购人、采购代理机构提出质疑，不接受以其他形式或提出的质疑。</w:t>
            </w:r>
          </w:p>
        </w:tc>
      </w:tr>
      <w:tr w14:paraId="04D58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3FAF199F">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36</w:t>
            </w:r>
          </w:p>
        </w:tc>
        <w:tc>
          <w:tcPr>
            <w:tcW w:w="2211" w:type="dxa"/>
            <w:shd w:val="clear" w:color="auto" w:fill="auto"/>
            <w:noWrap/>
            <w:vAlign w:val="center"/>
          </w:tcPr>
          <w:p w14:paraId="3B76B8F0">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其他说明</w:t>
            </w:r>
          </w:p>
        </w:tc>
        <w:tc>
          <w:tcPr>
            <w:tcW w:w="5886" w:type="dxa"/>
            <w:shd w:val="clear" w:color="auto" w:fill="auto"/>
            <w:noWrap/>
            <w:vAlign w:val="center"/>
          </w:tcPr>
          <w:p w14:paraId="54A1904D">
            <w:pPr>
              <w:rPr>
                <w:rFonts w:hint="eastAsia" w:ascii="宋体" w:hAnsi="宋体" w:eastAsia="宋体" w:cs="宋体"/>
                <w:color w:val="auto"/>
                <w:szCs w:val="21"/>
                <w:highlight w:val="none"/>
              </w:rPr>
            </w:pPr>
            <w:r>
              <w:rPr>
                <w:rFonts w:hint="eastAsia" w:ascii="宋体" w:hAnsi="宋体" w:eastAsia="宋体" w:cs="宋体"/>
                <w:b/>
                <w:color w:val="auto"/>
                <w:kern w:val="15"/>
                <w:szCs w:val="21"/>
                <w:highlight w:val="none"/>
              </w:rPr>
              <w:t>电子标说明：</w:t>
            </w:r>
            <w:r>
              <w:rPr>
                <w:rFonts w:hint="eastAsia" w:ascii="宋体" w:hAnsi="宋体" w:eastAsia="宋体" w:cs="宋体"/>
                <w:color w:val="auto"/>
                <w:szCs w:val="21"/>
                <w:highlight w:val="none"/>
                <w:lang w:val="zh-CN"/>
              </w:rPr>
              <w:t>上传的电子证件及资料均需按要求签字盖章上传，否则按未签章处理。</w:t>
            </w:r>
            <w:r>
              <w:rPr>
                <w:rFonts w:hint="eastAsia" w:ascii="宋体" w:hAnsi="宋体" w:eastAsia="宋体" w:cs="宋体"/>
                <w:color w:val="auto"/>
                <w:szCs w:val="21"/>
                <w:highlight w:val="none"/>
              </w:rPr>
              <w:t>以上传至政采云平台的投标文件为准，进行评审。</w:t>
            </w:r>
          </w:p>
          <w:p w14:paraId="5529ADE4">
            <w:pP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投标文件电子版方面技术支持：95763。</w:t>
            </w:r>
          </w:p>
          <w:p w14:paraId="3B00EE74">
            <w:pPr>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投标人在政府采购云平台</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网址</w:t>
            </w:r>
            <w:r>
              <w:rPr>
                <w:rFonts w:hint="eastAsia" w:ascii="宋体" w:hAnsi="宋体" w:eastAsia="宋体" w:cs="宋体"/>
                <w:color w:val="auto"/>
                <w:szCs w:val="21"/>
                <w:highlight w:val="none"/>
              </w:rPr>
              <w:t>：http:// www.zcygov.cn）</w:t>
            </w:r>
            <w:r>
              <w:rPr>
                <w:rFonts w:hint="eastAsia" w:ascii="宋体" w:hAnsi="宋体" w:eastAsia="宋体" w:cs="宋体"/>
                <w:color w:val="auto"/>
                <w:szCs w:val="21"/>
                <w:highlight w:val="none"/>
                <w:lang w:val="zh-CN"/>
              </w:rPr>
              <w:t>通过数字证书制作投标文件</w:t>
            </w: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val="zh-CN"/>
              </w:rPr>
              <w:t>份</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此投标文件需上传至政府采购云平台</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并在开标</w:t>
            </w:r>
            <w:r>
              <w:rPr>
                <w:rFonts w:hint="eastAsia" w:ascii="宋体" w:hAnsi="宋体" w:eastAsia="宋体" w:cs="宋体"/>
                <w:color w:val="auto"/>
                <w:szCs w:val="21"/>
                <w:highlight w:val="none"/>
              </w:rPr>
              <w:t>时间</w:t>
            </w:r>
            <w:r>
              <w:rPr>
                <w:rFonts w:hint="eastAsia" w:ascii="宋体" w:hAnsi="宋体" w:eastAsia="宋体" w:cs="宋体"/>
                <w:color w:val="auto"/>
                <w:szCs w:val="21"/>
                <w:highlight w:val="none"/>
                <w:lang w:val="zh-CN"/>
              </w:rPr>
              <w:t>持编制投标文件的供应商数字证书</w:t>
            </w:r>
            <w:r>
              <w:rPr>
                <w:rFonts w:hint="eastAsia" w:ascii="宋体" w:hAnsi="宋体" w:eastAsia="宋体" w:cs="宋体"/>
                <w:color w:val="auto"/>
                <w:szCs w:val="21"/>
                <w:highlight w:val="none"/>
              </w:rPr>
              <w:t>远程</w:t>
            </w:r>
            <w:r>
              <w:rPr>
                <w:rFonts w:hint="eastAsia" w:ascii="宋体" w:hAnsi="宋体" w:eastAsia="宋体" w:cs="宋体"/>
                <w:color w:val="auto"/>
                <w:szCs w:val="21"/>
                <w:highlight w:val="none"/>
                <w:lang w:val="zh-CN"/>
              </w:rPr>
              <w:t>解密</w:t>
            </w:r>
            <w:r>
              <w:rPr>
                <w:rFonts w:hint="eastAsia" w:ascii="宋体" w:hAnsi="宋体" w:eastAsia="宋体" w:cs="宋体"/>
                <w:color w:val="auto"/>
                <w:szCs w:val="21"/>
                <w:highlight w:val="none"/>
              </w:rPr>
              <w:t>）</w:t>
            </w:r>
            <w:r>
              <w:rPr>
                <w:rFonts w:hint="eastAsia" w:ascii="宋体" w:hAnsi="宋体" w:eastAsia="宋体" w:cs="宋体"/>
                <w:color w:val="auto"/>
                <w:szCs w:val="21"/>
                <w:highlight w:val="none"/>
                <w:lang w:val="zh-CN"/>
              </w:rPr>
              <w:t>。</w:t>
            </w:r>
          </w:p>
          <w:p w14:paraId="2DC89DD3">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备注：</w:t>
            </w:r>
          </w:p>
          <w:p w14:paraId="045B7EA6">
            <w:pP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1、如是联合体投标数字证书须同时携带。</w:t>
            </w:r>
          </w:p>
          <w:p w14:paraId="4516555C">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val="zh-CN"/>
              </w:rPr>
              <w:t>2、投标文件电子版(U盘)按招标文件规定执行，用数字证书编制的电子版按《政府采购项目电子交易管理操作指南-供应商》进行投标操作。</w:t>
            </w:r>
          </w:p>
        </w:tc>
      </w:tr>
      <w:tr w14:paraId="3B140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0EA74B5C">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37</w:t>
            </w:r>
          </w:p>
        </w:tc>
        <w:tc>
          <w:tcPr>
            <w:tcW w:w="2211" w:type="dxa"/>
            <w:shd w:val="clear" w:color="auto" w:fill="auto"/>
            <w:noWrap/>
            <w:vAlign w:val="center"/>
          </w:tcPr>
          <w:p w14:paraId="4302C08B">
            <w:pPr>
              <w:autoSpaceDE w:val="0"/>
              <w:autoSpaceDN w:val="0"/>
              <w:adjustRightInd w:val="0"/>
              <w:spacing w:line="320" w:lineRule="exact"/>
              <w:jc w:val="center"/>
              <w:rPr>
                <w:rFonts w:hint="eastAsia" w:ascii="宋体" w:hAnsi="宋体" w:eastAsia="宋体" w:cs="宋体"/>
                <w:bCs/>
                <w:color w:val="auto"/>
                <w:kern w:val="15"/>
                <w:szCs w:val="21"/>
                <w:highlight w:val="none"/>
              </w:rPr>
            </w:pPr>
            <w:r>
              <w:rPr>
                <w:rFonts w:hint="eastAsia" w:ascii="宋体" w:hAnsi="宋体" w:eastAsia="宋体" w:cs="宋体"/>
                <w:bCs/>
                <w:color w:val="auto"/>
                <w:szCs w:val="21"/>
                <w:highlight w:val="none"/>
                <w:lang w:val="zh-CN"/>
              </w:rPr>
              <w:t>需要补充的其他内容</w:t>
            </w:r>
          </w:p>
        </w:tc>
        <w:tc>
          <w:tcPr>
            <w:tcW w:w="5886" w:type="dxa"/>
            <w:shd w:val="clear" w:color="auto" w:fill="auto"/>
            <w:noWrap/>
            <w:vAlign w:val="center"/>
          </w:tcPr>
          <w:p w14:paraId="5BA17035">
            <w:pPr>
              <w:autoSpaceDE w:val="0"/>
              <w:autoSpaceDN w:val="0"/>
              <w:adjustRightInd w:val="0"/>
              <w:spacing w:line="360" w:lineRule="exact"/>
              <w:jc w:val="left"/>
              <w:rPr>
                <w:rFonts w:hint="eastAsia" w:ascii="宋体" w:hAnsi="宋体" w:eastAsia="宋体" w:cs="宋体"/>
                <w:color w:val="auto"/>
                <w:highlight w:val="none"/>
              </w:rPr>
            </w:pPr>
            <w:r>
              <w:rPr>
                <w:rFonts w:hint="eastAsia" w:ascii="宋体" w:hAnsi="宋体" w:eastAsia="宋体" w:cs="宋体"/>
                <w:color w:val="auto"/>
                <w:highlight w:val="none"/>
              </w:rPr>
              <w:t>1.提供相同品牌产品且通过资格审查、符合性审查的不同投标人参加同一合同项下投标的，按一家投标人计算，评审后得分最高的同品牌投标人获得中标人推荐资格；评审得分相同的，由采购人委托评标委员会按照招标文件规定的方式确定一个投标人获得中标人推荐资格，招标文件未规定的采取随机抽取方式确定，其他同品牌投标人不作为中标候选人。</w:t>
            </w:r>
          </w:p>
          <w:p w14:paraId="5B5A87AE">
            <w:pPr>
              <w:autoSpaceDE w:val="0"/>
              <w:autoSpaceDN w:val="0"/>
              <w:adjustRightInd w:val="0"/>
              <w:spacing w:line="320" w:lineRule="exact"/>
              <w:jc w:val="left"/>
              <w:rPr>
                <w:rFonts w:hint="eastAsia" w:ascii="宋体" w:hAnsi="宋体" w:eastAsia="宋体" w:cs="宋体"/>
                <w:bCs/>
                <w:color w:val="auto"/>
                <w:szCs w:val="21"/>
                <w:highlight w:val="none"/>
                <w:lang w:val="zh-CN"/>
              </w:rPr>
            </w:pPr>
            <w:r>
              <w:rPr>
                <w:rFonts w:hint="eastAsia" w:ascii="宋体" w:hAnsi="宋体" w:eastAsia="宋体" w:cs="宋体"/>
                <w:color w:val="auto"/>
                <w:highlight w:val="none"/>
              </w:rPr>
              <w:t>2.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74C2A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 w:hRule="atLeast"/>
          <w:jc w:val="center"/>
        </w:trPr>
        <w:tc>
          <w:tcPr>
            <w:tcW w:w="981" w:type="dxa"/>
            <w:shd w:val="clear" w:color="auto" w:fill="auto"/>
            <w:noWrap/>
            <w:vAlign w:val="center"/>
          </w:tcPr>
          <w:p w14:paraId="09DD685A">
            <w:pPr>
              <w:jc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38</w:t>
            </w:r>
          </w:p>
        </w:tc>
        <w:tc>
          <w:tcPr>
            <w:tcW w:w="2211" w:type="dxa"/>
            <w:shd w:val="clear" w:color="auto" w:fill="auto"/>
            <w:noWrap/>
            <w:vAlign w:val="center"/>
          </w:tcPr>
          <w:p w14:paraId="0DF90523">
            <w:pPr>
              <w:spacing w:line="320" w:lineRule="exact"/>
              <w:jc w:val="center"/>
              <w:rPr>
                <w:rFonts w:hint="eastAsia" w:ascii="宋体" w:hAnsi="宋体" w:eastAsia="宋体" w:cs="宋体"/>
                <w:color w:val="auto"/>
                <w:szCs w:val="21"/>
                <w:highlight w:val="none"/>
                <w:shd w:val="clear" w:color="auto" w:fill="FFFFFF"/>
              </w:rPr>
            </w:pPr>
            <w:r>
              <w:rPr>
                <w:rFonts w:hint="eastAsia" w:ascii="宋体" w:hAnsi="宋体" w:eastAsia="宋体" w:cs="宋体"/>
                <w:bCs/>
                <w:color w:val="auto"/>
                <w:szCs w:val="21"/>
                <w:highlight w:val="none"/>
              </w:rPr>
              <w:t>政府采购进口产品的规定</w:t>
            </w:r>
          </w:p>
        </w:tc>
        <w:tc>
          <w:tcPr>
            <w:tcW w:w="5886" w:type="dxa"/>
            <w:shd w:val="clear" w:color="auto" w:fill="auto"/>
            <w:noWrap/>
          </w:tcPr>
          <w:p w14:paraId="2546CB49">
            <w:pPr>
              <w:spacing w:line="320" w:lineRule="exact"/>
              <w:jc w:val="left"/>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按照财政部《政府采购进口产品管理办法》第一章第四条关于“政府采购应当采购本国产品，确需采购进口产品（指通过中国海关报关验放进入中国境内且产自关境外的产品）的，实行审核管理”的规定，招标采购文件中凡未明确标明采购进口产品的，均为采购本国产品，投标人必须投标本国产品，投标进口产品的为无效投标。</w:t>
            </w:r>
          </w:p>
          <w:p w14:paraId="27F17282">
            <w:pPr>
              <w:spacing w:line="320" w:lineRule="exact"/>
              <w:jc w:val="left"/>
              <w:rPr>
                <w:rFonts w:hint="eastAsia" w:ascii="宋体" w:hAnsi="宋体" w:eastAsia="宋体" w:cs="宋体"/>
                <w:color w:val="auto"/>
                <w:szCs w:val="21"/>
                <w:highlight w:val="none"/>
                <w:shd w:val="clear" w:color="auto" w:fill="FFFFFF"/>
                <w:lang w:val="zh-CN"/>
              </w:rPr>
            </w:pPr>
            <w:r>
              <w:rPr>
                <w:rFonts w:hint="eastAsia" w:ascii="宋体" w:hAnsi="宋体" w:eastAsia="宋体" w:cs="宋体"/>
                <w:bCs/>
                <w:color w:val="auto"/>
                <w:szCs w:val="21"/>
                <w:highlight w:val="none"/>
                <w:lang w:val="zh-CN"/>
              </w:rPr>
              <w:t>在中国境内生产或组装的外国品牌产品须标明该产品在中国国内制造厂商名称。否则，按进口产品对待。</w:t>
            </w:r>
          </w:p>
        </w:tc>
      </w:tr>
      <w:tr w14:paraId="256C68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981" w:type="dxa"/>
            <w:shd w:val="clear" w:color="auto" w:fill="auto"/>
            <w:noWrap/>
            <w:vAlign w:val="center"/>
          </w:tcPr>
          <w:p w14:paraId="6AA22974">
            <w:pPr>
              <w:widowControl/>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39</w:t>
            </w:r>
          </w:p>
        </w:tc>
        <w:tc>
          <w:tcPr>
            <w:tcW w:w="2211" w:type="dxa"/>
            <w:shd w:val="clear" w:color="auto" w:fill="auto"/>
            <w:noWrap/>
            <w:vAlign w:val="center"/>
          </w:tcPr>
          <w:p w14:paraId="6A1D3C8D">
            <w:pPr>
              <w:widowControl/>
              <w:autoSpaceDN w:val="0"/>
              <w:jc w:val="left"/>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履约管理与违约责任</w:t>
            </w:r>
          </w:p>
        </w:tc>
        <w:tc>
          <w:tcPr>
            <w:tcW w:w="5886" w:type="dxa"/>
            <w:shd w:val="clear" w:color="auto" w:fill="auto"/>
            <w:noWrap/>
          </w:tcPr>
          <w:p w14:paraId="7EA8DF43">
            <w:pPr>
              <w:widowControl/>
              <w:autoSpaceDN w:val="0"/>
              <w:jc w:val="left"/>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 甲方与乙方应当遵守本合同约定，共同履行各自的权利和义务。</w:t>
            </w:r>
          </w:p>
          <w:p w14:paraId="2F89F8B7">
            <w:pPr>
              <w:widowControl/>
              <w:autoSpaceDN w:val="0"/>
              <w:jc w:val="left"/>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 如乙方未能按照本合同的约定履行合同义务，则应当承担相应的违约责任，并向甲方支付违约金。（具体比例双方商议）</w:t>
            </w:r>
          </w:p>
          <w:p w14:paraId="5B174332">
            <w:pPr>
              <w:widowControl/>
              <w:autoSpaceDN w:val="0"/>
              <w:jc w:val="left"/>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 对于因本合同引起的任何争议，甲方和乙方应当友好协商解决。如协商不成，则应向本合同签订地有管辖权的人民法院提起诉讼。</w:t>
            </w:r>
          </w:p>
          <w:p w14:paraId="2679B047">
            <w:pPr>
              <w:widowControl/>
              <w:autoSpaceDN w:val="0"/>
              <w:jc w:val="left"/>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4.其他补充履约管理与违约责任义务，以实际签订合同为准。</w:t>
            </w:r>
          </w:p>
        </w:tc>
      </w:tr>
      <w:tr w14:paraId="085840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3" w:hRule="atLeast"/>
          <w:jc w:val="center"/>
        </w:trPr>
        <w:tc>
          <w:tcPr>
            <w:tcW w:w="9078" w:type="dxa"/>
            <w:gridSpan w:val="3"/>
            <w:shd w:val="clear" w:color="auto" w:fill="auto"/>
            <w:noWrap/>
            <w:vAlign w:val="center"/>
          </w:tcPr>
          <w:p w14:paraId="4AFEB9CD">
            <w:pPr>
              <w:widowControl/>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注意事项：本项目招标公告与招标文件中内容有不符之处，以本招标文件中内容为准。</w:t>
            </w:r>
          </w:p>
          <w:p w14:paraId="292AC212">
            <w:pPr>
              <w:pStyle w:val="11"/>
              <w:widowControl/>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 xml:space="preserve">1、在评审过程中，投标人报价过低，有可能影响产品质量或者不能诚信履约的，评标委员会应当要求其在评审现场合理的时间内提供书面说明，并提交相关证明材料，投标人不能证明其报价合理性的，评标委员会应当将其作为无效处理。 </w:t>
            </w:r>
          </w:p>
          <w:p w14:paraId="6863E2C9">
            <w:pPr>
              <w:pStyle w:val="11"/>
              <w:widowControl/>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 xml:space="preserve">投标人的书面说明材料应当按照国家财务会计制度的规定要求，逐项就投标人提供的货物、工程和服务的主营业务成本、税金及附加、销售费用、管理费用、财务费用等成本构成事项详细陈述。 </w:t>
            </w:r>
          </w:p>
          <w:p w14:paraId="5B002657">
            <w:pPr>
              <w:pStyle w:val="11"/>
              <w:widowControl/>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 xml:space="preserve">2、投标人书面说明应当签字确认或者加盖公章，否则无效。 </w:t>
            </w:r>
          </w:p>
          <w:p w14:paraId="2FCBB1F8">
            <w:pPr>
              <w:pStyle w:val="11"/>
              <w:widowControl/>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 xml:space="preserve">书面说明的签字确认，由其法定代表人/主要负责人/本人或者其授权代表签字确认。 </w:t>
            </w:r>
          </w:p>
          <w:p w14:paraId="3477532F">
            <w:pPr>
              <w:pStyle w:val="11"/>
              <w:widowControl/>
              <w:tabs>
                <w:tab w:val="left" w:pos="0"/>
              </w:tabs>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3、投标人提供书面说明后，评标委员会应当结合采购项目采购需求、专业实际情况、投标人财务状况报告、与其他投标人比较情况等就投标人书面说明进行审查评价。投标人拒绝或者变相拒绝提供有效书面说明或者书面说明不能证明其报价合理性的或未在规定时间内递交有效书面说明书的，评标委员会应当将其投标文件作为无效处理。</w:t>
            </w:r>
          </w:p>
          <w:p w14:paraId="60BEEE9D">
            <w:pPr>
              <w:pStyle w:val="11"/>
              <w:widowControl/>
              <w:tabs>
                <w:tab w:val="left" w:pos="0"/>
              </w:tabs>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4、电子投标文件编制及报送要求：</w:t>
            </w:r>
          </w:p>
          <w:p w14:paraId="17D4F440">
            <w:pPr>
              <w:pStyle w:val="11"/>
              <w:widowControl/>
              <w:tabs>
                <w:tab w:val="left" w:pos="0"/>
              </w:tabs>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5、投标人应按招标文件要求编制投标文件，将所有投标文件内容上传至“政采云”平台，并用来加密的有效数字证书（CA认证）对投标文件进行解密。</w:t>
            </w:r>
          </w:p>
          <w:p w14:paraId="5FAAEE59">
            <w:pPr>
              <w:pStyle w:val="11"/>
              <w:widowControl/>
              <w:tabs>
                <w:tab w:val="left" w:pos="0"/>
              </w:tabs>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6、电子投标文件中反应投标人资格审查的图片、扫描件、文字描述等，必须清晰可见。其中所有证书和执照必须为原件扫描。</w:t>
            </w:r>
          </w:p>
          <w:p w14:paraId="3B86C7E4">
            <w:pPr>
              <w:widowControl/>
              <w:autoSpaceDN w:val="0"/>
              <w:rPr>
                <w:rFonts w:hint="eastAsia" w:ascii="宋体" w:hAnsi="宋体" w:eastAsia="宋体" w:cs="宋体"/>
                <w:b/>
                <w:bCs/>
                <w:color w:val="auto"/>
                <w:szCs w:val="21"/>
                <w:highlight w:val="none"/>
                <w:lang w:bidi="ar"/>
              </w:rPr>
            </w:pPr>
            <w:r>
              <w:rPr>
                <w:rFonts w:hint="eastAsia" w:ascii="宋体" w:hAnsi="宋体" w:eastAsia="宋体" w:cs="宋体"/>
                <w:color w:val="auto"/>
                <w:szCs w:val="21"/>
                <w:highlight w:val="none"/>
                <w:lang w:bidi="ar"/>
              </w:rPr>
              <w:t>7、投标人应在招标文件要求提交投标文件的截止时间前，将纸质投标文件于</w:t>
            </w:r>
            <w:r>
              <w:rPr>
                <w:rFonts w:hint="eastAsia" w:ascii="宋体" w:hAnsi="宋体" w:eastAsia="宋体" w:cs="宋体"/>
                <w:b/>
                <w:bCs/>
                <w:color w:val="auto"/>
                <w:szCs w:val="21"/>
                <w:highlight w:val="none"/>
                <w:lang w:bidi="ar"/>
              </w:rPr>
              <w:t>投标截止时间下午16时</w:t>
            </w:r>
            <w:r>
              <w:rPr>
                <w:rFonts w:hint="eastAsia" w:ascii="宋体" w:hAnsi="宋体" w:eastAsia="宋体" w:cs="宋体"/>
                <w:color w:val="auto"/>
                <w:szCs w:val="21"/>
                <w:highlight w:val="none"/>
                <w:lang w:bidi="ar"/>
              </w:rPr>
              <w:t>纸质版投标文件送达代理机构地址:</w:t>
            </w:r>
            <w:r>
              <w:rPr>
                <w:rFonts w:hint="eastAsia" w:ascii="宋体" w:hAnsi="宋体" w:eastAsia="宋体" w:cs="宋体"/>
                <w:b/>
                <w:bCs/>
                <w:color w:val="auto"/>
                <w:szCs w:val="21"/>
                <w:highlight w:val="none"/>
                <w:lang w:bidi="ar"/>
              </w:rPr>
              <w:t>长春市朝阳区西安大路与康平街交汇吉发广场C座西区2002室</w:t>
            </w:r>
            <w:r>
              <w:rPr>
                <w:rFonts w:hint="eastAsia" w:ascii="宋体" w:hAnsi="宋体" w:eastAsia="宋体" w:cs="宋体"/>
                <w:b/>
                <w:bCs/>
                <w:color w:val="auto"/>
                <w:highlight w:val="none"/>
              </w:rPr>
              <w:t>。</w:t>
            </w:r>
          </w:p>
          <w:p w14:paraId="3CAF3D76">
            <w:pPr>
              <w:pStyle w:val="11"/>
              <w:widowControl/>
              <w:tabs>
                <w:tab w:val="left" w:pos="0"/>
              </w:tabs>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8、若投标人上传的电子投标文件因无法解密而对投标文件无法进行评价的，招标人可以拒绝该投标人投标。</w:t>
            </w:r>
          </w:p>
          <w:p w14:paraId="29D5A439">
            <w:pPr>
              <w:pStyle w:val="11"/>
              <w:widowControl/>
              <w:tabs>
                <w:tab w:val="left" w:pos="0"/>
              </w:tabs>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9、当纸质投标文件与电子投标文件不一致时，以电子投标文件为准。</w:t>
            </w:r>
          </w:p>
          <w:p w14:paraId="0409D5B5">
            <w:pPr>
              <w:pStyle w:val="11"/>
              <w:widowControl/>
              <w:tabs>
                <w:tab w:val="left" w:pos="0"/>
              </w:tabs>
              <w:autoSpaceDN w:val="0"/>
              <w:spacing w:after="0"/>
              <w:ind w:left="0" w:leftChars="0"/>
              <w:rPr>
                <w:rFonts w:hint="eastAsia" w:ascii="宋体" w:hAnsi="宋体" w:cs="宋体"/>
                <w:color w:val="auto"/>
                <w:highlight w:val="none"/>
              </w:rPr>
            </w:pPr>
            <w:r>
              <w:rPr>
                <w:rFonts w:hint="eastAsia" w:ascii="宋体" w:hAnsi="宋体" w:cs="宋体"/>
                <w:color w:val="auto"/>
                <w:highlight w:val="none"/>
                <w:lang w:bidi="ar"/>
              </w:rPr>
              <w:t>10、若出现停电、灾害、系统故障等不可抗力情况，可按纸质投标文件开标。</w:t>
            </w:r>
          </w:p>
        </w:tc>
      </w:tr>
    </w:tbl>
    <w:p w14:paraId="3CB5B7A3">
      <w:pPr>
        <w:autoSpaceDN w:val="0"/>
        <w:rPr>
          <w:rFonts w:hint="eastAsia" w:ascii="宋体" w:hAnsi="宋体" w:eastAsia="宋体" w:cs="宋体"/>
          <w:color w:val="auto"/>
          <w:szCs w:val="21"/>
          <w:highlight w:val="none"/>
          <w:lang w:bidi="ar"/>
        </w:rPr>
      </w:pPr>
    </w:p>
    <w:p w14:paraId="2252C80D">
      <w:pPr>
        <w:autoSpaceDN w:val="0"/>
        <w:rPr>
          <w:rFonts w:hint="eastAsia" w:ascii="宋体" w:hAnsi="宋体" w:eastAsia="宋体" w:cs="宋体"/>
          <w:color w:val="auto"/>
          <w:szCs w:val="21"/>
          <w:highlight w:val="none"/>
          <w:lang w:bidi="ar"/>
        </w:rPr>
      </w:pPr>
    </w:p>
    <w:p w14:paraId="5CD15A69">
      <w:pPr>
        <w:autoSpaceDN w:val="0"/>
        <w:rPr>
          <w:rFonts w:hint="eastAsia" w:ascii="宋体" w:hAnsi="宋体" w:eastAsia="宋体" w:cs="宋体"/>
          <w:color w:val="auto"/>
          <w:szCs w:val="21"/>
          <w:highlight w:val="none"/>
          <w:lang w:bidi="ar"/>
        </w:rPr>
      </w:pPr>
    </w:p>
    <w:p w14:paraId="6686571E">
      <w:pPr>
        <w:autoSpaceDN w:val="0"/>
        <w:rPr>
          <w:rFonts w:hint="eastAsia" w:ascii="宋体" w:hAnsi="宋体" w:eastAsia="宋体" w:cs="宋体"/>
          <w:color w:val="auto"/>
          <w:sz w:val="28"/>
          <w:szCs w:val="28"/>
          <w:highlight w:val="none"/>
          <w:lang w:bidi="ar"/>
        </w:rPr>
      </w:pPr>
    </w:p>
    <w:p w14:paraId="4AC90618">
      <w:pPr>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br w:type="page"/>
      </w:r>
    </w:p>
    <w:p w14:paraId="1CFBABA6">
      <w:pPr>
        <w:autoSpaceDN w:val="0"/>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二 投标人须知</w:t>
      </w:r>
    </w:p>
    <w:p w14:paraId="7DF4CC7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本项目招标依据为《中华人民共和国政府采购法》、《中华人民共和国政府采购法实施条例》、《政府采购货物和服务招标投标管理办法》国家发展计划委员会等七部委《评标委员会和评标方法暂行规定》等有关法律、法规及规定。</w:t>
      </w:r>
    </w:p>
    <w:p w14:paraId="335567F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A 说明</w:t>
      </w:r>
    </w:p>
    <w:p w14:paraId="6E82747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1.适用范围</w:t>
      </w:r>
    </w:p>
    <w:p w14:paraId="1DBB4EE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本文件是受采购人委托，对采购人委托采购项目的规范性招标文件，适用于本项目招标公告所述的标的采购及服务，是供应商编制投标文件的依据。</w:t>
      </w:r>
    </w:p>
    <w:p w14:paraId="35CFB57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2.法律适用</w:t>
      </w:r>
    </w:p>
    <w:p w14:paraId="7C704D4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本招标文件及由本次招标产生的合同适用中华人民共和国法律。</w:t>
      </w:r>
    </w:p>
    <w:p w14:paraId="7B514A1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3.定义</w:t>
      </w:r>
    </w:p>
    <w:p w14:paraId="7895836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“招标机构”系指组织本次招标的代理机构；</w:t>
      </w:r>
    </w:p>
    <w:p w14:paraId="1ADF78F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“供应商”系指向招标机构提交投标文件的投标商；</w:t>
      </w:r>
    </w:p>
    <w:p w14:paraId="0A304E2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“买方”系指采购单位，合同一方当事人；</w:t>
      </w:r>
    </w:p>
    <w:p w14:paraId="7A3337B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“服务”系指招标文件规定须完成的服务和其他的类似义务；</w:t>
      </w:r>
    </w:p>
    <w:p w14:paraId="19EE140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“日”、“天”系指日历日；</w:t>
      </w:r>
    </w:p>
    <w:p w14:paraId="5D82CCD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 “合同”是买方与中标人共同以招标文件、投标文件为依据，经过协商签订的具备法律效力的文件。招标文件、投标文件及其共同确定的补充文件是合同的有效组成部分，与合同具备同等的法律效力。</w:t>
      </w:r>
    </w:p>
    <w:p w14:paraId="7DFA64A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4.合格的供应商</w:t>
      </w:r>
    </w:p>
    <w:p w14:paraId="09F4F64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4.1合格供应商必须符合投标人须知前附表第10项下各项要求，并在投标时提供以下文件，若有遗漏或不符合要求均为资格审查不合格；</w:t>
      </w:r>
    </w:p>
    <w:p w14:paraId="1598A28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4.2供应商应仔细阅读招标文件的所有内容，按招标文件的要求提供投标文件，并保证所提供的全部资料的真实性，使其投标对招标文件做出实质性响应，否则，其投标将被拒绝。招标机构保留进一步要求供应商补充提供有关材料的权利，拒绝补充材料或提供材料不真实，将被视为自动放弃投标资格。</w:t>
      </w:r>
    </w:p>
    <w:p w14:paraId="1BA04A1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5．投标费用</w:t>
      </w:r>
    </w:p>
    <w:p w14:paraId="6F46686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供应商应承担其在投标准备、编制、递交投标文件和签订合同协议书的整个过程中发生的一切费用而不论其投标结果如何。</w:t>
      </w:r>
    </w:p>
    <w:p w14:paraId="7B1F5B4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B.招标文件说明</w:t>
      </w:r>
    </w:p>
    <w:p w14:paraId="7CFCBCE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6.招标文件</w:t>
      </w:r>
    </w:p>
    <w:p w14:paraId="06E8DB1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招标文件用以阐明所需货物及服务、招标投标程序和投标文件格式。招标文件由以下部分组成：</w:t>
      </w:r>
    </w:p>
    <w:p w14:paraId="2E29D91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第一部分   招标公告</w:t>
      </w:r>
    </w:p>
    <w:p w14:paraId="167A627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第二部分   投标人须知</w:t>
      </w:r>
    </w:p>
    <w:p w14:paraId="701FFC3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第三部分   评标办法</w:t>
      </w:r>
    </w:p>
    <w:p w14:paraId="161ACDE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第四部分   采购需求</w:t>
      </w:r>
    </w:p>
    <w:p w14:paraId="1D59D23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第五部分   合同条款及格式</w:t>
      </w:r>
    </w:p>
    <w:p w14:paraId="19E148EA">
      <w:pPr>
        <w:tabs>
          <w:tab w:val="left" w:pos="4200"/>
        </w:tabs>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第六部分   投标文件格式</w:t>
      </w:r>
    </w:p>
    <w:p w14:paraId="72B70BC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7.招标文件的澄清</w:t>
      </w:r>
    </w:p>
    <w:p w14:paraId="734CACA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供应商对本次招标文件的内容有疑问时，可要求澄清，但应在距投标截止日15日前，按投标人须知注明的联系地址以书面形式（包括信函、传真，下同）通知到招标机构。招标机构将视情况确定采用其认为适当的方式予以澄清或以书面形式予以答复，并在其认为必要时，将不标明查询来源的书面答复发给所有购买招标文件的每一供应商。</w:t>
      </w:r>
    </w:p>
    <w:p w14:paraId="5F88AC8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8.招标文件的修改</w:t>
      </w:r>
    </w:p>
    <w:p w14:paraId="194FAED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8.1在投标截止时间前，招标机构可根据需要和（或）依据供应商要求澄清的问题而修改招标文件，并以书面形式通知所有购买招标文件的供应商，供应商在收到该通知后应立即以传真的形式予以确认；</w:t>
      </w:r>
    </w:p>
    <w:p w14:paraId="20F3CC0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8.2 招标文件的修改书将构成招标文件的一部分，对供应商具有同样的约束力。</w:t>
      </w:r>
    </w:p>
    <w:p w14:paraId="43E79C9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8.3为使供应商有足够的时间按招标文件的修改要求考虑修正投标文件，招标机构可酌情推迟投标的截止时间和开标时间，并以书面形式通知已购买招标文件的每一供应商。</w:t>
      </w:r>
    </w:p>
    <w:p w14:paraId="276EF11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C投标文件的编写</w:t>
      </w:r>
    </w:p>
    <w:p w14:paraId="662508C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9.投标语言及计量单位</w:t>
      </w:r>
    </w:p>
    <w:p w14:paraId="35CF98C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9.1投标文件及供应商和招标机构就投标交换的文件和来往信件，以中文书写（专有名词除外）；</w:t>
      </w:r>
    </w:p>
    <w:p w14:paraId="78260C1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9.2除在招标文件的“技术要求”中另有规定外， 计量单位应使用中华人民共和国法定计量单位（国际单位制和国家选定的其他计量单位）。</w:t>
      </w:r>
    </w:p>
    <w:p w14:paraId="66AAFF2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10．投标文件的组成</w:t>
      </w:r>
    </w:p>
    <w:p w14:paraId="490CA1B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详见第六部分：投标文件格式。</w:t>
      </w:r>
    </w:p>
    <w:p w14:paraId="04A3C13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11.投标文件内容填写说明</w:t>
      </w:r>
    </w:p>
    <w:p w14:paraId="19374FF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11.1供应商应严格按招标文件要求的内容逐项填写编制投标文件，有规定格式的按规定格式填写，无规定格式的由供应商自拟，并胶装成册。</w:t>
      </w:r>
    </w:p>
    <w:p w14:paraId="7A0478E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11.2开标一览表为在开标仪式上唱标的内容，要求按格式填写、统一规范，不得自行增减内容。投标文件不得漏项或虚报，否则将可能导致其投标被拒绝。</w:t>
      </w:r>
    </w:p>
    <w:p w14:paraId="189FD1A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11.3 供应商应保证其所提供文件的真实性，并应对招标文件的实质性要求作出完全响应，否则其投标可能被拒绝。</w:t>
      </w:r>
    </w:p>
    <w:p w14:paraId="463B888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11.4供应商视需要自行编制技术文件的补充附件。规格幅面应与正文一致，附于正文之后，与正文页码统一编目编码装订。</w:t>
      </w:r>
    </w:p>
    <w:p w14:paraId="74F1831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12.投标报价</w:t>
      </w:r>
    </w:p>
    <w:p w14:paraId="703F510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12.1 所有投标均以人民币报价；</w:t>
      </w:r>
    </w:p>
    <w:p w14:paraId="4814C95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12.2供应商应在填写分项报价表时注明各项单价、总价。如果单价与总价有出入，以单价为准。代理机构不接受有任何选择的报价；报价须有法人代表或授权代表签署。</w:t>
      </w:r>
    </w:p>
    <w:p w14:paraId="607C1CC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12.3供应商应按上述12.1-12.3条款要求填写投标报价，以供评标委员会比较评价。</w:t>
      </w:r>
    </w:p>
    <w:p w14:paraId="14694E9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12.4供应商因承包本项目需支付的一切费用，并包含在所报的单价或总额价内。</w:t>
      </w:r>
    </w:p>
    <w:p w14:paraId="26F8F59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13.投标保证金（如有）</w:t>
      </w:r>
    </w:p>
    <w:p w14:paraId="37F14EB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13.1投标保证金的形式：现金或现金支票、保兑支票、银行汇票及银行、专业担保公司、保险公司出具的保函等形式，以现金或支票形式提交的投标保证金应当从供应商的基本账户转出。</w:t>
      </w:r>
    </w:p>
    <w:p w14:paraId="3F6554D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13.2投标保证金的金额：见投标人须知前附表第19项； </w:t>
      </w:r>
    </w:p>
    <w:p w14:paraId="2D7482D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13.3递交方式：见投标人须知前附表第19项；</w:t>
      </w:r>
    </w:p>
    <w:p w14:paraId="69CC379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13.4投标保证金用于保护本次招标免受因供应商不履行投标承诺及合同等行为而引起的风险；</w:t>
      </w:r>
    </w:p>
    <w:p w14:paraId="5A7C77C3">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13.5未按13.1和13.2条款要求提交投标保证金的投标将被视为投标无效；</w:t>
      </w:r>
    </w:p>
    <w:p w14:paraId="740B559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13.6未中标投标人的投标保证金将按25.2条规定予以无息退还；</w:t>
      </w:r>
    </w:p>
    <w:p w14:paraId="71E0902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13.7中标人的投标保证金，在中标人交纳中标服务费后予以无息退还；</w:t>
      </w:r>
    </w:p>
    <w:p w14:paraId="4F07D8E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13.8 发生下列情况之一，投标保证金将被没收：</w:t>
      </w:r>
    </w:p>
    <w:p w14:paraId="7B18E59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（1）供应商在提交投标文件截止时间后撤回投标文件的;</w:t>
      </w:r>
    </w:p>
    <w:p w14:paraId="052BC8B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（2）供应商在投标文件中提供虚假材料的;</w:t>
      </w:r>
    </w:p>
    <w:p w14:paraId="7BC0C53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（3）除因不可抗力或谈判文件、询价通知书认可的情形以外，成交供应商不与采购人签订合同的;</w:t>
      </w:r>
    </w:p>
    <w:p w14:paraId="2D5A9E8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（4）供应商与采购人、其他供应商或者采购代理机构恶意串通的;</w:t>
      </w:r>
    </w:p>
    <w:p w14:paraId="088183D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（5）采购文件规定的其他情形。</w:t>
      </w:r>
    </w:p>
    <w:p w14:paraId="6BAB387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14.投标有效期</w:t>
      </w:r>
    </w:p>
    <w:p w14:paraId="22A27FB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14.1从开标之日起，投标有效期为90天。不能满足投标有效期的投标，将被拒绝；</w:t>
      </w:r>
    </w:p>
    <w:p w14:paraId="4F09FF1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14.2特殊情况下，招标机构可于投标有效期满之前要求供应商延长投标有效期，这种要求和答复都应以书面、传真的形式进行。供应商可以拒绝接受延期要求。同意延长有效期的供应商不能修改投标文件。</w:t>
      </w:r>
    </w:p>
    <w:p w14:paraId="4D8B37D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15.投标文件的签署及规定</w:t>
      </w:r>
    </w:p>
    <w:p w14:paraId="70EA3F4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15.1 组成投标文件的各项资料均应遵守本须知第10条中所规定的内容。</w:t>
      </w:r>
    </w:p>
    <w:p w14:paraId="658B1AA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15.2 供应商应填写单位全称，同时加盖印章。</w:t>
      </w:r>
    </w:p>
    <w:p w14:paraId="248B578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15.3 投标文件必须由法人代表或法人授权代表签署。</w:t>
      </w:r>
    </w:p>
    <w:p w14:paraId="10AAD45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15.4 投标文件正本一份和副本四份，如果正本与副本不符，以正本为准，电子版2份（U盘形式）。</w:t>
      </w:r>
    </w:p>
    <w:p w14:paraId="04A06A0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15.5 投标文件的正本必须用不退色的墨水填写或打印，注明“正本”字样。</w:t>
      </w:r>
    </w:p>
    <w:p w14:paraId="190FEA9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15.6 投标文件不得涂改和增删，如有修改错漏处，必须由同一签署人签字或盖章。</w:t>
      </w:r>
    </w:p>
    <w:p w14:paraId="12A7026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15.7 投标文件因字迹潦草或表达不清所引起的后果由供应商负责。</w:t>
      </w:r>
    </w:p>
    <w:p w14:paraId="2C145D6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15.8招标机构概不接受以电话、传真形式的投标。</w:t>
      </w:r>
    </w:p>
    <w:p w14:paraId="244FD11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D投标文件的递交</w:t>
      </w:r>
    </w:p>
    <w:p w14:paraId="2514702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16.投标文件的密封和标记</w:t>
      </w:r>
    </w:p>
    <w:p w14:paraId="1C1FBFD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16.1供应商应将投标文件正本和副本分别密封，并标明招标编号、投标项目名称、投标人名称及正本或副本等。封口骑缝处应加盖供应商印章；投标文件电子版应单独密封。</w:t>
      </w:r>
    </w:p>
    <w:p w14:paraId="090E967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16.2为了方便开标唱标，供应商应将开标一览表单独密封，并在信封上标明“开标一览表”字样。</w:t>
      </w:r>
    </w:p>
    <w:p w14:paraId="0FAFD98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16.3每一密封信封上注明“于   年   月  日   时之前不准启封”的字样；</w:t>
      </w:r>
    </w:p>
    <w:p w14:paraId="6839F38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16.4如投标文件由专人送交，供应商应将投标文件按16.1-16.3中的规定进行密封和标记后，按投标邀请注明的投标地址送至招标机构；</w:t>
      </w:r>
    </w:p>
    <w:p w14:paraId="123F6A5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16.5如果投标文件通过邮寄递交,供应商应将投标文件用内外两层信封密封:</w:t>
      </w:r>
    </w:p>
    <w:p w14:paraId="25DE5FB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内层信封的封装与标记同16.1-16.3规定；</w:t>
      </w:r>
    </w:p>
    <w:p w14:paraId="5F0AFBD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外层信封装入16.1及16.2所述全部内封资料,并注明招标编号、投标项目名称、招标机构名称、地址。同时应写明供应商的名称、地址，以便将迟交的投标文件原封退还。</w:t>
      </w:r>
    </w:p>
    <w:p w14:paraId="436B894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16.6招标机构对投标文件的误投或未投标前提前拆封概不负责。</w:t>
      </w:r>
    </w:p>
    <w:p w14:paraId="0F7EF29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17.递交投标文件的截止时间</w:t>
      </w:r>
    </w:p>
    <w:p w14:paraId="142C62D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17.1所有投标文件不论是通过专人或邮寄递交，都必须按照招标机构在投标邀请中规定的投标截止时间之前送至投标地点。</w:t>
      </w:r>
    </w:p>
    <w:p w14:paraId="05D9AF5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17.2 招标机构推迟投标截止时间时，应以书面(或传真)的形式，通知所有供应商。在这种情况下，招标机构和供应商的权利和义务将受到新的截止期的约束。</w:t>
      </w:r>
    </w:p>
    <w:p w14:paraId="0B28B4D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17.3 招标机构对投标文件在邮寄过程中的遗失或损坏不负责任。</w:t>
      </w:r>
    </w:p>
    <w:p w14:paraId="33AF395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17.4 在投标截止时间以后送达的投标文件，招标机构拒绝接收。</w:t>
      </w:r>
    </w:p>
    <w:p w14:paraId="6438454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18.投标文件修改和撤消</w:t>
      </w:r>
    </w:p>
    <w:p w14:paraId="5DC794B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18.1 投标以后，如果供应商提出书面修改和撤标要求，在投标截止时间前送达招标机构者，招标机构可以予以接受。但不退还投标文件。</w:t>
      </w:r>
    </w:p>
    <w:p w14:paraId="4CA1AA24">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18.2 供应商修改投标文件的书面材料，须密封送达招标机构，同时应在封套上标明“修改投标文件(并注明招标编号)”和“开标时启封”字样。</w:t>
      </w:r>
    </w:p>
    <w:p w14:paraId="7109099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18.3 撤消投标应以书面(或传真)的形式通知招标机构。如采取传真形式撤回投标，随后必须补充有法人代表或授权代表签署的要求撤消投标的正式文件。撤消投标的时间以送达招标机构或邮电到达日戳为准。</w:t>
      </w:r>
    </w:p>
    <w:p w14:paraId="02C27A0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18.4投标截止时间以后不得修改投标文件；</w:t>
      </w:r>
    </w:p>
    <w:p w14:paraId="79D0BFD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18.5开标后供应商不得撤回投标。</w:t>
      </w:r>
    </w:p>
    <w:p w14:paraId="585CEF74">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E开标及评标</w:t>
      </w:r>
    </w:p>
    <w:p w14:paraId="005B1D3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开标</w:t>
      </w:r>
    </w:p>
    <w:p w14:paraId="427CAC4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19.1招标代理机构将在招标文件规定的时间和地点公开开标。投标人法定代表人或其授权代理人应参加并签名报到以证明其出席，并携带有效身份证件以备审查。</w:t>
      </w:r>
    </w:p>
    <w:p w14:paraId="43EA362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19.2采购代理机构按招标文件规定的时间、地点主持公开开标。开标仪式由采购代理机构主持，采购人代表及有关工作人员参加。</w:t>
      </w:r>
    </w:p>
    <w:p w14:paraId="0B2D336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19.3开标时由供应商查验投标文件密封情况，确认无误后拆封唱标。</w:t>
      </w:r>
    </w:p>
    <w:p w14:paraId="601A45E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19.4采购代理机构在开标仪式上，将公开唱出所有供应商的“开标一览表”内容及投标声明，以及采购机构认为合适的其它内容并记录。</w:t>
      </w:r>
    </w:p>
    <w:p w14:paraId="6AF83A9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19.5 开标时有下列情形之一的为无效投标：</w:t>
      </w:r>
    </w:p>
    <w:p w14:paraId="4FED330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（1）投标文件在规定的投标截止时间以后送达的；</w:t>
      </w:r>
    </w:p>
    <w:p w14:paraId="59CBBB4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（2）未按招标文件规定提交投标保证金的；</w:t>
      </w:r>
    </w:p>
    <w:p w14:paraId="77DD93C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（3）投标文件未按招标文件规定密封的；</w:t>
      </w:r>
    </w:p>
    <w:p w14:paraId="0A7AF71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（4）未提交单独密封的开标一览表或者开标一览表未按规定加盖公章和有效签署的；</w:t>
      </w:r>
    </w:p>
    <w:p w14:paraId="2A66C17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（5）招标文件规定开标时属于无效投标的其他情形。</w:t>
      </w:r>
    </w:p>
    <w:p w14:paraId="4318D95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19.6 开标时有下列情形之一的，招标代理机构有权宣布本项目招标失败：</w:t>
      </w:r>
    </w:p>
    <w:p w14:paraId="2B56695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（1）交货时间符合招标文件要求的投标人不足三家的；</w:t>
      </w:r>
    </w:p>
    <w:p w14:paraId="2D1347A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（2）所有投标人的报价均超过采购项目预算，采购单位不能支付的。</w:t>
      </w:r>
    </w:p>
    <w:p w14:paraId="57B0BBD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20.对投标文件的初审</w:t>
      </w:r>
    </w:p>
    <w:p w14:paraId="32230FB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20.1 采购人根据招标项目特点组建评标委员会，由采购人从专家库中抽取的专家组成。 </w:t>
      </w:r>
    </w:p>
    <w:p w14:paraId="061E5C1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评标委员会对投标文件进行初审，初审内容为投标文件是否符合招标文件的要求、内容是否完整、价格构成有无计算错误、文件签署是否齐全及验证保证金以及投标文件是否具有实质响应性。</w:t>
      </w:r>
    </w:p>
    <w:p w14:paraId="55C0715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20.2 初审中，对价格的计算错误按下述原则修正：</w:t>
      </w:r>
    </w:p>
    <w:p w14:paraId="52C9084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（1）投标文件中开标一览表内容与投标文件中相应内容不一致的，以《开标一览表》的报价为准；</w:t>
      </w:r>
    </w:p>
    <w:p w14:paraId="054F2DF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（2）开标一览表内如果小写金额与大写金额不一致时，以大写金额为准；</w:t>
      </w:r>
    </w:p>
    <w:p w14:paraId="49A3099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（3）如果总价金额与单价金额不一致，以单价金额为准。</w:t>
      </w:r>
    </w:p>
    <w:p w14:paraId="0EB49E4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（4）除非单价有明显的小数点错位，此时应以该行标出的总额为准，并修改单价。</w:t>
      </w:r>
    </w:p>
    <w:p w14:paraId="422A011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按上述原则调整后的价格为评标价，经投标人法定代表人或授权代理人签字确认后对投标人具有约束力。如果投标人不按照上述原则修正其投标报价及分项报价，则其投标将被拒绝。</w:t>
      </w:r>
    </w:p>
    <w:p w14:paraId="607962C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20.3 与招标文件有重大偏离的投标文件将被视为具有非实质响应性的投标文件而被拒绝。</w:t>
      </w:r>
    </w:p>
    <w:p w14:paraId="2BCFD47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20.4 投标有下列情况之一者，将被视为非实质性响应的投标而被拒绝：</w:t>
      </w:r>
    </w:p>
    <w:p w14:paraId="5F17E24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资格条件及证明文件不符合招标文件要求的；</w:t>
      </w:r>
    </w:p>
    <w:p w14:paraId="32519FD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投标文件无公章或无法定代表人签字，或签字人无法定代表人有效授权书的，或未按要求签字、盖公章的；</w:t>
      </w:r>
    </w:p>
    <w:p w14:paraId="006D6B8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不能满足投标有效期的；</w:t>
      </w:r>
    </w:p>
    <w:p w14:paraId="00C2AF8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投标明显不符合技术规格、技术标准的要求；</w:t>
      </w:r>
    </w:p>
    <w:p w14:paraId="47D56CB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投标文件附有买方不能接受的条件；</w:t>
      </w:r>
    </w:p>
    <w:p w14:paraId="61B8B28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投标报价超过采购预算的；</w:t>
      </w:r>
    </w:p>
    <w:p w14:paraId="05A5FB4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未响应招标文件规定的其它实质性条款。</w:t>
      </w:r>
    </w:p>
    <w:p w14:paraId="4BA58D8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21.投标的澄清</w:t>
      </w:r>
    </w:p>
    <w:p w14:paraId="2933AA3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21.1 招标机构有权就投标文件中含混之处向供应商提出询问或澄清要求，或要求其补充某些材料。供应商必须按照招标机构通知的时间、地点派技术和商务人员进行答疑和澄清。</w:t>
      </w:r>
    </w:p>
    <w:p w14:paraId="3E15097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21.2 投标人的澄清、说明或者补正应当采用书面形式，由投标人法定代表人或其授权代理人签字（须提交签字人身份证件并与投标文件签字人一致），并不得超出投标文件的范围或者改变投标文件的实质性内容。投标人拒不进行澄清、说明、补正的，或者不能在规定时间内作出书面澄清、说明、补正的，评标委员会将拒绝其投标。</w:t>
      </w:r>
    </w:p>
    <w:p w14:paraId="4818269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22.评标</w:t>
      </w:r>
    </w:p>
    <w:p w14:paraId="618E4AD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22.1 原则：对所有供应商的投标评估，都采用相同的程序和标准。</w:t>
      </w:r>
    </w:p>
    <w:p w14:paraId="2AD948C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22.2 标准：评标严格按照招标文件的要求和条件进行。</w:t>
      </w:r>
    </w:p>
    <w:p w14:paraId="6CCB03F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22.3本项目采用综合评分法：</w:t>
      </w:r>
    </w:p>
    <w:p w14:paraId="4364019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评标委员会将按第三章规定的评审因素和标准，按评审后投标人综合得分由高到低的顺序推荐中标候选人排序。 </w:t>
      </w:r>
    </w:p>
    <w:p w14:paraId="6E9E804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23.评标过程保密</w:t>
      </w:r>
    </w:p>
    <w:p w14:paraId="51AC365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23.1有关投标文件的审查、澄清、评估和比较以及有关授予合同意向的一切情况均不得透露给任一供应商或与上述评标工作无关的人员；</w:t>
      </w:r>
    </w:p>
    <w:p w14:paraId="56ADFF9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23.2在评标期间，供应商企图影响招标方的任何活动，将导致投标被拒绝，并承担相应的法律责任。</w:t>
      </w:r>
    </w:p>
    <w:p w14:paraId="6C346A4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F 确定中标</w:t>
      </w:r>
    </w:p>
    <w:p w14:paraId="31DEE94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24.最终审查</w:t>
      </w:r>
    </w:p>
    <w:p w14:paraId="4FA7685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24.1评标委员会按照招标文件确定的评标标准和方法，对投标文件进行评审，并提出书面评标报告，确定中标人。最终审查的对象是招标项目的合格的供应商。 </w:t>
      </w:r>
    </w:p>
    <w:p w14:paraId="645B740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xml:space="preserve">24.2最终审查的内容是对合格的供应商的财务状况、资格、信誉以及采购人认为有必要了解的其他问题作进一步的审查。  </w:t>
      </w:r>
    </w:p>
    <w:p w14:paraId="237F0BE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24.3 接受最终审查的合格的供应商，必须如实回答和受理采购人的询问或考查，并提供所需的有关资料。</w:t>
      </w:r>
    </w:p>
    <w:p w14:paraId="5BF7A0AF">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24.4评标委员会从合格的供应商中评出中标人，并写出完整的评标报告。</w:t>
      </w:r>
    </w:p>
    <w:p w14:paraId="45DC53A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25.中标通知</w:t>
      </w:r>
    </w:p>
    <w:p w14:paraId="3081439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25.1在投标有效期内，招标代理机构以书面形式通知所选定的中标人。通知也可以以传真的形式发出，但需要随以书面形式最终确认。</w:t>
      </w:r>
    </w:p>
    <w:p w14:paraId="6A0A0A1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25.2招标代理机构将自中标通知书发出之日起5个工作日内退还未中标供应商的投标保证金，自政府采购合同签订之日起5个工作日内退还中标供应商的投标保证金。</w:t>
      </w:r>
    </w:p>
    <w:p w14:paraId="1E31C3D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26.签定合同</w:t>
      </w:r>
    </w:p>
    <w:p w14:paraId="7633AEE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26.1中标通知书发出后，采购单位改变中标结果的，或者中标人放弃中标项目的，应当依法承担法律责任。</w:t>
      </w:r>
    </w:p>
    <w:p w14:paraId="37C9C7E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26.2中标人应按中标通知书规定的时间与采购单位签订合同。如果中标人不在规定的时间内签署合同，视为自动放弃中标资格，其提交的投标保证金不予退还，列入不良行为记录名单，在一至三年内禁止参加政府采购活动并予以公告。投标人在被评标委员会评定为预中标人（中标人）之后、中标通知书发出之前放弃中标的，按本条规定处理。</w:t>
      </w:r>
    </w:p>
    <w:p w14:paraId="5306F003">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26.3中标结果将在发布招标公告的同步网络媒介上公告，不再以书面方式通知未中标人。</w:t>
      </w:r>
    </w:p>
    <w:p w14:paraId="4C32900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27.履约保证金</w:t>
      </w:r>
    </w:p>
    <w:p w14:paraId="4ACC872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详见投标须知前附表。</w:t>
      </w:r>
    </w:p>
    <w:p w14:paraId="2369D3D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28.保密和披露</w:t>
      </w:r>
    </w:p>
    <w:p w14:paraId="2DF17FF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28.1招标代理机构有权将投标人提供的所有资料向其他政府部门或有关的非政府机构负责评审标书的人员或与评标有关的人员披露。</w:t>
      </w:r>
    </w:p>
    <w:p w14:paraId="24C6961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28.2在下列情形下：当发布中标公告和其它公告时，当国家机关调查、审查、审计时，以及在其他符合法律规定的情形下，招标代理机构无须事先征求投标人/中标人同意而可以披露关于采购过程、投标文件、合同文本、合同签署情况的资料、投标人/中标人的名称及地址、采购内容的有关信息以及补充条款等，并且对任何已经公布过的内容或与之内容相同的资料无须再承担保密责任。</w:t>
      </w:r>
    </w:p>
    <w:p w14:paraId="71790A7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29、质疑和投诉</w:t>
      </w:r>
    </w:p>
    <w:p w14:paraId="4B9402E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29.1投标人认为招标文件、招标过程和中标结果使自己的合法权益受到损害的，应当在知道或者应知其权益受到损害之日起七个工作日内，向招标方提出质疑。投标人对招标代理机构的质疑答复不满意或者招标代理机构未在规定时间内作出答复的，可以在答复期满后十五个工作日内向同级采购监管部门投诉。</w:t>
      </w:r>
    </w:p>
    <w:p w14:paraId="083F1E53">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29.2质疑书、投诉书均应明确阐述招标文件、招标过程和中标结果中使自己合法权益受到损害的实质性内容，提供相关事实、依据和证据及其来源或线索，便于有关单位调查、答复和处理。</w:t>
      </w:r>
    </w:p>
    <w:p w14:paraId="787B0C8C">
      <w:pPr>
        <w:autoSpaceDN w:val="0"/>
        <w:rPr>
          <w:rFonts w:hint="eastAsia" w:ascii="宋体" w:hAnsi="宋体" w:eastAsia="宋体" w:cs="宋体"/>
          <w:color w:val="auto"/>
          <w:szCs w:val="21"/>
          <w:highlight w:val="none"/>
          <w:lang w:bidi="ar"/>
        </w:rPr>
      </w:pPr>
    </w:p>
    <w:p w14:paraId="239D521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br w:type="page"/>
      </w:r>
    </w:p>
    <w:p w14:paraId="65641B18">
      <w:pPr>
        <w:pStyle w:val="2"/>
        <w:jc w:val="center"/>
        <w:rPr>
          <w:rFonts w:hint="eastAsia" w:ascii="宋体" w:hAnsi="宋体" w:cs="宋体"/>
          <w:color w:val="auto"/>
          <w:sz w:val="32"/>
          <w:szCs w:val="32"/>
          <w:highlight w:val="none"/>
        </w:rPr>
      </w:pPr>
      <w:bookmarkStart w:id="11" w:name="_Toc3701"/>
      <w:bookmarkStart w:id="12" w:name="_Toc13310"/>
      <w:r>
        <w:rPr>
          <w:rFonts w:hint="eastAsia" w:ascii="宋体" w:hAnsi="宋体" w:cs="宋体"/>
          <w:color w:val="auto"/>
          <w:sz w:val="32"/>
          <w:szCs w:val="32"/>
          <w:highlight w:val="none"/>
        </w:rPr>
        <w:t>第三部分  评标办法</w:t>
      </w:r>
      <w:bookmarkEnd w:id="11"/>
      <w:bookmarkEnd w:id="12"/>
    </w:p>
    <w:p w14:paraId="4C704B86">
      <w:pPr>
        <w:autoSpaceDN w:val="0"/>
        <w:jc w:val="cente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（本项目采用综合评分法）</w:t>
      </w:r>
    </w:p>
    <w:p w14:paraId="0B0E2B6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评标办法</w:t>
      </w:r>
    </w:p>
    <w:p w14:paraId="39A49C9C">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按照国家相关部门的规定，遵循公开、公平、公正和诚实信用的原则，结合本招标项目的实际情况，制定本招标项目评标办法。</w:t>
      </w:r>
    </w:p>
    <w:p w14:paraId="7B18E65C">
      <w:pPr>
        <w:pStyle w:val="3"/>
        <w:jc w:val="center"/>
        <w:rPr>
          <w:rFonts w:hint="eastAsia" w:ascii="宋体" w:hAnsi="宋体" w:eastAsia="宋体" w:cs="宋体"/>
          <w:color w:val="auto"/>
          <w:highlight w:val="none"/>
        </w:rPr>
      </w:pPr>
      <w:bookmarkStart w:id="13" w:name="_Toc338"/>
      <w:r>
        <w:rPr>
          <w:rFonts w:hint="eastAsia" w:ascii="宋体" w:hAnsi="宋体" w:eastAsia="宋体" w:cs="宋体"/>
          <w:color w:val="auto"/>
          <w:highlight w:val="none"/>
        </w:rPr>
        <w:t>一、评 标 程 序</w:t>
      </w:r>
      <w:bookmarkEnd w:id="13"/>
    </w:p>
    <w:p w14:paraId="054A418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（一）组成评标委员会</w:t>
      </w:r>
    </w:p>
    <w:p w14:paraId="0CC06CF4">
      <w:pPr>
        <w:autoSpaceDN w:val="0"/>
        <w:ind w:firstLine="42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按照国家有关部委及省、市的相关规定，由从“政采云”评标专家库中随机抽取经济、技术类等方面的专家共5人组成评标委员会。为保证评标工作的顺利进行，推荐一名评委担任评委会主任，负责评标全面工作。</w:t>
      </w:r>
    </w:p>
    <w:p w14:paraId="4D2073C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（二）评标工作</w:t>
      </w:r>
    </w:p>
    <w:p w14:paraId="710585E8">
      <w:pPr>
        <w:autoSpaceDN w:val="0"/>
        <w:ind w:firstLine="42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评标本着客观公正、公平竞争、择优推荐、规范合法的原则进行。评标工作分为资格审查、初步评审和详细评审三个步骤。</w:t>
      </w:r>
    </w:p>
    <w:p w14:paraId="7BEF0A7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1.资格审查。采购人或代理机构对各供应商的资格进行审查。资格审查合格的供应商方可进入符合性审查。</w:t>
      </w:r>
    </w:p>
    <w:p w14:paraId="1C717ABB">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2.符合性审查。评委会对供应商的投标文件进行符合性鉴定。符合性审查合格的供应商方可进入详细评审。</w:t>
      </w:r>
    </w:p>
    <w:p w14:paraId="487E2961">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3.详细评审。详细评审采用综合评分法。评委依据评标办法分别对各供应商的投标文件进行评审、赋分。</w:t>
      </w:r>
    </w:p>
    <w:p w14:paraId="2B065916">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（三）询标（必要时）</w:t>
      </w:r>
    </w:p>
    <w:p w14:paraId="2D947B9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评标委员会对投标文件需要澄清的问题，采用集体询标方式进行。</w:t>
      </w:r>
    </w:p>
    <w:p w14:paraId="3455CDC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（四）确定中标人</w:t>
      </w:r>
    </w:p>
    <w:p w14:paraId="5AC36204">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按最终综合得分由高到低的顺序推荐中标候选人3家。</w:t>
      </w:r>
    </w:p>
    <w:p w14:paraId="14942BC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（五）评标报告</w:t>
      </w:r>
    </w:p>
    <w:p w14:paraId="1360B34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评标工作结束时，评委会将本项目综合评审结果向采购人提交书面“评标报告”，各评委对评标报告内容讨论通过后，在“评标报告”上签字，对评标结果予以确认。</w:t>
      </w:r>
    </w:p>
    <w:p w14:paraId="7FCAB54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br w:type="page"/>
      </w:r>
    </w:p>
    <w:p w14:paraId="1E989898">
      <w:pPr>
        <w:pStyle w:val="3"/>
        <w:jc w:val="center"/>
        <w:rPr>
          <w:rFonts w:hint="eastAsia" w:ascii="宋体" w:hAnsi="宋体" w:eastAsia="宋体" w:cs="宋体"/>
          <w:color w:val="auto"/>
          <w:highlight w:val="none"/>
        </w:rPr>
      </w:pPr>
      <w:bookmarkStart w:id="14" w:name="_Toc12668"/>
      <w:r>
        <w:rPr>
          <w:rFonts w:hint="eastAsia" w:ascii="宋体" w:hAnsi="宋体" w:eastAsia="宋体" w:cs="宋体"/>
          <w:color w:val="auto"/>
          <w:highlight w:val="none"/>
        </w:rPr>
        <w:t>二、评 标 办 法</w:t>
      </w:r>
      <w:bookmarkEnd w:id="14"/>
    </w:p>
    <w:p w14:paraId="5F22BD2F">
      <w:pPr>
        <w:pStyle w:val="21"/>
        <w:spacing w:before="0" w:after="0"/>
        <w:outlineLvl w:val="1"/>
        <w:rPr>
          <w:rFonts w:hint="eastAsia" w:ascii="宋体" w:hAnsi="宋体" w:eastAsia="宋体" w:cs="宋体"/>
          <w:color w:val="auto"/>
          <w:sz w:val="24"/>
          <w:szCs w:val="24"/>
          <w:highlight w:val="none"/>
          <w:lang w:val="zh-CN"/>
        </w:rPr>
      </w:pPr>
      <w:bookmarkStart w:id="15" w:name="_Toc20334"/>
      <w:bookmarkStart w:id="16" w:name="_Toc30546"/>
      <w:bookmarkStart w:id="17" w:name="_Toc20311"/>
      <w:bookmarkStart w:id="18" w:name="_Toc18808"/>
      <w:bookmarkStart w:id="19" w:name="_Toc382396561"/>
      <w:bookmarkStart w:id="20" w:name="_Toc30753"/>
      <w:r>
        <w:rPr>
          <w:rFonts w:hint="eastAsia" w:ascii="宋体" w:hAnsi="宋体" w:eastAsia="宋体" w:cs="宋体"/>
          <w:color w:val="auto"/>
          <w:sz w:val="24"/>
          <w:szCs w:val="24"/>
          <w:highlight w:val="none"/>
          <w:lang w:val="zh-CN"/>
        </w:rPr>
        <w:t>评标办法前附表（一）</w:t>
      </w:r>
      <w:bookmarkEnd w:id="15"/>
      <w:bookmarkEnd w:id="16"/>
      <w:bookmarkEnd w:id="17"/>
      <w:bookmarkEnd w:id="18"/>
      <w:bookmarkEnd w:id="19"/>
      <w:bookmarkEnd w:id="20"/>
    </w:p>
    <w:tbl>
      <w:tblPr>
        <w:tblStyle w:val="24"/>
        <w:tblW w:w="1016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8"/>
        <w:gridCol w:w="808"/>
        <w:gridCol w:w="2024"/>
        <w:gridCol w:w="6636"/>
      </w:tblGrid>
      <w:tr w14:paraId="40C397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9" w:hRule="atLeast"/>
          <w:jc w:val="center"/>
        </w:trPr>
        <w:tc>
          <w:tcPr>
            <w:tcW w:w="1506" w:type="dxa"/>
            <w:gridSpan w:val="2"/>
            <w:vAlign w:val="center"/>
          </w:tcPr>
          <w:p w14:paraId="52C0963B">
            <w:pPr>
              <w:tabs>
                <w:tab w:val="left" w:pos="1080"/>
              </w:tabs>
              <w:autoSpaceDE w:val="0"/>
              <w:autoSpaceDN w:val="0"/>
              <w:adjustRightInd w:val="0"/>
              <w:snapToGrid w:val="0"/>
              <w:jc w:val="cente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条款号</w:t>
            </w:r>
          </w:p>
        </w:tc>
        <w:tc>
          <w:tcPr>
            <w:tcW w:w="2024" w:type="dxa"/>
            <w:vAlign w:val="center"/>
          </w:tcPr>
          <w:p w14:paraId="41502D53">
            <w:pPr>
              <w:autoSpaceDE w:val="0"/>
              <w:autoSpaceDN w:val="0"/>
              <w:adjustRightInd w:val="0"/>
              <w:snapToGrid w:val="0"/>
              <w:jc w:val="cente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评审因素</w:t>
            </w:r>
          </w:p>
        </w:tc>
        <w:tc>
          <w:tcPr>
            <w:tcW w:w="6636" w:type="dxa"/>
            <w:vAlign w:val="center"/>
          </w:tcPr>
          <w:p w14:paraId="3BE7A577">
            <w:pPr>
              <w:autoSpaceDE w:val="0"/>
              <w:autoSpaceDN w:val="0"/>
              <w:adjustRightInd w:val="0"/>
              <w:snapToGrid w:val="0"/>
              <w:jc w:val="center"/>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评审标准</w:t>
            </w:r>
          </w:p>
        </w:tc>
      </w:tr>
      <w:tr w14:paraId="2D831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restart"/>
            <w:vAlign w:val="center"/>
          </w:tcPr>
          <w:p w14:paraId="2A9EB2B2">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2.1.1</w:t>
            </w:r>
          </w:p>
        </w:tc>
        <w:tc>
          <w:tcPr>
            <w:tcW w:w="808" w:type="dxa"/>
            <w:vMerge w:val="restart"/>
            <w:vAlign w:val="center"/>
          </w:tcPr>
          <w:p w14:paraId="253A3141">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形式评审标准</w:t>
            </w:r>
          </w:p>
        </w:tc>
        <w:tc>
          <w:tcPr>
            <w:tcW w:w="2024" w:type="dxa"/>
            <w:vAlign w:val="center"/>
          </w:tcPr>
          <w:p w14:paraId="4480553E">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投标人名称</w:t>
            </w:r>
          </w:p>
        </w:tc>
        <w:tc>
          <w:tcPr>
            <w:tcW w:w="6636" w:type="dxa"/>
            <w:vAlign w:val="center"/>
          </w:tcPr>
          <w:p w14:paraId="0A530212">
            <w:pPr>
              <w:autoSpaceDE w:val="0"/>
              <w:autoSpaceDN w:val="0"/>
              <w:adjustRightInd w:val="0"/>
              <w:snapToGrid w:val="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与营业执照、开户许可证（或基本存款账户信息）一致。</w:t>
            </w:r>
          </w:p>
        </w:tc>
      </w:tr>
      <w:tr w14:paraId="600A17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continue"/>
            <w:vAlign w:val="center"/>
          </w:tcPr>
          <w:p w14:paraId="194238B5">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1C86357F">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63BF1663">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投标函及投标函附录</w:t>
            </w:r>
            <w:r>
              <w:rPr>
                <w:rFonts w:hint="eastAsia" w:ascii="宋体" w:hAnsi="宋体" w:eastAsia="宋体" w:cs="宋体"/>
                <w:color w:val="auto"/>
                <w:szCs w:val="21"/>
                <w:highlight w:val="none"/>
                <w:lang w:val="zh-CN"/>
              </w:rPr>
              <w:t>签字盖章</w:t>
            </w:r>
          </w:p>
        </w:tc>
        <w:tc>
          <w:tcPr>
            <w:tcW w:w="6636" w:type="dxa"/>
            <w:vAlign w:val="center"/>
          </w:tcPr>
          <w:p w14:paraId="34CAB838">
            <w:pPr>
              <w:autoSpaceDE w:val="0"/>
              <w:autoSpaceDN w:val="0"/>
              <w:adjustRightInd w:val="0"/>
              <w:snapToGrid w:val="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有法定代表人或其委托代理人</w:t>
            </w:r>
            <w:r>
              <w:rPr>
                <w:rFonts w:hint="eastAsia" w:ascii="宋体" w:hAnsi="宋体" w:eastAsia="宋体" w:cs="宋体"/>
                <w:color w:val="auto"/>
                <w:szCs w:val="21"/>
                <w:highlight w:val="none"/>
              </w:rPr>
              <w:t>盖章并</w:t>
            </w:r>
            <w:r>
              <w:rPr>
                <w:rFonts w:hint="eastAsia" w:ascii="宋体" w:hAnsi="宋体" w:eastAsia="宋体" w:cs="宋体"/>
                <w:color w:val="auto"/>
                <w:szCs w:val="21"/>
                <w:highlight w:val="none"/>
                <w:lang w:val="zh-CN"/>
              </w:rPr>
              <w:t>签字</w:t>
            </w:r>
            <w:r>
              <w:rPr>
                <w:rFonts w:hint="eastAsia" w:ascii="宋体" w:hAnsi="宋体" w:eastAsia="宋体" w:cs="宋体"/>
                <w:color w:val="auto"/>
                <w:szCs w:val="21"/>
                <w:highlight w:val="none"/>
              </w:rPr>
              <w:t>并</w:t>
            </w:r>
            <w:r>
              <w:rPr>
                <w:rFonts w:hint="eastAsia" w:ascii="宋体" w:hAnsi="宋体" w:eastAsia="宋体" w:cs="宋体"/>
                <w:color w:val="auto"/>
                <w:szCs w:val="21"/>
                <w:highlight w:val="none"/>
                <w:lang w:val="zh-CN"/>
              </w:rPr>
              <w:t>加盖单位公章。</w:t>
            </w:r>
          </w:p>
        </w:tc>
      </w:tr>
      <w:tr w14:paraId="376620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7" w:hRule="atLeast"/>
          <w:jc w:val="center"/>
        </w:trPr>
        <w:tc>
          <w:tcPr>
            <w:tcW w:w="698" w:type="dxa"/>
            <w:vMerge w:val="continue"/>
            <w:tcBorders>
              <w:bottom w:val="single" w:color="auto" w:sz="4" w:space="0"/>
            </w:tcBorders>
            <w:vAlign w:val="center"/>
          </w:tcPr>
          <w:p w14:paraId="7E35986A">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tcBorders>
              <w:bottom w:val="single" w:color="auto" w:sz="4" w:space="0"/>
            </w:tcBorders>
            <w:vAlign w:val="center"/>
          </w:tcPr>
          <w:p w14:paraId="69251CCE">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tcBorders>
              <w:bottom w:val="single" w:color="auto" w:sz="4" w:space="0"/>
            </w:tcBorders>
            <w:vAlign w:val="center"/>
          </w:tcPr>
          <w:p w14:paraId="4FCF063E">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投标文件格式</w:t>
            </w:r>
          </w:p>
        </w:tc>
        <w:tc>
          <w:tcPr>
            <w:tcW w:w="6636" w:type="dxa"/>
            <w:tcBorders>
              <w:bottom w:val="single" w:color="auto" w:sz="4" w:space="0"/>
            </w:tcBorders>
            <w:vAlign w:val="center"/>
          </w:tcPr>
          <w:p w14:paraId="542F5895">
            <w:pPr>
              <w:autoSpaceDE w:val="0"/>
              <w:autoSpaceDN w:val="0"/>
              <w:adjustRightInd w:val="0"/>
              <w:snapToGrid w:val="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符合第六部分“投标文件格式”的要求。并满足投标文件要求的签字盖章要求。</w:t>
            </w:r>
          </w:p>
        </w:tc>
      </w:tr>
      <w:tr w14:paraId="2568F0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continue"/>
            <w:tcBorders>
              <w:bottom w:val="single" w:color="auto" w:sz="4" w:space="0"/>
            </w:tcBorders>
            <w:vAlign w:val="center"/>
          </w:tcPr>
          <w:p w14:paraId="640235D1">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tcBorders>
              <w:bottom w:val="single" w:color="auto" w:sz="4" w:space="0"/>
            </w:tcBorders>
            <w:vAlign w:val="center"/>
          </w:tcPr>
          <w:p w14:paraId="43D7803F">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tcBorders>
              <w:bottom w:val="single" w:color="auto" w:sz="4" w:space="0"/>
            </w:tcBorders>
            <w:vAlign w:val="center"/>
          </w:tcPr>
          <w:p w14:paraId="3D5FCB40">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报价唯一</w:t>
            </w:r>
          </w:p>
        </w:tc>
        <w:tc>
          <w:tcPr>
            <w:tcW w:w="6636" w:type="dxa"/>
            <w:tcBorders>
              <w:bottom w:val="single" w:color="auto" w:sz="4" w:space="0"/>
            </w:tcBorders>
            <w:vAlign w:val="center"/>
          </w:tcPr>
          <w:p w14:paraId="1F053257">
            <w:pPr>
              <w:autoSpaceDE w:val="0"/>
              <w:autoSpaceDN w:val="0"/>
              <w:adjustRightInd w:val="0"/>
              <w:snapToGrid w:val="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只能有一个有效报价。</w:t>
            </w:r>
          </w:p>
        </w:tc>
      </w:tr>
      <w:tr w14:paraId="18BF8A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10166" w:type="dxa"/>
            <w:gridSpan w:val="4"/>
            <w:tcBorders>
              <w:bottom w:val="single" w:color="auto" w:sz="4" w:space="0"/>
            </w:tcBorders>
            <w:vAlign w:val="center"/>
          </w:tcPr>
          <w:p w14:paraId="45D1B2A7">
            <w:pPr>
              <w:autoSpaceDE w:val="0"/>
              <w:autoSpaceDN w:val="0"/>
              <w:adjustRightInd w:val="0"/>
              <w:snapToGrid w:val="0"/>
              <w:jc w:val="left"/>
              <w:rPr>
                <w:rFonts w:hint="eastAsia" w:ascii="宋体" w:hAnsi="宋体" w:eastAsia="宋体" w:cs="宋体"/>
                <w:b/>
                <w:bCs/>
                <w:color w:val="auto"/>
                <w:szCs w:val="21"/>
                <w:highlight w:val="none"/>
                <w:lang w:val="zh-CN"/>
              </w:rPr>
            </w:pPr>
            <w:r>
              <w:rPr>
                <w:rFonts w:hint="eastAsia" w:ascii="宋体" w:hAnsi="宋体" w:eastAsia="宋体" w:cs="宋体"/>
                <w:b/>
                <w:bCs/>
                <w:color w:val="auto"/>
                <w:szCs w:val="21"/>
                <w:highlight w:val="none"/>
                <w:lang w:val="zh-CN"/>
              </w:rPr>
              <w:t>注：以上各项评审标准，有一项不合格，即被否决，不再进入后续资格评审。</w:t>
            </w:r>
          </w:p>
        </w:tc>
      </w:tr>
      <w:tr w14:paraId="19164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698" w:type="dxa"/>
            <w:vMerge w:val="restart"/>
            <w:vAlign w:val="center"/>
          </w:tcPr>
          <w:p w14:paraId="07230F8C">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2.1.2</w:t>
            </w:r>
          </w:p>
          <w:p w14:paraId="6718357D">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restart"/>
            <w:vAlign w:val="center"/>
          </w:tcPr>
          <w:p w14:paraId="26C8EF21">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资格评审标准</w:t>
            </w:r>
          </w:p>
        </w:tc>
        <w:tc>
          <w:tcPr>
            <w:tcW w:w="2024" w:type="dxa"/>
            <w:vAlign w:val="center"/>
          </w:tcPr>
          <w:p w14:paraId="058A7BFD">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营业执照</w:t>
            </w:r>
          </w:p>
        </w:tc>
        <w:tc>
          <w:tcPr>
            <w:tcW w:w="6636" w:type="dxa"/>
            <w:vAlign w:val="center"/>
          </w:tcPr>
          <w:p w14:paraId="2CC358D3">
            <w:pPr>
              <w:autoSpaceDE w:val="0"/>
              <w:autoSpaceDN w:val="0"/>
              <w:adjustRightInd w:val="0"/>
              <w:snapToGrid w:val="0"/>
              <w:jc w:val="left"/>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供应商须是中华人民共和国境内注册的，具有独立法人资格的、能独立承担民事责任，具有有效的营业执照，并在人员、设备、资金等方面具有相应的服务能力。</w:t>
            </w:r>
          </w:p>
          <w:p w14:paraId="5D336E2B">
            <w:pPr>
              <w:autoSpaceDE w:val="0"/>
              <w:autoSpaceDN w:val="0"/>
              <w:adjustRightInd w:val="0"/>
              <w:snapToGrid w:val="0"/>
              <w:jc w:val="left"/>
              <w:rPr>
                <w:rFonts w:hint="eastAsia" w:ascii="宋体" w:hAnsi="宋体" w:eastAsia="宋体" w:cs="宋体"/>
                <w:color w:val="auto"/>
                <w:szCs w:val="21"/>
                <w:highlight w:val="none"/>
                <w:lang w:val="zh-CN"/>
              </w:rPr>
            </w:pPr>
            <w:r>
              <w:rPr>
                <w:rFonts w:hint="eastAsia" w:ascii="宋体" w:hAnsi="宋体" w:eastAsia="宋体" w:cs="宋体"/>
                <w:b/>
                <w:bCs/>
                <w:color w:val="auto"/>
                <w:szCs w:val="21"/>
                <w:highlight w:val="none"/>
                <w:lang w:val="zh-CN"/>
              </w:rPr>
              <w:t>标书内附营业执照复印件加盖</w:t>
            </w:r>
            <w:r>
              <w:rPr>
                <w:rFonts w:hint="eastAsia" w:ascii="宋体" w:hAnsi="宋体" w:eastAsia="宋体" w:cs="宋体"/>
                <w:b/>
                <w:bCs/>
                <w:color w:val="auto"/>
                <w:szCs w:val="21"/>
                <w:highlight w:val="none"/>
              </w:rPr>
              <w:t>投标人</w:t>
            </w:r>
            <w:r>
              <w:rPr>
                <w:rFonts w:hint="eastAsia" w:ascii="宋体" w:hAnsi="宋体" w:eastAsia="宋体" w:cs="宋体"/>
                <w:b/>
                <w:bCs/>
                <w:color w:val="auto"/>
                <w:szCs w:val="21"/>
                <w:highlight w:val="none"/>
                <w:lang w:val="zh-CN"/>
              </w:rPr>
              <w:t>公章。</w:t>
            </w:r>
          </w:p>
        </w:tc>
      </w:tr>
      <w:tr w14:paraId="34F95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698" w:type="dxa"/>
            <w:vMerge w:val="continue"/>
            <w:vAlign w:val="center"/>
          </w:tcPr>
          <w:p w14:paraId="06C01332">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11AD27C7">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3ADBC320">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开户许可证或基本存款账户信息</w:t>
            </w:r>
          </w:p>
        </w:tc>
        <w:tc>
          <w:tcPr>
            <w:tcW w:w="6636" w:type="dxa"/>
            <w:vAlign w:val="center"/>
          </w:tcPr>
          <w:p w14:paraId="1BD9878E">
            <w:pPr>
              <w:autoSpaceDE w:val="0"/>
              <w:autoSpaceDN w:val="0"/>
              <w:adjustRightInd w:val="0"/>
              <w:snapToGrid w:val="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具备有效的开户许可证、基本存款账户信息或开户证明材料。</w:t>
            </w:r>
          </w:p>
          <w:p w14:paraId="03321FC4">
            <w:pPr>
              <w:autoSpaceDE w:val="0"/>
              <w:autoSpaceDN w:val="0"/>
              <w:adjustRightInd w:val="0"/>
              <w:snapToGrid w:val="0"/>
              <w:rPr>
                <w:rFonts w:hint="eastAsia" w:ascii="宋体" w:hAnsi="宋体" w:eastAsia="宋体" w:cs="宋体"/>
                <w:color w:val="auto"/>
                <w:szCs w:val="21"/>
                <w:highlight w:val="none"/>
                <w:lang w:val="zh-CN"/>
              </w:rPr>
            </w:pPr>
            <w:r>
              <w:rPr>
                <w:rFonts w:hint="eastAsia" w:ascii="宋体" w:hAnsi="宋体" w:eastAsia="宋体" w:cs="宋体"/>
                <w:b/>
                <w:bCs/>
                <w:color w:val="auto"/>
                <w:szCs w:val="21"/>
                <w:highlight w:val="none"/>
                <w:lang w:val="zh-CN"/>
              </w:rPr>
              <w:t>标书内附复印件加盖</w:t>
            </w:r>
            <w:r>
              <w:rPr>
                <w:rFonts w:hint="eastAsia" w:ascii="宋体" w:hAnsi="宋体" w:eastAsia="宋体" w:cs="宋体"/>
                <w:b/>
                <w:bCs/>
                <w:color w:val="auto"/>
                <w:szCs w:val="21"/>
                <w:highlight w:val="none"/>
              </w:rPr>
              <w:t>投标人</w:t>
            </w:r>
            <w:r>
              <w:rPr>
                <w:rFonts w:hint="eastAsia" w:ascii="宋体" w:hAnsi="宋体" w:eastAsia="宋体" w:cs="宋体"/>
                <w:b/>
                <w:bCs/>
                <w:color w:val="auto"/>
                <w:szCs w:val="21"/>
                <w:highlight w:val="none"/>
                <w:lang w:val="zh-CN"/>
              </w:rPr>
              <w:t>公章。</w:t>
            </w:r>
          </w:p>
        </w:tc>
      </w:tr>
      <w:tr w14:paraId="29CC9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95" w:hRule="atLeast"/>
          <w:jc w:val="center"/>
        </w:trPr>
        <w:tc>
          <w:tcPr>
            <w:tcW w:w="698" w:type="dxa"/>
            <w:vMerge w:val="continue"/>
            <w:vAlign w:val="center"/>
          </w:tcPr>
          <w:p w14:paraId="5CDCFFEF">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25536677">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0B8EB9A0">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信誉</w:t>
            </w:r>
          </w:p>
        </w:tc>
        <w:tc>
          <w:tcPr>
            <w:tcW w:w="6636" w:type="dxa"/>
            <w:vAlign w:val="center"/>
          </w:tcPr>
          <w:p w14:paraId="7D73F328">
            <w:pPr>
              <w:autoSpaceDE w:val="0"/>
              <w:autoSpaceDN w:val="0"/>
              <w:adjustRightInd w:val="0"/>
              <w:snapToGrid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对在“信用中国”网站(www.creditchina.gov.cn)存在失信被执行人、重大税收违法失信主体，被中国政府采购网(www.ccgp.gov.cn)列入政府采购严重违法失信行为记录名单中列入经营异常名录或严重违法失信名单及其他不符合《中华人民共和国政府采购法》第二十二条规定条件的供应商，不得参与政府采购活动</w:t>
            </w:r>
            <w:r>
              <w:rPr>
                <w:rFonts w:hint="eastAsia" w:ascii="宋体" w:hAnsi="宋体" w:eastAsia="宋体" w:cs="宋体"/>
                <w:bCs/>
                <w:color w:val="auto"/>
                <w:szCs w:val="21"/>
                <w:highlight w:val="none"/>
                <w:lang w:val="zh-CN"/>
              </w:rPr>
              <w:t>（处罚决定规定的时间和地域范围内）</w:t>
            </w:r>
            <w:r>
              <w:rPr>
                <w:rFonts w:hint="eastAsia" w:ascii="宋体" w:hAnsi="宋体" w:eastAsia="宋体" w:cs="宋体"/>
                <w:bCs/>
                <w:color w:val="auto"/>
                <w:szCs w:val="21"/>
                <w:highlight w:val="none"/>
              </w:rPr>
              <w:t>。</w:t>
            </w:r>
          </w:p>
          <w:p w14:paraId="64444309">
            <w:pPr>
              <w:autoSpaceDE w:val="0"/>
              <w:autoSpaceDN w:val="0"/>
              <w:adjustRightInd w:val="0"/>
              <w:snapToGrid w:val="0"/>
              <w:rPr>
                <w:rFonts w:hint="eastAsia" w:ascii="宋体" w:hAnsi="宋体" w:eastAsia="宋体" w:cs="宋体"/>
                <w:bCs/>
                <w:color w:val="auto"/>
                <w:szCs w:val="21"/>
                <w:highlight w:val="none"/>
                <w:lang w:val="zh-CN"/>
              </w:rPr>
            </w:pPr>
            <w:r>
              <w:rPr>
                <w:rFonts w:hint="eastAsia" w:ascii="宋体" w:hAnsi="宋体" w:eastAsia="宋体" w:cs="宋体"/>
                <w:b/>
                <w:color w:val="auto"/>
                <w:szCs w:val="21"/>
                <w:highlight w:val="none"/>
              </w:rPr>
              <w:t>查询时间为本项目开启后进行评审时由采购代理机构网上查询，并留存查询记录。</w:t>
            </w:r>
          </w:p>
        </w:tc>
      </w:tr>
      <w:tr w14:paraId="734DD4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18" w:hRule="atLeast"/>
          <w:jc w:val="center"/>
        </w:trPr>
        <w:tc>
          <w:tcPr>
            <w:tcW w:w="698" w:type="dxa"/>
            <w:vMerge w:val="continue"/>
            <w:vAlign w:val="center"/>
          </w:tcPr>
          <w:p w14:paraId="284B154B">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637C9ADC">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3E4DE81A">
            <w:pPr>
              <w:autoSpaceDE w:val="0"/>
              <w:autoSpaceDN w:val="0"/>
              <w:adjustRightIn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良好的商业信誉和健全的财务会计制度</w:t>
            </w:r>
          </w:p>
        </w:tc>
        <w:tc>
          <w:tcPr>
            <w:tcW w:w="6636" w:type="dxa"/>
            <w:vAlign w:val="center"/>
          </w:tcPr>
          <w:p w14:paraId="4DCE02CA">
            <w:pPr>
              <w:autoSpaceDE w:val="0"/>
              <w:autoSpaceDN w:val="0"/>
              <w:adjustRightInd w:val="0"/>
              <w:snapToGrid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财务要求：近三年（2021年至2023年）经会计师事务所或审计机构出具的财务审计报告（当投标人成立日期在2021年至2023年之间的，提供从成立日期起至2023年之间的财务审计报告，2023年12月31日以后新成立的公司无财务审计报告的，提供基本帐户开户行出具的资信证明或财务状况经营良好承诺书）。</w:t>
            </w:r>
          </w:p>
        </w:tc>
      </w:tr>
      <w:tr w14:paraId="24C45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44" w:hRule="atLeast"/>
          <w:jc w:val="center"/>
        </w:trPr>
        <w:tc>
          <w:tcPr>
            <w:tcW w:w="698" w:type="dxa"/>
            <w:vMerge w:val="continue"/>
            <w:vAlign w:val="center"/>
          </w:tcPr>
          <w:p w14:paraId="0BEF58C1">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782C9BEF">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62670606">
            <w:pPr>
              <w:kinsoku w:val="0"/>
              <w:overflowPunct w:val="0"/>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依法缴纳税收和社会保障资金证明</w:t>
            </w:r>
          </w:p>
        </w:tc>
        <w:tc>
          <w:tcPr>
            <w:tcW w:w="6636" w:type="dxa"/>
            <w:vAlign w:val="center"/>
          </w:tcPr>
          <w:p w14:paraId="255F0B18">
            <w:pPr>
              <w:pStyle w:val="33"/>
              <w:kinsoku w:val="0"/>
              <w:overflowPunct w:val="0"/>
              <w:adjustRightInd w:val="0"/>
              <w:snapToGrid w:val="0"/>
              <w:rPr>
                <w:rFonts w:hint="eastAsia" w:ascii="宋体" w:hAnsi="宋体" w:cs="宋体"/>
                <w:bCs/>
                <w:color w:val="auto"/>
                <w:highlight w:val="none"/>
              </w:rPr>
            </w:pPr>
            <w:r>
              <w:rPr>
                <w:rFonts w:hint="eastAsia" w:ascii="宋体" w:hAnsi="宋体" w:cs="宋体"/>
                <w:bCs/>
                <w:color w:val="auto"/>
                <w:highlight w:val="none"/>
              </w:rPr>
              <w:t>1、投标人须提供投标截止之日前近一年任意一个月的纳税证明文件。</w:t>
            </w:r>
          </w:p>
          <w:p w14:paraId="4A39554F">
            <w:pPr>
              <w:widowControl/>
              <w:adjustRightInd w:val="0"/>
              <w:jc w:val="left"/>
              <w:textAlignment w:val="baseline"/>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2、投标人须提供投标截止之日前近一年任意一个月依法为员工缴纳社会保障资金的证明材料，证明材料可以缴费的银行单据、社保机构开具的证明等复印件（自行编写无效）</w:t>
            </w:r>
          </w:p>
          <w:p w14:paraId="148A9D61">
            <w:pPr>
              <w:kinsoku w:val="0"/>
              <w:overflowPunct w:val="0"/>
              <w:autoSpaceDE w:val="0"/>
              <w:autoSpaceDN w:val="0"/>
              <w:adjustRightInd w:val="0"/>
              <w:snapToGrid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（依法免税和不需要缴纳社会保险的，应提供相应文件证明其依法免税及依法不需要缴纳社会保险）。</w:t>
            </w:r>
          </w:p>
        </w:tc>
      </w:tr>
      <w:tr w14:paraId="4F1ED6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4" w:hRule="atLeast"/>
          <w:jc w:val="center"/>
        </w:trPr>
        <w:tc>
          <w:tcPr>
            <w:tcW w:w="698" w:type="dxa"/>
            <w:vMerge w:val="continue"/>
            <w:vAlign w:val="center"/>
          </w:tcPr>
          <w:p w14:paraId="1B7F0EF4">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746D6354">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238892AA">
            <w:pPr>
              <w:autoSpaceDE w:val="0"/>
              <w:autoSpaceDN w:val="0"/>
              <w:adjustRightInd w:val="0"/>
              <w:jc w:val="center"/>
              <w:rPr>
                <w:rFonts w:hint="eastAsia" w:ascii="宋体" w:hAnsi="宋体" w:eastAsia="宋体" w:cs="宋体"/>
                <w:color w:val="auto"/>
                <w:szCs w:val="21"/>
                <w:highlight w:val="none"/>
              </w:rPr>
            </w:pPr>
            <w:r>
              <w:rPr>
                <w:rFonts w:hint="eastAsia" w:ascii="宋体" w:hAnsi="宋体" w:eastAsia="宋体" w:cs="宋体"/>
                <w:b/>
                <w:bCs/>
                <w:color w:val="auto"/>
                <w:szCs w:val="21"/>
                <w:highlight w:val="none"/>
              </w:rPr>
              <w:t>声明书</w:t>
            </w:r>
          </w:p>
        </w:tc>
        <w:tc>
          <w:tcPr>
            <w:tcW w:w="6636" w:type="dxa"/>
            <w:vAlign w:val="center"/>
          </w:tcPr>
          <w:p w14:paraId="496F550E">
            <w:pPr>
              <w:autoSpaceDE w:val="0"/>
              <w:autoSpaceDN w:val="0"/>
              <w:adjustRightInd w:val="0"/>
              <w:snapToGrid w:val="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rPr>
              <w:t>投标人须具有履行合同所必需的设备和专业技术能力，须附相关证明材料或书面声明。</w:t>
            </w:r>
          </w:p>
        </w:tc>
      </w:tr>
      <w:tr w14:paraId="2512B1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41" w:hRule="atLeast"/>
          <w:jc w:val="center"/>
        </w:trPr>
        <w:tc>
          <w:tcPr>
            <w:tcW w:w="698" w:type="dxa"/>
            <w:vMerge w:val="continue"/>
            <w:vAlign w:val="center"/>
          </w:tcPr>
          <w:p w14:paraId="6D2AD777">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1F98E07A">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46E85FB1">
            <w:pPr>
              <w:autoSpaceDE w:val="0"/>
              <w:autoSpaceDN w:val="0"/>
              <w:adjustRightInd w:val="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声明书</w:t>
            </w:r>
          </w:p>
        </w:tc>
        <w:tc>
          <w:tcPr>
            <w:tcW w:w="6636" w:type="dxa"/>
            <w:vAlign w:val="center"/>
          </w:tcPr>
          <w:p w14:paraId="5BABEC0E">
            <w:pPr>
              <w:autoSpaceDE w:val="0"/>
              <w:autoSpaceDN w:val="0"/>
              <w:adjustRightInd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 xml:space="preserve">投标人须提供参与本采购活动前三年内在经营活动中没有重大违法记录的书面声明。 </w:t>
            </w:r>
          </w:p>
          <w:p w14:paraId="6D8BBE5C">
            <w:pPr>
              <w:pStyle w:val="30"/>
              <w:rPr>
                <w:rFonts w:hint="eastAsia" w:hAnsi="宋体"/>
                <w:color w:val="auto"/>
                <w:sz w:val="21"/>
                <w:szCs w:val="21"/>
                <w:highlight w:val="none"/>
              </w:rPr>
            </w:pPr>
            <w:r>
              <w:rPr>
                <w:rFonts w:hint="eastAsia" w:hAnsi="宋体"/>
                <w:b/>
                <w:bCs/>
                <w:color w:val="auto"/>
                <w:sz w:val="21"/>
                <w:szCs w:val="21"/>
                <w:highlight w:val="none"/>
              </w:rPr>
              <w:t>注：重大违法记录是指投标人因违法经营受到刑事处罚或者责令停产停业、吊销许可证或者执照、较大数额罚款等行政处罚</w:t>
            </w:r>
            <w:r>
              <w:rPr>
                <w:rFonts w:hint="eastAsia" w:hAnsi="宋体"/>
                <w:b/>
                <w:bCs/>
                <w:color w:val="auto"/>
                <w:sz w:val="21"/>
                <w:szCs w:val="21"/>
                <w:highlight w:val="none"/>
                <w:lang w:val="zh-CN"/>
              </w:rPr>
              <w:t>（根据财库〔2022〕3号文，“较大数额罚款”认定为200万元以上的罚款，法律、行政法规以及国务院有关部门明确规定相关领域“较大数额罚款”标准高于200万元的，从其规定）</w:t>
            </w:r>
          </w:p>
        </w:tc>
      </w:tr>
      <w:tr w14:paraId="246B4D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698" w:type="dxa"/>
            <w:vMerge w:val="continue"/>
            <w:vAlign w:val="center"/>
          </w:tcPr>
          <w:p w14:paraId="5922136E">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0B505801">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244CC734">
            <w:pPr>
              <w:autoSpaceDE w:val="0"/>
              <w:autoSpaceDN w:val="0"/>
              <w:adjustRightInd w:val="0"/>
              <w:jc w:val="center"/>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声明书</w:t>
            </w:r>
          </w:p>
        </w:tc>
        <w:tc>
          <w:tcPr>
            <w:tcW w:w="6636" w:type="dxa"/>
            <w:vAlign w:val="center"/>
          </w:tcPr>
          <w:p w14:paraId="3082C925">
            <w:pPr>
              <w:autoSpaceDE w:val="0"/>
              <w:autoSpaceDN w:val="0"/>
              <w:adjustRightInd w:val="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单位负责人为同一人或者存在直接控股、管理关系的不同投标人，不得参加同一包的投标或者未划分包的同一招标项目的投标，投标人须提供声明。</w:t>
            </w:r>
          </w:p>
        </w:tc>
      </w:tr>
      <w:tr w14:paraId="40CCD2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698" w:type="dxa"/>
            <w:vMerge w:val="continue"/>
            <w:vAlign w:val="center"/>
          </w:tcPr>
          <w:p w14:paraId="437DD002">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4CA1A9D4">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70FD0055">
            <w:pPr>
              <w:autoSpaceDE w:val="0"/>
              <w:autoSpaceDN w:val="0"/>
              <w:adjustRightInd w:val="0"/>
              <w:snapToGrid w:val="0"/>
              <w:jc w:val="center"/>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其他承诺</w:t>
            </w:r>
          </w:p>
        </w:tc>
        <w:tc>
          <w:tcPr>
            <w:tcW w:w="6636" w:type="dxa"/>
            <w:vAlign w:val="center"/>
          </w:tcPr>
          <w:p w14:paraId="3502A04F">
            <w:pPr>
              <w:autoSpaceDE w:val="0"/>
              <w:autoSpaceDN w:val="0"/>
              <w:adjustRightInd w:val="0"/>
              <w:snapToGrid w:val="0"/>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lang w:val="zh-CN"/>
              </w:rPr>
              <w:t>本项目不接受被政府列入取消投标资格期限内的企业或个人参加投标。</w:t>
            </w:r>
          </w:p>
        </w:tc>
      </w:tr>
      <w:tr w14:paraId="33E796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9" w:hRule="atLeast"/>
          <w:jc w:val="center"/>
        </w:trPr>
        <w:tc>
          <w:tcPr>
            <w:tcW w:w="698" w:type="dxa"/>
            <w:vMerge w:val="continue"/>
            <w:vAlign w:val="center"/>
          </w:tcPr>
          <w:p w14:paraId="0CA28D39">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5310710A">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38CD625A">
            <w:pPr>
              <w:spacing w:line="240" w:lineRule="atLeast"/>
              <w:jc w:val="center"/>
              <w:rPr>
                <w:rFonts w:hint="eastAsia" w:ascii="宋体" w:hAnsi="宋体" w:eastAsia="宋体" w:cs="宋体"/>
                <w:bCs/>
                <w:color w:val="auto"/>
                <w:szCs w:val="21"/>
                <w:highlight w:val="none"/>
                <w:lang w:val="zh-CN"/>
              </w:rPr>
            </w:pPr>
            <w:r>
              <w:rPr>
                <w:rFonts w:hint="eastAsia" w:ascii="宋体" w:hAnsi="宋体" w:eastAsia="宋体" w:cs="宋体"/>
                <w:color w:val="auto"/>
                <w:spacing w:val="6"/>
                <w:kern w:val="0"/>
                <w:szCs w:val="21"/>
                <w:highlight w:val="none"/>
              </w:rPr>
              <w:t>落实政府采购政策需满足的资格要求</w:t>
            </w:r>
          </w:p>
        </w:tc>
        <w:tc>
          <w:tcPr>
            <w:tcW w:w="6636" w:type="dxa"/>
            <w:vAlign w:val="center"/>
          </w:tcPr>
          <w:p w14:paraId="3A42E8BE">
            <w:pPr>
              <w:rPr>
                <w:rFonts w:hint="eastAsia" w:ascii="宋体" w:hAnsi="宋体" w:eastAsia="宋体" w:cs="宋体"/>
                <w:color w:val="auto"/>
                <w:spacing w:val="6"/>
                <w:kern w:val="0"/>
                <w:szCs w:val="21"/>
                <w:highlight w:val="none"/>
                <w:lang w:val="zh-CN"/>
              </w:rPr>
            </w:pPr>
            <w:r>
              <w:rPr>
                <w:rFonts w:hint="eastAsia" w:ascii="宋体" w:hAnsi="宋体" w:eastAsia="宋体" w:cs="宋体"/>
                <w:color w:val="auto"/>
                <w:spacing w:val="6"/>
                <w:kern w:val="0"/>
                <w:szCs w:val="21"/>
                <w:highlight w:val="none"/>
              </w:rPr>
              <w:t xml:space="preserve">本项目专门面向中小微企业,供应商须是中小微企业、监狱企业、残疾人福利性单位享受政府采购政策需提供相关声明。 </w:t>
            </w:r>
          </w:p>
        </w:tc>
      </w:tr>
      <w:tr w14:paraId="1B516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10166" w:type="dxa"/>
            <w:gridSpan w:val="4"/>
            <w:vAlign w:val="center"/>
          </w:tcPr>
          <w:p w14:paraId="569488CF">
            <w:pPr>
              <w:autoSpaceDE w:val="0"/>
              <w:autoSpaceDN w:val="0"/>
              <w:adjustRightInd w:val="0"/>
              <w:snapToGrid w:val="0"/>
              <w:jc w:val="left"/>
              <w:rPr>
                <w:rFonts w:hint="eastAsia" w:ascii="宋体" w:hAnsi="宋体" w:eastAsia="宋体" w:cs="宋体"/>
                <w:color w:val="auto"/>
                <w:szCs w:val="21"/>
                <w:highlight w:val="none"/>
              </w:rPr>
            </w:pPr>
            <w:r>
              <w:rPr>
                <w:rFonts w:hint="eastAsia" w:ascii="宋体" w:hAnsi="宋体" w:eastAsia="宋体" w:cs="宋体"/>
                <w:b/>
                <w:bCs/>
                <w:color w:val="auto"/>
                <w:szCs w:val="21"/>
                <w:highlight w:val="none"/>
                <w:lang w:val="zh-CN"/>
              </w:rPr>
              <w:t>注：以上各项评审标准，有一项不合格，即被否决，不再进入后续响应性评审。</w:t>
            </w:r>
          </w:p>
        </w:tc>
      </w:tr>
      <w:tr w14:paraId="5DFB4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8" w:hRule="atLeast"/>
          <w:jc w:val="center"/>
        </w:trPr>
        <w:tc>
          <w:tcPr>
            <w:tcW w:w="698" w:type="dxa"/>
            <w:vMerge w:val="restart"/>
            <w:vAlign w:val="center"/>
          </w:tcPr>
          <w:p w14:paraId="1C0A4F2C">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2.1.3</w:t>
            </w:r>
          </w:p>
        </w:tc>
        <w:tc>
          <w:tcPr>
            <w:tcW w:w="808" w:type="dxa"/>
            <w:vMerge w:val="restart"/>
            <w:vAlign w:val="center"/>
          </w:tcPr>
          <w:p w14:paraId="528C1191">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响应性评审标准</w:t>
            </w:r>
          </w:p>
        </w:tc>
        <w:tc>
          <w:tcPr>
            <w:tcW w:w="2024" w:type="dxa"/>
            <w:vAlign w:val="center"/>
          </w:tcPr>
          <w:p w14:paraId="628AC58F">
            <w:pPr>
              <w:autoSpaceDE w:val="0"/>
              <w:autoSpaceDN w:val="0"/>
              <w:adjustRightInd w:val="0"/>
              <w:snapToGrid w:val="0"/>
              <w:jc w:val="center"/>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lang w:val="zh-CN"/>
              </w:rPr>
              <w:t>投标报价</w:t>
            </w:r>
          </w:p>
        </w:tc>
        <w:tc>
          <w:tcPr>
            <w:tcW w:w="6636" w:type="dxa"/>
            <w:vAlign w:val="center"/>
          </w:tcPr>
          <w:p w14:paraId="00C9EFA5">
            <w:pPr>
              <w:autoSpaceDE w:val="0"/>
              <w:autoSpaceDN w:val="0"/>
              <w:adjustRightInd w:val="0"/>
              <w:snapToGrid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供应商的</w:t>
            </w:r>
            <w:r>
              <w:rPr>
                <w:rFonts w:hint="eastAsia" w:ascii="宋体" w:hAnsi="宋体" w:eastAsia="宋体" w:cs="宋体"/>
                <w:color w:val="auto"/>
                <w:szCs w:val="21"/>
                <w:highlight w:val="none"/>
                <w:lang w:val="zh-CN"/>
              </w:rPr>
              <w:t>投标报价</w:t>
            </w:r>
            <w:r>
              <w:rPr>
                <w:rFonts w:hint="eastAsia" w:ascii="宋体" w:hAnsi="宋体" w:eastAsia="宋体" w:cs="宋体"/>
                <w:bCs/>
                <w:color w:val="auto"/>
                <w:szCs w:val="21"/>
                <w:highlight w:val="none"/>
              </w:rPr>
              <w:t>不得超过最高投标限价，不得低于成本价。</w:t>
            </w:r>
          </w:p>
        </w:tc>
      </w:tr>
      <w:tr w14:paraId="74F43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0BF70E22">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1FE5E0DB">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50EFF55E">
            <w:pPr>
              <w:autoSpaceDE w:val="0"/>
              <w:autoSpaceDN w:val="0"/>
              <w:adjustRightInd w:val="0"/>
              <w:snapToGrid w:val="0"/>
              <w:jc w:val="center"/>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lang w:val="zh-CN"/>
              </w:rPr>
              <w:t>报价方案</w:t>
            </w:r>
          </w:p>
        </w:tc>
        <w:tc>
          <w:tcPr>
            <w:tcW w:w="6636" w:type="dxa"/>
            <w:vAlign w:val="center"/>
          </w:tcPr>
          <w:p w14:paraId="20A4FFC0">
            <w:pPr>
              <w:autoSpaceDE w:val="0"/>
              <w:autoSpaceDN w:val="0"/>
              <w:adjustRightInd w:val="0"/>
              <w:snapToGrid w:val="0"/>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rPr>
              <w:t>符合本项目实际情况，未</w:t>
            </w:r>
            <w:r>
              <w:rPr>
                <w:rFonts w:hint="eastAsia" w:ascii="宋体" w:hAnsi="宋体" w:eastAsia="宋体" w:cs="宋体"/>
                <w:color w:val="auto"/>
                <w:szCs w:val="21"/>
                <w:highlight w:val="none"/>
                <w:lang w:val="zh-CN"/>
              </w:rPr>
              <w:t>提报了两个或两个以上报价方案。</w:t>
            </w:r>
          </w:p>
        </w:tc>
      </w:tr>
      <w:tr w14:paraId="6CBD9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2" w:hRule="atLeast"/>
          <w:jc w:val="center"/>
        </w:trPr>
        <w:tc>
          <w:tcPr>
            <w:tcW w:w="698" w:type="dxa"/>
            <w:vMerge w:val="continue"/>
            <w:vAlign w:val="center"/>
          </w:tcPr>
          <w:p w14:paraId="573308FA">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5BEC50A3">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13DE53AF">
            <w:pPr>
              <w:autoSpaceDE w:val="0"/>
              <w:autoSpaceDN w:val="0"/>
              <w:adjustRightInd w:val="0"/>
              <w:snapToGrid w:val="0"/>
              <w:jc w:val="center"/>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lang w:val="zh-CN"/>
              </w:rPr>
              <w:t>质量标准</w:t>
            </w:r>
          </w:p>
        </w:tc>
        <w:tc>
          <w:tcPr>
            <w:tcW w:w="6636" w:type="dxa"/>
            <w:vAlign w:val="center"/>
          </w:tcPr>
          <w:p w14:paraId="533D2B94">
            <w:pPr>
              <w:autoSpaceDE w:val="0"/>
              <w:autoSpaceDN w:val="0"/>
              <w:adjustRightInd w:val="0"/>
              <w:snapToGrid w:val="0"/>
              <w:rPr>
                <w:rFonts w:hint="eastAsia" w:ascii="宋体" w:hAnsi="宋体" w:eastAsia="宋体" w:cs="宋体"/>
                <w:color w:val="auto"/>
                <w:szCs w:val="21"/>
                <w:highlight w:val="none"/>
              </w:rPr>
            </w:pPr>
            <w:r>
              <w:rPr>
                <w:rFonts w:hint="eastAsia" w:ascii="宋体" w:hAnsi="宋体" w:eastAsia="宋体" w:cs="宋体"/>
                <w:color w:val="auto"/>
                <w:szCs w:val="21"/>
                <w:highlight w:val="none"/>
              </w:rPr>
              <w:t>验收产品必须符合国家及地方有关标准规定。</w:t>
            </w:r>
          </w:p>
        </w:tc>
      </w:tr>
      <w:tr w14:paraId="2E958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1" w:hRule="atLeast"/>
          <w:jc w:val="center"/>
        </w:trPr>
        <w:tc>
          <w:tcPr>
            <w:tcW w:w="698" w:type="dxa"/>
            <w:vMerge w:val="continue"/>
            <w:vAlign w:val="center"/>
          </w:tcPr>
          <w:p w14:paraId="41A7C5C0">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5C5A2799">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09ADF20D">
            <w:pPr>
              <w:autoSpaceDE w:val="0"/>
              <w:autoSpaceDN w:val="0"/>
              <w:adjustRightInd w:val="0"/>
              <w:snapToGrid w:val="0"/>
              <w:jc w:val="center"/>
              <w:rPr>
                <w:rFonts w:hint="eastAsia" w:ascii="宋体" w:hAnsi="宋体" w:eastAsia="宋体" w:cs="宋体"/>
                <w:bCs/>
                <w:color w:val="auto"/>
                <w:szCs w:val="21"/>
                <w:highlight w:val="none"/>
              </w:rPr>
            </w:pPr>
            <w:r>
              <w:rPr>
                <w:rFonts w:hint="eastAsia" w:ascii="宋体" w:hAnsi="宋体" w:eastAsia="宋体" w:cs="宋体"/>
                <w:bCs/>
                <w:snapToGrid w:val="0"/>
                <w:color w:val="auto"/>
                <w:szCs w:val="21"/>
                <w:highlight w:val="none"/>
              </w:rPr>
              <w:t>合同履行期限</w:t>
            </w:r>
          </w:p>
        </w:tc>
        <w:tc>
          <w:tcPr>
            <w:tcW w:w="6636" w:type="dxa"/>
            <w:vAlign w:val="center"/>
          </w:tcPr>
          <w:p w14:paraId="712B8B8D">
            <w:pPr>
              <w:autoSpaceDE w:val="0"/>
              <w:autoSpaceDN w:val="0"/>
              <w:adjustRightInd w:val="0"/>
              <w:snapToGrid w:val="0"/>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自合同签订之日起90日供货并安装调试验收合格。</w:t>
            </w:r>
          </w:p>
        </w:tc>
      </w:tr>
      <w:tr w14:paraId="5DB60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3A7DC6B2">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063C7807">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58D56475">
            <w:pPr>
              <w:autoSpaceDE w:val="0"/>
              <w:autoSpaceDN w:val="0"/>
              <w:adjustRightInd w:val="0"/>
              <w:snapToGrid w:val="0"/>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投标有效期</w:t>
            </w:r>
          </w:p>
        </w:tc>
        <w:tc>
          <w:tcPr>
            <w:tcW w:w="6636" w:type="dxa"/>
            <w:vAlign w:val="center"/>
          </w:tcPr>
          <w:p w14:paraId="0D7BB406">
            <w:pPr>
              <w:autoSpaceDE w:val="0"/>
              <w:autoSpaceDN w:val="0"/>
              <w:adjustRightInd w:val="0"/>
              <w:snapToGrid w:val="0"/>
              <w:rPr>
                <w:rFonts w:hint="eastAsia" w:ascii="宋体" w:hAnsi="宋体" w:eastAsia="宋体" w:cs="宋体"/>
                <w:bCs/>
                <w:color w:val="auto"/>
                <w:szCs w:val="21"/>
                <w:highlight w:val="none"/>
              </w:rPr>
            </w:pPr>
            <w:r>
              <w:rPr>
                <w:rFonts w:hint="eastAsia" w:ascii="宋体" w:hAnsi="宋体" w:eastAsia="宋体" w:cs="宋体"/>
                <w:bCs/>
                <w:color w:val="auto"/>
                <w:szCs w:val="21"/>
                <w:highlight w:val="none"/>
              </w:rPr>
              <w:t>90天。</w:t>
            </w:r>
          </w:p>
        </w:tc>
      </w:tr>
      <w:tr w14:paraId="75441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2AB6DD5C">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4456D508">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5237801A">
            <w:pPr>
              <w:autoSpaceDE w:val="0"/>
              <w:autoSpaceDN w:val="0"/>
              <w:adjustRightInd w:val="0"/>
              <w:snapToGrid w:val="0"/>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投标保证金</w:t>
            </w:r>
          </w:p>
        </w:tc>
        <w:tc>
          <w:tcPr>
            <w:tcW w:w="6636" w:type="dxa"/>
            <w:vAlign w:val="center"/>
          </w:tcPr>
          <w:p w14:paraId="363A4A60">
            <w:pPr>
              <w:autoSpaceDE w:val="0"/>
              <w:autoSpaceDN w:val="0"/>
              <w:adjustRightInd w:val="0"/>
              <w:snapToGrid w:val="0"/>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rPr>
              <w:t>符合招标文件规定。</w:t>
            </w:r>
          </w:p>
        </w:tc>
      </w:tr>
      <w:tr w14:paraId="0326ED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5" w:hRule="atLeast"/>
          <w:jc w:val="center"/>
        </w:trPr>
        <w:tc>
          <w:tcPr>
            <w:tcW w:w="698" w:type="dxa"/>
            <w:vMerge w:val="continue"/>
            <w:vAlign w:val="center"/>
          </w:tcPr>
          <w:p w14:paraId="4F755A02">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640ADE1C">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0FF7BAC8">
            <w:pPr>
              <w:autoSpaceDE w:val="0"/>
              <w:autoSpaceDN w:val="0"/>
              <w:adjustRightInd w:val="0"/>
              <w:snapToGrid w:val="0"/>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权利义务</w:t>
            </w:r>
          </w:p>
        </w:tc>
        <w:tc>
          <w:tcPr>
            <w:tcW w:w="6636" w:type="dxa"/>
            <w:vAlign w:val="center"/>
          </w:tcPr>
          <w:p w14:paraId="2DC53FA2">
            <w:pPr>
              <w:autoSpaceDE w:val="0"/>
              <w:autoSpaceDN w:val="0"/>
              <w:adjustRightInd w:val="0"/>
              <w:snapToGrid w:val="0"/>
              <w:rPr>
                <w:rFonts w:hint="eastAsia" w:ascii="宋体" w:hAnsi="宋体" w:eastAsia="宋体" w:cs="宋体"/>
                <w:bCs/>
                <w:color w:val="auto"/>
                <w:szCs w:val="21"/>
                <w:highlight w:val="none"/>
                <w:lang w:val="zh-CN"/>
              </w:rPr>
            </w:pPr>
            <w:r>
              <w:rPr>
                <w:rFonts w:hint="eastAsia" w:ascii="宋体" w:hAnsi="宋体" w:eastAsia="宋体" w:cs="宋体"/>
                <w:color w:val="auto"/>
                <w:szCs w:val="21"/>
                <w:highlight w:val="none"/>
              </w:rPr>
              <w:t>符合招标文件规定。</w:t>
            </w:r>
          </w:p>
        </w:tc>
      </w:tr>
      <w:tr w14:paraId="544483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1" w:hRule="atLeast"/>
          <w:jc w:val="center"/>
        </w:trPr>
        <w:tc>
          <w:tcPr>
            <w:tcW w:w="698" w:type="dxa"/>
            <w:vMerge w:val="continue"/>
            <w:vAlign w:val="center"/>
          </w:tcPr>
          <w:p w14:paraId="076FB563">
            <w:pPr>
              <w:autoSpaceDE w:val="0"/>
              <w:autoSpaceDN w:val="0"/>
              <w:adjustRightInd w:val="0"/>
              <w:snapToGrid w:val="0"/>
              <w:jc w:val="center"/>
              <w:rPr>
                <w:rFonts w:hint="eastAsia" w:ascii="宋体" w:hAnsi="宋体" w:eastAsia="宋体" w:cs="宋体"/>
                <w:color w:val="auto"/>
                <w:szCs w:val="21"/>
                <w:highlight w:val="none"/>
                <w:lang w:val="zh-CN"/>
              </w:rPr>
            </w:pPr>
          </w:p>
        </w:tc>
        <w:tc>
          <w:tcPr>
            <w:tcW w:w="808" w:type="dxa"/>
            <w:vMerge w:val="continue"/>
            <w:vAlign w:val="center"/>
          </w:tcPr>
          <w:p w14:paraId="638E4652">
            <w:pPr>
              <w:autoSpaceDE w:val="0"/>
              <w:autoSpaceDN w:val="0"/>
              <w:adjustRightInd w:val="0"/>
              <w:snapToGrid w:val="0"/>
              <w:jc w:val="center"/>
              <w:rPr>
                <w:rFonts w:hint="eastAsia" w:ascii="宋体" w:hAnsi="宋体" w:eastAsia="宋体" w:cs="宋体"/>
                <w:color w:val="auto"/>
                <w:szCs w:val="21"/>
                <w:highlight w:val="none"/>
                <w:lang w:val="zh-CN"/>
              </w:rPr>
            </w:pPr>
          </w:p>
        </w:tc>
        <w:tc>
          <w:tcPr>
            <w:tcW w:w="2024" w:type="dxa"/>
            <w:vAlign w:val="center"/>
          </w:tcPr>
          <w:p w14:paraId="642CA0D4">
            <w:pPr>
              <w:autoSpaceDE w:val="0"/>
              <w:autoSpaceDN w:val="0"/>
              <w:adjustRightInd w:val="0"/>
              <w:snapToGrid w:val="0"/>
              <w:jc w:val="center"/>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rPr>
              <w:t>采购需求</w:t>
            </w:r>
          </w:p>
        </w:tc>
        <w:tc>
          <w:tcPr>
            <w:tcW w:w="6636" w:type="dxa"/>
            <w:vAlign w:val="center"/>
          </w:tcPr>
          <w:p w14:paraId="1F22C8E6">
            <w:pPr>
              <w:autoSpaceDE w:val="0"/>
              <w:autoSpaceDN w:val="0"/>
              <w:adjustRightInd w:val="0"/>
              <w:snapToGrid w:val="0"/>
              <w:rPr>
                <w:rFonts w:hint="eastAsia" w:ascii="宋体" w:hAnsi="宋体" w:eastAsia="宋体" w:cs="宋体"/>
                <w:bCs/>
                <w:color w:val="auto"/>
                <w:szCs w:val="21"/>
                <w:highlight w:val="none"/>
                <w:lang w:val="zh-CN"/>
              </w:rPr>
            </w:pPr>
            <w:r>
              <w:rPr>
                <w:rFonts w:hint="eastAsia" w:ascii="宋体" w:hAnsi="宋体" w:eastAsia="宋体" w:cs="宋体"/>
                <w:bCs/>
                <w:color w:val="auto"/>
                <w:szCs w:val="21"/>
                <w:highlight w:val="none"/>
                <w:lang w:val="zh-CN"/>
              </w:rPr>
              <w:t>符合</w:t>
            </w:r>
            <w:r>
              <w:rPr>
                <w:rFonts w:hint="eastAsia" w:ascii="宋体" w:hAnsi="宋体" w:eastAsia="宋体" w:cs="宋体"/>
                <w:color w:val="auto"/>
                <w:szCs w:val="21"/>
                <w:highlight w:val="none"/>
              </w:rPr>
              <w:t>招标文件</w:t>
            </w:r>
            <w:r>
              <w:rPr>
                <w:rFonts w:hint="eastAsia" w:ascii="宋体" w:hAnsi="宋体" w:eastAsia="宋体" w:cs="宋体"/>
                <w:bCs/>
                <w:color w:val="auto"/>
                <w:szCs w:val="21"/>
                <w:highlight w:val="none"/>
                <w:lang w:val="zh-CN"/>
              </w:rPr>
              <w:t>“</w:t>
            </w:r>
            <w:r>
              <w:rPr>
                <w:rFonts w:hint="eastAsia" w:ascii="宋体" w:hAnsi="宋体" w:eastAsia="宋体" w:cs="宋体"/>
                <w:bCs/>
                <w:color w:val="auto"/>
                <w:szCs w:val="21"/>
                <w:highlight w:val="none"/>
              </w:rPr>
              <w:t>*采购需求</w:t>
            </w:r>
            <w:r>
              <w:rPr>
                <w:rFonts w:hint="eastAsia" w:ascii="宋体" w:hAnsi="宋体" w:eastAsia="宋体" w:cs="宋体"/>
                <w:bCs/>
                <w:color w:val="auto"/>
                <w:szCs w:val="21"/>
                <w:highlight w:val="none"/>
                <w:lang w:val="zh-CN"/>
              </w:rPr>
              <w:t>”的规定。</w:t>
            </w:r>
          </w:p>
          <w:p w14:paraId="1481D7E7">
            <w:pPr>
              <w:spacing w:after="120"/>
              <w:rPr>
                <w:rFonts w:hint="eastAsia" w:ascii="宋体" w:hAnsi="宋体" w:eastAsia="宋体" w:cs="宋体"/>
                <w:bCs/>
                <w:color w:val="auto"/>
                <w:szCs w:val="21"/>
                <w:highlight w:val="none"/>
                <w:lang w:val="zh-CN"/>
              </w:rPr>
            </w:pPr>
            <w:r>
              <w:rPr>
                <w:rFonts w:hint="eastAsia" w:ascii="宋体" w:hAnsi="宋体" w:eastAsia="宋体" w:cs="宋体"/>
                <w:b/>
                <w:color w:val="auto"/>
                <w:szCs w:val="21"/>
                <w:highlight w:val="none"/>
                <w:lang w:val="zh-CN"/>
              </w:rPr>
              <w:t>标注“</w:t>
            </w:r>
            <w:r>
              <w:rPr>
                <w:rFonts w:hint="eastAsia" w:ascii="宋体" w:hAnsi="宋体" w:eastAsia="宋体" w:cs="宋体"/>
                <w:b/>
                <w:color w:val="auto"/>
                <w:szCs w:val="21"/>
                <w:highlight w:val="none"/>
              </w:rPr>
              <w:t>*</w:t>
            </w:r>
            <w:r>
              <w:rPr>
                <w:rFonts w:hint="eastAsia" w:ascii="宋体" w:hAnsi="宋体" w:eastAsia="宋体" w:cs="宋体"/>
                <w:b/>
                <w:color w:val="auto"/>
                <w:szCs w:val="21"/>
                <w:highlight w:val="none"/>
                <w:lang w:val="zh-CN"/>
              </w:rPr>
              <w:t>”号的</w:t>
            </w:r>
            <w:r>
              <w:rPr>
                <w:rFonts w:hint="eastAsia" w:ascii="宋体" w:hAnsi="宋体" w:eastAsia="宋体" w:cs="宋体"/>
                <w:b/>
                <w:color w:val="auto"/>
                <w:szCs w:val="21"/>
                <w:highlight w:val="none"/>
              </w:rPr>
              <w:t>为实质性要求，不允许有负偏离；若负偏离，按投标文件无效处理。</w:t>
            </w:r>
          </w:p>
        </w:tc>
      </w:tr>
      <w:tr w14:paraId="4F8CF7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3" w:hRule="atLeast"/>
          <w:jc w:val="center"/>
        </w:trPr>
        <w:tc>
          <w:tcPr>
            <w:tcW w:w="10166" w:type="dxa"/>
            <w:gridSpan w:val="4"/>
            <w:vAlign w:val="center"/>
          </w:tcPr>
          <w:p w14:paraId="6369090C">
            <w:pPr>
              <w:autoSpaceDE w:val="0"/>
              <w:autoSpaceDN w:val="0"/>
              <w:adjustRightInd w:val="0"/>
              <w:snapToGrid w:val="0"/>
              <w:jc w:val="left"/>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zh-CN"/>
              </w:rPr>
              <w:t>注：以上各项评审标准，有一项不合格，即被否决，不再进入后续</w:t>
            </w:r>
            <w:r>
              <w:rPr>
                <w:rFonts w:hint="eastAsia" w:ascii="宋体" w:hAnsi="宋体" w:eastAsia="宋体" w:cs="宋体"/>
                <w:color w:val="auto"/>
                <w:szCs w:val="21"/>
                <w:highlight w:val="none"/>
              </w:rPr>
              <w:t>技术</w:t>
            </w:r>
            <w:r>
              <w:rPr>
                <w:rFonts w:hint="eastAsia" w:ascii="宋体" w:hAnsi="宋体" w:eastAsia="宋体" w:cs="宋体"/>
                <w:color w:val="auto"/>
                <w:szCs w:val="21"/>
                <w:highlight w:val="none"/>
                <w:lang w:val="zh-CN"/>
              </w:rPr>
              <w:t>评审。</w:t>
            </w:r>
          </w:p>
        </w:tc>
      </w:tr>
    </w:tbl>
    <w:p w14:paraId="6E107F36">
      <w:pPr>
        <w:ind w:firstLine="422" w:firstLineChars="200"/>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bidi="ar"/>
        </w:rPr>
        <w:t>表中符合评审内容要求的写“ √ ”，不符合评审内容要求的写“ × ”。结论为“合 格”或“不合格” 。结论不合格的不进入下一评审阶段</w:t>
      </w:r>
    </w:p>
    <w:p w14:paraId="09ED305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注：（1）供应商或其投标文件不符合上述情况之一的，则符合性审查不合格，不进入详细评审；</w:t>
      </w:r>
    </w:p>
    <w:p w14:paraId="6B63EE24">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（2）符合性审查结束后，合格的供应商进入详细评审。</w:t>
      </w:r>
    </w:p>
    <w:p w14:paraId="73B3BCEF">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除此之外的内容，不作为本次资格审查及符合性审查的内容。</w:t>
      </w:r>
    </w:p>
    <w:p w14:paraId="5163FF5B">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投标文件属下列情况之一的，应当在资格性、符合性审查时按照无效投标处理：</w:t>
      </w:r>
    </w:p>
    <w:p w14:paraId="04481A82">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一) 未按照招标文件的规定提交投标保证金的；</w:t>
      </w:r>
    </w:p>
    <w:p w14:paraId="5D2D9589">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(二) 投标文件未按招标文件要求签署、盖章的；</w:t>
      </w:r>
    </w:p>
    <w:p w14:paraId="38CE9E55">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(三) 不具备招标文件中规定资格要求的；</w:t>
      </w:r>
    </w:p>
    <w:p w14:paraId="699CFC7E">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(四) 报价超过招标文件中规定的预算金额或者最高限价的；</w:t>
      </w:r>
    </w:p>
    <w:p w14:paraId="468F50E7">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(五) 投标文件含有采购人不能接受的附加条件的；</w:t>
      </w:r>
    </w:p>
    <w:p w14:paraId="031F93AD">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(六) 法律、法规和招标文件规定的其他无效情形。</w:t>
      </w:r>
    </w:p>
    <w:p w14:paraId="6D70FA95">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审查投标人是否存在串通投标行为：评标委员会发现有下列情形之一的，视为投标人串通投标，其投标无效：</w:t>
      </w:r>
    </w:p>
    <w:p w14:paraId="224A22D0">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一、有下列情形之一的，属于投标人相互串通投标：</w:t>
      </w:r>
    </w:p>
    <w:p w14:paraId="112659B6">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(一) 投标人之间协商投标报价等投标文件的实质性内容；</w:t>
      </w:r>
    </w:p>
    <w:p w14:paraId="074C4DEC">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(二) 投标人之间约定中标人；</w:t>
      </w:r>
    </w:p>
    <w:p w14:paraId="1556100F">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(三) 投标人之间约定部分投标人放弃投标或者中标；</w:t>
      </w:r>
    </w:p>
    <w:p w14:paraId="21B2C134">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(四) 属于同一集团、协会、商会等组织成员的投标人按照该组织要求协同投标；</w:t>
      </w:r>
    </w:p>
    <w:p w14:paraId="61AAB2BE">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(五) 投标人之间为谋取中标或者排斥特定投标人而采取的其他联合行动。</w:t>
      </w:r>
    </w:p>
    <w:p w14:paraId="6C980E78">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二、有下列情形之一的，视为投标人相互串通投标：</w:t>
      </w:r>
    </w:p>
    <w:p w14:paraId="206FFD91">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 一) 不同投标人的投标文件由同一单位或者个人编制；</w:t>
      </w:r>
    </w:p>
    <w:p w14:paraId="035F73C7">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(二) 不同投标人委托同一单位或者个人办理投标事宜；</w:t>
      </w:r>
    </w:p>
    <w:p w14:paraId="7FE9536F">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(三) 不同投标人的投标文件载明的项目管理成员为同一人；</w:t>
      </w:r>
    </w:p>
    <w:p w14:paraId="3532C7BB">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(四) 不同投标人的投标文件异常一致或者投标报价呈规律性差异；</w:t>
      </w:r>
    </w:p>
    <w:p w14:paraId="782514E4">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(五) 不同投标人的投标文件相互混装；</w:t>
      </w:r>
    </w:p>
    <w:p w14:paraId="419F655D">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(六) 不同投标人的投标保证金从同一单位或者个人的账户转出；</w:t>
      </w:r>
    </w:p>
    <w:p w14:paraId="1B00886A">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(七)  《关于禁止串通招标投标行为的暂行规定》  (国家工商行政管理局令第 82 号) 第三条规定的串通投标行为；</w:t>
      </w:r>
    </w:p>
    <w:p w14:paraId="7E7E05FF">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(八) 投标人串通投标的其他情形。</w:t>
      </w:r>
    </w:p>
    <w:p w14:paraId="43B91062">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三、有下列情形之一的，属于招标人与投标人串通投标：</w:t>
      </w:r>
    </w:p>
    <w:p w14:paraId="2DB6461C">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(一) 招标人在开标前开启投标文件并将有关信息泄露给其他投标人;</w:t>
      </w:r>
    </w:p>
    <w:p w14:paraId="44AC7717">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(二) 招标人直接或者间接向投标人泄露标底、评标委员会成员等信息；</w:t>
      </w:r>
    </w:p>
    <w:p w14:paraId="27617BCF">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(三) 招标人明示或者暗示投标人压低或者抬高投标报价；</w:t>
      </w:r>
    </w:p>
    <w:p w14:paraId="61D76E7E">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(四) 招标人授意投标人撤换、修改投标文件；</w:t>
      </w:r>
    </w:p>
    <w:p w14:paraId="20B6BDC1">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(五) 招标人明示或者暗示投标人为特定投标人中标提供方便；</w:t>
      </w:r>
    </w:p>
    <w:p w14:paraId="1D9A50C2">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(六) 招标人与投标人为谋求特定投标人中标而采取的其他串通行为。</w:t>
      </w:r>
    </w:p>
    <w:p w14:paraId="4418EC6E">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注：经评标委员会评审合格投标商的家数不足三家，该项目废标，采购人有权委托采购代理机构重新组织招标。</w:t>
      </w:r>
    </w:p>
    <w:p w14:paraId="0B331C85">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3.2 澄清有关问题。对投标文件中含义不明确、同类问题表述不一致或者有明显文字和计算错误的内容，评标委员会可以书面形式要求投标人做出必要的澄清、说明或者纠正。投标人的澄清、说明或者补正不得超出投标文件的范围或者改变投标文件的实质性内容。投标人的澄清、说明或者补正应当采用书面形式，由投标人单位负责人或其授权代理人签字(须提交签字人身份证件并与投标文件签字人一致) ，并不得超出投标文件的范围或者改变投标文件的实质性内容。投标人拒不进行澄清、说明、补正的，或者不能在规定时间内作出书面澄清、说明、补正的，评标委员会将按最不利于投标人的方式处理。</w:t>
      </w:r>
    </w:p>
    <w:p w14:paraId="42D9C4A7">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3.2.1 评标委员会将允许修正投标文件中不构成重大偏离的细微偏离，但这些修正应不会对实质上响应招标文件要求的投标人的竞争地位 (相互排序) 产生不公正的影响。</w:t>
      </w:r>
    </w:p>
    <w:p w14:paraId="375A0632">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3.2.2 投标文件报价出现前后不一致的，除招标文件另有规定外，按照下列规定修正：(一) 投标文件中开标一览表内容与投标文件中相应内容不一致的，以开标一览表为准；  (二) 大写金额和小写金额不一致的，以大写金额为准；  (三) 单价金额小数点或者百分比有明显错位的，以开标一览表的总价为准，并修改单价；  (四) 总价金额与按单价汇总金额不一致的，以单价金额计算结果为准。同时出现两种以上不一致的，按照规定的顺序修正。修正后的报价经投标人确认后产生约束力，投标人不确认的，其投标无效。</w:t>
      </w:r>
    </w:p>
    <w:p w14:paraId="13AC899A">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3.2.3 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5D279FD3">
      <w:pPr>
        <w:autoSpaceDN w:val="0"/>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3.3 评标委员会应当按照招标文件中规定的评标方法和标准，对符合性审查合格的投标文件进行商务和技术评估，综合比较与评价。</w:t>
      </w:r>
    </w:p>
    <w:p w14:paraId="6E388BEA">
      <w:pPr>
        <w:rPr>
          <w:rFonts w:hint="eastAsia" w:ascii="宋体" w:hAnsi="宋体" w:eastAsia="宋体" w:cs="宋体"/>
          <w:color w:val="auto"/>
          <w:sz w:val="24"/>
          <w:highlight w:val="none"/>
        </w:rPr>
        <w:sectPr>
          <w:footerReference r:id="rId3" w:type="default"/>
          <w:pgSz w:w="11906" w:h="16839"/>
          <w:pgMar w:top="1440" w:right="1485" w:bottom="1440" w:left="1180" w:header="1" w:footer="660" w:gutter="1"/>
          <w:cols w:space="425" w:num="1"/>
          <w:docGrid w:type="lines" w:linePitch="312" w:charSpace="0"/>
        </w:sectPr>
      </w:pPr>
    </w:p>
    <w:p w14:paraId="1E5EAB5B">
      <w:pPr>
        <w:pStyle w:val="21"/>
        <w:spacing w:before="0" w:after="0"/>
        <w:outlineLvl w:val="1"/>
        <w:rPr>
          <w:rFonts w:hint="eastAsia" w:ascii="宋体" w:hAnsi="宋体" w:eastAsia="宋体" w:cs="宋体"/>
          <w:color w:val="auto"/>
          <w:sz w:val="24"/>
          <w:szCs w:val="24"/>
          <w:highlight w:val="none"/>
          <w:lang w:val="zh-CN"/>
        </w:rPr>
      </w:pPr>
      <w:bookmarkStart w:id="21" w:name="_Toc26006"/>
      <w:bookmarkStart w:id="22" w:name="_Toc30024"/>
      <w:r>
        <w:rPr>
          <w:rFonts w:hint="eastAsia" w:ascii="宋体" w:hAnsi="宋体" w:eastAsia="宋体" w:cs="宋体"/>
          <w:color w:val="auto"/>
          <w:sz w:val="24"/>
          <w:szCs w:val="24"/>
          <w:highlight w:val="none"/>
          <w:lang w:val="zh-CN"/>
        </w:rPr>
        <w:t>评标办法前附表（二）</w:t>
      </w:r>
      <w:bookmarkEnd w:id="21"/>
      <w:bookmarkEnd w:id="22"/>
    </w:p>
    <w:p w14:paraId="30E07E3A">
      <w:pPr>
        <w:pStyle w:val="3"/>
        <w:spacing w:line="240" w:lineRule="auto"/>
        <w:jc w:val="center"/>
        <w:rPr>
          <w:rFonts w:hint="eastAsia" w:ascii="宋体" w:hAnsi="宋体" w:eastAsia="宋体" w:cs="宋体"/>
          <w:color w:val="auto"/>
          <w:highlight w:val="none"/>
        </w:rPr>
      </w:pPr>
      <w:r>
        <w:rPr>
          <w:rFonts w:hint="eastAsia" w:ascii="宋体" w:hAnsi="宋体" w:eastAsia="宋体" w:cs="宋体"/>
          <w:color w:val="auto"/>
          <w:sz w:val="24"/>
          <w:highlight w:val="none"/>
        </w:rPr>
        <w:t>综合评分法</w:t>
      </w:r>
    </w:p>
    <w:tbl>
      <w:tblPr>
        <w:tblStyle w:val="24"/>
        <w:tblW w:w="92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03"/>
        <w:gridCol w:w="7612"/>
      </w:tblGrid>
      <w:tr w14:paraId="42F5F5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15" w:type="dxa"/>
            <w:gridSpan w:val="2"/>
            <w:vAlign w:val="center"/>
          </w:tcPr>
          <w:p w14:paraId="2F574B71">
            <w:pPr>
              <w:tabs>
                <w:tab w:val="left" w:pos="0"/>
              </w:tabs>
              <w:rPr>
                <w:rFonts w:ascii="Times New Roman" w:hAnsi="Times New Roman"/>
                <w:color w:val="auto"/>
                <w:szCs w:val="21"/>
                <w:highlight w:val="none"/>
              </w:rPr>
            </w:pPr>
            <w:r>
              <w:rPr>
                <w:rFonts w:ascii="Times New Roman" w:hAnsi="Times New Roman"/>
                <w:color w:val="auto"/>
                <w:szCs w:val="21"/>
                <w:highlight w:val="none"/>
              </w:rPr>
              <w:t>1. 商务部分（</w:t>
            </w:r>
            <w:r>
              <w:rPr>
                <w:rFonts w:hint="eastAsia"/>
                <w:color w:val="auto"/>
                <w:szCs w:val="21"/>
                <w:highlight w:val="none"/>
              </w:rPr>
              <w:t>14</w:t>
            </w:r>
            <w:r>
              <w:rPr>
                <w:rFonts w:ascii="Times New Roman" w:hAnsi="Times New Roman"/>
                <w:color w:val="auto"/>
                <w:szCs w:val="21"/>
                <w:highlight w:val="none"/>
              </w:rPr>
              <w:t>分）</w:t>
            </w:r>
          </w:p>
        </w:tc>
      </w:tr>
      <w:tr w14:paraId="477FD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1603" w:type="dxa"/>
            <w:vAlign w:val="center"/>
          </w:tcPr>
          <w:p w14:paraId="70E1E6CB">
            <w:pPr>
              <w:tabs>
                <w:tab w:val="left" w:pos="0"/>
              </w:tabs>
              <w:jc w:val="center"/>
              <w:rPr>
                <w:rFonts w:hint="eastAsia" w:ascii="宋体" w:hAnsi="宋体" w:cs="宋体"/>
                <w:color w:val="auto"/>
                <w:szCs w:val="21"/>
                <w:highlight w:val="none"/>
              </w:rPr>
            </w:pPr>
            <w:r>
              <w:rPr>
                <w:rFonts w:hint="eastAsia" w:ascii="宋体" w:hAnsi="宋体" w:cs="宋体"/>
                <w:color w:val="auto"/>
                <w:szCs w:val="21"/>
                <w:highlight w:val="none"/>
              </w:rPr>
              <w:t>1.1体系认证（0-2分）</w:t>
            </w:r>
          </w:p>
        </w:tc>
        <w:tc>
          <w:tcPr>
            <w:tcW w:w="7612" w:type="dxa"/>
            <w:vAlign w:val="center"/>
          </w:tcPr>
          <w:p w14:paraId="255FF95A">
            <w:pPr>
              <w:rPr>
                <w:rFonts w:hint="eastAsia" w:ascii="宋体" w:hAnsi="宋体" w:cs="宋体"/>
                <w:color w:val="auto"/>
                <w:szCs w:val="21"/>
                <w:highlight w:val="none"/>
              </w:rPr>
            </w:pPr>
            <w:r>
              <w:rPr>
                <w:rFonts w:hint="eastAsia" w:ascii="宋体" w:hAnsi="宋体" w:cs="宋体"/>
                <w:color w:val="auto"/>
                <w:szCs w:val="21"/>
                <w:highlight w:val="none"/>
              </w:rPr>
              <w:t>投标人提供有效的</w:t>
            </w:r>
          </w:p>
          <w:p w14:paraId="6DEDB20E">
            <w:pPr>
              <w:tabs>
                <w:tab w:val="left" w:pos="0"/>
              </w:tabs>
              <w:jc w:val="left"/>
              <w:rPr>
                <w:rFonts w:hint="eastAsia" w:ascii="宋体" w:hAnsi="宋体" w:cs="宋体"/>
                <w:color w:val="auto"/>
                <w:szCs w:val="21"/>
                <w:highlight w:val="none"/>
              </w:rPr>
            </w:pPr>
            <w:r>
              <w:rPr>
                <w:rFonts w:hint="eastAsia" w:ascii="宋体" w:hAnsi="宋体" w:cs="宋体"/>
                <w:color w:val="auto"/>
                <w:spacing w:val="14"/>
                <w:szCs w:val="21"/>
                <w:highlight w:val="none"/>
              </w:rPr>
              <w:t>质量管理体系认证证书、环境管理体系认证证书</w:t>
            </w:r>
            <w:r>
              <w:rPr>
                <w:rFonts w:hint="eastAsia" w:ascii="宋体" w:hAnsi="宋体" w:cs="宋体"/>
                <w:color w:val="auto"/>
                <w:szCs w:val="21"/>
                <w:highlight w:val="none"/>
              </w:rPr>
              <w:t>每有1项得1分，最多得2分。</w:t>
            </w:r>
          </w:p>
          <w:p w14:paraId="52D4C469">
            <w:pPr>
              <w:tabs>
                <w:tab w:val="left" w:pos="0"/>
              </w:tabs>
              <w:jc w:val="left"/>
              <w:rPr>
                <w:rFonts w:hint="eastAsia" w:ascii="宋体" w:hAnsi="宋体" w:cs="宋体"/>
                <w:color w:val="auto"/>
                <w:szCs w:val="21"/>
                <w:highlight w:val="none"/>
              </w:rPr>
            </w:pPr>
            <w:r>
              <w:rPr>
                <w:rFonts w:hint="eastAsia" w:ascii="宋体" w:hAnsi="宋体" w:cs="宋体"/>
                <w:color w:val="auto"/>
                <w:szCs w:val="21"/>
                <w:highlight w:val="none"/>
              </w:rPr>
              <w:t>评分依据:投标文件内附有效期内的认证证书复印件加盖投标人公章，不提供不得分。</w:t>
            </w:r>
          </w:p>
        </w:tc>
      </w:tr>
      <w:tr w14:paraId="1D4A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1603" w:type="dxa"/>
            <w:vAlign w:val="center"/>
          </w:tcPr>
          <w:p w14:paraId="0F6B7814">
            <w:pPr>
              <w:tabs>
                <w:tab w:val="left" w:pos="0"/>
              </w:tabs>
              <w:jc w:val="center"/>
              <w:rPr>
                <w:rFonts w:hint="eastAsia" w:ascii="宋体" w:hAnsi="宋体" w:cs="宋体"/>
                <w:color w:val="auto"/>
                <w:szCs w:val="21"/>
                <w:highlight w:val="none"/>
              </w:rPr>
            </w:pPr>
            <w:r>
              <w:rPr>
                <w:rFonts w:hint="eastAsia" w:ascii="宋体" w:hAnsi="宋体" w:cs="宋体"/>
                <w:color w:val="auto"/>
                <w:szCs w:val="21"/>
                <w:highlight w:val="none"/>
              </w:rPr>
              <w:t>1.2项目团队内技术</w:t>
            </w:r>
            <w:r>
              <w:rPr>
                <w:rFonts w:ascii="宋体" w:hAnsi="宋体" w:cs="宋体"/>
                <w:color w:val="auto"/>
                <w:szCs w:val="21"/>
                <w:highlight w:val="none"/>
              </w:rPr>
              <w:t>人员要求</w:t>
            </w:r>
            <w:r>
              <w:rPr>
                <w:rFonts w:hint="eastAsia" w:ascii="宋体" w:hAnsi="宋体" w:cs="宋体"/>
                <w:color w:val="auto"/>
                <w:szCs w:val="21"/>
                <w:highlight w:val="none"/>
              </w:rPr>
              <w:t>（0-8分）</w:t>
            </w:r>
          </w:p>
        </w:tc>
        <w:tc>
          <w:tcPr>
            <w:tcW w:w="7612" w:type="dxa"/>
            <w:vAlign w:val="center"/>
          </w:tcPr>
          <w:p w14:paraId="28EA62DF">
            <w:pPr>
              <w:tabs>
                <w:tab w:val="left" w:pos="0"/>
              </w:tabs>
              <w:jc w:val="left"/>
              <w:rPr>
                <w:rFonts w:hint="eastAsia" w:ascii="宋体" w:hAnsi="宋体" w:cs="宋体"/>
                <w:color w:val="auto"/>
                <w:szCs w:val="21"/>
                <w:highlight w:val="none"/>
              </w:rPr>
            </w:pPr>
            <w:r>
              <w:rPr>
                <w:rFonts w:hint="eastAsia" w:ascii="宋体" w:hAnsi="宋体" w:cs="宋体"/>
                <w:color w:val="auto"/>
                <w:szCs w:val="21"/>
                <w:highlight w:val="none"/>
              </w:rPr>
              <w:t>在每增加1名具有与项目相关专业中级工程师得2分，与项目相关专业高级工程师得2分，最高得8分。</w:t>
            </w:r>
          </w:p>
          <w:p w14:paraId="42DFC30D">
            <w:pPr>
              <w:tabs>
                <w:tab w:val="left" w:pos="0"/>
              </w:tabs>
              <w:jc w:val="left"/>
              <w:rPr>
                <w:rFonts w:hint="eastAsia" w:ascii="宋体" w:hAnsi="宋体" w:cs="宋体"/>
                <w:color w:val="auto"/>
                <w:szCs w:val="21"/>
                <w:highlight w:val="none"/>
              </w:rPr>
            </w:pPr>
            <w:r>
              <w:rPr>
                <w:rFonts w:ascii="宋体" w:hAnsi="宋体" w:cs="宋体"/>
                <w:color w:val="auto"/>
                <w:szCs w:val="21"/>
                <w:highlight w:val="none"/>
              </w:rPr>
              <w:t>（包括姓名、身份证号、年龄、职务、职称、联系方式，以及开标前6个月内任意一个月缴纳社保证明和职称证书的复印件并加盖公章</w:t>
            </w:r>
            <w:r>
              <w:rPr>
                <w:rFonts w:hint="eastAsia" w:ascii="宋体" w:hAnsi="宋体" w:cs="宋体"/>
                <w:color w:val="auto"/>
                <w:szCs w:val="21"/>
                <w:highlight w:val="none"/>
              </w:rPr>
              <w:t>，如退休人员须提个返聘证明</w:t>
            </w:r>
            <w:r>
              <w:rPr>
                <w:rFonts w:ascii="宋体" w:hAnsi="宋体" w:cs="宋体"/>
                <w:color w:val="auto"/>
                <w:szCs w:val="21"/>
                <w:highlight w:val="none"/>
              </w:rPr>
              <w:t>）</w:t>
            </w:r>
          </w:p>
        </w:tc>
      </w:tr>
      <w:tr w14:paraId="143E66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jc w:val="center"/>
        </w:trPr>
        <w:tc>
          <w:tcPr>
            <w:tcW w:w="1603" w:type="dxa"/>
            <w:vAlign w:val="center"/>
          </w:tcPr>
          <w:p w14:paraId="55BC029A">
            <w:pPr>
              <w:tabs>
                <w:tab w:val="left" w:pos="0"/>
              </w:tabs>
              <w:jc w:val="center"/>
              <w:rPr>
                <w:rFonts w:hint="eastAsia" w:ascii="宋体" w:hAnsi="宋体" w:cs="宋体"/>
                <w:color w:val="auto"/>
                <w:szCs w:val="21"/>
                <w:highlight w:val="none"/>
              </w:rPr>
            </w:pPr>
            <w:r>
              <w:rPr>
                <w:rFonts w:hint="eastAsia" w:ascii="宋体" w:hAnsi="宋体" w:cs="宋体"/>
                <w:color w:val="auto"/>
                <w:szCs w:val="21"/>
                <w:highlight w:val="none"/>
              </w:rPr>
              <w:t>1.3企业业绩（0-4分）</w:t>
            </w:r>
          </w:p>
        </w:tc>
        <w:tc>
          <w:tcPr>
            <w:tcW w:w="7612" w:type="dxa"/>
            <w:vAlign w:val="center"/>
          </w:tcPr>
          <w:p w14:paraId="28BCAAA2">
            <w:pPr>
              <w:tabs>
                <w:tab w:val="left" w:pos="0"/>
              </w:tabs>
              <w:jc w:val="left"/>
              <w:rPr>
                <w:rFonts w:hint="eastAsia" w:ascii="宋体" w:hAnsi="宋体" w:cs="宋体"/>
                <w:color w:val="auto"/>
                <w:szCs w:val="21"/>
                <w:highlight w:val="none"/>
              </w:rPr>
            </w:pPr>
            <w:r>
              <w:rPr>
                <w:rFonts w:hint="eastAsia" w:ascii="宋体" w:hAnsi="宋体" w:cs="宋体"/>
                <w:color w:val="auto"/>
                <w:szCs w:val="21"/>
                <w:highlight w:val="none"/>
              </w:rPr>
              <w:t>投标人每提供一项2022年1月1日至今的同类项目业绩，得1分，最高得4分。</w:t>
            </w:r>
          </w:p>
          <w:p w14:paraId="68EAD6C6">
            <w:pPr>
              <w:tabs>
                <w:tab w:val="left" w:pos="0"/>
              </w:tabs>
              <w:jc w:val="left"/>
              <w:rPr>
                <w:rFonts w:hint="eastAsia" w:ascii="宋体" w:hAnsi="宋体" w:cs="宋体"/>
                <w:color w:val="auto"/>
                <w:szCs w:val="21"/>
                <w:highlight w:val="none"/>
              </w:rPr>
            </w:pPr>
            <w:r>
              <w:rPr>
                <w:rFonts w:hint="eastAsia" w:ascii="宋体" w:hAnsi="宋体" w:cs="宋体"/>
                <w:color w:val="auto"/>
                <w:szCs w:val="21"/>
                <w:highlight w:val="none"/>
              </w:rPr>
              <w:t>（评分依据：标书内提供业绩中标通知书或合同协议书复印件加盖公章）。</w:t>
            </w:r>
          </w:p>
        </w:tc>
      </w:tr>
      <w:tr w14:paraId="7206D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15" w:type="dxa"/>
            <w:gridSpan w:val="2"/>
            <w:vAlign w:val="center"/>
          </w:tcPr>
          <w:p w14:paraId="38F0723B">
            <w:pPr>
              <w:tabs>
                <w:tab w:val="left" w:pos="0"/>
              </w:tabs>
              <w:rPr>
                <w:rFonts w:ascii="Times New Roman" w:hAnsi="Times New Roman"/>
                <w:color w:val="auto"/>
                <w:szCs w:val="21"/>
                <w:highlight w:val="none"/>
              </w:rPr>
            </w:pPr>
            <w:r>
              <w:rPr>
                <w:rFonts w:ascii="Times New Roman" w:hAnsi="Times New Roman"/>
                <w:color w:val="auto"/>
                <w:szCs w:val="21"/>
                <w:highlight w:val="none"/>
              </w:rPr>
              <w:t>2. 技术部分（</w:t>
            </w:r>
            <w:r>
              <w:rPr>
                <w:rFonts w:hint="eastAsia"/>
                <w:color w:val="auto"/>
                <w:szCs w:val="21"/>
                <w:highlight w:val="none"/>
              </w:rPr>
              <w:t>43</w:t>
            </w:r>
            <w:r>
              <w:rPr>
                <w:rFonts w:ascii="Times New Roman" w:hAnsi="Times New Roman"/>
                <w:color w:val="auto"/>
                <w:szCs w:val="21"/>
                <w:highlight w:val="none"/>
              </w:rPr>
              <w:t>分）</w:t>
            </w:r>
          </w:p>
          <w:p w14:paraId="7B5B20D0">
            <w:pPr>
              <w:tabs>
                <w:tab w:val="left" w:pos="0"/>
              </w:tabs>
              <w:rPr>
                <w:rFonts w:ascii="Times New Roman" w:hAnsi="Times New Roman"/>
                <w:color w:val="auto"/>
                <w:szCs w:val="21"/>
                <w:highlight w:val="none"/>
              </w:rPr>
            </w:pPr>
            <w:r>
              <w:rPr>
                <w:rFonts w:ascii="Times New Roman" w:hAnsi="Times New Roman"/>
                <w:b/>
                <w:bCs/>
                <w:color w:val="auto"/>
                <w:szCs w:val="21"/>
                <w:highlight w:val="none"/>
              </w:rPr>
              <w:t>技术要求中“*”项为实质性要求，有一项不满足，投标将被拒绝。</w:t>
            </w:r>
          </w:p>
        </w:tc>
      </w:tr>
      <w:tr w14:paraId="4B5C5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9" w:hRule="atLeast"/>
          <w:jc w:val="center"/>
        </w:trPr>
        <w:tc>
          <w:tcPr>
            <w:tcW w:w="1603" w:type="dxa"/>
            <w:vAlign w:val="center"/>
          </w:tcPr>
          <w:p w14:paraId="0B1440BF">
            <w:pPr>
              <w:tabs>
                <w:tab w:val="left" w:pos="0"/>
              </w:tabs>
              <w:jc w:val="center"/>
              <w:rPr>
                <w:rFonts w:ascii="Times New Roman" w:hAnsi="Times New Roman"/>
                <w:color w:val="auto"/>
                <w:szCs w:val="21"/>
                <w:highlight w:val="none"/>
              </w:rPr>
            </w:pPr>
            <w:r>
              <w:rPr>
                <w:rFonts w:ascii="Times New Roman" w:hAnsi="Times New Roman"/>
                <w:color w:val="auto"/>
                <w:szCs w:val="21"/>
                <w:highlight w:val="none"/>
              </w:rPr>
              <w:t>2.1满足技术指标情况</w:t>
            </w:r>
          </w:p>
          <w:p w14:paraId="2304A30D">
            <w:pPr>
              <w:tabs>
                <w:tab w:val="left" w:pos="0"/>
              </w:tabs>
              <w:jc w:val="center"/>
              <w:rPr>
                <w:rFonts w:ascii="Times New Roman" w:hAnsi="Times New Roman"/>
                <w:color w:val="auto"/>
                <w:szCs w:val="21"/>
                <w:highlight w:val="none"/>
              </w:rPr>
            </w:pPr>
            <w:r>
              <w:rPr>
                <w:rFonts w:ascii="Times New Roman" w:hAnsi="Times New Roman"/>
                <w:color w:val="auto"/>
                <w:szCs w:val="21"/>
                <w:highlight w:val="none"/>
              </w:rPr>
              <w:t>（0-</w:t>
            </w:r>
            <w:r>
              <w:rPr>
                <w:rFonts w:hint="eastAsia"/>
                <w:color w:val="auto"/>
                <w:szCs w:val="21"/>
                <w:highlight w:val="none"/>
              </w:rPr>
              <w:t>35</w:t>
            </w:r>
            <w:r>
              <w:rPr>
                <w:rFonts w:ascii="Times New Roman" w:hAnsi="Times New Roman"/>
                <w:color w:val="auto"/>
                <w:szCs w:val="21"/>
                <w:highlight w:val="none"/>
              </w:rPr>
              <w:t>分）</w:t>
            </w:r>
          </w:p>
        </w:tc>
        <w:tc>
          <w:tcPr>
            <w:tcW w:w="7612" w:type="dxa"/>
            <w:vAlign w:val="center"/>
          </w:tcPr>
          <w:p w14:paraId="03EFDE07">
            <w:pPr>
              <w:tabs>
                <w:tab w:val="left" w:pos="0"/>
              </w:tabs>
              <w:rPr>
                <w:rFonts w:ascii="Times New Roman" w:hAnsi="Times New Roman"/>
                <w:color w:val="auto"/>
                <w:szCs w:val="21"/>
                <w:highlight w:val="none"/>
              </w:rPr>
            </w:pPr>
            <w:r>
              <w:rPr>
                <w:rFonts w:ascii="Times New Roman" w:hAnsi="Times New Roman"/>
                <w:color w:val="auto"/>
                <w:szCs w:val="21"/>
                <w:highlight w:val="none"/>
              </w:rPr>
              <w:t>以采购人提供的技术参数要求为依据（详见第</w:t>
            </w:r>
            <w:r>
              <w:rPr>
                <w:rFonts w:hint="eastAsia" w:ascii="Times New Roman" w:hAnsi="Times New Roman"/>
                <w:color w:val="auto"/>
                <w:szCs w:val="21"/>
                <w:highlight w:val="none"/>
              </w:rPr>
              <w:t>四</w:t>
            </w:r>
            <w:r>
              <w:rPr>
                <w:rFonts w:ascii="Times New Roman" w:hAnsi="Times New Roman"/>
                <w:color w:val="auto"/>
                <w:szCs w:val="21"/>
                <w:highlight w:val="none"/>
              </w:rPr>
              <w:t>部分采购需求），评标委员会对投标人提供的技术规范偏离表中的技术指标数值进行评分，技术指标必须在证明材料中体现，且其数值应不优于证明材料结果；技术指标未在证明材料中体现的，或者优于证明材料中的结果的，该技术指标为无效响应。</w:t>
            </w:r>
          </w:p>
          <w:p w14:paraId="24255DC7">
            <w:pPr>
              <w:tabs>
                <w:tab w:val="left" w:pos="0"/>
              </w:tabs>
              <w:rPr>
                <w:rFonts w:ascii="Times New Roman" w:hAnsi="Times New Roman"/>
                <w:color w:val="auto"/>
                <w:szCs w:val="21"/>
                <w:highlight w:val="none"/>
              </w:rPr>
            </w:pPr>
            <w:r>
              <w:rPr>
                <w:rFonts w:ascii="Times New Roman" w:hAnsi="Times New Roman"/>
                <w:color w:val="auto"/>
                <w:szCs w:val="21"/>
                <w:highlight w:val="none"/>
              </w:rPr>
              <w:t>满足全部技术指标，得</w:t>
            </w:r>
            <w:r>
              <w:rPr>
                <w:rFonts w:hint="eastAsia"/>
                <w:color w:val="auto"/>
                <w:szCs w:val="21"/>
                <w:highlight w:val="none"/>
              </w:rPr>
              <w:t>35</w:t>
            </w:r>
            <w:r>
              <w:rPr>
                <w:rFonts w:ascii="Times New Roman" w:hAnsi="Times New Roman"/>
                <w:color w:val="auto"/>
                <w:szCs w:val="21"/>
                <w:highlight w:val="none"/>
              </w:rPr>
              <w:t>分；</w:t>
            </w:r>
          </w:p>
          <w:p w14:paraId="488B6DB7">
            <w:pPr>
              <w:tabs>
                <w:tab w:val="left" w:pos="0"/>
              </w:tabs>
              <w:ind w:left="357" w:hanging="357"/>
              <w:rPr>
                <w:rFonts w:ascii="Times New Roman" w:hAnsi="Times New Roman"/>
                <w:color w:val="auto"/>
                <w:szCs w:val="21"/>
                <w:highlight w:val="none"/>
              </w:rPr>
            </w:pPr>
            <w:r>
              <w:rPr>
                <w:rFonts w:ascii="Times New Roman" w:hAnsi="Times New Roman"/>
                <w:color w:val="auto"/>
                <w:szCs w:val="21"/>
                <w:highlight w:val="none"/>
              </w:rPr>
              <w:t>1.“</w:t>
            </w:r>
            <w:r>
              <w:rPr>
                <w:rFonts w:hint="eastAsia" w:ascii="宋体" w:hAnsi="宋体" w:cs="宋体"/>
                <w:color w:val="auto"/>
                <w:szCs w:val="21"/>
                <w:highlight w:val="none"/>
              </w:rPr>
              <w:t>☆</w:t>
            </w:r>
            <w:r>
              <w:rPr>
                <w:rFonts w:ascii="Times New Roman" w:hAnsi="Times New Roman"/>
                <w:color w:val="auto"/>
                <w:szCs w:val="21"/>
                <w:highlight w:val="none"/>
              </w:rPr>
              <w:t>”指标表示</w:t>
            </w:r>
            <w:r>
              <w:rPr>
                <w:rFonts w:hint="eastAsia" w:ascii="Times New Roman" w:hAnsi="Times New Roman"/>
                <w:color w:val="auto"/>
                <w:szCs w:val="21"/>
                <w:highlight w:val="none"/>
              </w:rPr>
              <w:t>优质优价指标</w:t>
            </w:r>
            <w:r>
              <w:rPr>
                <w:rFonts w:ascii="Times New Roman" w:hAnsi="Times New Roman"/>
                <w:color w:val="auto"/>
                <w:szCs w:val="21"/>
                <w:highlight w:val="none"/>
              </w:rPr>
              <w:t>，</w:t>
            </w:r>
            <w:r>
              <w:rPr>
                <w:rFonts w:hint="eastAsia" w:ascii="Times New Roman" w:hAnsi="Times New Roman"/>
                <w:color w:val="auto"/>
                <w:szCs w:val="21"/>
                <w:highlight w:val="none"/>
              </w:rPr>
              <w:t>优质优价指标</w:t>
            </w:r>
            <w:r>
              <w:rPr>
                <w:rFonts w:ascii="Times New Roman" w:hAnsi="Times New Roman"/>
                <w:color w:val="auto"/>
                <w:szCs w:val="21"/>
                <w:highlight w:val="none"/>
              </w:rPr>
              <w:t>共有</w:t>
            </w:r>
            <w:r>
              <w:rPr>
                <w:rFonts w:hint="eastAsia" w:ascii="Times New Roman" w:hAnsi="Times New Roman"/>
                <w:color w:val="auto"/>
                <w:szCs w:val="21"/>
                <w:highlight w:val="none"/>
              </w:rPr>
              <w:t>6</w:t>
            </w:r>
            <w:r>
              <w:rPr>
                <w:rFonts w:ascii="Times New Roman" w:hAnsi="Times New Roman"/>
                <w:color w:val="auto"/>
                <w:szCs w:val="21"/>
                <w:highlight w:val="none"/>
              </w:rPr>
              <w:t>项，满分</w:t>
            </w:r>
            <w:r>
              <w:rPr>
                <w:rFonts w:hint="eastAsia"/>
                <w:color w:val="auto"/>
                <w:szCs w:val="21"/>
                <w:highlight w:val="none"/>
              </w:rPr>
              <w:t>12</w:t>
            </w:r>
            <w:r>
              <w:rPr>
                <w:rFonts w:ascii="Times New Roman" w:hAnsi="Times New Roman"/>
                <w:color w:val="auto"/>
                <w:szCs w:val="21"/>
                <w:highlight w:val="none"/>
              </w:rPr>
              <w:t>分，每有一项不满足扣</w:t>
            </w:r>
            <w:r>
              <w:rPr>
                <w:rFonts w:hint="eastAsia"/>
                <w:color w:val="auto"/>
                <w:szCs w:val="21"/>
                <w:highlight w:val="none"/>
              </w:rPr>
              <w:t>2</w:t>
            </w:r>
            <w:r>
              <w:rPr>
                <w:rFonts w:ascii="Times New Roman" w:hAnsi="Times New Roman"/>
                <w:color w:val="auto"/>
                <w:szCs w:val="21"/>
                <w:highlight w:val="none"/>
              </w:rPr>
              <w:t>分；</w:t>
            </w:r>
          </w:p>
          <w:p w14:paraId="27FCD7D4">
            <w:pPr>
              <w:tabs>
                <w:tab w:val="left" w:pos="0"/>
              </w:tabs>
              <w:ind w:left="357" w:hanging="357"/>
              <w:rPr>
                <w:rFonts w:ascii="Times New Roman" w:hAnsi="Times New Roman"/>
                <w:color w:val="auto"/>
                <w:szCs w:val="21"/>
                <w:highlight w:val="none"/>
              </w:rPr>
            </w:pPr>
            <w:r>
              <w:rPr>
                <w:rFonts w:ascii="Times New Roman" w:hAnsi="Times New Roman"/>
                <w:color w:val="auto"/>
                <w:szCs w:val="21"/>
                <w:highlight w:val="none"/>
              </w:rPr>
              <w:t>2.“</w:t>
            </w:r>
            <w:r>
              <w:rPr>
                <w:rFonts w:hint="eastAsia" w:ascii="宋体" w:hAnsi="宋体" w:cs="宋体"/>
                <w:color w:val="auto"/>
                <w:szCs w:val="21"/>
                <w:highlight w:val="none"/>
              </w:rPr>
              <w:t>#</w:t>
            </w:r>
            <w:r>
              <w:rPr>
                <w:rFonts w:ascii="Times New Roman" w:hAnsi="Times New Roman"/>
                <w:color w:val="auto"/>
                <w:szCs w:val="21"/>
                <w:highlight w:val="none"/>
              </w:rPr>
              <w:t>”指标表示重要指标。重要指标共有</w:t>
            </w:r>
            <w:r>
              <w:rPr>
                <w:rFonts w:hint="eastAsia" w:ascii="Times New Roman" w:hAnsi="Times New Roman"/>
                <w:color w:val="auto"/>
                <w:szCs w:val="21"/>
                <w:highlight w:val="none"/>
              </w:rPr>
              <w:t>36</w:t>
            </w:r>
            <w:r>
              <w:rPr>
                <w:rFonts w:ascii="Times New Roman" w:hAnsi="Times New Roman"/>
                <w:color w:val="auto"/>
                <w:szCs w:val="21"/>
                <w:highlight w:val="none"/>
              </w:rPr>
              <w:t>项，满分</w:t>
            </w:r>
            <w:r>
              <w:rPr>
                <w:rFonts w:hint="eastAsia" w:ascii="Times New Roman" w:hAnsi="Times New Roman"/>
                <w:color w:val="auto"/>
                <w:szCs w:val="21"/>
                <w:highlight w:val="none"/>
              </w:rPr>
              <w:t>18</w:t>
            </w:r>
            <w:r>
              <w:rPr>
                <w:rFonts w:ascii="Times New Roman" w:hAnsi="Times New Roman"/>
                <w:color w:val="auto"/>
                <w:szCs w:val="21"/>
                <w:highlight w:val="none"/>
              </w:rPr>
              <w:t>分，每有一项不满足扣</w:t>
            </w:r>
            <w:r>
              <w:rPr>
                <w:rFonts w:hint="eastAsia" w:ascii="Times New Roman" w:hAnsi="Times New Roman"/>
                <w:color w:val="auto"/>
                <w:szCs w:val="21"/>
                <w:highlight w:val="none"/>
              </w:rPr>
              <w:t>0.5</w:t>
            </w:r>
            <w:r>
              <w:rPr>
                <w:rFonts w:ascii="Times New Roman" w:hAnsi="Times New Roman"/>
                <w:color w:val="auto"/>
                <w:szCs w:val="21"/>
                <w:highlight w:val="none"/>
              </w:rPr>
              <w:t>分；</w:t>
            </w:r>
          </w:p>
          <w:p w14:paraId="29F0AB65">
            <w:pPr>
              <w:tabs>
                <w:tab w:val="left" w:pos="0"/>
              </w:tabs>
              <w:ind w:left="357" w:hanging="357"/>
              <w:rPr>
                <w:rFonts w:ascii="Times New Roman" w:hAnsi="Times New Roman"/>
                <w:color w:val="auto"/>
                <w:szCs w:val="21"/>
                <w:highlight w:val="none"/>
              </w:rPr>
            </w:pPr>
            <w:r>
              <w:rPr>
                <w:rFonts w:ascii="Times New Roman" w:hAnsi="Times New Roman"/>
                <w:color w:val="auto"/>
                <w:szCs w:val="21"/>
                <w:highlight w:val="none"/>
              </w:rPr>
              <w:t>3.“</w:t>
            </w:r>
            <w:r>
              <w:rPr>
                <w:rFonts w:hint="eastAsia" w:ascii="宋体" w:hAnsi="宋体" w:cs="宋体"/>
                <w:color w:val="auto"/>
                <w:szCs w:val="21"/>
                <w:highlight w:val="none"/>
              </w:rPr>
              <w:t>△</w:t>
            </w:r>
            <w:r>
              <w:rPr>
                <w:rFonts w:ascii="Times New Roman" w:hAnsi="Times New Roman"/>
                <w:color w:val="auto"/>
                <w:szCs w:val="21"/>
                <w:highlight w:val="none"/>
              </w:rPr>
              <w:t>”指标表示一般指标项。一般指标共有</w:t>
            </w:r>
            <w:r>
              <w:rPr>
                <w:rFonts w:hint="eastAsia" w:ascii="Times New Roman" w:hAnsi="Times New Roman"/>
                <w:color w:val="auto"/>
                <w:szCs w:val="21"/>
                <w:highlight w:val="none"/>
              </w:rPr>
              <w:t>10</w:t>
            </w:r>
            <w:r>
              <w:rPr>
                <w:rFonts w:ascii="Times New Roman" w:hAnsi="Times New Roman"/>
                <w:color w:val="auto"/>
                <w:szCs w:val="21"/>
                <w:highlight w:val="none"/>
              </w:rPr>
              <w:t>项，满分</w:t>
            </w:r>
            <w:r>
              <w:rPr>
                <w:rFonts w:hint="eastAsia" w:ascii="Times New Roman" w:hAnsi="Times New Roman"/>
                <w:color w:val="auto"/>
                <w:szCs w:val="21"/>
                <w:highlight w:val="none"/>
              </w:rPr>
              <w:t>5</w:t>
            </w:r>
            <w:r>
              <w:rPr>
                <w:rFonts w:ascii="Times New Roman" w:hAnsi="Times New Roman"/>
                <w:color w:val="auto"/>
                <w:szCs w:val="21"/>
                <w:highlight w:val="none"/>
              </w:rPr>
              <w:t>分，每有一项不满足扣</w:t>
            </w:r>
            <w:r>
              <w:rPr>
                <w:rFonts w:hint="eastAsia" w:ascii="Times New Roman" w:hAnsi="Times New Roman"/>
                <w:color w:val="auto"/>
                <w:szCs w:val="21"/>
                <w:highlight w:val="none"/>
              </w:rPr>
              <w:t>0.5</w:t>
            </w:r>
            <w:r>
              <w:rPr>
                <w:rFonts w:ascii="Times New Roman" w:hAnsi="Times New Roman"/>
                <w:color w:val="auto"/>
                <w:szCs w:val="21"/>
                <w:highlight w:val="none"/>
              </w:rPr>
              <w:t>分；</w:t>
            </w:r>
          </w:p>
          <w:p w14:paraId="10EC1132">
            <w:pPr>
              <w:snapToGrid w:val="0"/>
              <w:rPr>
                <w:rFonts w:ascii="Times New Roman" w:hAnsi="Times New Roman"/>
                <w:color w:val="auto"/>
                <w:szCs w:val="21"/>
                <w:highlight w:val="none"/>
              </w:rPr>
            </w:pPr>
            <w:r>
              <w:rPr>
                <w:rFonts w:ascii="Times New Roman" w:hAnsi="Times New Roman"/>
                <w:color w:val="auto"/>
                <w:szCs w:val="21"/>
                <w:highlight w:val="none"/>
              </w:rPr>
              <w:t>（注：被发现有虚假投标则投标人的投标将被拒绝）</w:t>
            </w:r>
          </w:p>
        </w:tc>
      </w:tr>
      <w:tr w14:paraId="373B86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1" w:hRule="atLeast"/>
          <w:jc w:val="center"/>
        </w:trPr>
        <w:tc>
          <w:tcPr>
            <w:tcW w:w="1603" w:type="dxa"/>
            <w:vAlign w:val="center"/>
          </w:tcPr>
          <w:p w14:paraId="300C7DBF">
            <w:pPr>
              <w:tabs>
                <w:tab w:val="left" w:pos="0"/>
              </w:tabs>
              <w:ind w:left="357" w:hanging="357"/>
              <w:rPr>
                <w:rFonts w:ascii="Times New Roman" w:hAnsi="Times New Roman"/>
                <w:color w:val="auto"/>
                <w:szCs w:val="21"/>
                <w:highlight w:val="none"/>
              </w:rPr>
            </w:pPr>
            <w:r>
              <w:rPr>
                <w:rFonts w:hint="eastAsia" w:ascii="Times New Roman" w:hAnsi="Times New Roman"/>
                <w:color w:val="auto"/>
                <w:szCs w:val="21"/>
                <w:highlight w:val="none"/>
              </w:rPr>
              <w:t>2.2技术参数</w:t>
            </w:r>
            <w:r>
              <w:rPr>
                <w:rFonts w:ascii="Times New Roman" w:hAnsi="Times New Roman"/>
                <w:color w:val="auto"/>
                <w:szCs w:val="21"/>
                <w:highlight w:val="none"/>
              </w:rPr>
              <w:t>（</w:t>
            </w:r>
            <w:r>
              <w:rPr>
                <w:rFonts w:hint="eastAsia" w:ascii="Times New Roman" w:hAnsi="Times New Roman"/>
                <w:color w:val="auto"/>
                <w:szCs w:val="21"/>
                <w:highlight w:val="none"/>
              </w:rPr>
              <w:t>8</w:t>
            </w:r>
            <w:r>
              <w:rPr>
                <w:rFonts w:ascii="Times New Roman" w:hAnsi="Times New Roman"/>
                <w:color w:val="auto"/>
                <w:szCs w:val="21"/>
                <w:highlight w:val="none"/>
              </w:rPr>
              <w:t>分）</w:t>
            </w:r>
          </w:p>
        </w:tc>
        <w:tc>
          <w:tcPr>
            <w:tcW w:w="7612" w:type="dxa"/>
            <w:vAlign w:val="center"/>
          </w:tcPr>
          <w:p w14:paraId="6A40C946">
            <w:pPr>
              <w:tabs>
                <w:tab w:val="left" w:pos="0"/>
              </w:tabs>
              <w:ind w:left="357" w:hanging="357"/>
              <w:rPr>
                <w:rFonts w:ascii="Times New Roman" w:hAnsi="Times New Roman"/>
                <w:color w:val="auto"/>
                <w:szCs w:val="21"/>
                <w:highlight w:val="none"/>
              </w:rPr>
            </w:pPr>
            <w:r>
              <w:rPr>
                <w:rFonts w:hint="eastAsia" w:ascii="Times New Roman" w:hAnsi="Times New Roman"/>
                <w:color w:val="auto"/>
                <w:szCs w:val="21"/>
                <w:highlight w:val="none"/>
              </w:rPr>
              <w:t>投标人所投的高密度电法仪：</w:t>
            </w:r>
          </w:p>
          <w:p w14:paraId="527667CF">
            <w:pPr>
              <w:tabs>
                <w:tab w:val="left" w:pos="0"/>
              </w:tabs>
              <w:ind w:left="357" w:hanging="357"/>
              <w:rPr>
                <w:rFonts w:ascii="Times New Roman" w:hAnsi="Times New Roman"/>
                <w:color w:val="auto"/>
                <w:szCs w:val="21"/>
                <w:highlight w:val="none"/>
              </w:rPr>
            </w:pPr>
            <w:r>
              <w:rPr>
                <w:rFonts w:hint="eastAsia" w:ascii="Times New Roman" w:hAnsi="Times New Roman"/>
                <w:color w:val="auto"/>
                <w:szCs w:val="21"/>
                <w:highlight w:val="none"/>
              </w:rPr>
              <w:t>每提供防洪工程隐患探测实例1分</w:t>
            </w:r>
          </w:p>
          <w:p w14:paraId="237940D3">
            <w:pPr>
              <w:tabs>
                <w:tab w:val="left" w:pos="0"/>
              </w:tabs>
              <w:ind w:left="357" w:hanging="357"/>
              <w:rPr>
                <w:rFonts w:ascii="Times New Roman" w:hAnsi="Times New Roman"/>
                <w:color w:val="auto"/>
                <w:szCs w:val="21"/>
                <w:highlight w:val="none"/>
              </w:rPr>
            </w:pPr>
            <w:r>
              <w:rPr>
                <w:rFonts w:hint="eastAsia" w:ascii="Times New Roman" w:hAnsi="Times New Roman"/>
                <w:color w:val="auto"/>
                <w:szCs w:val="21"/>
                <w:highlight w:val="none"/>
              </w:rPr>
              <w:t>每提供漏水探测实例 1分</w:t>
            </w:r>
          </w:p>
          <w:p w14:paraId="7DB8A335">
            <w:pPr>
              <w:tabs>
                <w:tab w:val="left" w:pos="0"/>
              </w:tabs>
              <w:ind w:left="357" w:hanging="357"/>
              <w:rPr>
                <w:rFonts w:ascii="Times New Roman" w:hAnsi="Times New Roman"/>
                <w:color w:val="auto"/>
                <w:szCs w:val="21"/>
                <w:highlight w:val="none"/>
              </w:rPr>
            </w:pPr>
            <w:r>
              <w:rPr>
                <w:rFonts w:hint="eastAsia" w:ascii="Times New Roman" w:hAnsi="Times New Roman"/>
                <w:color w:val="auto"/>
                <w:szCs w:val="21"/>
                <w:highlight w:val="none"/>
              </w:rPr>
              <w:t>每提供检测冻土实例1分</w:t>
            </w:r>
          </w:p>
          <w:p w14:paraId="2F5A302D">
            <w:pPr>
              <w:tabs>
                <w:tab w:val="left" w:pos="0"/>
              </w:tabs>
              <w:ind w:left="357" w:hanging="357"/>
              <w:rPr>
                <w:rFonts w:ascii="Times New Roman" w:hAnsi="Times New Roman"/>
                <w:color w:val="auto"/>
                <w:szCs w:val="21"/>
                <w:highlight w:val="none"/>
              </w:rPr>
            </w:pPr>
            <w:r>
              <w:rPr>
                <w:rFonts w:hint="eastAsia" w:ascii="Times New Roman" w:hAnsi="Times New Roman"/>
                <w:color w:val="auto"/>
                <w:szCs w:val="21"/>
                <w:highlight w:val="none"/>
              </w:rPr>
              <w:t>每提供一张与国外仪器对比探测剖面图加1分，最多加2分</w:t>
            </w:r>
          </w:p>
          <w:p w14:paraId="31F6F502">
            <w:pPr>
              <w:tabs>
                <w:tab w:val="left" w:pos="0"/>
              </w:tabs>
              <w:ind w:left="357" w:hanging="357"/>
              <w:rPr>
                <w:rFonts w:ascii="Times New Roman" w:hAnsi="Times New Roman"/>
                <w:color w:val="auto"/>
                <w:szCs w:val="21"/>
                <w:highlight w:val="none"/>
              </w:rPr>
            </w:pPr>
            <w:r>
              <w:rPr>
                <w:rFonts w:hint="eastAsia" w:ascii="Times New Roman" w:hAnsi="Times New Roman"/>
                <w:color w:val="auto"/>
                <w:szCs w:val="21"/>
                <w:highlight w:val="none"/>
              </w:rPr>
              <w:t>每提供一个三维测量剖面图加1分，最多加3分</w:t>
            </w:r>
          </w:p>
          <w:p w14:paraId="6A220C37">
            <w:pPr>
              <w:tabs>
                <w:tab w:val="left" w:pos="0"/>
              </w:tabs>
              <w:ind w:left="357" w:hanging="357"/>
              <w:rPr>
                <w:rFonts w:ascii="Times New Roman" w:hAnsi="Times New Roman"/>
                <w:color w:val="auto"/>
                <w:szCs w:val="21"/>
                <w:highlight w:val="none"/>
              </w:rPr>
            </w:pPr>
            <w:r>
              <w:rPr>
                <w:rFonts w:hint="eastAsia" w:ascii="宋体" w:hAnsi="宋体" w:cs="宋体"/>
                <w:b/>
                <w:bCs/>
                <w:color w:val="auto"/>
                <w:szCs w:val="21"/>
                <w:highlight w:val="none"/>
              </w:rPr>
              <w:t>投标文件中需提供软件截图加盖投标人公章作为证明材料，不提供不得分</w:t>
            </w:r>
          </w:p>
        </w:tc>
      </w:tr>
      <w:tr w14:paraId="636EE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2" w:hRule="atLeast"/>
          <w:jc w:val="center"/>
        </w:trPr>
        <w:tc>
          <w:tcPr>
            <w:tcW w:w="9215" w:type="dxa"/>
            <w:gridSpan w:val="2"/>
            <w:vAlign w:val="center"/>
          </w:tcPr>
          <w:p w14:paraId="01A5B0A2">
            <w:pPr>
              <w:tabs>
                <w:tab w:val="left" w:pos="0"/>
              </w:tabs>
              <w:rPr>
                <w:rFonts w:ascii="Times New Roman" w:hAnsi="Times New Roman"/>
                <w:b/>
                <w:color w:val="auto"/>
                <w:kern w:val="0"/>
                <w:szCs w:val="21"/>
                <w:highlight w:val="none"/>
              </w:rPr>
            </w:pPr>
            <w:r>
              <w:rPr>
                <w:rFonts w:ascii="Times New Roman" w:hAnsi="Times New Roman"/>
                <w:color w:val="auto"/>
                <w:szCs w:val="21"/>
                <w:highlight w:val="none"/>
              </w:rPr>
              <w:t>3. 服务部分（</w:t>
            </w:r>
            <w:r>
              <w:rPr>
                <w:rFonts w:hint="eastAsia"/>
                <w:color w:val="auto"/>
                <w:szCs w:val="21"/>
                <w:highlight w:val="none"/>
              </w:rPr>
              <w:t>13</w:t>
            </w:r>
            <w:r>
              <w:rPr>
                <w:rFonts w:ascii="Times New Roman" w:hAnsi="Times New Roman"/>
                <w:color w:val="auto"/>
                <w:szCs w:val="21"/>
                <w:highlight w:val="none"/>
              </w:rPr>
              <w:t>分）</w:t>
            </w:r>
          </w:p>
          <w:p w14:paraId="4C75EF6C">
            <w:pPr>
              <w:tabs>
                <w:tab w:val="left" w:pos="0"/>
              </w:tabs>
              <w:rPr>
                <w:rFonts w:ascii="Times New Roman" w:hAnsi="Times New Roman"/>
                <w:color w:val="auto"/>
                <w:szCs w:val="21"/>
                <w:highlight w:val="none"/>
              </w:rPr>
            </w:pPr>
            <w:r>
              <w:rPr>
                <w:rFonts w:ascii="Times New Roman" w:hAnsi="Times New Roman"/>
                <w:b/>
                <w:color w:val="auto"/>
                <w:kern w:val="0"/>
                <w:szCs w:val="21"/>
                <w:highlight w:val="none"/>
              </w:rPr>
              <w:t>服务要求中“</w:t>
            </w:r>
            <w:r>
              <w:rPr>
                <w:rFonts w:hint="eastAsia" w:ascii="宋体" w:hAnsi="宋体" w:eastAsia="宋体" w:cs="宋体"/>
                <w:b/>
                <w:color w:val="auto"/>
                <w:szCs w:val="21"/>
                <w:highlight w:val="none"/>
              </w:rPr>
              <w:t>*</w:t>
            </w:r>
            <w:r>
              <w:rPr>
                <w:rFonts w:ascii="Times New Roman" w:hAnsi="Times New Roman"/>
                <w:b/>
                <w:color w:val="auto"/>
                <w:kern w:val="0"/>
                <w:szCs w:val="21"/>
                <w:highlight w:val="none"/>
              </w:rPr>
              <w:t>”项为实质性要求，有一项不满足，投标将被拒绝。</w:t>
            </w:r>
          </w:p>
        </w:tc>
      </w:tr>
      <w:tr w14:paraId="364AB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603" w:type="dxa"/>
            <w:vAlign w:val="center"/>
          </w:tcPr>
          <w:p w14:paraId="2FC9B8DB">
            <w:pPr>
              <w:jc w:val="center"/>
              <w:rPr>
                <w:rFonts w:ascii="Times New Roman" w:hAnsi="Times New Roman"/>
                <w:color w:val="auto"/>
                <w:szCs w:val="21"/>
                <w:highlight w:val="none"/>
              </w:rPr>
            </w:pPr>
            <w:r>
              <w:rPr>
                <w:rFonts w:ascii="Times New Roman" w:hAnsi="Times New Roman"/>
                <w:color w:val="auto"/>
                <w:szCs w:val="21"/>
                <w:highlight w:val="none"/>
              </w:rPr>
              <w:t>3.1售后服务方案（0-</w:t>
            </w:r>
            <w:r>
              <w:rPr>
                <w:rFonts w:hint="eastAsia"/>
                <w:color w:val="auto"/>
                <w:szCs w:val="21"/>
                <w:highlight w:val="none"/>
              </w:rPr>
              <w:t>6</w:t>
            </w:r>
            <w:r>
              <w:rPr>
                <w:rFonts w:ascii="Times New Roman" w:hAnsi="Times New Roman"/>
                <w:color w:val="auto"/>
                <w:szCs w:val="21"/>
                <w:highlight w:val="none"/>
              </w:rPr>
              <w:t>分）</w:t>
            </w:r>
          </w:p>
        </w:tc>
        <w:tc>
          <w:tcPr>
            <w:tcW w:w="7612" w:type="dxa"/>
            <w:vAlign w:val="center"/>
          </w:tcPr>
          <w:p w14:paraId="68C5893D">
            <w:pPr>
              <w:tabs>
                <w:tab w:val="left" w:pos="0"/>
              </w:tabs>
              <w:rPr>
                <w:rFonts w:hint="eastAsia" w:ascii="宋体" w:hAnsi="宋体" w:eastAsia="宋体" w:cs="宋体"/>
                <w:color w:val="auto"/>
                <w:spacing w:val="14"/>
                <w:szCs w:val="21"/>
                <w:highlight w:val="none"/>
              </w:rPr>
            </w:pPr>
            <w:r>
              <w:rPr>
                <w:rFonts w:hint="eastAsia" w:ascii="宋体" w:hAnsi="宋体" w:cs="宋体"/>
                <w:color w:val="auto"/>
                <w:spacing w:val="14"/>
                <w:szCs w:val="21"/>
                <w:highlight w:val="none"/>
              </w:rPr>
              <w:t>投标人提供售后服务方案：</w:t>
            </w:r>
          </w:p>
          <w:p w14:paraId="7D2EE7A3">
            <w:pPr>
              <w:numPr>
                <w:ilvl w:val="0"/>
                <w:numId w:val="2"/>
              </w:numPr>
              <w:tabs>
                <w:tab w:val="left" w:pos="0"/>
              </w:tabs>
              <w:rPr>
                <w:rFonts w:hint="eastAsia" w:ascii="宋体" w:hAnsi="宋体" w:cs="宋体"/>
                <w:color w:val="auto"/>
                <w:spacing w:val="14"/>
                <w:szCs w:val="21"/>
                <w:highlight w:val="none"/>
              </w:rPr>
            </w:pPr>
            <w:r>
              <w:rPr>
                <w:rFonts w:hint="eastAsia" w:ascii="宋体" w:hAnsi="宋体" w:cs="宋体"/>
                <w:color w:val="auto"/>
                <w:spacing w:val="14"/>
                <w:szCs w:val="21"/>
                <w:highlight w:val="none"/>
              </w:rPr>
              <w:t>供货服务方案</w:t>
            </w:r>
          </w:p>
          <w:p w14:paraId="0B79496F">
            <w:pPr>
              <w:numPr>
                <w:ilvl w:val="0"/>
                <w:numId w:val="2"/>
              </w:numPr>
              <w:tabs>
                <w:tab w:val="left" w:pos="0"/>
              </w:tabs>
              <w:rPr>
                <w:rFonts w:hint="eastAsia" w:ascii="宋体" w:hAnsi="宋体" w:cs="宋体"/>
                <w:color w:val="auto"/>
                <w:spacing w:val="14"/>
                <w:szCs w:val="21"/>
                <w:highlight w:val="none"/>
              </w:rPr>
            </w:pPr>
            <w:r>
              <w:rPr>
                <w:rFonts w:hint="eastAsia" w:ascii="宋体" w:hAnsi="宋体" w:cs="宋体"/>
                <w:color w:val="auto"/>
                <w:spacing w:val="14"/>
                <w:szCs w:val="21"/>
                <w:highlight w:val="none"/>
              </w:rPr>
              <w:t>设备安装调试</w:t>
            </w:r>
          </w:p>
          <w:p w14:paraId="4702EC7C">
            <w:pPr>
              <w:numPr>
                <w:ilvl w:val="0"/>
                <w:numId w:val="2"/>
              </w:numPr>
              <w:tabs>
                <w:tab w:val="left" w:pos="0"/>
              </w:tabs>
              <w:rPr>
                <w:rFonts w:hint="eastAsia" w:ascii="宋体" w:hAnsi="宋体" w:cs="宋体"/>
                <w:color w:val="auto"/>
                <w:spacing w:val="14"/>
                <w:szCs w:val="21"/>
                <w:highlight w:val="none"/>
              </w:rPr>
            </w:pPr>
            <w:r>
              <w:rPr>
                <w:rFonts w:hint="eastAsia" w:ascii="宋体" w:hAnsi="宋体" w:cs="宋体"/>
                <w:color w:val="auto"/>
                <w:spacing w:val="14"/>
                <w:szCs w:val="21"/>
                <w:highlight w:val="none"/>
              </w:rPr>
              <w:t>故障排除</w:t>
            </w:r>
          </w:p>
          <w:p w14:paraId="56371D9F">
            <w:pPr>
              <w:numPr>
                <w:ilvl w:val="0"/>
                <w:numId w:val="2"/>
              </w:numPr>
              <w:tabs>
                <w:tab w:val="left" w:pos="0"/>
              </w:tabs>
              <w:rPr>
                <w:rFonts w:hint="eastAsia" w:ascii="宋体" w:hAnsi="宋体" w:cs="宋体"/>
                <w:color w:val="auto"/>
                <w:spacing w:val="14"/>
                <w:szCs w:val="21"/>
                <w:highlight w:val="none"/>
              </w:rPr>
            </w:pPr>
            <w:r>
              <w:rPr>
                <w:rFonts w:hint="eastAsia" w:ascii="宋体" w:hAnsi="宋体" w:cs="宋体"/>
                <w:color w:val="auto"/>
                <w:spacing w:val="14"/>
                <w:szCs w:val="21"/>
                <w:highlight w:val="none"/>
              </w:rPr>
              <w:t>维修响应</w:t>
            </w:r>
          </w:p>
          <w:p w14:paraId="1B784F08">
            <w:pPr>
              <w:numPr>
                <w:ilvl w:val="0"/>
                <w:numId w:val="2"/>
              </w:numPr>
              <w:tabs>
                <w:tab w:val="left" w:pos="0"/>
              </w:tabs>
              <w:rPr>
                <w:rFonts w:hint="eastAsia" w:ascii="宋体" w:hAnsi="宋体" w:cs="宋体"/>
                <w:color w:val="auto"/>
                <w:spacing w:val="14"/>
                <w:szCs w:val="21"/>
                <w:highlight w:val="none"/>
              </w:rPr>
            </w:pPr>
            <w:r>
              <w:rPr>
                <w:rFonts w:hint="eastAsia" w:ascii="宋体" w:hAnsi="宋体" w:cs="宋体"/>
                <w:color w:val="auto"/>
                <w:spacing w:val="14"/>
                <w:szCs w:val="21"/>
                <w:highlight w:val="none"/>
              </w:rPr>
              <w:t>培训方案</w:t>
            </w:r>
          </w:p>
          <w:p w14:paraId="717C9974">
            <w:pPr>
              <w:numPr>
                <w:ilvl w:val="0"/>
                <w:numId w:val="2"/>
              </w:numPr>
              <w:tabs>
                <w:tab w:val="left" w:pos="0"/>
              </w:tabs>
              <w:rPr>
                <w:rFonts w:ascii="Times New Roman" w:hAnsi="Times New Roman" w:eastAsia="宋体"/>
                <w:color w:val="auto"/>
                <w:szCs w:val="21"/>
                <w:highlight w:val="none"/>
              </w:rPr>
            </w:pPr>
            <w:r>
              <w:rPr>
                <w:rFonts w:hint="eastAsia" w:ascii="宋体" w:hAnsi="宋体" w:cs="宋体"/>
                <w:color w:val="auto"/>
                <w:spacing w:val="14"/>
                <w:szCs w:val="21"/>
                <w:highlight w:val="none"/>
              </w:rPr>
              <w:t>厂家针对本项目的售后服务方案</w:t>
            </w:r>
          </w:p>
          <w:p w14:paraId="5417F625">
            <w:pPr>
              <w:tabs>
                <w:tab w:val="left" w:pos="0"/>
              </w:tabs>
              <w:rPr>
                <w:rFonts w:ascii="Times New Roman" w:hAnsi="Times New Roman" w:eastAsia="宋体"/>
                <w:color w:val="auto"/>
                <w:szCs w:val="21"/>
                <w:highlight w:val="none"/>
              </w:rPr>
            </w:pPr>
            <w:r>
              <w:rPr>
                <w:rFonts w:hint="eastAsia" w:ascii="宋体" w:hAnsi="宋体" w:cs="宋体"/>
                <w:color w:val="auto"/>
                <w:spacing w:val="14"/>
                <w:szCs w:val="21"/>
                <w:highlight w:val="none"/>
              </w:rPr>
              <w:t>每有一项得1分，最多得6分。</w:t>
            </w:r>
          </w:p>
        </w:tc>
      </w:tr>
      <w:tr w14:paraId="5CA87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603" w:type="dxa"/>
            <w:vAlign w:val="center"/>
          </w:tcPr>
          <w:p w14:paraId="6C85FA96">
            <w:pPr>
              <w:jc w:val="center"/>
              <w:rPr>
                <w:rFonts w:ascii="Times New Roman" w:hAnsi="Times New Roman"/>
                <w:color w:val="auto"/>
                <w:szCs w:val="21"/>
                <w:highlight w:val="none"/>
              </w:rPr>
            </w:pPr>
            <w:r>
              <w:rPr>
                <w:rFonts w:ascii="Times New Roman" w:hAnsi="Times New Roman"/>
                <w:color w:val="auto"/>
                <w:szCs w:val="21"/>
                <w:highlight w:val="none"/>
              </w:rPr>
              <w:t>3.</w:t>
            </w:r>
            <w:r>
              <w:rPr>
                <w:rFonts w:hint="eastAsia"/>
                <w:color w:val="auto"/>
                <w:szCs w:val="21"/>
                <w:highlight w:val="none"/>
              </w:rPr>
              <w:t>2</w:t>
            </w:r>
            <w:r>
              <w:rPr>
                <w:rFonts w:ascii="Times New Roman" w:hAnsi="Times New Roman"/>
                <w:color w:val="auto"/>
                <w:szCs w:val="21"/>
                <w:highlight w:val="none"/>
              </w:rPr>
              <w:t>质保期要求（0-</w:t>
            </w:r>
            <w:r>
              <w:rPr>
                <w:rFonts w:hint="eastAsia" w:ascii="Times New Roman" w:hAnsi="Times New Roman"/>
                <w:color w:val="auto"/>
                <w:szCs w:val="21"/>
                <w:highlight w:val="none"/>
              </w:rPr>
              <w:t>3</w:t>
            </w:r>
            <w:r>
              <w:rPr>
                <w:rFonts w:ascii="Times New Roman" w:hAnsi="Times New Roman"/>
                <w:color w:val="auto"/>
                <w:szCs w:val="21"/>
                <w:highlight w:val="none"/>
              </w:rPr>
              <w:t>分）</w:t>
            </w:r>
          </w:p>
        </w:tc>
        <w:tc>
          <w:tcPr>
            <w:tcW w:w="7612" w:type="dxa"/>
            <w:vAlign w:val="center"/>
          </w:tcPr>
          <w:p w14:paraId="6AEB36F7">
            <w:pPr>
              <w:rPr>
                <w:rFonts w:ascii="Times New Roman" w:hAnsi="Times New Roman"/>
                <w:b/>
                <w:color w:val="auto"/>
                <w:szCs w:val="21"/>
                <w:highlight w:val="none"/>
              </w:rPr>
            </w:pPr>
            <w:r>
              <w:rPr>
                <w:rFonts w:ascii="Times New Roman" w:hAnsi="Times New Roman"/>
                <w:color w:val="auto"/>
                <w:szCs w:val="21"/>
                <w:highlight w:val="none"/>
              </w:rPr>
              <w:t>投标人承诺所有投标货物</w:t>
            </w:r>
            <w:r>
              <w:rPr>
                <w:rFonts w:hint="eastAsia" w:ascii="Times New Roman" w:hAnsi="Times New Roman"/>
                <w:color w:val="auto"/>
                <w:szCs w:val="21"/>
                <w:highlight w:val="none"/>
              </w:rPr>
              <w:t>1</w:t>
            </w:r>
            <w:r>
              <w:rPr>
                <w:rFonts w:ascii="Times New Roman" w:hAnsi="Times New Roman"/>
                <w:color w:val="auto"/>
                <w:szCs w:val="21"/>
                <w:highlight w:val="none"/>
              </w:rPr>
              <w:t>年免费保修，投标人对所投产品在质保期内提供免费售后维护维修服务。</w:t>
            </w:r>
            <w:r>
              <w:rPr>
                <w:rFonts w:ascii="Times New Roman" w:hAnsi="Times New Roman"/>
                <w:b/>
                <w:color w:val="auto"/>
                <w:szCs w:val="21"/>
                <w:highlight w:val="none"/>
              </w:rPr>
              <w:t>所有投标货物质保期低于</w:t>
            </w:r>
            <w:r>
              <w:rPr>
                <w:rFonts w:hint="eastAsia" w:ascii="Times New Roman" w:hAnsi="Times New Roman"/>
                <w:b/>
                <w:color w:val="auto"/>
                <w:szCs w:val="21"/>
                <w:highlight w:val="none"/>
              </w:rPr>
              <w:t>1</w:t>
            </w:r>
            <w:r>
              <w:rPr>
                <w:rFonts w:ascii="Times New Roman" w:hAnsi="Times New Roman"/>
                <w:b/>
                <w:color w:val="auto"/>
                <w:szCs w:val="21"/>
                <w:highlight w:val="none"/>
              </w:rPr>
              <w:t>年，投标将被拒绝。质保期</w:t>
            </w:r>
            <w:r>
              <w:rPr>
                <w:rFonts w:hint="eastAsia" w:ascii="Times New Roman" w:hAnsi="Times New Roman"/>
                <w:b/>
                <w:color w:val="auto"/>
                <w:szCs w:val="21"/>
                <w:highlight w:val="none"/>
              </w:rPr>
              <w:t>在一年基础上</w:t>
            </w:r>
            <w:r>
              <w:rPr>
                <w:rFonts w:ascii="Times New Roman" w:hAnsi="Times New Roman"/>
                <w:b/>
                <w:color w:val="auto"/>
                <w:szCs w:val="21"/>
                <w:highlight w:val="none"/>
              </w:rPr>
              <w:t>每增加1年得1分。最高得</w:t>
            </w:r>
            <w:r>
              <w:rPr>
                <w:rFonts w:hint="eastAsia" w:ascii="Times New Roman" w:hAnsi="Times New Roman"/>
                <w:b/>
                <w:color w:val="auto"/>
                <w:szCs w:val="21"/>
                <w:highlight w:val="none"/>
              </w:rPr>
              <w:t>3</w:t>
            </w:r>
            <w:r>
              <w:rPr>
                <w:rFonts w:ascii="Times New Roman" w:hAnsi="Times New Roman"/>
                <w:b/>
                <w:color w:val="auto"/>
                <w:szCs w:val="21"/>
                <w:highlight w:val="none"/>
              </w:rPr>
              <w:t>分。</w:t>
            </w:r>
          </w:p>
        </w:tc>
      </w:tr>
      <w:tr w14:paraId="5D1D9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603" w:type="dxa"/>
            <w:vAlign w:val="center"/>
          </w:tcPr>
          <w:p w14:paraId="47401A49">
            <w:pPr>
              <w:jc w:val="center"/>
              <w:rPr>
                <w:rFonts w:ascii="Times New Roman" w:hAnsi="Times New Roman"/>
                <w:color w:val="auto"/>
                <w:szCs w:val="21"/>
                <w:highlight w:val="none"/>
              </w:rPr>
            </w:pPr>
            <w:r>
              <w:rPr>
                <w:rFonts w:hint="eastAsia" w:ascii="Times New Roman" w:hAnsi="Times New Roman"/>
                <w:color w:val="auto"/>
                <w:szCs w:val="21"/>
                <w:highlight w:val="none"/>
              </w:rPr>
              <w:t>3.</w:t>
            </w:r>
            <w:r>
              <w:rPr>
                <w:rFonts w:hint="eastAsia"/>
                <w:color w:val="auto"/>
                <w:szCs w:val="21"/>
                <w:highlight w:val="none"/>
              </w:rPr>
              <w:t>3</w:t>
            </w:r>
            <w:r>
              <w:rPr>
                <w:rFonts w:ascii="Times New Roman" w:hAnsi="Times New Roman"/>
                <w:color w:val="auto"/>
                <w:szCs w:val="21"/>
                <w:highlight w:val="none"/>
              </w:rPr>
              <w:t>售后服务响应时间（0-</w:t>
            </w:r>
            <w:r>
              <w:rPr>
                <w:rFonts w:hint="eastAsia"/>
                <w:color w:val="auto"/>
                <w:szCs w:val="21"/>
                <w:highlight w:val="none"/>
              </w:rPr>
              <w:t>2</w:t>
            </w:r>
            <w:r>
              <w:rPr>
                <w:rFonts w:ascii="Times New Roman" w:hAnsi="Times New Roman"/>
                <w:color w:val="auto"/>
                <w:szCs w:val="21"/>
                <w:highlight w:val="none"/>
              </w:rPr>
              <w:t>分）</w:t>
            </w:r>
          </w:p>
        </w:tc>
        <w:tc>
          <w:tcPr>
            <w:tcW w:w="7612" w:type="dxa"/>
            <w:vAlign w:val="center"/>
          </w:tcPr>
          <w:p w14:paraId="013D3A0A">
            <w:pPr>
              <w:rPr>
                <w:rFonts w:ascii="Times New Roman" w:hAnsi="Times New Roman"/>
                <w:color w:val="auto"/>
                <w:szCs w:val="21"/>
                <w:highlight w:val="none"/>
              </w:rPr>
            </w:pPr>
            <w:r>
              <w:rPr>
                <w:rFonts w:ascii="Times New Roman" w:hAnsi="Times New Roman"/>
                <w:color w:val="auto"/>
                <w:szCs w:val="21"/>
                <w:highlight w:val="none"/>
              </w:rPr>
              <w:t>投标人承诺</w:t>
            </w:r>
            <w:r>
              <w:rPr>
                <w:rFonts w:hint="eastAsia" w:ascii="Times New Roman" w:hAnsi="Times New Roman"/>
                <w:color w:val="auto"/>
                <w:szCs w:val="21"/>
                <w:highlight w:val="none"/>
              </w:rPr>
              <w:t>（</w:t>
            </w:r>
            <w:r>
              <w:rPr>
                <w:rFonts w:ascii="Times New Roman" w:hAnsi="Times New Roman"/>
                <w:color w:val="auto"/>
                <w:szCs w:val="21"/>
                <w:highlight w:val="none"/>
              </w:rPr>
              <w:t>提供承诺函加盖投标人公章</w:t>
            </w:r>
            <w:r>
              <w:rPr>
                <w:rFonts w:hint="eastAsia" w:ascii="Times New Roman" w:hAnsi="Times New Roman"/>
                <w:color w:val="auto"/>
                <w:szCs w:val="21"/>
                <w:highlight w:val="none"/>
              </w:rPr>
              <w:t>）</w:t>
            </w:r>
            <w:r>
              <w:rPr>
                <w:rFonts w:ascii="Times New Roman" w:hAnsi="Times New Roman"/>
                <w:color w:val="auto"/>
                <w:szCs w:val="21"/>
                <w:highlight w:val="none"/>
              </w:rPr>
              <w:t>在质保期内提供7×24小时电话、现场技术服务；接到报修通知后2小时内响应，8小时内派技术人员到达现场，12小时内完成故障检测与排除</w:t>
            </w:r>
            <w:r>
              <w:rPr>
                <w:rFonts w:hint="eastAsia" w:ascii="Times New Roman" w:hAnsi="Times New Roman"/>
                <w:color w:val="auto"/>
                <w:szCs w:val="21"/>
                <w:highlight w:val="none"/>
              </w:rPr>
              <w:t>的，</w:t>
            </w:r>
            <w:r>
              <w:rPr>
                <w:rFonts w:ascii="Times New Roman" w:hAnsi="Times New Roman"/>
                <w:color w:val="auto"/>
                <w:szCs w:val="21"/>
                <w:highlight w:val="none"/>
              </w:rPr>
              <w:t>故障不能在12小时内修复，免费提供同等</w:t>
            </w:r>
            <w:r>
              <w:rPr>
                <w:rFonts w:hint="eastAsia" w:ascii="Times New Roman" w:hAnsi="Times New Roman"/>
                <w:color w:val="auto"/>
                <w:szCs w:val="21"/>
                <w:highlight w:val="none"/>
              </w:rPr>
              <w:t>型号的备机：在此基础上：</w:t>
            </w:r>
          </w:p>
          <w:p w14:paraId="24E84B1B">
            <w:pPr>
              <w:rPr>
                <w:rFonts w:ascii="Times New Roman" w:hAnsi="Times New Roman"/>
                <w:color w:val="auto"/>
                <w:szCs w:val="21"/>
                <w:highlight w:val="none"/>
              </w:rPr>
            </w:pPr>
            <w:r>
              <w:rPr>
                <w:rFonts w:ascii="Times New Roman" w:hAnsi="Times New Roman"/>
                <w:color w:val="auto"/>
                <w:szCs w:val="21"/>
                <w:highlight w:val="none"/>
              </w:rPr>
              <w:t>接到报修通知后</w:t>
            </w:r>
            <w:r>
              <w:rPr>
                <w:rFonts w:hint="eastAsia" w:ascii="Times New Roman" w:hAnsi="Times New Roman"/>
                <w:color w:val="auto"/>
                <w:szCs w:val="21"/>
                <w:highlight w:val="none"/>
              </w:rPr>
              <w:t>1</w:t>
            </w:r>
            <w:r>
              <w:rPr>
                <w:rFonts w:ascii="Times New Roman" w:hAnsi="Times New Roman"/>
                <w:color w:val="auto"/>
                <w:szCs w:val="21"/>
                <w:highlight w:val="none"/>
              </w:rPr>
              <w:t>小时内响应，</w:t>
            </w:r>
            <w:r>
              <w:rPr>
                <w:rFonts w:hint="eastAsia" w:ascii="Times New Roman" w:hAnsi="Times New Roman"/>
                <w:color w:val="auto"/>
                <w:szCs w:val="21"/>
                <w:highlight w:val="none"/>
              </w:rPr>
              <w:t>6</w:t>
            </w:r>
            <w:r>
              <w:rPr>
                <w:rFonts w:ascii="Times New Roman" w:hAnsi="Times New Roman"/>
                <w:color w:val="auto"/>
                <w:szCs w:val="21"/>
                <w:highlight w:val="none"/>
              </w:rPr>
              <w:t>小时内派技术人员到达现场，</w:t>
            </w:r>
            <w:r>
              <w:rPr>
                <w:rFonts w:hint="eastAsia" w:ascii="Times New Roman" w:hAnsi="Times New Roman"/>
                <w:color w:val="auto"/>
                <w:szCs w:val="21"/>
                <w:highlight w:val="none"/>
              </w:rPr>
              <w:t>6</w:t>
            </w:r>
            <w:r>
              <w:rPr>
                <w:rFonts w:ascii="Times New Roman" w:hAnsi="Times New Roman"/>
                <w:color w:val="auto"/>
                <w:szCs w:val="21"/>
                <w:highlight w:val="none"/>
              </w:rPr>
              <w:t>小时内完成故障检测与排除</w:t>
            </w:r>
            <w:r>
              <w:rPr>
                <w:rFonts w:hint="eastAsia" w:ascii="Times New Roman" w:hAnsi="Times New Roman"/>
                <w:color w:val="auto"/>
                <w:szCs w:val="21"/>
                <w:highlight w:val="none"/>
              </w:rPr>
              <w:t>的得</w:t>
            </w:r>
            <w:r>
              <w:rPr>
                <w:rFonts w:hint="eastAsia"/>
                <w:color w:val="auto"/>
                <w:szCs w:val="21"/>
                <w:highlight w:val="none"/>
              </w:rPr>
              <w:t>1</w:t>
            </w:r>
            <w:r>
              <w:rPr>
                <w:rFonts w:hint="eastAsia" w:ascii="Times New Roman" w:hAnsi="Times New Roman"/>
                <w:color w:val="auto"/>
                <w:szCs w:val="21"/>
                <w:highlight w:val="none"/>
              </w:rPr>
              <w:t>分；</w:t>
            </w:r>
          </w:p>
          <w:p w14:paraId="7E960A7F">
            <w:pPr>
              <w:rPr>
                <w:rFonts w:ascii="Times New Roman" w:hAnsi="Times New Roman"/>
                <w:color w:val="auto"/>
                <w:szCs w:val="21"/>
                <w:highlight w:val="none"/>
              </w:rPr>
            </w:pPr>
            <w:r>
              <w:rPr>
                <w:rFonts w:ascii="Times New Roman" w:hAnsi="Times New Roman"/>
                <w:color w:val="auto"/>
                <w:szCs w:val="21"/>
                <w:highlight w:val="none"/>
              </w:rPr>
              <w:t>接到报修通知后</w:t>
            </w:r>
            <w:r>
              <w:rPr>
                <w:rFonts w:hint="eastAsia" w:ascii="Times New Roman" w:hAnsi="Times New Roman"/>
                <w:color w:val="auto"/>
                <w:szCs w:val="21"/>
                <w:highlight w:val="none"/>
              </w:rPr>
              <w:t>0.5</w:t>
            </w:r>
            <w:r>
              <w:rPr>
                <w:rFonts w:ascii="Times New Roman" w:hAnsi="Times New Roman"/>
                <w:color w:val="auto"/>
                <w:szCs w:val="21"/>
                <w:highlight w:val="none"/>
              </w:rPr>
              <w:t>小时内响应，</w:t>
            </w:r>
            <w:r>
              <w:rPr>
                <w:rFonts w:hint="eastAsia" w:ascii="Times New Roman" w:hAnsi="Times New Roman"/>
                <w:color w:val="auto"/>
                <w:szCs w:val="21"/>
                <w:highlight w:val="none"/>
              </w:rPr>
              <w:t>4</w:t>
            </w:r>
            <w:r>
              <w:rPr>
                <w:rFonts w:ascii="Times New Roman" w:hAnsi="Times New Roman"/>
                <w:color w:val="auto"/>
                <w:szCs w:val="21"/>
                <w:highlight w:val="none"/>
              </w:rPr>
              <w:t>小时内派技术人员到达现场，</w:t>
            </w:r>
            <w:r>
              <w:rPr>
                <w:rFonts w:hint="eastAsia" w:ascii="Times New Roman" w:hAnsi="Times New Roman"/>
                <w:color w:val="auto"/>
                <w:szCs w:val="21"/>
                <w:highlight w:val="none"/>
              </w:rPr>
              <w:t>4</w:t>
            </w:r>
            <w:r>
              <w:rPr>
                <w:rFonts w:ascii="Times New Roman" w:hAnsi="Times New Roman"/>
                <w:color w:val="auto"/>
                <w:szCs w:val="21"/>
                <w:highlight w:val="none"/>
              </w:rPr>
              <w:t>小时内完成故障检测与排除</w:t>
            </w:r>
            <w:r>
              <w:rPr>
                <w:rFonts w:hint="eastAsia" w:ascii="Times New Roman" w:hAnsi="Times New Roman"/>
                <w:color w:val="auto"/>
                <w:szCs w:val="21"/>
                <w:highlight w:val="none"/>
              </w:rPr>
              <w:t>的的得</w:t>
            </w:r>
            <w:r>
              <w:rPr>
                <w:rFonts w:hint="eastAsia"/>
                <w:color w:val="auto"/>
                <w:szCs w:val="21"/>
                <w:highlight w:val="none"/>
              </w:rPr>
              <w:t>2</w:t>
            </w:r>
            <w:r>
              <w:rPr>
                <w:rFonts w:hint="eastAsia" w:ascii="Times New Roman" w:hAnsi="Times New Roman"/>
                <w:color w:val="auto"/>
                <w:szCs w:val="21"/>
                <w:highlight w:val="none"/>
              </w:rPr>
              <w:t>分；</w:t>
            </w:r>
          </w:p>
        </w:tc>
      </w:tr>
      <w:tr w14:paraId="2FCD1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4" w:hRule="atLeast"/>
          <w:jc w:val="center"/>
        </w:trPr>
        <w:tc>
          <w:tcPr>
            <w:tcW w:w="1603" w:type="dxa"/>
            <w:vAlign w:val="center"/>
          </w:tcPr>
          <w:p w14:paraId="545AC1A1">
            <w:pPr>
              <w:jc w:val="center"/>
              <w:rPr>
                <w:rFonts w:ascii="Times New Roman" w:hAnsi="Times New Roman"/>
                <w:color w:val="auto"/>
                <w:szCs w:val="21"/>
                <w:highlight w:val="none"/>
              </w:rPr>
            </w:pPr>
            <w:r>
              <w:rPr>
                <w:rFonts w:ascii="Times New Roman" w:hAnsi="Times New Roman"/>
                <w:color w:val="auto"/>
                <w:szCs w:val="21"/>
                <w:highlight w:val="none"/>
              </w:rPr>
              <w:t>3.</w:t>
            </w:r>
            <w:r>
              <w:rPr>
                <w:rFonts w:hint="eastAsia"/>
                <w:color w:val="auto"/>
                <w:szCs w:val="21"/>
                <w:highlight w:val="none"/>
              </w:rPr>
              <w:t>4</w:t>
            </w:r>
            <w:r>
              <w:rPr>
                <w:rFonts w:ascii="Times New Roman" w:hAnsi="Times New Roman"/>
                <w:color w:val="auto"/>
                <w:szCs w:val="21"/>
                <w:highlight w:val="none"/>
              </w:rPr>
              <w:t>质保期外服务标准（0-</w:t>
            </w:r>
            <w:r>
              <w:rPr>
                <w:rFonts w:hint="eastAsia"/>
                <w:color w:val="auto"/>
                <w:szCs w:val="21"/>
                <w:highlight w:val="none"/>
              </w:rPr>
              <w:t>2</w:t>
            </w:r>
            <w:r>
              <w:rPr>
                <w:rFonts w:ascii="Times New Roman" w:hAnsi="Times New Roman"/>
                <w:color w:val="auto"/>
                <w:szCs w:val="21"/>
                <w:highlight w:val="none"/>
              </w:rPr>
              <w:t>分）</w:t>
            </w:r>
          </w:p>
        </w:tc>
        <w:tc>
          <w:tcPr>
            <w:tcW w:w="7612" w:type="dxa"/>
            <w:vAlign w:val="center"/>
          </w:tcPr>
          <w:p w14:paraId="38C31A1A">
            <w:pPr>
              <w:pStyle w:val="45"/>
              <w:ind w:firstLine="0"/>
              <w:rPr>
                <w:rFonts w:ascii="Times New Roman" w:hAnsi="Times New Roman" w:eastAsia="宋体"/>
                <w:color w:val="auto"/>
                <w:sz w:val="21"/>
                <w:szCs w:val="21"/>
                <w:highlight w:val="none"/>
              </w:rPr>
            </w:pPr>
            <w:r>
              <w:rPr>
                <w:rFonts w:hint="eastAsia" w:ascii="宋体" w:hAnsi="宋体" w:eastAsia="宋体" w:cs="宋体"/>
                <w:color w:val="auto"/>
                <w:sz w:val="21"/>
                <w:szCs w:val="21"/>
                <w:highlight w:val="none"/>
              </w:rPr>
              <w:t>投标人承诺质保期外增加的保修期（投标人根据实际自行确定）产品损坏不收取维修费，只收取配件成本费。且中标后所有产品的配件（含易损件）按成本价长期供应。</w:t>
            </w:r>
            <w:r>
              <w:rPr>
                <w:rFonts w:ascii="Times New Roman" w:hAnsi="Times New Roman" w:eastAsia="宋体"/>
                <w:color w:val="auto"/>
                <w:sz w:val="21"/>
                <w:szCs w:val="21"/>
                <w:highlight w:val="none"/>
              </w:rPr>
              <w:t>响应速度同保修期响应速度。提供承诺函加盖投标人公章，得</w:t>
            </w:r>
            <w:r>
              <w:rPr>
                <w:rFonts w:hint="eastAsia" w:ascii="Times New Roman" w:hAnsi="Times New Roman" w:eastAsia="宋体"/>
                <w:color w:val="auto"/>
                <w:sz w:val="21"/>
                <w:szCs w:val="21"/>
                <w:highlight w:val="none"/>
              </w:rPr>
              <w:t>2</w:t>
            </w:r>
            <w:r>
              <w:rPr>
                <w:rFonts w:ascii="Times New Roman" w:hAnsi="Times New Roman" w:eastAsia="宋体"/>
                <w:color w:val="auto"/>
                <w:sz w:val="21"/>
                <w:szCs w:val="21"/>
                <w:highlight w:val="none"/>
              </w:rPr>
              <w:t>分。</w:t>
            </w:r>
          </w:p>
        </w:tc>
      </w:tr>
      <w:tr w14:paraId="0079E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215" w:type="dxa"/>
            <w:gridSpan w:val="2"/>
            <w:vAlign w:val="center"/>
          </w:tcPr>
          <w:p w14:paraId="6B142FC7">
            <w:pPr>
              <w:tabs>
                <w:tab w:val="left" w:pos="0"/>
              </w:tabs>
              <w:rPr>
                <w:rFonts w:ascii="Times New Roman" w:hAnsi="Times New Roman"/>
                <w:color w:val="auto"/>
                <w:szCs w:val="21"/>
                <w:highlight w:val="none"/>
              </w:rPr>
            </w:pPr>
            <w:r>
              <w:rPr>
                <w:rFonts w:ascii="Times New Roman" w:hAnsi="Times New Roman"/>
                <w:color w:val="auto"/>
                <w:szCs w:val="21"/>
                <w:highlight w:val="none"/>
              </w:rPr>
              <w:t>4. 价格部分（30分）</w:t>
            </w:r>
          </w:p>
        </w:tc>
      </w:tr>
      <w:tr w14:paraId="00BEC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03" w:type="dxa"/>
            <w:vAlign w:val="center"/>
          </w:tcPr>
          <w:p w14:paraId="5FBC4701">
            <w:pPr>
              <w:tabs>
                <w:tab w:val="left" w:pos="0"/>
              </w:tabs>
              <w:jc w:val="center"/>
              <w:rPr>
                <w:rFonts w:ascii="Times New Roman" w:hAnsi="Times New Roman"/>
                <w:color w:val="auto"/>
                <w:szCs w:val="21"/>
                <w:highlight w:val="none"/>
              </w:rPr>
            </w:pPr>
            <w:r>
              <w:rPr>
                <w:rFonts w:ascii="Times New Roman" w:hAnsi="Times New Roman"/>
                <w:color w:val="auto"/>
                <w:szCs w:val="21"/>
                <w:highlight w:val="none"/>
              </w:rPr>
              <w:t>价格分（0-30分）</w:t>
            </w:r>
          </w:p>
        </w:tc>
        <w:tc>
          <w:tcPr>
            <w:tcW w:w="7612" w:type="dxa"/>
          </w:tcPr>
          <w:p w14:paraId="54FCC92E">
            <w:pPr>
              <w:tabs>
                <w:tab w:val="left" w:pos="0"/>
              </w:tabs>
              <w:rPr>
                <w:rFonts w:ascii="Times New Roman" w:hAnsi="Times New Roman"/>
                <w:color w:val="auto"/>
                <w:szCs w:val="21"/>
                <w:highlight w:val="none"/>
              </w:rPr>
            </w:pPr>
            <w:r>
              <w:rPr>
                <w:rFonts w:ascii="Times New Roman" w:hAnsi="Times New Roman"/>
                <w:color w:val="auto"/>
                <w:szCs w:val="21"/>
                <w:highlight w:val="none"/>
              </w:rPr>
              <w:t>满足招标文件要求且投标价格最低的投标报价为评标基准价，其价格分为满分。其他投标人的价格分统一按照下列公式计算：投标报价得分=(评标基准价／投标报价)×30%×100。</w:t>
            </w:r>
          </w:p>
        </w:tc>
      </w:tr>
      <w:tr w14:paraId="5E9D63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9" w:hRule="atLeast"/>
          <w:jc w:val="center"/>
        </w:trPr>
        <w:tc>
          <w:tcPr>
            <w:tcW w:w="1603" w:type="dxa"/>
            <w:vAlign w:val="center"/>
          </w:tcPr>
          <w:p w14:paraId="326C1DDE">
            <w:pPr>
              <w:tabs>
                <w:tab w:val="left" w:pos="0"/>
              </w:tabs>
              <w:jc w:val="center"/>
              <w:rPr>
                <w:rFonts w:ascii="Times New Roman" w:hAnsi="Times New Roman"/>
                <w:color w:val="auto"/>
                <w:szCs w:val="21"/>
                <w:highlight w:val="none"/>
              </w:rPr>
            </w:pPr>
            <w:r>
              <w:rPr>
                <w:rFonts w:ascii="Times New Roman" w:hAnsi="Times New Roman"/>
                <w:color w:val="auto"/>
                <w:szCs w:val="21"/>
                <w:highlight w:val="none"/>
              </w:rPr>
              <w:t>总分</w:t>
            </w:r>
          </w:p>
        </w:tc>
        <w:tc>
          <w:tcPr>
            <w:tcW w:w="7612" w:type="dxa"/>
            <w:vAlign w:val="center"/>
          </w:tcPr>
          <w:p w14:paraId="78C2A769">
            <w:pPr>
              <w:snapToGrid w:val="0"/>
              <w:jc w:val="center"/>
              <w:rPr>
                <w:rFonts w:ascii="Times New Roman" w:hAnsi="Times New Roman"/>
                <w:color w:val="auto"/>
                <w:szCs w:val="21"/>
                <w:highlight w:val="none"/>
              </w:rPr>
            </w:pPr>
            <w:r>
              <w:rPr>
                <w:rFonts w:ascii="Times New Roman" w:hAnsi="Times New Roman"/>
                <w:color w:val="auto"/>
                <w:szCs w:val="21"/>
                <w:highlight w:val="none"/>
              </w:rPr>
              <w:t>100分</w:t>
            </w:r>
          </w:p>
        </w:tc>
      </w:tr>
    </w:tbl>
    <w:p w14:paraId="34738679">
      <w:pPr>
        <w:autoSpaceDN w:val="0"/>
        <w:rPr>
          <w:rFonts w:hint="eastAsia" w:ascii="宋体" w:hAnsi="宋体" w:eastAsia="宋体" w:cs="宋体"/>
          <w:color w:val="auto"/>
          <w:szCs w:val="21"/>
          <w:highlight w:val="none"/>
          <w:lang w:bidi="ar"/>
        </w:rPr>
        <w:sectPr>
          <w:pgSz w:w="11906" w:h="16839"/>
          <w:pgMar w:top="1440" w:right="1800" w:bottom="1440" w:left="1800" w:header="1" w:footer="660" w:gutter="1"/>
          <w:cols w:space="425" w:num="1"/>
          <w:docGrid w:type="lines" w:linePitch="312" w:charSpace="0"/>
        </w:sectPr>
      </w:pPr>
    </w:p>
    <w:p w14:paraId="48CBA6DD">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说明</w:t>
      </w:r>
    </w:p>
    <w:p w14:paraId="47CD3557">
      <w:pPr>
        <w:autoSpaceDN w:val="0"/>
        <w:rPr>
          <w:rFonts w:hint="eastAsia" w:ascii="宋体" w:hAnsi="宋体" w:eastAsia="宋体" w:cs="宋体"/>
          <w:b/>
          <w:bCs/>
          <w:color w:val="auto"/>
          <w:szCs w:val="21"/>
          <w:highlight w:val="none"/>
          <w:lang w:bidi="ar"/>
        </w:rPr>
      </w:pPr>
      <w:r>
        <w:rPr>
          <w:rFonts w:hint="eastAsia" w:ascii="宋体" w:hAnsi="宋体" w:eastAsia="宋体" w:cs="宋体"/>
          <w:color w:val="auto"/>
          <w:szCs w:val="21"/>
          <w:highlight w:val="none"/>
          <w:lang w:bidi="ar"/>
        </w:rPr>
        <w:t>1、 按最终得分由高到低的顺序推荐预中标候选人3名，最终推荐排名第1名的为中标候选人。得分相同的，按投标报价（指投标报价经算术修正和落实政府采购政策需进行的价格扣除后的投标价格）由低到高顺序排列；得分且投标报价（指投标报价经算术修正和落实政府采购政策需进行的价格扣除后的投标价格）相同的，按技术服务评分由高到低顺序排列；得分、投标报价（指投标报价经算术修正和落实政府采购政策需进行的价格扣除后的投标价格）且技术服务评分相同的，按所投产品列入政府优先采购产品类别认证证书多少顺序排列；以上均相同的，按解密投标文件时间先后顺序（以递交投标文件登记表为准）排列。分包采购的，每包评标结果按上述规则排列。提供相同品牌产品且通过资格审查、符合性审查的不同 投标人参加同一合同项下投标的，按一家投标人计算，评审后得分最高的同品牌投标人获得中标人推荐资格；评审得分相同的，由评标委员会采取随机抽取方式确定，其他同品牌投标人不作为中标候选人。</w:t>
      </w:r>
      <w:r>
        <w:rPr>
          <w:rFonts w:hint="eastAsia" w:ascii="宋体" w:hAnsi="宋体" w:eastAsia="宋体" w:cs="宋体"/>
          <w:b/>
          <w:bCs/>
          <w:color w:val="auto"/>
          <w:szCs w:val="21"/>
          <w:highlight w:val="none"/>
          <w:lang w:bidi="ar"/>
        </w:rPr>
        <w:t>核心产品见采购需求表已注明。</w:t>
      </w:r>
    </w:p>
    <w:p w14:paraId="2684284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2、本办法未列内容，不作为本次评审依据。</w:t>
      </w:r>
    </w:p>
    <w:p w14:paraId="3709947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纳入节能产品政府采购清单的的投标产品及纳入环境标志产品政府采购品目清单的投标产品的证明材料：</w:t>
      </w:r>
    </w:p>
    <w:tbl>
      <w:tblPr>
        <w:tblStyle w:val="24"/>
        <w:tblW w:w="4997" w:type="pct"/>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814"/>
        <w:gridCol w:w="814"/>
        <w:gridCol w:w="3054"/>
        <w:gridCol w:w="963"/>
        <w:gridCol w:w="3353"/>
        <w:gridCol w:w="964"/>
      </w:tblGrid>
      <w:tr w14:paraId="7A09A7C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111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vAlign w:val="center"/>
          </w:tcPr>
          <w:p w14:paraId="05926CCF">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项目名称</w:t>
            </w:r>
          </w:p>
        </w:tc>
        <w:tc>
          <w:tcPr>
            <w:tcW w:w="645" w:type="pct"/>
            <w:tcBorders>
              <w:top w:val="single" w:color="auto" w:sz="4" w:space="0"/>
              <w:left w:val="nil"/>
              <w:bottom w:val="single" w:color="auto" w:sz="4" w:space="0"/>
              <w:right w:val="single" w:color="auto" w:sz="4" w:space="0"/>
            </w:tcBorders>
            <w:shd w:val="clear" w:color="auto" w:fill="auto"/>
            <w:noWrap/>
            <w:vAlign w:val="center"/>
          </w:tcPr>
          <w:p w14:paraId="5D64FC2B">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项目编码</w:t>
            </w:r>
          </w:p>
        </w:tc>
        <w:tc>
          <w:tcPr>
            <w:tcW w:w="1004" w:type="pct"/>
            <w:tcBorders>
              <w:top w:val="single" w:color="auto" w:sz="4" w:space="0"/>
              <w:left w:val="nil"/>
              <w:bottom w:val="single" w:color="auto" w:sz="4" w:space="0"/>
              <w:right w:val="single" w:color="auto" w:sz="4" w:space="0"/>
            </w:tcBorders>
            <w:shd w:val="clear" w:color="auto" w:fill="auto"/>
            <w:noWrap/>
            <w:vAlign w:val="center"/>
          </w:tcPr>
          <w:p w14:paraId="062AD597">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是否纳入节能产品政府采购清单的投标产品</w:t>
            </w:r>
          </w:p>
        </w:tc>
        <w:tc>
          <w:tcPr>
            <w:tcW w:w="589" w:type="pct"/>
            <w:tcBorders>
              <w:top w:val="single" w:color="auto" w:sz="4" w:space="0"/>
              <w:left w:val="nil"/>
              <w:bottom w:val="single" w:color="auto" w:sz="4" w:space="0"/>
              <w:right w:val="single" w:color="auto" w:sz="4" w:space="0"/>
            </w:tcBorders>
            <w:shd w:val="clear" w:color="auto" w:fill="auto"/>
            <w:noWrap/>
            <w:vAlign w:val="center"/>
          </w:tcPr>
          <w:p w14:paraId="3450BEC6">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金额（元）</w:t>
            </w:r>
          </w:p>
        </w:tc>
        <w:tc>
          <w:tcPr>
            <w:tcW w:w="1265" w:type="pct"/>
            <w:tcBorders>
              <w:top w:val="single" w:color="auto" w:sz="4" w:space="0"/>
              <w:left w:val="nil"/>
              <w:bottom w:val="single" w:color="auto" w:sz="4" w:space="0"/>
              <w:right w:val="single" w:color="auto" w:sz="4" w:space="0"/>
            </w:tcBorders>
            <w:shd w:val="clear" w:color="auto" w:fill="auto"/>
            <w:noWrap/>
            <w:vAlign w:val="center"/>
          </w:tcPr>
          <w:p w14:paraId="18B37F42">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是否环境标志产品政府采购品目清单的投标产品</w:t>
            </w:r>
          </w:p>
        </w:tc>
        <w:tc>
          <w:tcPr>
            <w:tcW w:w="666" w:type="pct"/>
            <w:tcBorders>
              <w:top w:val="single" w:color="auto" w:sz="4" w:space="0"/>
              <w:left w:val="nil"/>
              <w:bottom w:val="single" w:color="auto" w:sz="4" w:space="0"/>
              <w:right w:val="single" w:color="auto" w:sz="4" w:space="0"/>
            </w:tcBorders>
            <w:shd w:val="clear" w:color="auto" w:fill="auto"/>
            <w:noWrap/>
            <w:vAlign w:val="center"/>
          </w:tcPr>
          <w:p w14:paraId="3925CBD6">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金额（元）</w:t>
            </w:r>
          </w:p>
        </w:tc>
      </w:tr>
      <w:tr w14:paraId="6F016B6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tcPr>
          <w:p w14:paraId="5F778C96">
            <w:pPr>
              <w:widowControl/>
              <w:autoSpaceDN w:val="0"/>
              <w:rPr>
                <w:rFonts w:hint="eastAsia" w:ascii="宋体" w:hAnsi="宋体" w:eastAsia="宋体" w:cs="宋体"/>
                <w:color w:val="auto"/>
                <w:szCs w:val="21"/>
                <w:highlight w:val="none"/>
                <w:lang w:bidi="ar"/>
              </w:rPr>
            </w:pPr>
          </w:p>
        </w:tc>
        <w:tc>
          <w:tcPr>
            <w:tcW w:w="645" w:type="pct"/>
            <w:tcBorders>
              <w:top w:val="single" w:color="auto" w:sz="4" w:space="0"/>
              <w:left w:val="nil"/>
              <w:bottom w:val="single" w:color="auto" w:sz="4" w:space="0"/>
              <w:right w:val="single" w:color="auto" w:sz="4" w:space="0"/>
            </w:tcBorders>
            <w:shd w:val="clear" w:color="auto" w:fill="auto"/>
            <w:noWrap/>
          </w:tcPr>
          <w:p w14:paraId="08592EFC">
            <w:pPr>
              <w:widowControl/>
              <w:autoSpaceDN w:val="0"/>
              <w:rPr>
                <w:rFonts w:hint="eastAsia" w:ascii="宋体" w:hAnsi="宋体" w:eastAsia="宋体" w:cs="宋体"/>
                <w:color w:val="auto"/>
                <w:szCs w:val="21"/>
                <w:highlight w:val="none"/>
                <w:lang w:bidi="ar"/>
              </w:rPr>
            </w:pPr>
          </w:p>
        </w:tc>
        <w:tc>
          <w:tcPr>
            <w:tcW w:w="1004" w:type="pct"/>
            <w:tcBorders>
              <w:top w:val="single" w:color="auto" w:sz="4" w:space="0"/>
              <w:left w:val="nil"/>
              <w:bottom w:val="single" w:color="auto" w:sz="4" w:space="0"/>
              <w:right w:val="single" w:color="auto" w:sz="4" w:space="0"/>
            </w:tcBorders>
            <w:shd w:val="clear" w:color="auto" w:fill="auto"/>
            <w:noWrap/>
          </w:tcPr>
          <w:p w14:paraId="606C40E1">
            <w:pPr>
              <w:widowControl/>
              <w:autoSpaceDN w:val="0"/>
              <w:rPr>
                <w:rFonts w:hint="eastAsia" w:ascii="宋体" w:hAnsi="宋体" w:eastAsia="宋体" w:cs="宋体"/>
                <w:color w:val="auto"/>
                <w:szCs w:val="21"/>
                <w:highlight w:val="none"/>
                <w:lang w:bidi="ar"/>
              </w:rPr>
            </w:pPr>
          </w:p>
        </w:tc>
        <w:tc>
          <w:tcPr>
            <w:tcW w:w="589" w:type="pct"/>
            <w:tcBorders>
              <w:top w:val="single" w:color="auto" w:sz="4" w:space="0"/>
              <w:left w:val="nil"/>
              <w:bottom w:val="single" w:color="auto" w:sz="4" w:space="0"/>
              <w:right w:val="single" w:color="auto" w:sz="4" w:space="0"/>
            </w:tcBorders>
            <w:shd w:val="clear" w:color="auto" w:fill="auto"/>
            <w:noWrap/>
          </w:tcPr>
          <w:p w14:paraId="3401CE95">
            <w:pPr>
              <w:widowControl/>
              <w:autoSpaceDN w:val="0"/>
              <w:rPr>
                <w:rFonts w:hint="eastAsia" w:ascii="宋体" w:hAnsi="宋体" w:eastAsia="宋体" w:cs="宋体"/>
                <w:color w:val="auto"/>
                <w:szCs w:val="21"/>
                <w:highlight w:val="none"/>
                <w:lang w:bidi="ar"/>
              </w:rPr>
            </w:pPr>
          </w:p>
        </w:tc>
        <w:tc>
          <w:tcPr>
            <w:tcW w:w="1265" w:type="pct"/>
            <w:tcBorders>
              <w:top w:val="single" w:color="auto" w:sz="4" w:space="0"/>
              <w:left w:val="nil"/>
              <w:bottom w:val="single" w:color="auto" w:sz="4" w:space="0"/>
              <w:right w:val="single" w:color="auto" w:sz="4" w:space="0"/>
            </w:tcBorders>
            <w:shd w:val="clear" w:color="auto" w:fill="auto"/>
            <w:noWrap/>
          </w:tcPr>
          <w:p w14:paraId="445EF19C">
            <w:pPr>
              <w:widowControl/>
              <w:autoSpaceDN w:val="0"/>
              <w:rPr>
                <w:rFonts w:hint="eastAsia" w:ascii="宋体" w:hAnsi="宋体" w:eastAsia="宋体" w:cs="宋体"/>
                <w:color w:val="auto"/>
                <w:szCs w:val="21"/>
                <w:highlight w:val="none"/>
                <w:lang w:bidi="ar"/>
              </w:rPr>
            </w:pPr>
          </w:p>
        </w:tc>
        <w:tc>
          <w:tcPr>
            <w:tcW w:w="666" w:type="pct"/>
            <w:tcBorders>
              <w:top w:val="single" w:color="auto" w:sz="4" w:space="0"/>
              <w:left w:val="nil"/>
              <w:bottom w:val="single" w:color="auto" w:sz="4" w:space="0"/>
              <w:right w:val="single" w:color="auto" w:sz="4" w:space="0"/>
            </w:tcBorders>
            <w:shd w:val="clear" w:color="auto" w:fill="auto"/>
            <w:noWrap/>
          </w:tcPr>
          <w:p w14:paraId="0967D274">
            <w:pPr>
              <w:widowControl/>
              <w:autoSpaceDN w:val="0"/>
              <w:rPr>
                <w:rFonts w:hint="eastAsia" w:ascii="宋体" w:hAnsi="宋体" w:eastAsia="宋体" w:cs="宋体"/>
                <w:color w:val="auto"/>
                <w:szCs w:val="21"/>
                <w:highlight w:val="none"/>
                <w:lang w:bidi="ar"/>
              </w:rPr>
            </w:pPr>
          </w:p>
        </w:tc>
      </w:tr>
      <w:tr w14:paraId="4F92173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tcPr>
          <w:p w14:paraId="24814DC5">
            <w:pPr>
              <w:widowControl/>
              <w:autoSpaceDN w:val="0"/>
              <w:rPr>
                <w:rFonts w:hint="eastAsia" w:ascii="宋体" w:hAnsi="宋体" w:eastAsia="宋体" w:cs="宋体"/>
                <w:color w:val="auto"/>
                <w:szCs w:val="21"/>
                <w:highlight w:val="none"/>
                <w:lang w:bidi="ar"/>
              </w:rPr>
            </w:pPr>
          </w:p>
        </w:tc>
        <w:tc>
          <w:tcPr>
            <w:tcW w:w="645" w:type="pct"/>
            <w:tcBorders>
              <w:top w:val="single" w:color="auto" w:sz="4" w:space="0"/>
              <w:left w:val="nil"/>
              <w:bottom w:val="single" w:color="auto" w:sz="4" w:space="0"/>
              <w:right w:val="single" w:color="auto" w:sz="4" w:space="0"/>
            </w:tcBorders>
            <w:shd w:val="clear" w:color="auto" w:fill="auto"/>
            <w:noWrap/>
          </w:tcPr>
          <w:p w14:paraId="0F9136D7">
            <w:pPr>
              <w:widowControl/>
              <w:autoSpaceDN w:val="0"/>
              <w:rPr>
                <w:rFonts w:hint="eastAsia" w:ascii="宋体" w:hAnsi="宋体" w:eastAsia="宋体" w:cs="宋体"/>
                <w:color w:val="auto"/>
                <w:szCs w:val="21"/>
                <w:highlight w:val="none"/>
                <w:lang w:bidi="ar"/>
              </w:rPr>
            </w:pPr>
          </w:p>
        </w:tc>
        <w:tc>
          <w:tcPr>
            <w:tcW w:w="1004" w:type="pct"/>
            <w:tcBorders>
              <w:top w:val="single" w:color="auto" w:sz="4" w:space="0"/>
              <w:left w:val="nil"/>
              <w:bottom w:val="single" w:color="auto" w:sz="4" w:space="0"/>
              <w:right w:val="single" w:color="auto" w:sz="4" w:space="0"/>
            </w:tcBorders>
            <w:shd w:val="clear" w:color="auto" w:fill="auto"/>
            <w:noWrap/>
          </w:tcPr>
          <w:p w14:paraId="50F19964">
            <w:pPr>
              <w:widowControl/>
              <w:autoSpaceDN w:val="0"/>
              <w:rPr>
                <w:rFonts w:hint="eastAsia" w:ascii="宋体" w:hAnsi="宋体" w:eastAsia="宋体" w:cs="宋体"/>
                <w:color w:val="auto"/>
                <w:szCs w:val="21"/>
                <w:highlight w:val="none"/>
                <w:lang w:bidi="ar"/>
              </w:rPr>
            </w:pPr>
          </w:p>
        </w:tc>
        <w:tc>
          <w:tcPr>
            <w:tcW w:w="589" w:type="pct"/>
            <w:tcBorders>
              <w:top w:val="single" w:color="auto" w:sz="4" w:space="0"/>
              <w:left w:val="nil"/>
              <w:bottom w:val="single" w:color="auto" w:sz="4" w:space="0"/>
              <w:right w:val="single" w:color="auto" w:sz="4" w:space="0"/>
            </w:tcBorders>
            <w:shd w:val="clear" w:color="auto" w:fill="auto"/>
            <w:noWrap/>
          </w:tcPr>
          <w:p w14:paraId="5F966F83">
            <w:pPr>
              <w:widowControl/>
              <w:autoSpaceDN w:val="0"/>
              <w:rPr>
                <w:rFonts w:hint="eastAsia" w:ascii="宋体" w:hAnsi="宋体" w:eastAsia="宋体" w:cs="宋体"/>
                <w:color w:val="auto"/>
                <w:szCs w:val="21"/>
                <w:highlight w:val="none"/>
                <w:lang w:bidi="ar"/>
              </w:rPr>
            </w:pPr>
          </w:p>
        </w:tc>
        <w:tc>
          <w:tcPr>
            <w:tcW w:w="1265" w:type="pct"/>
            <w:tcBorders>
              <w:top w:val="single" w:color="auto" w:sz="4" w:space="0"/>
              <w:left w:val="nil"/>
              <w:bottom w:val="single" w:color="auto" w:sz="4" w:space="0"/>
              <w:right w:val="single" w:color="auto" w:sz="4" w:space="0"/>
            </w:tcBorders>
            <w:shd w:val="clear" w:color="auto" w:fill="auto"/>
            <w:noWrap/>
          </w:tcPr>
          <w:p w14:paraId="2940DACB">
            <w:pPr>
              <w:widowControl/>
              <w:autoSpaceDN w:val="0"/>
              <w:rPr>
                <w:rFonts w:hint="eastAsia" w:ascii="宋体" w:hAnsi="宋体" w:eastAsia="宋体" w:cs="宋体"/>
                <w:color w:val="auto"/>
                <w:szCs w:val="21"/>
                <w:highlight w:val="none"/>
                <w:lang w:bidi="ar"/>
              </w:rPr>
            </w:pPr>
          </w:p>
        </w:tc>
        <w:tc>
          <w:tcPr>
            <w:tcW w:w="666" w:type="pct"/>
            <w:tcBorders>
              <w:top w:val="single" w:color="auto" w:sz="4" w:space="0"/>
              <w:left w:val="nil"/>
              <w:bottom w:val="single" w:color="auto" w:sz="4" w:space="0"/>
              <w:right w:val="single" w:color="auto" w:sz="4" w:space="0"/>
            </w:tcBorders>
            <w:shd w:val="clear" w:color="auto" w:fill="auto"/>
            <w:noWrap/>
          </w:tcPr>
          <w:p w14:paraId="38166E4B">
            <w:pPr>
              <w:widowControl/>
              <w:autoSpaceDN w:val="0"/>
              <w:rPr>
                <w:rFonts w:hint="eastAsia" w:ascii="宋体" w:hAnsi="宋体" w:eastAsia="宋体" w:cs="宋体"/>
                <w:color w:val="auto"/>
                <w:szCs w:val="21"/>
                <w:highlight w:val="none"/>
                <w:lang w:bidi="ar"/>
              </w:rPr>
            </w:pPr>
          </w:p>
        </w:tc>
      </w:tr>
      <w:tr w14:paraId="1C858B1C">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70"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tcPr>
          <w:p w14:paraId="3290E535">
            <w:pPr>
              <w:widowControl/>
              <w:autoSpaceDN w:val="0"/>
              <w:rPr>
                <w:rFonts w:hint="eastAsia" w:ascii="宋体" w:hAnsi="宋体" w:eastAsia="宋体" w:cs="宋体"/>
                <w:color w:val="auto"/>
                <w:szCs w:val="21"/>
                <w:highlight w:val="none"/>
                <w:lang w:bidi="ar"/>
              </w:rPr>
            </w:pPr>
          </w:p>
        </w:tc>
        <w:tc>
          <w:tcPr>
            <w:tcW w:w="645" w:type="pct"/>
            <w:tcBorders>
              <w:top w:val="single" w:color="auto" w:sz="4" w:space="0"/>
              <w:left w:val="nil"/>
              <w:bottom w:val="single" w:color="auto" w:sz="4" w:space="0"/>
              <w:right w:val="single" w:color="auto" w:sz="4" w:space="0"/>
            </w:tcBorders>
            <w:shd w:val="clear" w:color="auto" w:fill="auto"/>
            <w:noWrap/>
          </w:tcPr>
          <w:p w14:paraId="7BB5E862">
            <w:pPr>
              <w:widowControl/>
              <w:autoSpaceDN w:val="0"/>
              <w:rPr>
                <w:rFonts w:hint="eastAsia" w:ascii="宋体" w:hAnsi="宋体" w:eastAsia="宋体" w:cs="宋体"/>
                <w:color w:val="auto"/>
                <w:szCs w:val="21"/>
                <w:highlight w:val="none"/>
                <w:lang w:bidi="ar"/>
              </w:rPr>
            </w:pPr>
          </w:p>
        </w:tc>
        <w:tc>
          <w:tcPr>
            <w:tcW w:w="1004" w:type="pct"/>
            <w:tcBorders>
              <w:top w:val="single" w:color="auto" w:sz="4" w:space="0"/>
              <w:left w:val="nil"/>
              <w:bottom w:val="single" w:color="auto" w:sz="4" w:space="0"/>
              <w:right w:val="single" w:color="auto" w:sz="4" w:space="0"/>
            </w:tcBorders>
            <w:shd w:val="clear" w:color="auto" w:fill="auto"/>
            <w:noWrap/>
          </w:tcPr>
          <w:p w14:paraId="0CA0F868">
            <w:pPr>
              <w:widowControl/>
              <w:autoSpaceDN w:val="0"/>
              <w:rPr>
                <w:rFonts w:hint="eastAsia" w:ascii="宋体" w:hAnsi="宋体" w:eastAsia="宋体" w:cs="宋体"/>
                <w:color w:val="auto"/>
                <w:szCs w:val="21"/>
                <w:highlight w:val="none"/>
                <w:lang w:bidi="ar"/>
              </w:rPr>
            </w:pPr>
          </w:p>
        </w:tc>
        <w:tc>
          <w:tcPr>
            <w:tcW w:w="589" w:type="pct"/>
            <w:tcBorders>
              <w:top w:val="single" w:color="auto" w:sz="4" w:space="0"/>
              <w:left w:val="nil"/>
              <w:bottom w:val="single" w:color="auto" w:sz="4" w:space="0"/>
              <w:right w:val="single" w:color="auto" w:sz="4" w:space="0"/>
            </w:tcBorders>
            <w:shd w:val="clear" w:color="auto" w:fill="auto"/>
            <w:noWrap/>
          </w:tcPr>
          <w:p w14:paraId="16666A8D">
            <w:pPr>
              <w:widowControl/>
              <w:autoSpaceDN w:val="0"/>
              <w:rPr>
                <w:rFonts w:hint="eastAsia" w:ascii="宋体" w:hAnsi="宋体" w:eastAsia="宋体" w:cs="宋体"/>
                <w:color w:val="auto"/>
                <w:szCs w:val="21"/>
                <w:highlight w:val="none"/>
                <w:lang w:bidi="ar"/>
              </w:rPr>
            </w:pPr>
          </w:p>
        </w:tc>
        <w:tc>
          <w:tcPr>
            <w:tcW w:w="1265" w:type="pct"/>
            <w:tcBorders>
              <w:top w:val="single" w:color="auto" w:sz="4" w:space="0"/>
              <w:left w:val="nil"/>
              <w:bottom w:val="single" w:color="auto" w:sz="4" w:space="0"/>
              <w:right w:val="single" w:color="auto" w:sz="4" w:space="0"/>
            </w:tcBorders>
            <w:shd w:val="clear" w:color="auto" w:fill="auto"/>
            <w:noWrap/>
          </w:tcPr>
          <w:p w14:paraId="7212629C">
            <w:pPr>
              <w:widowControl/>
              <w:autoSpaceDN w:val="0"/>
              <w:rPr>
                <w:rFonts w:hint="eastAsia" w:ascii="宋体" w:hAnsi="宋体" w:eastAsia="宋体" w:cs="宋体"/>
                <w:color w:val="auto"/>
                <w:szCs w:val="21"/>
                <w:highlight w:val="none"/>
                <w:lang w:bidi="ar"/>
              </w:rPr>
            </w:pPr>
          </w:p>
        </w:tc>
        <w:tc>
          <w:tcPr>
            <w:tcW w:w="666" w:type="pct"/>
            <w:tcBorders>
              <w:top w:val="single" w:color="auto" w:sz="4" w:space="0"/>
              <w:left w:val="nil"/>
              <w:bottom w:val="single" w:color="auto" w:sz="4" w:space="0"/>
              <w:right w:val="single" w:color="auto" w:sz="4" w:space="0"/>
            </w:tcBorders>
            <w:shd w:val="clear" w:color="auto" w:fill="auto"/>
            <w:noWrap/>
          </w:tcPr>
          <w:p w14:paraId="465DEE23">
            <w:pPr>
              <w:widowControl/>
              <w:autoSpaceDN w:val="0"/>
              <w:rPr>
                <w:rFonts w:hint="eastAsia" w:ascii="宋体" w:hAnsi="宋体" w:eastAsia="宋体" w:cs="宋体"/>
                <w:color w:val="auto"/>
                <w:szCs w:val="21"/>
                <w:highlight w:val="none"/>
                <w:lang w:bidi="ar"/>
              </w:rPr>
            </w:pPr>
          </w:p>
        </w:tc>
      </w:tr>
      <w:tr w14:paraId="70119E97">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384" w:hRule="atLeast"/>
        </w:trPr>
        <w:tc>
          <w:tcPr>
            <w:tcW w:w="827" w:type="pct"/>
            <w:tcBorders>
              <w:top w:val="single" w:color="auto" w:sz="4" w:space="0"/>
              <w:left w:val="single" w:color="auto" w:sz="4" w:space="0"/>
              <w:bottom w:val="single" w:color="auto" w:sz="4" w:space="0"/>
              <w:right w:val="single" w:color="auto" w:sz="4" w:space="0"/>
            </w:tcBorders>
            <w:shd w:val="clear" w:color="auto" w:fill="auto"/>
            <w:noWrap/>
          </w:tcPr>
          <w:p w14:paraId="4A367535">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合计</w:t>
            </w:r>
          </w:p>
        </w:tc>
        <w:tc>
          <w:tcPr>
            <w:tcW w:w="645" w:type="pct"/>
            <w:tcBorders>
              <w:top w:val="single" w:color="auto" w:sz="4" w:space="0"/>
              <w:left w:val="nil"/>
              <w:bottom w:val="single" w:color="auto" w:sz="4" w:space="0"/>
              <w:right w:val="single" w:color="auto" w:sz="4" w:space="0"/>
            </w:tcBorders>
            <w:shd w:val="clear" w:color="auto" w:fill="auto"/>
            <w:noWrap/>
          </w:tcPr>
          <w:p w14:paraId="263B4966">
            <w:pPr>
              <w:widowControl/>
              <w:autoSpaceDN w:val="0"/>
              <w:jc w:val="center"/>
              <w:rPr>
                <w:rFonts w:hint="eastAsia" w:ascii="宋体" w:hAnsi="宋体" w:eastAsia="宋体" w:cs="宋体"/>
                <w:b/>
                <w:bCs/>
                <w:color w:val="auto"/>
                <w:szCs w:val="21"/>
                <w:highlight w:val="none"/>
                <w:lang w:bidi="ar"/>
              </w:rPr>
            </w:pPr>
          </w:p>
        </w:tc>
        <w:tc>
          <w:tcPr>
            <w:tcW w:w="1004" w:type="pct"/>
            <w:tcBorders>
              <w:top w:val="single" w:color="auto" w:sz="4" w:space="0"/>
              <w:left w:val="nil"/>
              <w:bottom w:val="single" w:color="auto" w:sz="4" w:space="0"/>
              <w:right w:val="single" w:color="auto" w:sz="4" w:space="0"/>
            </w:tcBorders>
            <w:shd w:val="clear" w:color="auto" w:fill="auto"/>
            <w:noWrap/>
          </w:tcPr>
          <w:p w14:paraId="4B7B8B0C">
            <w:pPr>
              <w:widowControl/>
              <w:autoSpaceDN w:val="0"/>
              <w:jc w:val="center"/>
              <w:rPr>
                <w:rFonts w:hint="eastAsia" w:ascii="宋体" w:hAnsi="宋体" w:eastAsia="宋体" w:cs="宋体"/>
                <w:b/>
                <w:bCs/>
                <w:color w:val="auto"/>
                <w:szCs w:val="21"/>
                <w:highlight w:val="none"/>
                <w:lang w:bidi="ar"/>
              </w:rPr>
            </w:pPr>
          </w:p>
        </w:tc>
        <w:tc>
          <w:tcPr>
            <w:tcW w:w="589" w:type="pct"/>
            <w:tcBorders>
              <w:top w:val="single" w:color="auto" w:sz="4" w:space="0"/>
              <w:left w:val="nil"/>
              <w:bottom w:val="single" w:color="auto" w:sz="4" w:space="0"/>
              <w:right w:val="single" w:color="auto" w:sz="4" w:space="0"/>
            </w:tcBorders>
            <w:shd w:val="clear" w:color="auto" w:fill="auto"/>
            <w:noWrap/>
          </w:tcPr>
          <w:p w14:paraId="5D921FA7">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元</w:t>
            </w:r>
          </w:p>
        </w:tc>
        <w:tc>
          <w:tcPr>
            <w:tcW w:w="1265" w:type="pct"/>
            <w:tcBorders>
              <w:top w:val="single" w:color="auto" w:sz="4" w:space="0"/>
              <w:left w:val="nil"/>
              <w:bottom w:val="single" w:color="auto" w:sz="4" w:space="0"/>
              <w:right w:val="single" w:color="auto" w:sz="4" w:space="0"/>
            </w:tcBorders>
            <w:shd w:val="clear" w:color="auto" w:fill="auto"/>
            <w:noWrap/>
          </w:tcPr>
          <w:p w14:paraId="49D530C5">
            <w:pPr>
              <w:widowControl/>
              <w:autoSpaceDN w:val="0"/>
              <w:jc w:val="center"/>
              <w:rPr>
                <w:rFonts w:hint="eastAsia" w:ascii="宋体" w:hAnsi="宋体" w:eastAsia="宋体" w:cs="宋体"/>
                <w:b/>
                <w:bCs/>
                <w:color w:val="auto"/>
                <w:szCs w:val="21"/>
                <w:highlight w:val="none"/>
                <w:lang w:bidi="ar"/>
              </w:rPr>
            </w:pPr>
          </w:p>
        </w:tc>
        <w:tc>
          <w:tcPr>
            <w:tcW w:w="666" w:type="pct"/>
            <w:tcBorders>
              <w:top w:val="single" w:color="auto" w:sz="4" w:space="0"/>
              <w:left w:val="nil"/>
              <w:bottom w:val="single" w:color="auto" w:sz="4" w:space="0"/>
              <w:right w:val="single" w:color="auto" w:sz="4" w:space="0"/>
            </w:tcBorders>
            <w:shd w:val="clear" w:color="auto" w:fill="auto"/>
            <w:noWrap/>
          </w:tcPr>
          <w:p w14:paraId="12BCCD03">
            <w:pPr>
              <w:widowControl/>
              <w:autoSpaceDN w:val="0"/>
              <w:jc w:val="center"/>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元</w:t>
            </w:r>
          </w:p>
        </w:tc>
      </w:tr>
    </w:tbl>
    <w:p w14:paraId="6EFDF107">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依据财政部《关于印发《政府采购促进中小企业发展暂行办法》的通知》（财库〔2011〕181号）规定本项目对小型和微型企业产品的价格给予10-20%的扣除，用扣除后的价格参与评审，但参加本次采购活动的中小企业应当提供本办法规定的《中小企业声明函》。小型、微型企业提供中型企业制造的货物的，视同为中型企业。</w:t>
      </w:r>
    </w:p>
    <w:p w14:paraId="1F148238">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依据《财政部司法部关于政府采购支持监狱企业发展有关问题的通知》文件规定，在政府采购活动中，监狱企业视同小型、微型企业，享受预留份额、评审中价格扣除等政府采购促进中小企业发展的政府采购政策。</w:t>
      </w:r>
    </w:p>
    <w:p w14:paraId="70D46EBD">
      <w:pPr>
        <w:autoSpaceDN w:val="0"/>
        <w:rPr>
          <w:rFonts w:hint="eastAsia" w:ascii="宋体" w:hAnsi="宋体" w:eastAsia="宋体" w:cs="宋体"/>
          <w:color w:val="auto"/>
          <w:szCs w:val="21"/>
          <w:highlight w:val="none"/>
          <w:lang w:bidi="ar"/>
        </w:rPr>
      </w:pPr>
    </w:p>
    <w:p w14:paraId="20A9450B">
      <w:pPr>
        <w:autoSpaceDN w:val="0"/>
        <w:rPr>
          <w:rFonts w:hint="eastAsia" w:ascii="宋体" w:hAnsi="宋体" w:eastAsia="宋体" w:cs="宋体"/>
          <w:b/>
          <w:bCs/>
          <w:color w:val="auto"/>
          <w:szCs w:val="21"/>
          <w:highlight w:val="none"/>
          <w:lang w:bidi="ar"/>
        </w:rPr>
      </w:pPr>
      <w:r>
        <w:rPr>
          <w:rFonts w:hint="eastAsia" w:ascii="宋体" w:hAnsi="宋体" w:eastAsia="宋体" w:cs="宋体"/>
          <w:b/>
          <w:bCs/>
          <w:color w:val="auto"/>
          <w:szCs w:val="21"/>
          <w:highlight w:val="none"/>
          <w:lang w:bidi="ar"/>
        </w:rPr>
        <w:t>评标委员会在评审时，价格分加分：</w:t>
      </w:r>
    </w:p>
    <w:p w14:paraId="18CA7E8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(1)根据财库〔2022〕19号文件规定，对小型和微型企业的产品给予10%的价格扣除，并按照扣除后的价格参加评审。</w:t>
      </w:r>
    </w:p>
    <w:p w14:paraId="2B65D2F9">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(2)对于列入财政部、国家发改委发布的《节能产品政府采购品目清单》但不属于国家强制采购的产品，对其投标价格给予3%的价格扣除，并按照扣除后的价格参加评审。</w:t>
      </w:r>
    </w:p>
    <w:p w14:paraId="7C5B559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（3）对于纳入环境标志产品政府采购品目清单的投标产品，按其在总报价中所占的比例给予3%的价格加分。</w:t>
      </w:r>
    </w:p>
    <w:p w14:paraId="56EECE4E">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投标产品同时纳入节能产品政府采购清单、环境标志产品政府采购品目清单时的，将上述规定的价格分加分比例分叠加后计算价格加分。（投标人须提供在有效期内的认证证明及相应证明材料）。</w:t>
      </w:r>
    </w:p>
    <w:p w14:paraId="226D6160">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（4）《财政部司法部关于政府采购支持监狱企业发展有关问题的通知》文件规定，在政府采购活动中，监狱企业视同小型、微型企业，对监狱企业的投标报价给予10%的价格扣除，并按照扣除后的价格参加评审。</w:t>
      </w:r>
    </w:p>
    <w:p w14:paraId="593D6DF3">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5）《关于促进残疾人就业政府采购政策的通知》（财库〔2017〕141号），在政府采购活动中，残疾人福利性单位视同小型、微型企业，对残疾人福利性单位的投标报价给予10%的价格扣除，并按照扣除后的价格参评加审。</w:t>
      </w:r>
    </w:p>
    <w:p w14:paraId="24AFE775">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投标单位的投标报价明显低于其他通过符合性审查投标人的报价，有可能影响产品质量或者不能诚信履约的，须提供成本构成表及相应证明材料，内容包括但不限于生产成本（如原材成本、设备损耗成本等），管理成本（人员工资、福利、社保等），交通成本（汽油、过路费等），税费等，并列明计算过程。投标人不能证明其报价合理性的，未提供或内容不全面无法支持成本构成的，由评标委员会认定该投标人是否以低于成本价竞标，如果是，其报价分不得分。超过采购预算的投标报价将否决其投标。</w:t>
      </w:r>
    </w:p>
    <w:p w14:paraId="0B4F47BA">
      <w:pPr>
        <w:autoSpaceDN w:val="0"/>
        <w:rPr>
          <w:rFonts w:hint="eastAsia" w:ascii="宋体" w:hAnsi="宋体" w:eastAsia="宋体" w:cs="宋体"/>
          <w:color w:val="auto"/>
          <w:szCs w:val="21"/>
          <w:highlight w:val="none"/>
          <w:lang w:bidi="ar"/>
        </w:rPr>
      </w:pPr>
    </w:p>
    <w:p w14:paraId="7B7F6456">
      <w:pPr>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br w:type="page"/>
      </w:r>
    </w:p>
    <w:p w14:paraId="6139392B">
      <w:pPr>
        <w:autoSpaceDE w:val="0"/>
        <w:autoSpaceDN w:val="0"/>
        <w:adjustRightInd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rPr>
        <w:t>本项目需要落实的政府采购政策包括：</w:t>
      </w:r>
    </w:p>
    <w:p w14:paraId="6B52FF42">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一、促进中小企业发展政策</w:t>
      </w:r>
    </w:p>
    <w:p w14:paraId="6A17829B">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（一）政策依据</w:t>
      </w:r>
    </w:p>
    <w:p w14:paraId="22FA696C">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财政部 工业和信息化部《政府采购促进中小企业发展管理办法》（财库﹝2020﹞46号）。</w:t>
      </w:r>
    </w:p>
    <w:p w14:paraId="7BAB2A6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（二）中小企业的认定</w:t>
      </w:r>
    </w:p>
    <w:p w14:paraId="708686E9">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1、在中华人民共和国境内依法设立，依据国务院批准的中小企业划分标准确定的中型企业、小型企业和微型企业，但与大企业的负责人为同一人，或者与大企业存在直接控股、管理关系的除外。</w:t>
      </w:r>
    </w:p>
    <w:p w14:paraId="73F27C39">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2、符合中小企业划分标准的个体工商户，在政府采购活动中视同中小企业。</w:t>
      </w:r>
    </w:p>
    <w:p w14:paraId="38947FFB">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3、以联合体形式参加政府采购活动，联合体各方均为中小企业的，联合体视同中小企业。其中，联合体各方均为小微企业的，联合体视同小微企业。</w:t>
      </w:r>
    </w:p>
    <w:p w14:paraId="33FEA1F7">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（三）中小企业需提供的证明材料</w:t>
      </w:r>
    </w:p>
    <w:p w14:paraId="4A985C25">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中小企业参加政府采购活动，应当出具本采购文件规定的《中小企业声明函》，否则不得享受相关中小企业扶持政策。任何单位和个人不得要求供应商提供《中小企业声明函》之外的中小企业身份证明文件。</w:t>
      </w:r>
    </w:p>
    <w:p w14:paraId="5213C1FF">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（四）中小企业扶持政策享受情形</w:t>
      </w:r>
    </w:p>
    <w:p w14:paraId="5B06233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在政府采购活动中，供应商提供的货物、工程或者服务符合下列情形的，享受相关中小企业扶持政策：</w:t>
      </w:r>
    </w:p>
    <w:p w14:paraId="1581A4B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在货物采购项目中，货物由中小企业制造，即货物由中小企业生产且使用该中小企业商号或者注册商标；</w:t>
      </w:r>
    </w:p>
    <w:p w14:paraId="2998A8A5">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2、在工程采购项目中，工程由中小企业承建，即工程施工单位为中小企业；</w:t>
      </w:r>
    </w:p>
    <w:p w14:paraId="608A8334">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3、在服务采购项目中，服务由中小企业承接，即提供服务的人员为中小企业依照《中华人民共和国劳动合同法》订立劳动合同的从业人员。</w:t>
      </w:r>
    </w:p>
    <w:p w14:paraId="3CD843BF">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在货物采购项目中，供应商提供的货物既有中小企业制造货物，也有大型企业制造货物的，不享受中小企业扶持政策。</w:t>
      </w:r>
    </w:p>
    <w:p w14:paraId="4FABD8C4">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（五）中小企业扶持政策</w:t>
      </w:r>
    </w:p>
    <w:p w14:paraId="0EA7C401">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对于非专门面向中小企业采购的采购包，应当对符合本章规定的小微企业报价给予10%（工程项目为3%）的扣除，用扣除后的价格参加评审。适用招标投标法的政府采购工程建设项目，采用综合评分法但未采用低价优先法计算价格分的，评标时应当在采用原报价进行评分的基础上增加其价格得分的3%作为其价格分。</w:t>
      </w:r>
    </w:p>
    <w:p w14:paraId="551703F3">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接受大中型企业与小微企业组成联合体或者允许大中型企业向一家或者多家小微企业分包的采购项目，对于联合协议或者分包意向协议约定小微企业的合同份额占到合同总金额30%以上的，应当对联合体或者大中型企业的报价给予2%（工程项目为1%）的扣除，用扣除后的价格参加评审。适用招标投标法的政府采购工程建设项目，采用综合评分法但未采用低价优先法计算价格分的，评标时应当在采用原报价进行评分的基础上增加其价格得分的1%作为其价格分。组成联合体或者接受分包的小微企业与联合体内其他企业、分包企业之间存在直接控股、管理关系的，不享受价格扣除优惠政策。</w:t>
      </w:r>
    </w:p>
    <w:p w14:paraId="6EFF53D9">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3、价格扣除比例或者价格分加分比例对小型企业和微型企业同等对待，不作区分。</w:t>
      </w:r>
    </w:p>
    <w:p w14:paraId="54408C1D">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（六）合同分包要求</w:t>
      </w:r>
    </w:p>
    <w:p w14:paraId="4B4C1E1C">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1、享受扶持政策获得政府采购合同的，小微企业不得将合同分包给大中型企业，中型企业不得将合同分包给大型企业。</w:t>
      </w:r>
    </w:p>
    <w:p w14:paraId="422BEF63">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对于专门面向中小企业采购的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2A8B934A">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（七）法律责任</w:t>
      </w:r>
    </w:p>
    <w:p w14:paraId="479E4E0E">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供应商按照本采购文件规定提供声明函内容不实的，属于提供虚假材料谋取中标、成交，依照《中华人民共和国政府采购法》等国家有关规定追究相应责任。</w:t>
      </w:r>
    </w:p>
    <w:p w14:paraId="1F255690">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p>
    <w:p w14:paraId="7676A63B">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二、支持监狱企业发展政策</w:t>
      </w:r>
    </w:p>
    <w:p w14:paraId="40D4100F">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（一）政策依据</w:t>
      </w:r>
    </w:p>
    <w:p w14:paraId="2278D53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财政部 司法部《关于政府采购支持监狱企业发展有关问题的通知》（财库〔2014〕68号）。</w:t>
      </w:r>
    </w:p>
    <w:p w14:paraId="10983038">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（二）监狱企业的认定</w:t>
      </w:r>
    </w:p>
    <w:p w14:paraId="397E7F47">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4E5A3B4">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（三）监狱企业需提供的证明材料</w:t>
      </w:r>
    </w:p>
    <w:p w14:paraId="38C61339">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监狱企业参加政府采购活动时，应当提供由省级以上监狱管理局、戒毒管理局（含新疆生产建设兵团）出具的属于监狱企业的证明文件。</w:t>
      </w:r>
    </w:p>
    <w:p w14:paraId="21DC3B97">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（四）监狱企业支持政策</w:t>
      </w:r>
    </w:p>
    <w:p w14:paraId="18E6C715">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在政府采购活动中，监狱企业视同小型、微型企业，享受政府采购促进中小企业发展的政府采购政策。向监狱企业采购的金额，计入面向中小企业采购的统计数据。监狱企业属于小型、微型企业的，不重复享受政策。</w:t>
      </w:r>
    </w:p>
    <w:p w14:paraId="68701F15">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p>
    <w:p w14:paraId="30655A2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三、支持残疾人福利性单位发展政策</w:t>
      </w:r>
    </w:p>
    <w:p w14:paraId="3B401E6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（一）政策依据</w:t>
      </w:r>
    </w:p>
    <w:p w14:paraId="25DB0A8B">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财政部 民政部 中国残疾人联合会《关于促进残疾人就业政府采购政策的通知》（财库[2017]141号）。</w:t>
      </w:r>
    </w:p>
    <w:p w14:paraId="5F304804">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（二）残疾人福利性单位的认定</w:t>
      </w:r>
    </w:p>
    <w:p w14:paraId="5A47B345">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享受政府采购支持政策的残疾人福利性单位应当同时满足以下条件：</w:t>
      </w:r>
    </w:p>
    <w:p w14:paraId="0BB5348A">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1、安置的残疾人占本单位在职职工人数的比例不低于25%(含25%)，并且安置的残疾人人数不少于10人(含10人)；</w:t>
      </w:r>
    </w:p>
    <w:p w14:paraId="41AD36C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2、依法与安置的每位残疾人签订了一年以上(含一年)的劳动合同或服务协议；</w:t>
      </w:r>
    </w:p>
    <w:p w14:paraId="2D1B1CF4">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3、为安置的每位残疾人按月足额缴纳了基本养老保险、基本医疗保险、失业保险、工伤保险和生育保险等社会保险费；</w:t>
      </w:r>
    </w:p>
    <w:p w14:paraId="04327A03">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4、通过银行等金融机构向安置的每位残疾人，按月支付了不低于单位所在区县适用的经省级人民政府批准的月最低工资标准的工资；</w:t>
      </w:r>
    </w:p>
    <w:p w14:paraId="1F7F6F80">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5、提供本单位制造的货物、承担的工程或者服务(以下简称产品)，或者提供其他残疾人福利性单位制造的货物(不包括使用非残疾人福利性单位注册商标的货物)。</w:t>
      </w:r>
    </w:p>
    <w:p w14:paraId="76E553FE">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56D436F3">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（三）残疾人福利性单位需提供的证明材料</w:t>
      </w:r>
    </w:p>
    <w:p w14:paraId="264CF5E6">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符合条件的残疾人福利性单位在参加政府采购活动时，应当出具本采购文件规定的《残疾人福利性单位声明函》，并对声明的真实性负责。</w:t>
      </w:r>
    </w:p>
    <w:p w14:paraId="7182486D">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（四）残疾人福利性单位支持政策</w:t>
      </w:r>
    </w:p>
    <w:p w14:paraId="2E216F91">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在政府采购活动中，残疾人福利性单位视同小型、微型企业，享受促进中小企业发展的政府采购政策。向残疾人福利性单位采购的金额，计入面向中小企业采购的统计数据。残疾人福利性单位属于小型、微型企业的，不重复享受政策。</w:t>
      </w:r>
    </w:p>
    <w:p w14:paraId="53C1CBCA">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（五）法律责任</w:t>
      </w:r>
    </w:p>
    <w:p w14:paraId="4CB3F47A">
      <w:pPr>
        <w:widowControl/>
        <w:autoSpaceDE w:val="0"/>
        <w:autoSpaceDN w:val="0"/>
        <w:adjustRightInd w:val="0"/>
        <w:spacing w:line="400" w:lineRule="exact"/>
        <w:ind w:firstLine="480" w:firstLineChars="200"/>
        <w:jc w:val="left"/>
        <w:rPr>
          <w:rFonts w:hint="eastAsia" w:ascii="宋体" w:hAnsi="宋体" w:eastAsia="宋体" w:cs="宋体"/>
          <w:bCs/>
          <w:color w:val="auto"/>
          <w:sz w:val="24"/>
          <w:highlight w:val="none"/>
        </w:rPr>
      </w:pPr>
      <w:r>
        <w:rPr>
          <w:rFonts w:hint="eastAsia" w:ascii="宋体" w:hAnsi="宋体" w:eastAsia="宋体" w:cs="宋体"/>
          <w:bCs/>
          <w:color w:val="auto"/>
          <w:sz w:val="24"/>
          <w:highlight w:val="none"/>
        </w:rPr>
        <w:t>供应商按照本采购文件规定提供声明函内容不实的，属于提供虚假材料谋取中标、成交，依照《中华人民共和国政府采购法》等国家有关规定追究相应责任。</w:t>
      </w:r>
    </w:p>
    <w:p w14:paraId="72E62DB1">
      <w:pPr>
        <w:rPr>
          <w:rFonts w:hint="eastAsia" w:ascii="宋体" w:hAnsi="宋体" w:eastAsia="宋体" w:cs="宋体"/>
          <w:color w:val="auto"/>
          <w:highlight w:val="none"/>
        </w:rPr>
        <w:sectPr>
          <w:pgSz w:w="11906" w:h="16838"/>
          <w:pgMar w:top="1440" w:right="1080" w:bottom="1440" w:left="1080" w:header="851" w:footer="992" w:gutter="0"/>
          <w:cols w:space="0" w:num="1"/>
          <w:docGrid w:type="lines" w:linePitch="312" w:charSpace="0"/>
        </w:sectPr>
      </w:pPr>
    </w:p>
    <w:p w14:paraId="3355F628">
      <w:pPr>
        <w:pageBreakBefore/>
        <w:spacing w:line="415" w:lineRule="auto"/>
        <w:jc w:val="left"/>
        <w:textAlignment w:val="baseline"/>
        <w:rPr>
          <w:rStyle w:val="27"/>
          <w:rFonts w:hint="eastAsia" w:ascii="宋体" w:hAnsi="宋体" w:eastAsia="宋体" w:cs="宋体"/>
          <w:b/>
          <w:color w:val="auto"/>
          <w:spacing w:val="12"/>
          <w:sz w:val="24"/>
          <w:highlight w:val="none"/>
        </w:rPr>
      </w:pPr>
      <w:bookmarkStart w:id="23" w:name="_Toc11517"/>
      <w:r>
        <w:rPr>
          <w:rStyle w:val="27"/>
          <w:rFonts w:hint="eastAsia" w:ascii="宋体" w:hAnsi="宋体" w:eastAsia="宋体" w:cs="宋体"/>
          <w:b/>
          <w:color w:val="auto"/>
          <w:spacing w:val="12"/>
          <w:sz w:val="24"/>
          <w:highlight w:val="none"/>
        </w:rPr>
        <w:t>附件1 中小企业划型标准规定</w:t>
      </w:r>
      <w:bookmarkEnd w:id="23"/>
    </w:p>
    <w:p w14:paraId="03D126F0">
      <w:pPr>
        <w:rPr>
          <w:rFonts w:hint="eastAsia" w:ascii="宋体" w:hAnsi="宋体" w:eastAsia="宋体" w:cs="宋体"/>
          <w:color w:val="auto"/>
          <w:szCs w:val="21"/>
          <w:highlight w:val="none"/>
        </w:rPr>
      </w:pPr>
      <w:r>
        <w:rPr>
          <w:rFonts w:hint="eastAsia" w:ascii="宋体" w:hAnsi="宋体" w:eastAsia="宋体" w:cs="宋体"/>
          <w:color w:val="auto"/>
          <w:szCs w:val="21"/>
          <w:highlight w:val="none"/>
          <w:shd w:val="clear" w:color="auto" w:fill="FFFFFF"/>
        </w:rPr>
        <w:t xml:space="preserve">      </w:t>
      </w:r>
      <w:r>
        <w:rPr>
          <w:rFonts w:hint="eastAsia" w:ascii="宋体" w:hAnsi="宋体" w:eastAsia="宋体" w:cs="宋体"/>
          <w:color w:val="auto"/>
          <w:szCs w:val="21"/>
          <w:highlight w:val="none"/>
          <w:shd w:val="clear" w:color="auto" w:fill="FFFFFF"/>
        </w:rPr>
        <w:drawing>
          <wp:inline distT="0" distB="0" distL="114300" distR="114300">
            <wp:extent cx="4286250" cy="1905000"/>
            <wp:effectExtent l="0" t="0" r="0" b="0"/>
            <wp:docPr id="5" name="图片 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IMG_257"/>
                    <pic:cNvPicPr>
                      <a:picLocks noChangeAspect="1"/>
                    </pic:cNvPicPr>
                  </pic:nvPicPr>
                  <pic:blipFill>
                    <a:blip r:embed="rId6"/>
                    <a:stretch>
                      <a:fillRect/>
                    </a:stretch>
                  </pic:blipFill>
                  <pic:spPr>
                    <a:xfrm>
                      <a:off x="0" y="0"/>
                      <a:ext cx="4286250" cy="1905000"/>
                    </a:xfrm>
                    <a:prstGeom prst="rect">
                      <a:avLst/>
                    </a:prstGeom>
                    <a:noFill/>
                    <a:ln>
                      <a:noFill/>
                    </a:ln>
                  </pic:spPr>
                </pic:pic>
              </a:graphicData>
            </a:graphic>
          </wp:inline>
        </w:drawing>
      </w:r>
    </w:p>
    <w:p w14:paraId="09CF86D4">
      <w:pPr>
        <w:jc w:val="center"/>
        <w:rPr>
          <w:rFonts w:hint="eastAsia" w:ascii="宋体" w:hAnsi="宋体" w:eastAsia="宋体" w:cs="宋体"/>
          <w:b/>
          <w:bCs/>
          <w:color w:val="auto"/>
          <w:highlight w:val="none"/>
        </w:rPr>
      </w:pPr>
      <w:r>
        <w:rPr>
          <w:rFonts w:hint="eastAsia" w:ascii="宋体" w:hAnsi="宋体" w:eastAsia="宋体" w:cs="宋体"/>
          <w:b/>
          <w:bCs/>
          <w:color w:val="auto"/>
          <w:highlight w:val="none"/>
        </w:rPr>
        <w:t>工信部联企业〔2011〕300号</w:t>
      </w:r>
    </w:p>
    <w:p w14:paraId="79742AFC">
      <w:pPr>
        <w:widowControl/>
        <w:pBdr>
          <w:top w:val="single" w:color="FF0000" w:sz="18" w:space="30"/>
        </w:pBdr>
        <w:shd w:val="clear" w:color="auto" w:fill="FFFFFF"/>
        <w:spacing w:before="100" w:beforeAutospacing="1" w:after="100" w:afterAutospacing="1" w:line="420" w:lineRule="atLeast"/>
        <w:ind w:left="15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shd w:val="clear" w:color="auto" w:fill="FFFFFF"/>
          <w:lang w:bidi="ar"/>
        </w:rPr>
        <w:t>关于印发中小企业划型标准规定的通知</w:t>
      </w:r>
    </w:p>
    <w:p w14:paraId="78A1F9AF">
      <w:pPr>
        <w:pStyle w:val="20"/>
        <w:spacing w:before="452" w:after="150" w:line="560" w:lineRule="atLeast"/>
        <w:ind w:left="150"/>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各省、自治区、直辖市人民政府，国务院各部委、各直属机构及有关单位：</w:t>
      </w:r>
    </w:p>
    <w:p w14:paraId="78F49D64">
      <w:pPr>
        <w:pStyle w:val="20"/>
        <w:spacing w:before="452" w:after="150" w:line="560" w:lineRule="atLeast"/>
        <w:ind w:left="150"/>
        <w:rPr>
          <w:rFonts w:hint="eastAsia" w:ascii="宋体" w:hAnsi="宋体" w:cs="宋体"/>
          <w:color w:val="auto"/>
          <w:highlight w:val="none"/>
        </w:rPr>
      </w:pPr>
      <w:r>
        <w:rPr>
          <w:rFonts w:hint="eastAsia" w:ascii="宋体" w:hAnsi="宋体" w:cs="宋体"/>
          <w:color w:val="auto"/>
          <w:highlight w:val="none"/>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5B46F80B">
      <w:pPr>
        <w:pStyle w:val="20"/>
        <w:spacing w:before="452" w:after="150" w:line="560" w:lineRule="atLeast"/>
        <w:ind w:left="150"/>
        <w:jc w:val="right"/>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工业和信息化部</w:t>
      </w:r>
    </w:p>
    <w:p w14:paraId="4CA69B6E">
      <w:pPr>
        <w:pStyle w:val="20"/>
        <w:spacing w:before="452" w:after="150" w:line="560" w:lineRule="atLeast"/>
        <w:ind w:left="150"/>
        <w:jc w:val="right"/>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国家统计局</w:t>
      </w:r>
    </w:p>
    <w:p w14:paraId="2EA5B835">
      <w:pPr>
        <w:pStyle w:val="20"/>
        <w:spacing w:before="452" w:after="150" w:line="560" w:lineRule="atLeast"/>
        <w:ind w:left="150"/>
        <w:jc w:val="right"/>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国家发展和改革委员会</w:t>
      </w:r>
    </w:p>
    <w:p w14:paraId="26989CA7">
      <w:pPr>
        <w:pStyle w:val="20"/>
        <w:spacing w:before="452" w:after="150" w:line="560" w:lineRule="atLeast"/>
        <w:ind w:left="150"/>
        <w:jc w:val="right"/>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财政部</w:t>
      </w:r>
    </w:p>
    <w:p w14:paraId="47BE6C83">
      <w:pPr>
        <w:pStyle w:val="20"/>
        <w:spacing w:before="452" w:after="150" w:line="560" w:lineRule="atLeast"/>
        <w:ind w:left="150"/>
        <w:jc w:val="right"/>
        <w:rPr>
          <w:rFonts w:hint="eastAsia" w:ascii="宋体" w:hAnsi="宋体" w:cs="宋体"/>
          <w:color w:val="auto"/>
          <w:highlight w:val="none"/>
        </w:rPr>
      </w:pPr>
      <w:r>
        <w:rPr>
          <w:rFonts w:hint="eastAsia" w:ascii="宋体" w:hAnsi="宋体" w:cs="宋体"/>
          <w:color w:val="auto"/>
          <w:highlight w:val="none"/>
          <w:shd w:val="clear" w:color="auto" w:fill="FFFFFF"/>
        </w:rPr>
        <w:t>二○一一年六月十八日</w:t>
      </w:r>
    </w:p>
    <w:p w14:paraId="6F55C01E">
      <w:pPr>
        <w:pStyle w:val="20"/>
        <w:shd w:val="clear" w:color="auto" w:fill="FFFFFF"/>
        <w:jc w:val="center"/>
        <w:rPr>
          <w:rStyle w:val="27"/>
          <w:rFonts w:hint="eastAsia" w:ascii="宋体" w:hAnsi="宋体" w:cs="宋体"/>
          <w:b/>
          <w:bCs/>
          <w:color w:val="auto"/>
          <w:sz w:val="21"/>
          <w:szCs w:val="21"/>
          <w:highlight w:val="none"/>
          <w:shd w:val="clear" w:color="auto" w:fill="FFFFFF"/>
        </w:rPr>
      </w:pPr>
      <w:r>
        <w:rPr>
          <w:rStyle w:val="27"/>
          <w:rFonts w:hint="eastAsia" w:ascii="宋体" w:hAnsi="宋体" w:cs="宋体"/>
          <w:color w:val="auto"/>
          <w:highlight w:val="none"/>
          <w:shd w:val="clear" w:color="auto" w:fill="FFFFFF"/>
        </w:rPr>
        <w:br w:type="page"/>
      </w:r>
      <w:r>
        <w:rPr>
          <w:rStyle w:val="27"/>
          <w:rFonts w:hint="eastAsia" w:ascii="宋体" w:hAnsi="宋体" w:cs="宋体"/>
          <w:b/>
          <w:bCs/>
          <w:color w:val="auto"/>
          <w:sz w:val="21"/>
          <w:szCs w:val="21"/>
          <w:highlight w:val="none"/>
          <w:shd w:val="clear" w:color="auto" w:fill="FFFFFF"/>
        </w:rPr>
        <w:t>关于印发中小企业划型标准规定的通知</w:t>
      </w:r>
    </w:p>
    <w:p w14:paraId="47B839A1">
      <w:pPr>
        <w:pStyle w:val="20"/>
        <w:shd w:val="clear" w:color="auto" w:fill="FFFFFF"/>
        <w:jc w:val="center"/>
        <w:rPr>
          <w:rFonts w:hint="eastAsia" w:ascii="宋体" w:hAnsi="宋体" w:cs="宋体"/>
          <w:b/>
          <w:bCs/>
          <w:color w:val="auto"/>
          <w:sz w:val="21"/>
          <w:szCs w:val="21"/>
          <w:highlight w:val="none"/>
        </w:rPr>
      </w:pPr>
      <w:r>
        <w:rPr>
          <w:rFonts w:hint="eastAsia" w:ascii="宋体" w:hAnsi="宋体" w:cs="宋体"/>
          <w:b/>
          <w:bCs/>
          <w:color w:val="auto"/>
          <w:sz w:val="21"/>
          <w:szCs w:val="21"/>
          <w:highlight w:val="none"/>
          <w:shd w:val="clear" w:color="auto" w:fill="FFFFFF"/>
        </w:rPr>
        <w:t>工信部联企业〔2011〕300号</w:t>
      </w:r>
    </w:p>
    <w:p w14:paraId="0187C3B6">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各省、自治区、直辖市人民政府，国务院各部委、各直属机构及有关单位：</w:t>
      </w:r>
    </w:p>
    <w:p w14:paraId="506BD803">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544ABC16">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工业和信息化部　国家统计局</w:t>
      </w:r>
    </w:p>
    <w:p w14:paraId="521E8ADB">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国家发展和改革委员会　财政部</w:t>
      </w:r>
    </w:p>
    <w:p w14:paraId="78C1DEDA">
      <w:pPr>
        <w:pStyle w:val="20"/>
        <w:shd w:val="clear" w:color="auto" w:fill="FFFFFF"/>
        <w:rPr>
          <w:rFonts w:hint="eastAsia" w:ascii="宋体" w:hAnsi="宋体" w:cs="宋体"/>
          <w:color w:val="auto"/>
          <w:sz w:val="21"/>
          <w:szCs w:val="21"/>
          <w:highlight w:val="none"/>
        </w:rPr>
      </w:pPr>
      <w:r>
        <w:rPr>
          <w:rFonts w:hint="eastAsia" w:ascii="宋体" w:hAnsi="宋体" w:cs="宋体"/>
          <w:color w:val="auto"/>
          <w:sz w:val="21"/>
          <w:szCs w:val="21"/>
          <w:highlight w:val="none"/>
          <w:shd w:val="clear" w:color="auto" w:fill="FFFFFF"/>
        </w:rPr>
        <w:t>　　　　　　　　　　　　　　　　　　　　　　　　二○一一年六月十八日</w:t>
      </w:r>
    </w:p>
    <w:p w14:paraId="408F5598">
      <w:pPr>
        <w:pStyle w:val="20"/>
        <w:shd w:val="clear" w:color="auto" w:fill="FFFFFF"/>
        <w:jc w:val="center"/>
        <w:rPr>
          <w:rFonts w:hint="eastAsia" w:ascii="宋体" w:hAnsi="宋体" w:cs="宋体"/>
          <w:b/>
          <w:bCs/>
          <w:color w:val="auto"/>
          <w:sz w:val="21"/>
          <w:szCs w:val="21"/>
          <w:highlight w:val="none"/>
        </w:rPr>
      </w:pPr>
      <w:r>
        <w:rPr>
          <w:rStyle w:val="27"/>
          <w:rFonts w:hint="eastAsia" w:ascii="宋体" w:hAnsi="宋体" w:cs="宋体"/>
          <w:b/>
          <w:bCs/>
          <w:color w:val="auto"/>
          <w:sz w:val="21"/>
          <w:szCs w:val="21"/>
          <w:highlight w:val="none"/>
          <w:shd w:val="clear" w:color="auto" w:fill="FFFFFF"/>
        </w:rPr>
        <w:t>中小企业划型标准规定</w:t>
      </w:r>
    </w:p>
    <w:p w14:paraId="55D3808F">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一、根据《中华人民共和国中小企业促进法》和《国务院关于进一步促进中小企业发展的若干意见》(国发〔2009〕36号)，制定本规定。</w:t>
      </w:r>
    </w:p>
    <w:p w14:paraId="2DF7CDB6">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二、中小企业划分为中型、小型、微型三种类型，具体标准根据企业从业人员、营业收入、资产总额等指标，结合行业特点制定。</w:t>
      </w:r>
    </w:p>
    <w:p w14:paraId="169B77D7">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655139D6">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四、各行业划型标准为：</w:t>
      </w:r>
    </w:p>
    <w:p w14:paraId="7824B290">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（一）农、林、牧、渔业。营业收入20000万元以下的为中小微型企业。其中，营业收入500万元及以上的为中型企业，营业收入50万元及以上的为小型企业，营业收入50万元以下的为微型企业。</w:t>
      </w:r>
    </w:p>
    <w:p w14:paraId="32E326C4">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F52E8C5">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AB8B6EB">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5B4E17AE">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DEF64E5">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43FE9A9B">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197DF7FD">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109F69EC">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EAF4160">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346BD405">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27B19CFC">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63E028DD">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98CA4C4">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399BE0F">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C1D0A89">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（十六）其他未列明行业。从业人员300人以下的为中小微型企业。其中，从业人员100人及以上的为中型企业；从业人员10人及以上的为小型企业；从业人员10人以下的为微型企业。</w:t>
      </w:r>
    </w:p>
    <w:p w14:paraId="5129EF61">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五、企业类型的划分以统计部门的统计数据为依据。</w:t>
      </w:r>
    </w:p>
    <w:p w14:paraId="50D12C43">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六、本规定适用于在中华人民共和国境内依法设立的各类所有制和各种组织形式的企业。个体工商户和本规定以外的行业，参照本规定进行划型。</w:t>
      </w:r>
    </w:p>
    <w:p w14:paraId="039BDFE2">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七、本规定的中型企业标准上限即为大型企业标准的下限，国家统计部门据此制定大中小微型企业的统计分类。国务院有关部门据此进行相关数据分析，不得制定与本规定不一致的企业划型标准。</w:t>
      </w:r>
    </w:p>
    <w:p w14:paraId="0DE896E7">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八、本规定由工业和信息化部、国家统计局会同有关部门根据《国民经济行业分类》修订情况和企业发展变化情况适时修订。</w:t>
      </w:r>
    </w:p>
    <w:p w14:paraId="2EF1DF6E">
      <w:pPr>
        <w:pStyle w:val="20"/>
        <w:shd w:val="clear" w:color="auto" w:fill="FFFFFF"/>
        <w:rPr>
          <w:rFonts w:hint="eastAsia" w:ascii="宋体" w:hAnsi="宋体" w:cs="宋体"/>
          <w:color w:val="auto"/>
          <w:sz w:val="21"/>
          <w:szCs w:val="21"/>
          <w:highlight w:val="none"/>
          <w:shd w:val="clear" w:color="auto" w:fill="FFFFFF"/>
        </w:rPr>
      </w:pPr>
      <w:r>
        <w:rPr>
          <w:rFonts w:hint="eastAsia" w:ascii="宋体" w:hAnsi="宋体" w:cs="宋体"/>
          <w:color w:val="auto"/>
          <w:sz w:val="21"/>
          <w:szCs w:val="21"/>
          <w:highlight w:val="none"/>
          <w:shd w:val="clear" w:color="auto" w:fill="FFFFFF"/>
        </w:rPr>
        <w:t>　　九、本规定由工业和信息化部、国家统计局会同有关部门负责解释。</w:t>
      </w:r>
    </w:p>
    <w:p w14:paraId="10154BB1">
      <w:pPr>
        <w:pStyle w:val="20"/>
        <w:shd w:val="clear" w:color="auto" w:fill="FFFFFF"/>
        <w:rPr>
          <w:rFonts w:hint="eastAsia" w:ascii="宋体" w:hAnsi="宋体" w:cs="宋体"/>
          <w:color w:val="auto"/>
          <w:sz w:val="21"/>
          <w:szCs w:val="21"/>
          <w:highlight w:val="none"/>
        </w:rPr>
      </w:pPr>
      <w:r>
        <w:rPr>
          <w:rFonts w:hint="eastAsia" w:ascii="宋体" w:hAnsi="宋体" w:cs="宋体"/>
          <w:color w:val="auto"/>
          <w:sz w:val="21"/>
          <w:szCs w:val="21"/>
          <w:highlight w:val="none"/>
          <w:shd w:val="clear" w:color="auto" w:fill="FFFFFF"/>
        </w:rPr>
        <w:t>　　十、本规定自发布之日起执行，原国家经贸委、原国家计委、财政部和国家统计局2003年颁布的《中小企业标准暂行规定》同时废止。</w:t>
      </w:r>
    </w:p>
    <w:p w14:paraId="712FEC57">
      <w:pPr>
        <w:rPr>
          <w:rFonts w:hint="eastAsia" w:ascii="宋体" w:hAnsi="宋体" w:eastAsia="宋体" w:cs="宋体"/>
          <w:color w:val="auto"/>
          <w:highlight w:val="none"/>
        </w:rPr>
        <w:sectPr>
          <w:pgSz w:w="11906" w:h="16838"/>
          <w:pgMar w:top="1440" w:right="1080" w:bottom="1440" w:left="1080" w:header="851" w:footer="992" w:gutter="0"/>
          <w:cols w:space="0" w:num="1"/>
          <w:docGrid w:type="lines" w:linePitch="312" w:charSpace="0"/>
        </w:sectPr>
      </w:pPr>
    </w:p>
    <w:p w14:paraId="18F73BF8">
      <w:pPr>
        <w:pStyle w:val="20"/>
        <w:spacing w:line="340" w:lineRule="exact"/>
        <w:jc w:val="center"/>
        <w:textAlignment w:val="baseline"/>
        <w:rPr>
          <w:rFonts w:hint="eastAsia" w:ascii="宋体" w:hAnsi="宋体" w:cs="宋体"/>
          <w:b/>
          <w:color w:val="auto"/>
          <w:sz w:val="21"/>
          <w:szCs w:val="21"/>
          <w:highlight w:val="none"/>
        </w:rPr>
      </w:pPr>
      <w:r>
        <w:rPr>
          <w:rFonts w:hint="eastAsia" w:ascii="宋体" w:hAnsi="宋体" w:cs="宋体"/>
          <w:b/>
          <w:color w:val="auto"/>
          <w:sz w:val="28"/>
          <w:szCs w:val="28"/>
          <w:highlight w:val="none"/>
        </w:rPr>
        <w:t>《统计上大中小微型企业划分办法（2017）》修订说明</w:t>
      </w:r>
    </w:p>
    <w:p w14:paraId="5FC44C1E">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一、修订背景</w:t>
      </w:r>
    </w:p>
    <w:p w14:paraId="08A90F7E">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 4754—2011），制定并颁布的。</w:t>
      </w:r>
    </w:p>
    <w:p w14:paraId="58C3FA29">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2017年6月30日，《国民经济行业分类》（GB/T 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7160E93B">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二、修订主要内容</w:t>
      </w:r>
    </w:p>
    <w:p w14:paraId="2DE083AE">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本次修订是在2011年《统计上大中小微型企业划分办法》基础上进行的，修订延续原有的分类原则、方法和结构框架，在保持适用范围不变的情况下,依据标准由《国民经济行业分类》（GB/T 4754—2011）修改为《国民经济行业分类》（GB/T 4754—2017），并根据新旧国民经济行业的对应关系，进行了行业所包含类别的对应调整。</w:t>
      </w:r>
    </w:p>
    <w:p w14:paraId="19287ECF">
      <w:pPr>
        <w:spacing w:line="400" w:lineRule="exact"/>
        <w:ind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将交通运输业中包括的“装卸搬运和运输代理业”修改为“多式联运和运输代理业、装卸搬运”。</w:t>
      </w:r>
    </w:p>
    <w:p w14:paraId="41958173">
      <w:pPr>
        <w:spacing w:line="400" w:lineRule="exact"/>
        <w:ind w:firstLine="452" w:firstLineChars="200"/>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仓储业所包括的行业中类，根据《国民经济行业分类》</w:t>
      </w:r>
      <w:r>
        <w:rPr>
          <w:rFonts w:hint="eastAsia" w:ascii="宋体" w:hAnsi="宋体" w:eastAsia="宋体" w:cs="宋体"/>
          <w:color w:val="auto"/>
          <w:szCs w:val="21"/>
          <w:highlight w:val="none"/>
        </w:rPr>
        <w:t>（GB/T 4754—2017）</w:t>
      </w:r>
      <w:r>
        <w:rPr>
          <w:rFonts w:hint="eastAsia" w:ascii="宋体" w:hAnsi="宋体" w:eastAsia="宋体" w:cs="宋体"/>
          <w:color w:val="auto"/>
          <w:spacing w:val="8"/>
          <w:szCs w:val="21"/>
          <w:highlight w:val="none"/>
        </w:rPr>
        <w:t>调整为“通用仓储，低温仓储，危险品仓储，谷物、棉花等农产品仓储，中药材仓储和其他仓储业”。</w:t>
      </w:r>
    </w:p>
    <w:p w14:paraId="1F93DFBD">
      <w:pPr>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附表</w:t>
      </w:r>
    </w:p>
    <w:p w14:paraId="06FB09AA">
      <w:pPr>
        <w:spacing w:line="400" w:lineRule="exact"/>
        <w:rPr>
          <w:rFonts w:hint="eastAsia" w:ascii="宋体" w:hAnsi="宋体" w:eastAsia="宋体" w:cs="宋体"/>
          <w:color w:val="auto"/>
          <w:szCs w:val="21"/>
          <w:highlight w:val="none"/>
        </w:rPr>
      </w:pPr>
      <w:r>
        <w:rPr>
          <w:rFonts w:hint="eastAsia" w:ascii="宋体" w:hAnsi="宋体" w:eastAsia="宋体" w:cs="宋体"/>
          <w:color w:val="auto"/>
          <w:szCs w:val="21"/>
          <w:highlight w:val="none"/>
        </w:rPr>
        <w:t>统计上大中小微型企业划分标准</w:t>
      </w:r>
    </w:p>
    <w:tbl>
      <w:tblPr>
        <w:tblStyle w:val="2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13"/>
        <w:gridCol w:w="1369"/>
        <w:gridCol w:w="709"/>
        <w:gridCol w:w="1125"/>
        <w:gridCol w:w="1701"/>
        <w:gridCol w:w="1426"/>
        <w:gridCol w:w="992"/>
      </w:tblGrid>
      <w:tr w14:paraId="5DB19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2" w:hRule="exact"/>
          <w:jc w:val="center"/>
        </w:trPr>
        <w:tc>
          <w:tcPr>
            <w:tcW w:w="2113" w:type="dxa"/>
            <w:vAlign w:val="center"/>
          </w:tcPr>
          <w:p w14:paraId="67AE747B">
            <w:pPr>
              <w:spacing w:line="240" w:lineRule="exact"/>
              <w:jc w:val="cente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行业名称</w:t>
            </w:r>
          </w:p>
        </w:tc>
        <w:tc>
          <w:tcPr>
            <w:tcW w:w="1369" w:type="dxa"/>
            <w:vAlign w:val="center"/>
          </w:tcPr>
          <w:p w14:paraId="2AB77597">
            <w:pP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指标名称</w:t>
            </w:r>
          </w:p>
        </w:tc>
        <w:tc>
          <w:tcPr>
            <w:tcW w:w="709" w:type="dxa"/>
            <w:vAlign w:val="center"/>
          </w:tcPr>
          <w:p w14:paraId="5B26F2B4">
            <w:pP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计量</w:t>
            </w:r>
          </w:p>
          <w:p w14:paraId="0039BCDC">
            <w:pP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单位</w:t>
            </w:r>
          </w:p>
        </w:tc>
        <w:tc>
          <w:tcPr>
            <w:tcW w:w="1125" w:type="dxa"/>
            <w:vAlign w:val="center"/>
          </w:tcPr>
          <w:p w14:paraId="420EF2C1">
            <w:pP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大型</w:t>
            </w:r>
          </w:p>
        </w:tc>
        <w:tc>
          <w:tcPr>
            <w:tcW w:w="1701" w:type="dxa"/>
            <w:vAlign w:val="center"/>
          </w:tcPr>
          <w:p w14:paraId="52839DBF">
            <w:pP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中型</w:t>
            </w:r>
          </w:p>
        </w:tc>
        <w:tc>
          <w:tcPr>
            <w:tcW w:w="1426" w:type="dxa"/>
            <w:vAlign w:val="center"/>
          </w:tcPr>
          <w:p w14:paraId="1E478321">
            <w:pP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小型</w:t>
            </w:r>
          </w:p>
        </w:tc>
        <w:tc>
          <w:tcPr>
            <w:tcW w:w="992" w:type="dxa"/>
            <w:vAlign w:val="center"/>
          </w:tcPr>
          <w:p w14:paraId="387E3B31">
            <w:pPr>
              <w:rPr>
                <w:rFonts w:hint="eastAsia" w:ascii="宋体" w:hAnsi="宋体" w:eastAsia="宋体" w:cs="宋体"/>
                <w:b/>
                <w:bCs/>
                <w:color w:val="auto"/>
                <w:sz w:val="18"/>
                <w:szCs w:val="18"/>
                <w:highlight w:val="none"/>
              </w:rPr>
            </w:pPr>
            <w:r>
              <w:rPr>
                <w:rFonts w:hint="eastAsia" w:ascii="宋体" w:hAnsi="宋体" w:eastAsia="宋体" w:cs="宋体"/>
                <w:b/>
                <w:bCs/>
                <w:color w:val="auto"/>
                <w:sz w:val="18"/>
                <w:szCs w:val="18"/>
                <w:highlight w:val="none"/>
              </w:rPr>
              <w:t>微型</w:t>
            </w:r>
          </w:p>
        </w:tc>
      </w:tr>
      <w:tr w14:paraId="3D8DA6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Align w:val="center"/>
          </w:tcPr>
          <w:p w14:paraId="00B1D92C">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农、林、牧、渔业</w:t>
            </w:r>
          </w:p>
        </w:tc>
        <w:tc>
          <w:tcPr>
            <w:tcW w:w="1369" w:type="dxa"/>
            <w:vAlign w:val="center"/>
          </w:tcPr>
          <w:p w14:paraId="41E50E7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0B693F9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5FB8ED3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Y≥20000</w:t>
            </w:r>
          </w:p>
        </w:tc>
        <w:tc>
          <w:tcPr>
            <w:tcW w:w="1701" w:type="dxa"/>
            <w:vAlign w:val="center"/>
          </w:tcPr>
          <w:p w14:paraId="5471A974">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500≤Y＜20000</w:t>
            </w:r>
          </w:p>
        </w:tc>
        <w:tc>
          <w:tcPr>
            <w:tcW w:w="1426" w:type="dxa"/>
            <w:vAlign w:val="center"/>
          </w:tcPr>
          <w:p w14:paraId="277EA9C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50≤Y＜500</w:t>
            </w:r>
          </w:p>
        </w:tc>
        <w:tc>
          <w:tcPr>
            <w:tcW w:w="992" w:type="dxa"/>
            <w:vAlign w:val="center"/>
          </w:tcPr>
          <w:p w14:paraId="4142DFB9">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Y＜50</w:t>
            </w:r>
          </w:p>
        </w:tc>
      </w:tr>
      <w:tr w14:paraId="358217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E2C2039">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工业 *</w:t>
            </w:r>
          </w:p>
        </w:tc>
        <w:tc>
          <w:tcPr>
            <w:tcW w:w="1369" w:type="dxa"/>
            <w:vAlign w:val="center"/>
          </w:tcPr>
          <w:p w14:paraId="7DDD26C9">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2825E56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50DF82E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X≥1000</w:t>
            </w:r>
          </w:p>
        </w:tc>
        <w:tc>
          <w:tcPr>
            <w:tcW w:w="1701" w:type="dxa"/>
            <w:vAlign w:val="center"/>
          </w:tcPr>
          <w:p w14:paraId="29ADBED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300≤X＜1000</w:t>
            </w:r>
          </w:p>
        </w:tc>
        <w:tc>
          <w:tcPr>
            <w:tcW w:w="1426" w:type="dxa"/>
            <w:vAlign w:val="center"/>
          </w:tcPr>
          <w:p w14:paraId="09803A8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20≤X＜300</w:t>
            </w:r>
          </w:p>
        </w:tc>
        <w:tc>
          <w:tcPr>
            <w:tcW w:w="992" w:type="dxa"/>
            <w:vAlign w:val="center"/>
          </w:tcPr>
          <w:p w14:paraId="1751BB1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X＜20</w:t>
            </w:r>
          </w:p>
        </w:tc>
      </w:tr>
      <w:tr w14:paraId="72517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5ADAB5A7">
            <w:pPr>
              <w:jc w:val="center"/>
              <w:rPr>
                <w:rFonts w:hint="eastAsia" w:ascii="宋体" w:hAnsi="宋体" w:eastAsia="宋体" w:cs="宋体"/>
                <w:b/>
                <w:color w:val="auto"/>
                <w:sz w:val="18"/>
                <w:szCs w:val="18"/>
                <w:highlight w:val="none"/>
              </w:rPr>
            </w:pPr>
          </w:p>
        </w:tc>
        <w:tc>
          <w:tcPr>
            <w:tcW w:w="1369" w:type="dxa"/>
            <w:vAlign w:val="center"/>
          </w:tcPr>
          <w:p w14:paraId="1377BA3D">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73305F3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21C1D5D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Y≥40000</w:t>
            </w:r>
          </w:p>
        </w:tc>
        <w:tc>
          <w:tcPr>
            <w:tcW w:w="1701" w:type="dxa"/>
            <w:vAlign w:val="center"/>
          </w:tcPr>
          <w:p w14:paraId="2436562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2000≤Y＜40000</w:t>
            </w:r>
          </w:p>
        </w:tc>
        <w:tc>
          <w:tcPr>
            <w:tcW w:w="1426" w:type="dxa"/>
            <w:vAlign w:val="center"/>
          </w:tcPr>
          <w:p w14:paraId="5392F77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300≤Y＜2000</w:t>
            </w:r>
          </w:p>
        </w:tc>
        <w:tc>
          <w:tcPr>
            <w:tcW w:w="992" w:type="dxa"/>
            <w:vAlign w:val="center"/>
          </w:tcPr>
          <w:p w14:paraId="482C9B5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Y＜300</w:t>
            </w:r>
          </w:p>
        </w:tc>
      </w:tr>
      <w:tr w14:paraId="00A9D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396D4B10">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建筑业</w:t>
            </w:r>
          </w:p>
        </w:tc>
        <w:tc>
          <w:tcPr>
            <w:tcW w:w="1369" w:type="dxa"/>
            <w:vAlign w:val="center"/>
          </w:tcPr>
          <w:p w14:paraId="30E5837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6FF0960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7BB9C1F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Y≥80000</w:t>
            </w:r>
          </w:p>
        </w:tc>
        <w:tc>
          <w:tcPr>
            <w:tcW w:w="1701" w:type="dxa"/>
            <w:vAlign w:val="center"/>
          </w:tcPr>
          <w:p w14:paraId="205439E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6000≤Y＜80000</w:t>
            </w:r>
          </w:p>
        </w:tc>
        <w:tc>
          <w:tcPr>
            <w:tcW w:w="1426" w:type="dxa"/>
            <w:vAlign w:val="center"/>
          </w:tcPr>
          <w:p w14:paraId="5A3E9D99">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300≤Y＜6000</w:t>
            </w:r>
          </w:p>
        </w:tc>
        <w:tc>
          <w:tcPr>
            <w:tcW w:w="992" w:type="dxa"/>
            <w:vAlign w:val="center"/>
          </w:tcPr>
          <w:p w14:paraId="2F30DD6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Y＜300</w:t>
            </w:r>
          </w:p>
        </w:tc>
      </w:tr>
      <w:tr w14:paraId="0B0FC5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0F317CC2">
            <w:pPr>
              <w:jc w:val="center"/>
              <w:rPr>
                <w:rFonts w:hint="eastAsia" w:ascii="宋体" w:hAnsi="宋体" w:eastAsia="宋体" w:cs="宋体"/>
                <w:b/>
                <w:color w:val="auto"/>
                <w:sz w:val="18"/>
                <w:szCs w:val="18"/>
                <w:highlight w:val="none"/>
              </w:rPr>
            </w:pPr>
          </w:p>
        </w:tc>
        <w:tc>
          <w:tcPr>
            <w:tcW w:w="1369" w:type="dxa"/>
            <w:vAlign w:val="center"/>
          </w:tcPr>
          <w:p w14:paraId="788BE0C9">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资产总额(Z)</w:t>
            </w:r>
          </w:p>
        </w:tc>
        <w:tc>
          <w:tcPr>
            <w:tcW w:w="709" w:type="dxa"/>
            <w:vAlign w:val="center"/>
          </w:tcPr>
          <w:p w14:paraId="293B8136">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6AD8ABF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Z≥80000</w:t>
            </w:r>
          </w:p>
        </w:tc>
        <w:tc>
          <w:tcPr>
            <w:tcW w:w="1701" w:type="dxa"/>
            <w:vAlign w:val="center"/>
          </w:tcPr>
          <w:p w14:paraId="154AEBA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5000≤Z＜80000</w:t>
            </w:r>
          </w:p>
        </w:tc>
        <w:tc>
          <w:tcPr>
            <w:tcW w:w="1426" w:type="dxa"/>
            <w:vAlign w:val="center"/>
          </w:tcPr>
          <w:p w14:paraId="763FC22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300≤Z＜5000</w:t>
            </w:r>
          </w:p>
        </w:tc>
        <w:tc>
          <w:tcPr>
            <w:tcW w:w="992" w:type="dxa"/>
            <w:vAlign w:val="center"/>
          </w:tcPr>
          <w:p w14:paraId="07094E5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Z＜300</w:t>
            </w:r>
          </w:p>
        </w:tc>
      </w:tr>
      <w:tr w14:paraId="048234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7152A81">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批发业</w:t>
            </w:r>
          </w:p>
        </w:tc>
        <w:tc>
          <w:tcPr>
            <w:tcW w:w="1369" w:type="dxa"/>
            <w:vAlign w:val="center"/>
          </w:tcPr>
          <w:p w14:paraId="020C7D2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3429A5A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3CC577E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X≥200</w:t>
            </w:r>
          </w:p>
        </w:tc>
        <w:tc>
          <w:tcPr>
            <w:tcW w:w="1701" w:type="dxa"/>
            <w:vAlign w:val="center"/>
          </w:tcPr>
          <w:p w14:paraId="7E9691A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20≤X＜200</w:t>
            </w:r>
          </w:p>
        </w:tc>
        <w:tc>
          <w:tcPr>
            <w:tcW w:w="1426" w:type="dxa"/>
            <w:vAlign w:val="center"/>
          </w:tcPr>
          <w:p w14:paraId="715F2D6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5≤X＜20</w:t>
            </w:r>
          </w:p>
        </w:tc>
        <w:tc>
          <w:tcPr>
            <w:tcW w:w="992" w:type="dxa"/>
            <w:vAlign w:val="center"/>
          </w:tcPr>
          <w:p w14:paraId="6B5DB1F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X＜5</w:t>
            </w:r>
          </w:p>
        </w:tc>
      </w:tr>
      <w:tr w14:paraId="521D1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22769AF">
            <w:pPr>
              <w:jc w:val="center"/>
              <w:rPr>
                <w:rFonts w:hint="eastAsia" w:ascii="宋体" w:hAnsi="宋体" w:eastAsia="宋体" w:cs="宋体"/>
                <w:b/>
                <w:color w:val="auto"/>
                <w:sz w:val="18"/>
                <w:szCs w:val="18"/>
                <w:highlight w:val="none"/>
              </w:rPr>
            </w:pPr>
          </w:p>
        </w:tc>
        <w:tc>
          <w:tcPr>
            <w:tcW w:w="1369" w:type="dxa"/>
            <w:vAlign w:val="center"/>
          </w:tcPr>
          <w:p w14:paraId="0D0E0B3C">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6ED1BA29">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7EDFAE0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Y≥40000</w:t>
            </w:r>
          </w:p>
        </w:tc>
        <w:tc>
          <w:tcPr>
            <w:tcW w:w="1701" w:type="dxa"/>
            <w:vAlign w:val="center"/>
          </w:tcPr>
          <w:p w14:paraId="66243B8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5000≤Y＜40000</w:t>
            </w:r>
          </w:p>
        </w:tc>
        <w:tc>
          <w:tcPr>
            <w:tcW w:w="1426" w:type="dxa"/>
            <w:vAlign w:val="center"/>
          </w:tcPr>
          <w:p w14:paraId="170D778D">
            <w:pPr>
              <w:ind w:left="-1" w:leftChars="-1" w:hanging="1"/>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1000≤Y＜5000</w:t>
            </w:r>
          </w:p>
        </w:tc>
        <w:tc>
          <w:tcPr>
            <w:tcW w:w="992" w:type="dxa"/>
            <w:vAlign w:val="center"/>
          </w:tcPr>
          <w:p w14:paraId="7AB02234">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Y＜1000</w:t>
            </w:r>
          </w:p>
        </w:tc>
      </w:tr>
      <w:tr w14:paraId="517B3D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4125327C">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零售业</w:t>
            </w:r>
          </w:p>
        </w:tc>
        <w:tc>
          <w:tcPr>
            <w:tcW w:w="1369" w:type="dxa"/>
            <w:vAlign w:val="center"/>
          </w:tcPr>
          <w:p w14:paraId="4B0EA40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0BB85AD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3A82CFD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X≥300</w:t>
            </w:r>
          </w:p>
        </w:tc>
        <w:tc>
          <w:tcPr>
            <w:tcW w:w="1701" w:type="dxa"/>
            <w:vAlign w:val="center"/>
          </w:tcPr>
          <w:p w14:paraId="476B3E3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50≤X＜300</w:t>
            </w:r>
          </w:p>
        </w:tc>
        <w:tc>
          <w:tcPr>
            <w:tcW w:w="1426" w:type="dxa"/>
            <w:vAlign w:val="center"/>
          </w:tcPr>
          <w:p w14:paraId="783FCF00">
            <w:pPr>
              <w:ind w:left="-1" w:leftChars="-1" w:hanging="1"/>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10≤X＜50 </w:t>
            </w:r>
          </w:p>
        </w:tc>
        <w:tc>
          <w:tcPr>
            <w:tcW w:w="992" w:type="dxa"/>
            <w:vAlign w:val="center"/>
          </w:tcPr>
          <w:p w14:paraId="42F5243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w:t>
            </w:r>
          </w:p>
        </w:tc>
      </w:tr>
      <w:tr w14:paraId="01869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7FF34A70">
            <w:pPr>
              <w:jc w:val="center"/>
              <w:rPr>
                <w:rFonts w:hint="eastAsia" w:ascii="宋体" w:hAnsi="宋体" w:eastAsia="宋体" w:cs="宋体"/>
                <w:b/>
                <w:color w:val="auto"/>
                <w:sz w:val="18"/>
                <w:szCs w:val="18"/>
                <w:highlight w:val="none"/>
              </w:rPr>
            </w:pPr>
          </w:p>
        </w:tc>
        <w:tc>
          <w:tcPr>
            <w:tcW w:w="1369" w:type="dxa"/>
            <w:vAlign w:val="center"/>
          </w:tcPr>
          <w:p w14:paraId="337B9CF4">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284116A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640DFE1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Y≥20000</w:t>
            </w:r>
          </w:p>
        </w:tc>
        <w:tc>
          <w:tcPr>
            <w:tcW w:w="1701" w:type="dxa"/>
            <w:vAlign w:val="center"/>
          </w:tcPr>
          <w:p w14:paraId="07D9D63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500≤Y＜20000</w:t>
            </w:r>
          </w:p>
        </w:tc>
        <w:tc>
          <w:tcPr>
            <w:tcW w:w="1426" w:type="dxa"/>
            <w:vAlign w:val="center"/>
          </w:tcPr>
          <w:p w14:paraId="4AFC6468">
            <w:pPr>
              <w:ind w:left="-1" w:leftChars="-1" w:hanging="1"/>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100≤Y＜500 </w:t>
            </w:r>
          </w:p>
        </w:tc>
        <w:tc>
          <w:tcPr>
            <w:tcW w:w="992" w:type="dxa"/>
            <w:vAlign w:val="center"/>
          </w:tcPr>
          <w:p w14:paraId="4FA4D4D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w:t>
            </w:r>
          </w:p>
        </w:tc>
      </w:tr>
      <w:tr w14:paraId="7E2EE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2482AA91">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交通运输业 *</w:t>
            </w:r>
          </w:p>
        </w:tc>
        <w:tc>
          <w:tcPr>
            <w:tcW w:w="1369" w:type="dxa"/>
            <w:vAlign w:val="center"/>
          </w:tcPr>
          <w:p w14:paraId="43D6545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106E86E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7B392BD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X≥1000</w:t>
            </w:r>
          </w:p>
        </w:tc>
        <w:tc>
          <w:tcPr>
            <w:tcW w:w="1701" w:type="dxa"/>
            <w:vAlign w:val="center"/>
          </w:tcPr>
          <w:p w14:paraId="5B54E47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300≤X＜1000</w:t>
            </w:r>
          </w:p>
        </w:tc>
        <w:tc>
          <w:tcPr>
            <w:tcW w:w="1426" w:type="dxa"/>
            <w:vAlign w:val="center"/>
          </w:tcPr>
          <w:p w14:paraId="62CCF2E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20≤X＜300</w:t>
            </w:r>
          </w:p>
        </w:tc>
        <w:tc>
          <w:tcPr>
            <w:tcW w:w="992" w:type="dxa"/>
            <w:vAlign w:val="center"/>
          </w:tcPr>
          <w:p w14:paraId="6B8F940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X＜20</w:t>
            </w:r>
          </w:p>
        </w:tc>
      </w:tr>
      <w:tr w14:paraId="4F43A0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8E214E7">
            <w:pPr>
              <w:jc w:val="center"/>
              <w:rPr>
                <w:rFonts w:hint="eastAsia" w:ascii="宋体" w:hAnsi="宋体" w:eastAsia="宋体" w:cs="宋体"/>
                <w:b/>
                <w:color w:val="auto"/>
                <w:sz w:val="18"/>
                <w:szCs w:val="18"/>
                <w:highlight w:val="none"/>
              </w:rPr>
            </w:pPr>
          </w:p>
        </w:tc>
        <w:tc>
          <w:tcPr>
            <w:tcW w:w="1369" w:type="dxa"/>
            <w:vAlign w:val="center"/>
          </w:tcPr>
          <w:p w14:paraId="4448CC64">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37D5F67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265C05E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Y≥30000</w:t>
            </w:r>
          </w:p>
        </w:tc>
        <w:tc>
          <w:tcPr>
            <w:tcW w:w="1701" w:type="dxa"/>
            <w:vAlign w:val="center"/>
          </w:tcPr>
          <w:p w14:paraId="335C036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3000≤Y＜30000</w:t>
            </w:r>
          </w:p>
        </w:tc>
        <w:tc>
          <w:tcPr>
            <w:tcW w:w="1426" w:type="dxa"/>
            <w:vAlign w:val="center"/>
          </w:tcPr>
          <w:p w14:paraId="6BFB69F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200≤Y＜3000</w:t>
            </w:r>
          </w:p>
        </w:tc>
        <w:tc>
          <w:tcPr>
            <w:tcW w:w="992" w:type="dxa"/>
            <w:vAlign w:val="center"/>
          </w:tcPr>
          <w:p w14:paraId="271E44D6">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Y＜200</w:t>
            </w:r>
          </w:p>
        </w:tc>
      </w:tr>
      <w:tr w14:paraId="48C5E1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7070673F">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仓储业*</w:t>
            </w:r>
          </w:p>
        </w:tc>
        <w:tc>
          <w:tcPr>
            <w:tcW w:w="1369" w:type="dxa"/>
            <w:vAlign w:val="center"/>
          </w:tcPr>
          <w:p w14:paraId="2335D08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628E8404">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106B82A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X≥200</w:t>
            </w:r>
          </w:p>
        </w:tc>
        <w:tc>
          <w:tcPr>
            <w:tcW w:w="1701" w:type="dxa"/>
            <w:vAlign w:val="center"/>
          </w:tcPr>
          <w:p w14:paraId="077FAAB8">
            <w:pPr>
              <w:ind w:left="1" w:leftChars="-51" w:hanging="108" w:hangingChars="6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100≤X＜200</w:t>
            </w:r>
          </w:p>
        </w:tc>
        <w:tc>
          <w:tcPr>
            <w:tcW w:w="1426" w:type="dxa"/>
            <w:vAlign w:val="center"/>
          </w:tcPr>
          <w:p w14:paraId="47C4FFD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20≤X＜100</w:t>
            </w:r>
          </w:p>
        </w:tc>
        <w:tc>
          <w:tcPr>
            <w:tcW w:w="992" w:type="dxa"/>
            <w:vAlign w:val="center"/>
          </w:tcPr>
          <w:p w14:paraId="6B98321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X＜20</w:t>
            </w:r>
          </w:p>
        </w:tc>
      </w:tr>
      <w:tr w14:paraId="1B001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A6D0E49">
            <w:pPr>
              <w:jc w:val="center"/>
              <w:rPr>
                <w:rFonts w:hint="eastAsia" w:ascii="宋体" w:hAnsi="宋体" w:eastAsia="宋体" w:cs="宋体"/>
                <w:b/>
                <w:color w:val="auto"/>
                <w:sz w:val="18"/>
                <w:szCs w:val="18"/>
                <w:highlight w:val="none"/>
              </w:rPr>
            </w:pPr>
          </w:p>
        </w:tc>
        <w:tc>
          <w:tcPr>
            <w:tcW w:w="1369" w:type="dxa"/>
            <w:vAlign w:val="center"/>
          </w:tcPr>
          <w:p w14:paraId="74CA06F2">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0579587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1B44A6E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Y≥30000</w:t>
            </w:r>
          </w:p>
        </w:tc>
        <w:tc>
          <w:tcPr>
            <w:tcW w:w="1701" w:type="dxa"/>
            <w:vAlign w:val="center"/>
          </w:tcPr>
          <w:p w14:paraId="33C2B5B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1000≤Y＜30000</w:t>
            </w:r>
          </w:p>
        </w:tc>
        <w:tc>
          <w:tcPr>
            <w:tcW w:w="1426" w:type="dxa"/>
            <w:vAlign w:val="center"/>
          </w:tcPr>
          <w:p w14:paraId="4FC12AB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100≤Y＜1000</w:t>
            </w:r>
          </w:p>
        </w:tc>
        <w:tc>
          <w:tcPr>
            <w:tcW w:w="992" w:type="dxa"/>
            <w:vAlign w:val="center"/>
          </w:tcPr>
          <w:p w14:paraId="4091233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w:t>
            </w:r>
          </w:p>
        </w:tc>
      </w:tr>
      <w:tr w14:paraId="30C1D2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6DAB1B41">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邮政业</w:t>
            </w:r>
          </w:p>
        </w:tc>
        <w:tc>
          <w:tcPr>
            <w:tcW w:w="1369" w:type="dxa"/>
            <w:vAlign w:val="center"/>
          </w:tcPr>
          <w:p w14:paraId="5841885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6517876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52B3786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X≥1000</w:t>
            </w:r>
          </w:p>
        </w:tc>
        <w:tc>
          <w:tcPr>
            <w:tcW w:w="1701" w:type="dxa"/>
            <w:vAlign w:val="center"/>
          </w:tcPr>
          <w:p w14:paraId="4A1EE16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300≤X＜1000</w:t>
            </w:r>
          </w:p>
        </w:tc>
        <w:tc>
          <w:tcPr>
            <w:tcW w:w="1426" w:type="dxa"/>
            <w:vAlign w:val="center"/>
          </w:tcPr>
          <w:p w14:paraId="1DBA3264">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20≤X＜300</w:t>
            </w:r>
          </w:p>
        </w:tc>
        <w:tc>
          <w:tcPr>
            <w:tcW w:w="992" w:type="dxa"/>
            <w:vAlign w:val="center"/>
          </w:tcPr>
          <w:p w14:paraId="0B2BF77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X＜20</w:t>
            </w:r>
          </w:p>
        </w:tc>
      </w:tr>
      <w:tr w14:paraId="38344A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16AD7252">
            <w:pPr>
              <w:jc w:val="center"/>
              <w:rPr>
                <w:rFonts w:hint="eastAsia" w:ascii="宋体" w:hAnsi="宋体" w:eastAsia="宋体" w:cs="宋体"/>
                <w:b/>
                <w:color w:val="auto"/>
                <w:sz w:val="18"/>
                <w:szCs w:val="18"/>
                <w:highlight w:val="none"/>
              </w:rPr>
            </w:pPr>
          </w:p>
        </w:tc>
        <w:tc>
          <w:tcPr>
            <w:tcW w:w="1369" w:type="dxa"/>
            <w:vAlign w:val="center"/>
          </w:tcPr>
          <w:p w14:paraId="17077CEC">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1550280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3F1B5FA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Y≥30000</w:t>
            </w:r>
          </w:p>
        </w:tc>
        <w:tc>
          <w:tcPr>
            <w:tcW w:w="1701" w:type="dxa"/>
            <w:vAlign w:val="center"/>
          </w:tcPr>
          <w:p w14:paraId="1831EA8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2000≤Y＜30000</w:t>
            </w:r>
          </w:p>
        </w:tc>
        <w:tc>
          <w:tcPr>
            <w:tcW w:w="1426" w:type="dxa"/>
            <w:vAlign w:val="center"/>
          </w:tcPr>
          <w:p w14:paraId="4DFF1AD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100≤Y＜2000</w:t>
            </w:r>
          </w:p>
        </w:tc>
        <w:tc>
          <w:tcPr>
            <w:tcW w:w="992" w:type="dxa"/>
            <w:vAlign w:val="center"/>
          </w:tcPr>
          <w:p w14:paraId="4EB606E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w:t>
            </w:r>
          </w:p>
        </w:tc>
      </w:tr>
      <w:tr w14:paraId="424019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491BD8C3">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住宿业</w:t>
            </w:r>
          </w:p>
        </w:tc>
        <w:tc>
          <w:tcPr>
            <w:tcW w:w="1369" w:type="dxa"/>
            <w:vAlign w:val="center"/>
          </w:tcPr>
          <w:p w14:paraId="4C5781C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5419F646">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0309AC8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X≥300</w:t>
            </w:r>
          </w:p>
        </w:tc>
        <w:tc>
          <w:tcPr>
            <w:tcW w:w="1701" w:type="dxa"/>
            <w:vAlign w:val="center"/>
          </w:tcPr>
          <w:p w14:paraId="252B98DF">
            <w:pPr>
              <w:ind w:left="1" w:leftChars="-51" w:hanging="108" w:hangingChars="6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100≤X＜300 </w:t>
            </w:r>
          </w:p>
        </w:tc>
        <w:tc>
          <w:tcPr>
            <w:tcW w:w="1426" w:type="dxa"/>
            <w:vAlign w:val="center"/>
          </w:tcPr>
          <w:p w14:paraId="14946BD9">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10≤X＜100</w:t>
            </w:r>
          </w:p>
        </w:tc>
        <w:tc>
          <w:tcPr>
            <w:tcW w:w="992" w:type="dxa"/>
            <w:vAlign w:val="center"/>
          </w:tcPr>
          <w:p w14:paraId="1CFA1D3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w:t>
            </w:r>
          </w:p>
        </w:tc>
      </w:tr>
      <w:tr w14:paraId="78D80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3011DA44">
            <w:pPr>
              <w:jc w:val="center"/>
              <w:rPr>
                <w:rFonts w:hint="eastAsia" w:ascii="宋体" w:hAnsi="宋体" w:eastAsia="宋体" w:cs="宋体"/>
                <w:b/>
                <w:color w:val="auto"/>
                <w:sz w:val="18"/>
                <w:szCs w:val="18"/>
                <w:highlight w:val="none"/>
              </w:rPr>
            </w:pPr>
          </w:p>
        </w:tc>
        <w:tc>
          <w:tcPr>
            <w:tcW w:w="1369" w:type="dxa"/>
            <w:vAlign w:val="center"/>
          </w:tcPr>
          <w:p w14:paraId="37EF282A">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6CE4955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184232C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Y≥10000</w:t>
            </w:r>
          </w:p>
        </w:tc>
        <w:tc>
          <w:tcPr>
            <w:tcW w:w="1701" w:type="dxa"/>
            <w:vAlign w:val="center"/>
          </w:tcPr>
          <w:p w14:paraId="3EA1CB3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2000≤Y＜10000</w:t>
            </w:r>
          </w:p>
        </w:tc>
        <w:tc>
          <w:tcPr>
            <w:tcW w:w="1426" w:type="dxa"/>
            <w:vAlign w:val="center"/>
          </w:tcPr>
          <w:p w14:paraId="5FFEB4A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100≤Y＜2000</w:t>
            </w:r>
          </w:p>
        </w:tc>
        <w:tc>
          <w:tcPr>
            <w:tcW w:w="992" w:type="dxa"/>
            <w:vAlign w:val="center"/>
          </w:tcPr>
          <w:p w14:paraId="4966690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w:t>
            </w:r>
          </w:p>
        </w:tc>
      </w:tr>
      <w:tr w14:paraId="3D56F8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12B82619">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餐饮业</w:t>
            </w:r>
          </w:p>
        </w:tc>
        <w:tc>
          <w:tcPr>
            <w:tcW w:w="1369" w:type="dxa"/>
            <w:vAlign w:val="center"/>
          </w:tcPr>
          <w:p w14:paraId="3D9A39D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60A8CB4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468A95F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X≥300</w:t>
            </w:r>
          </w:p>
        </w:tc>
        <w:tc>
          <w:tcPr>
            <w:tcW w:w="1701" w:type="dxa"/>
            <w:vAlign w:val="center"/>
          </w:tcPr>
          <w:p w14:paraId="4DA90425">
            <w:pPr>
              <w:ind w:left="1" w:leftChars="-51" w:hanging="108" w:hangingChars="6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100≤X＜300 </w:t>
            </w:r>
          </w:p>
        </w:tc>
        <w:tc>
          <w:tcPr>
            <w:tcW w:w="1426" w:type="dxa"/>
            <w:vAlign w:val="center"/>
          </w:tcPr>
          <w:p w14:paraId="6810D53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10≤X＜100</w:t>
            </w:r>
          </w:p>
        </w:tc>
        <w:tc>
          <w:tcPr>
            <w:tcW w:w="992" w:type="dxa"/>
            <w:vAlign w:val="center"/>
          </w:tcPr>
          <w:p w14:paraId="68D137C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w:t>
            </w:r>
          </w:p>
        </w:tc>
      </w:tr>
      <w:tr w14:paraId="3FB9D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4C80CF0E">
            <w:pPr>
              <w:jc w:val="center"/>
              <w:rPr>
                <w:rFonts w:hint="eastAsia" w:ascii="宋体" w:hAnsi="宋体" w:eastAsia="宋体" w:cs="宋体"/>
                <w:b/>
                <w:color w:val="auto"/>
                <w:sz w:val="18"/>
                <w:szCs w:val="18"/>
                <w:highlight w:val="none"/>
              </w:rPr>
            </w:pPr>
          </w:p>
        </w:tc>
        <w:tc>
          <w:tcPr>
            <w:tcW w:w="1369" w:type="dxa"/>
            <w:vAlign w:val="center"/>
          </w:tcPr>
          <w:p w14:paraId="04943C8F">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45E3DFB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520A37E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Y≥10000</w:t>
            </w:r>
          </w:p>
        </w:tc>
        <w:tc>
          <w:tcPr>
            <w:tcW w:w="1701" w:type="dxa"/>
            <w:vAlign w:val="center"/>
          </w:tcPr>
          <w:p w14:paraId="6D10BE76">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2000≤Y＜10000</w:t>
            </w:r>
          </w:p>
        </w:tc>
        <w:tc>
          <w:tcPr>
            <w:tcW w:w="1426" w:type="dxa"/>
            <w:vAlign w:val="center"/>
          </w:tcPr>
          <w:p w14:paraId="3667B1A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100≤Y＜2000</w:t>
            </w:r>
          </w:p>
        </w:tc>
        <w:tc>
          <w:tcPr>
            <w:tcW w:w="992" w:type="dxa"/>
            <w:vAlign w:val="center"/>
          </w:tcPr>
          <w:p w14:paraId="43160B3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w:t>
            </w:r>
          </w:p>
        </w:tc>
      </w:tr>
      <w:tr w14:paraId="1DFF4A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restart"/>
            <w:vAlign w:val="center"/>
          </w:tcPr>
          <w:p w14:paraId="580FD584">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信息传输业*</w:t>
            </w:r>
          </w:p>
        </w:tc>
        <w:tc>
          <w:tcPr>
            <w:tcW w:w="1369" w:type="dxa"/>
            <w:vAlign w:val="center"/>
          </w:tcPr>
          <w:p w14:paraId="727EFD9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0CD4A05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541812E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X≥2000</w:t>
            </w:r>
          </w:p>
        </w:tc>
        <w:tc>
          <w:tcPr>
            <w:tcW w:w="1701" w:type="dxa"/>
            <w:vAlign w:val="center"/>
          </w:tcPr>
          <w:p w14:paraId="3A99237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100≤X＜2000</w:t>
            </w:r>
          </w:p>
        </w:tc>
        <w:tc>
          <w:tcPr>
            <w:tcW w:w="1426" w:type="dxa"/>
            <w:vAlign w:val="center"/>
          </w:tcPr>
          <w:p w14:paraId="1FF1A0D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10≤X＜100</w:t>
            </w:r>
          </w:p>
        </w:tc>
        <w:tc>
          <w:tcPr>
            <w:tcW w:w="992" w:type="dxa"/>
            <w:vAlign w:val="center"/>
          </w:tcPr>
          <w:p w14:paraId="13B4E69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w:t>
            </w:r>
          </w:p>
        </w:tc>
      </w:tr>
      <w:tr w14:paraId="7EBA05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exact"/>
          <w:jc w:val="center"/>
        </w:trPr>
        <w:tc>
          <w:tcPr>
            <w:tcW w:w="2113" w:type="dxa"/>
            <w:vMerge w:val="continue"/>
            <w:vAlign w:val="center"/>
          </w:tcPr>
          <w:p w14:paraId="65E4B445">
            <w:pPr>
              <w:jc w:val="center"/>
              <w:rPr>
                <w:rFonts w:hint="eastAsia" w:ascii="宋体" w:hAnsi="宋体" w:eastAsia="宋体" w:cs="宋体"/>
                <w:b/>
                <w:color w:val="auto"/>
                <w:sz w:val="18"/>
                <w:szCs w:val="18"/>
                <w:highlight w:val="none"/>
              </w:rPr>
            </w:pPr>
          </w:p>
        </w:tc>
        <w:tc>
          <w:tcPr>
            <w:tcW w:w="1369" w:type="dxa"/>
            <w:vAlign w:val="center"/>
          </w:tcPr>
          <w:p w14:paraId="11E49E33">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0A95C9E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2F700979">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Y≥100000</w:t>
            </w:r>
          </w:p>
        </w:tc>
        <w:tc>
          <w:tcPr>
            <w:tcW w:w="1701" w:type="dxa"/>
            <w:vAlign w:val="center"/>
          </w:tcPr>
          <w:p w14:paraId="78283D4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1000≤Y＜100000</w:t>
            </w:r>
          </w:p>
        </w:tc>
        <w:tc>
          <w:tcPr>
            <w:tcW w:w="1426" w:type="dxa"/>
            <w:vAlign w:val="center"/>
          </w:tcPr>
          <w:p w14:paraId="3AC389D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100≤Y＜1000</w:t>
            </w:r>
          </w:p>
        </w:tc>
        <w:tc>
          <w:tcPr>
            <w:tcW w:w="992" w:type="dxa"/>
            <w:vAlign w:val="center"/>
          </w:tcPr>
          <w:p w14:paraId="7A8C984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w:t>
            </w:r>
          </w:p>
        </w:tc>
      </w:tr>
      <w:tr w14:paraId="5448CD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418228F1">
            <w:pPr>
              <w:spacing w:line="240" w:lineRule="exact"/>
              <w:jc w:val="center"/>
              <w:rPr>
                <w:rFonts w:hint="eastAsia" w:ascii="宋体" w:hAnsi="宋体" w:eastAsia="宋体" w:cs="宋体"/>
                <w:b/>
                <w:color w:val="auto"/>
                <w:spacing w:val="-12"/>
                <w:sz w:val="18"/>
                <w:szCs w:val="18"/>
                <w:highlight w:val="none"/>
              </w:rPr>
            </w:pPr>
            <w:r>
              <w:rPr>
                <w:rFonts w:hint="eastAsia" w:ascii="宋体" w:hAnsi="宋体" w:eastAsia="宋体" w:cs="宋体"/>
                <w:b/>
                <w:color w:val="auto"/>
                <w:spacing w:val="-12"/>
                <w:sz w:val="18"/>
                <w:szCs w:val="18"/>
                <w:highlight w:val="none"/>
              </w:rPr>
              <w:t>软件和信息技术服</w:t>
            </w:r>
            <w:r>
              <w:rPr>
                <w:rFonts w:hint="eastAsia" w:ascii="宋体" w:hAnsi="宋体" w:eastAsia="宋体" w:cs="宋体"/>
                <w:b/>
                <w:color w:val="auto"/>
                <w:sz w:val="18"/>
                <w:szCs w:val="18"/>
                <w:highlight w:val="none"/>
              </w:rPr>
              <w:t>务业</w:t>
            </w:r>
          </w:p>
        </w:tc>
        <w:tc>
          <w:tcPr>
            <w:tcW w:w="1369" w:type="dxa"/>
            <w:vAlign w:val="center"/>
          </w:tcPr>
          <w:p w14:paraId="3969894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20C45FE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28A0FFF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X≥300</w:t>
            </w:r>
          </w:p>
        </w:tc>
        <w:tc>
          <w:tcPr>
            <w:tcW w:w="1701" w:type="dxa"/>
            <w:vAlign w:val="center"/>
          </w:tcPr>
          <w:p w14:paraId="43883352">
            <w:pPr>
              <w:ind w:left="1" w:leftChars="-51" w:hanging="108" w:hangingChars="6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100≤X＜300 </w:t>
            </w:r>
          </w:p>
        </w:tc>
        <w:tc>
          <w:tcPr>
            <w:tcW w:w="1426" w:type="dxa"/>
            <w:vAlign w:val="center"/>
          </w:tcPr>
          <w:p w14:paraId="5B25980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10≤X＜100</w:t>
            </w:r>
          </w:p>
        </w:tc>
        <w:tc>
          <w:tcPr>
            <w:tcW w:w="992" w:type="dxa"/>
            <w:vAlign w:val="center"/>
          </w:tcPr>
          <w:p w14:paraId="4C46D43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w:t>
            </w:r>
          </w:p>
        </w:tc>
      </w:tr>
      <w:tr w14:paraId="616B0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07FCA676">
            <w:pPr>
              <w:jc w:val="center"/>
              <w:rPr>
                <w:rFonts w:hint="eastAsia" w:ascii="宋体" w:hAnsi="宋体" w:eastAsia="宋体" w:cs="宋体"/>
                <w:b/>
                <w:color w:val="auto"/>
                <w:spacing w:val="-12"/>
                <w:sz w:val="18"/>
                <w:szCs w:val="18"/>
                <w:highlight w:val="none"/>
              </w:rPr>
            </w:pPr>
          </w:p>
        </w:tc>
        <w:tc>
          <w:tcPr>
            <w:tcW w:w="1369" w:type="dxa"/>
            <w:vAlign w:val="center"/>
          </w:tcPr>
          <w:p w14:paraId="028ABFA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1FE6574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62AE5BAA">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Y≥10000</w:t>
            </w:r>
          </w:p>
        </w:tc>
        <w:tc>
          <w:tcPr>
            <w:tcW w:w="1701" w:type="dxa"/>
            <w:vAlign w:val="center"/>
          </w:tcPr>
          <w:p w14:paraId="55FF6DAF">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1000≤Y＜10000</w:t>
            </w:r>
          </w:p>
        </w:tc>
        <w:tc>
          <w:tcPr>
            <w:tcW w:w="1426" w:type="dxa"/>
            <w:vAlign w:val="center"/>
          </w:tcPr>
          <w:p w14:paraId="431FC61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50≤Y＜1000</w:t>
            </w:r>
          </w:p>
        </w:tc>
        <w:tc>
          <w:tcPr>
            <w:tcW w:w="992" w:type="dxa"/>
            <w:vAlign w:val="center"/>
          </w:tcPr>
          <w:p w14:paraId="350023D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Y＜50</w:t>
            </w:r>
          </w:p>
        </w:tc>
      </w:tr>
      <w:tr w14:paraId="2005E1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631BDF38">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房地产开发经营</w:t>
            </w:r>
          </w:p>
        </w:tc>
        <w:tc>
          <w:tcPr>
            <w:tcW w:w="1369" w:type="dxa"/>
            <w:vAlign w:val="center"/>
          </w:tcPr>
          <w:p w14:paraId="3F4F46C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5F5C100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69E0739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Y≥200000</w:t>
            </w:r>
          </w:p>
        </w:tc>
        <w:tc>
          <w:tcPr>
            <w:tcW w:w="1701" w:type="dxa"/>
            <w:vAlign w:val="center"/>
          </w:tcPr>
          <w:p w14:paraId="62BEB8B9">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1000≤Y＜200000</w:t>
            </w:r>
          </w:p>
        </w:tc>
        <w:tc>
          <w:tcPr>
            <w:tcW w:w="1426" w:type="dxa"/>
            <w:vAlign w:val="center"/>
          </w:tcPr>
          <w:p w14:paraId="49C187B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100≤Y＜1000</w:t>
            </w:r>
          </w:p>
        </w:tc>
        <w:tc>
          <w:tcPr>
            <w:tcW w:w="992" w:type="dxa"/>
            <w:vAlign w:val="center"/>
          </w:tcPr>
          <w:p w14:paraId="20816B8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Y＜100</w:t>
            </w:r>
          </w:p>
        </w:tc>
      </w:tr>
      <w:tr w14:paraId="7E86C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1CA5B07F">
            <w:pPr>
              <w:jc w:val="center"/>
              <w:rPr>
                <w:rFonts w:hint="eastAsia" w:ascii="宋体" w:hAnsi="宋体" w:eastAsia="宋体" w:cs="宋体"/>
                <w:b/>
                <w:color w:val="auto"/>
                <w:sz w:val="18"/>
                <w:szCs w:val="18"/>
                <w:highlight w:val="none"/>
              </w:rPr>
            </w:pPr>
          </w:p>
        </w:tc>
        <w:tc>
          <w:tcPr>
            <w:tcW w:w="1369" w:type="dxa"/>
            <w:vAlign w:val="center"/>
          </w:tcPr>
          <w:p w14:paraId="1B70BDD3">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资产总额(Z)</w:t>
            </w:r>
          </w:p>
        </w:tc>
        <w:tc>
          <w:tcPr>
            <w:tcW w:w="709" w:type="dxa"/>
            <w:vAlign w:val="center"/>
          </w:tcPr>
          <w:p w14:paraId="4F2EF84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57F7B79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Z≥10000</w:t>
            </w:r>
          </w:p>
        </w:tc>
        <w:tc>
          <w:tcPr>
            <w:tcW w:w="1701" w:type="dxa"/>
            <w:vAlign w:val="center"/>
          </w:tcPr>
          <w:p w14:paraId="554A5EF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5000≤Z＜10000</w:t>
            </w:r>
          </w:p>
        </w:tc>
        <w:tc>
          <w:tcPr>
            <w:tcW w:w="1426" w:type="dxa"/>
            <w:vAlign w:val="center"/>
          </w:tcPr>
          <w:p w14:paraId="2129038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2000≤Z＜5000   </w:t>
            </w:r>
          </w:p>
        </w:tc>
        <w:tc>
          <w:tcPr>
            <w:tcW w:w="992" w:type="dxa"/>
            <w:vAlign w:val="center"/>
          </w:tcPr>
          <w:p w14:paraId="3D79A39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Z＜2000</w:t>
            </w:r>
          </w:p>
        </w:tc>
      </w:tr>
      <w:tr w14:paraId="13A812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1284D89A">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物业管理</w:t>
            </w:r>
          </w:p>
        </w:tc>
        <w:tc>
          <w:tcPr>
            <w:tcW w:w="1369" w:type="dxa"/>
            <w:vAlign w:val="center"/>
          </w:tcPr>
          <w:p w14:paraId="0D764B1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0E2C4FBC">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54FB9B9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X≥1000</w:t>
            </w:r>
          </w:p>
        </w:tc>
        <w:tc>
          <w:tcPr>
            <w:tcW w:w="1701" w:type="dxa"/>
            <w:vAlign w:val="center"/>
          </w:tcPr>
          <w:p w14:paraId="538DB85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300≤X＜1000</w:t>
            </w:r>
          </w:p>
        </w:tc>
        <w:tc>
          <w:tcPr>
            <w:tcW w:w="1426" w:type="dxa"/>
            <w:vAlign w:val="center"/>
          </w:tcPr>
          <w:p w14:paraId="7EE5C76E">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100≤X＜300 </w:t>
            </w:r>
          </w:p>
        </w:tc>
        <w:tc>
          <w:tcPr>
            <w:tcW w:w="992" w:type="dxa"/>
            <w:vAlign w:val="center"/>
          </w:tcPr>
          <w:p w14:paraId="5020C165">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X＜100</w:t>
            </w:r>
          </w:p>
        </w:tc>
      </w:tr>
      <w:tr w14:paraId="65B11B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31C8D503">
            <w:pPr>
              <w:jc w:val="center"/>
              <w:rPr>
                <w:rFonts w:hint="eastAsia" w:ascii="宋体" w:hAnsi="宋体" w:eastAsia="宋体" w:cs="宋体"/>
                <w:b/>
                <w:color w:val="auto"/>
                <w:sz w:val="18"/>
                <w:szCs w:val="18"/>
                <w:highlight w:val="none"/>
              </w:rPr>
            </w:pPr>
          </w:p>
        </w:tc>
        <w:tc>
          <w:tcPr>
            <w:tcW w:w="1369" w:type="dxa"/>
            <w:vAlign w:val="center"/>
          </w:tcPr>
          <w:p w14:paraId="00A0A398">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营业收入(Y)</w:t>
            </w:r>
          </w:p>
        </w:tc>
        <w:tc>
          <w:tcPr>
            <w:tcW w:w="709" w:type="dxa"/>
            <w:vAlign w:val="center"/>
          </w:tcPr>
          <w:p w14:paraId="2DB0A6FB">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6D02BDD4">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Y≥5000</w:t>
            </w:r>
          </w:p>
        </w:tc>
        <w:tc>
          <w:tcPr>
            <w:tcW w:w="1701" w:type="dxa"/>
            <w:vAlign w:val="center"/>
          </w:tcPr>
          <w:p w14:paraId="1D3960C5">
            <w:pPr>
              <w:ind w:left="1" w:leftChars="-51" w:hanging="108" w:hangingChars="6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1000≤Y＜5000 </w:t>
            </w:r>
          </w:p>
        </w:tc>
        <w:tc>
          <w:tcPr>
            <w:tcW w:w="1426" w:type="dxa"/>
            <w:vAlign w:val="center"/>
          </w:tcPr>
          <w:p w14:paraId="3D423344">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500≤Y＜1000</w:t>
            </w:r>
          </w:p>
        </w:tc>
        <w:tc>
          <w:tcPr>
            <w:tcW w:w="992" w:type="dxa"/>
            <w:vAlign w:val="center"/>
          </w:tcPr>
          <w:p w14:paraId="2FB59F6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Y＜500</w:t>
            </w:r>
          </w:p>
        </w:tc>
      </w:tr>
      <w:tr w14:paraId="0E40B1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restart"/>
            <w:vAlign w:val="center"/>
          </w:tcPr>
          <w:p w14:paraId="566EF7C8">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租赁和商务服务业</w:t>
            </w:r>
          </w:p>
        </w:tc>
        <w:tc>
          <w:tcPr>
            <w:tcW w:w="1369" w:type="dxa"/>
            <w:vAlign w:val="center"/>
          </w:tcPr>
          <w:p w14:paraId="7A24A0D3">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6A3AB17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68B6206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X≥300</w:t>
            </w:r>
          </w:p>
        </w:tc>
        <w:tc>
          <w:tcPr>
            <w:tcW w:w="1701" w:type="dxa"/>
            <w:vAlign w:val="center"/>
          </w:tcPr>
          <w:p w14:paraId="2E050B65">
            <w:pPr>
              <w:ind w:left="1" w:leftChars="-51" w:hanging="108" w:hangingChars="6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100≤X＜300 </w:t>
            </w:r>
          </w:p>
        </w:tc>
        <w:tc>
          <w:tcPr>
            <w:tcW w:w="1426" w:type="dxa"/>
            <w:vAlign w:val="center"/>
          </w:tcPr>
          <w:p w14:paraId="1292F996">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10≤X＜100</w:t>
            </w:r>
          </w:p>
        </w:tc>
        <w:tc>
          <w:tcPr>
            <w:tcW w:w="992" w:type="dxa"/>
            <w:vAlign w:val="center"/>
          </w:tcPr>
          <w:p w14:paraId="2B7DA571">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w:t>
            </w:r>
          </w:p>
        </w:tc>
      </w:tr>
      <w:tr w14:paraId="71C457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exact"/>
          <w:jc w:val="center"/>
        </w:trPr>
        <w:tc>
          <w:tcPr>
            <w:tcW w:w="2113" w:type="dxa"/>
            <w:vMerge w:val="continue"/>
            <w:vAlign w:val="center"/>
          </w:tcPr>
          <w:p w14:paraId="62E63FFC">
            <w:pPr>
              <w:jc w:val="center"/>
              <w:rPr>
                <w:rFonts w:hint="eastAsia" w:ascii="宋体" w:hAnsi="宋体" w:eastAsia="宋体" w:cs="宋体"/>
                <w:b/>
                <w:color w:val="auto"/>
                <w:sz w:val="18"/>
                <w:szCs w:val="18"/>
                <w:highlight w:val="none"/>
              </w:rPr>
            </w:pPr>
          </w:p>
        </w:tc>
        <w:tc>
          <w:tcPr>
            <w:tcW w:w="1369" w:type="dxa"/>
            <w:vAlign w:val="center"/>
          </w:tcPr>
          <w:p w14:paraId="36318123">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资产总额(Z)</w:t>
            </w:r>
          </w:p>
        </w:tc>
        <w:tc>
          <w:tcPr>
            <w:tcW w:w="709" w:type="dxa"/>
            <w:vAlign w:val="center"/>
          </w:tcPr>
          <w:p w14:paraId="2433E658">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万元</w:t>
            </w:r>
          </w:p>
        </w:tc>
        <w:tc>
          <w:tcPr>
            <w:tcW w:w="1125" w:type="dxa"/>
            <w:vAlign w:val="center"/>
          </w:tcPr>
          <w:p w14:paraId="76189482">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Z≥120000</w:t>
            </w:r>
          </w:p>
        </w:tc>
        <w:tc>
          <w:tcPr>
            <w:tcW w:w="1701" w:type="dxa"/>
            <w:vAlign w:val="center"/>
          </w:tcPr>
          <w:p w14:paraId="28063790">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8000≤Z＜120000</w:t>
            </w:r>
          </w:p>
        </w:tc>
        <w:tc>
          <w:tcPr>
            <w:tcW w:w="1426" w:type="dxa"/>
            <w:vAlign w:val="center"/>
          </w:tcPr>
          <w:p w14:paraId="118E5E5D">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100≤Z＜8000</w:t>
            </w:r>
          </w:p>
        </w:tc>
        <w:tc>
          <w:tcPr>
            <w:tcW w:w="992" w:type="dxa"/>
            <w:vAlign w:val="center"/>
          </w:tcPr>
          <w:p w14:paraId="1DC6E177">
            <w:pP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Z＜100</w:t>
            </w:r>
          </w:p>
        </w:tc>
      </w:tr>
      <w:tr w14:paraId="01225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13" w:type="dxa"/>
            <w:vAlign w:val="center"/>
          </w:tcPr>
          <w:p w14:paraId="1453A42B">
            <w:pPr>
              <w:spacing w:line="240" w:lineRule="exact"/>
              <w:jc w:val="center"/>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其他未列明行业*</w:t>
            </w:r>
          </w:p>
        </w:tc>
        <w:tc>
          <w:tcPr>
            <w:tcW w:w="1369" w:type="dxa"/>
            <w:vAlign w:val="center"/>
          </w:tcPr>
          <w:p w14:paraId="67CDB366">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从业人员(X)</w:t>
            </w:r>
          </w:p>
        </w:tc>
        <w:tc>
          <w:tcPr>
            <w:tcW w:w="709" w:type="dxa"/>
            <w:vAlign w:val="center"/>
          </w:tcPr>
          <w:p w14:paraId="59684F95">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人</w:t>
            </w:r>
          </w:p>
        </w:tc>
        <w:tc>
          <w:tcPr>
            <w:tcW w:w="1125" w:type="dxa"/>
            <w:vAlign w:val="center"/>
          </w:tcPr>
          <w:p w14:paraId="11C1E6D1">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X≥300</w:t>
            </w:r>
          </w:p>
        </w:tc>
        <w:tc>
          <w:tcPr>
            <w:tcW w:w="1701" w:type="dxa"/>
            <w:vAlign w:val="center"/>
          </w:tcPr>
          <w:p w14:paraId="56C091AD">
            <w:pPr>
              <w:spacing w:line="240" w:lineRule="exact"/>
              <w:ind w:left="1" w:leftChars="-51" w:hanging="108" w:hangingChars="60"/>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100≤X＜300 </w:t>
            </w:r>
          </w:p>
        </w:tc>
        <w:tc>
          <w:tcPr>
            <w:tcW w:w="1426" w:type="dxa"/>
            <w:vAlign w:val="center"/>
          </w:tcPr>
          <w:p w14:paraId="34A18B11">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 xml:space="preserve"> 10≤X＜100</w:t>
            </w:r>
          </w:p>
        </w:tc>
        <w:tc>
          <w:tcPr>
            <w:tcW w:w="992" w:type="dxa"/>
            <w:vAlign w:val="center"/>
          </w:tcPr>
          <w:p w14:paraId="3460D043">
            <w:pPr>
              <w:spacing w:line="240" w:lineRule="exact"/>
              <w:rPr>
                <w:rFonts w:hint="eastAsia" w:ascii="宋体" w:hAnsi="宋体" w:eastAsia="宋体" w:cs="宋体"/>
                <w:b/>
                <w:color w:val="auto"/>
                <w:sz w:val="18"/>
                <w:szCs w:val="18"/>
                <w:highlight w:val="none"/>
              </w:rPr>
            </w:pPr>
            <w:r>
              <w:rPr>
                <w:rFonts w:hint="eastAsia" w:ascii="宋体" w:hAnsi="宋体" w:eastAsia="宋体" w:cs="宋体"/>
                <w:b/>
                <w:color w:val="auto"/>
                <w:sz w:val="18"/>
                <w:szCs w:val="18"/>
                <w:highlight w:val="none"/>
              </w:rPr>
              <w:t>X＜10</w:t>
            </w:r>
          </w:p>
        </w:tc>
      </w:tr>
    </w:tbl>
    <w:p w14:paraId="1EC7BD4E">
      <w:pPr>
        <w:spacing w:line="400" w:lineRule="exact"/>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说明：</w:t>
      </w:r>
    </w:p>
    <w:p w14:paraId="6FB60C83">
      <w:pPr>
        <w:spacing w:line="400" w:lineRule="exact"/>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　　1.大型、中型和小型企业须同时满足所列指标的下限，否则下划一档；微型企业只须满足所列指标中的一项即可。</w:t>
      </w:r>
    </w:p>
    <w:p w14:paraId="360AE541">
      <w:pPr>
        <w:spacing w:line="400" w:lineRule="exact"/>
        <w:ind w:firstLine="452"/>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w:t>
      </w:r>
    </w:p>
    <w:p w14:paraId="5B09C0CF">
      <w:pPr>
        <w:spacing w:line="400" w:lineRule="exact"/>
        <w:ind w:firstLine="452"/>
        <w:rPr>
          <w:rFonts w:hint="eastAsia" w:ascii="宋体" w:hAnsi="宋体" w:eastAsia="宋体" w:cs="宋体"/>
          <w:color w:val="auto"/>
          <w:spacing w:val="8"/>
          <w:szCs w:val="21"/>
          <w:highlight w:val="none"/>
        </w:rPr>
      </w:pPr>
      <w:r>
        <w:rPr>
          <w:rFonts w:hint="eastAsia" w:ascii="宋体" w:hAnsi="宋体" w:eastAsia="宋体" w:cs="宋体"/>
          <w:color w:val="auto"/>
          <w:spacing w:val="8"/>
          <w:szCs w:val="21"/>
          <w:highlight w:val="none"/>
        </w:rPr>
        <w:t>3.企业划分指标以现行统计制度为准。（1）从业人员，是指期末从业人员数，没有期末从业人员数的，采用全年平均人员数代替。（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3）资产总额，采用资产总计代替。</w:t>
      </w:r>
    </w:p>
    <w:p w14:paraId="2FC9BD15">
      <w:pPr>
        <w:pStyle w:val="3"/>
        <w:rPr>
          <w:rFonts w:hint="eastAsia" w:ascii="宋体" w:hAnsi="宋体" w:eastAsia="宋体" w:cs="宋体"/>
          <w:color w:val="auto"/>
          <w:highlight w:val="none"/>
        </w:rPr>
        <w:sectPr>
          <w:pgSz w:w="11906" w:h="16838"/>
          <w:pgMar w:top="1440" w:right="1080" w:bottom="1440" w:left="1080" w:header="851" w:footer="992" w:gutter="0"/>
          <w:cols w:space="0" w:num="1"/>
          <w:docGrid w:type="lines" w:linePitch="312" w:charSpace="0"/>
        </w:sectPr>
      </w:pPr>
    </w:p>
    <w:p w14:paraId="6BFE631A">
      <w:pPr>
        <w:spacing w:before="156" w:beforeLines="50" w:after="156" w:afterLines="50"/>
        <w:jc w:val="center"/>
        <w:textAlignment w:val="baseline"/>
        <w:rPr>
          <w:rFonts w:hint="eastAsia" w:ascii="宋体" w:hAnsi="宋体" w:eastAsia="宋体" w:cs="宋体"/>
          <w:b/>
          <w:color w:val="auto"/>
          <w:sz w:val="24"/>
          <w:highlight w:val="none"/>
          <w:shd w:val="clear" w:color="auto" w:fill="FFFFFF"/>
        </w:rPr>
      </w:pPr>
      <w:r>
        <w:rPr>
          <w:rFonts w:hint="eastAsia" w:ascii="宋体" w:hAnsi="宋体" w:eastAsia="宋体" w:cs="宋体"/>
          <w:b/>
          <w:color w:val="auto"/>
          <w:sz w:val="24"/>
          <w:highlight w:val="none"/>
          <w:shd w:val="clear" w:color="auto" w:fill="FFFFFF"/>
        </w:rPr>
        <w:t>政府采购促进中小企业发展管理办法</w:t>
      </w:r>
    </w:p>
    <w:p w14:paraId="192CD130">
      <w:pPr>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shd w:val="clear" w:color="auto" w:fill="FFFFFF"/>
        </w:rPr>
        <w:t>财库〔2020〕46号</w:t>
      </w:r>
    </w:p>
    <w:p w14:paraId="6761D1E9">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第一条 为了发挥政府采购的政策功能，促进中小企业健康发展，根据《中华人民共和国政府采购法》、《中华人民共和国中小企业促进法》等有关法律法规，制定本办法。</w:t>
      </w:r>
    </w:p>
    <w:p w14:paraId="2EBECFAE">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第二条 本办法所称中小企业，是指在中华人民共和国境内依法设立，依据国务院批准的中小企业划分标准确定的中型企业、小型企业和微型企业，但与大企业的负责人为同一人，或者与大企业存在直接控股、管理关系的除外。符合中小企业划分标准的个体工商户，在政府采购活动中视同中小企业。</w:t>
      </w:r>
    </w:p>
    <w:p w14:paraId="69321F99">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第三条 采购人在政府采购活动中应当通过加强采购需求管理，落实预留采购份额、价格评审优惠、优先采购等措施，提高中小企业在政府采购中的份额，支持中小企业发展。</w:t>
      </w:r>
    </w:p>
    <w:p w14:paraId="42F3252C">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第四条 在政府采购活动中，供应商提供的货物、工程或者服务符合下列情形的，享受本办法规定的中小企业扶持政策：</w:t>
      </w:r>
    </w:p>
    <w:p w14:paraId="04E5D4BE">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（一）在货物采购项目中，货物由中小企业制造，即货物由中小企业生产且使用该中小企业商号或者注册商标；</w:t>
      </w:r>
    </w:p>
    <w:p w14:paraId="001F22A4">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（二）在工程采购项目中，工程由中小企业承建，即工程施工单位为中小企业；</w:t>
      </w:r>
    </w:p>
    <w:p w14:paraId="4580A819">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（三）在服务采购项目中，服务由中小企业承接，即提供服务的人员为中小企业依照《中华人民共和国劳动合同法》订立劳动合同的从业人员。</w:t>
      </w:r>
    </w:p>
    <w:p w14:paraId="73BD9B9A">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在货物采购项目中，供应商提供的货物既有中小企业制造货物，也有大型企业制造货物的，不享受本办法规定的中小企业扶持政策。</w:t>
      </w:r>
    </w:p>
    <w:p w14:paraId="4C0746F9">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以联合体形式参加政府采购活动，联合体各方均为中小企业的，联合体视同中小企业。其中，联合体各方均为小微企业的，联合体视同小微企业。</w:t>
      </w:r>
    </w:p>
    <w:p w14:paraId="4E3AAB2D">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第五条 采购人在政府采购活动中应当合理确定采购项目的采购需求，不得以企业注册资本、资产总额、营业收入、从业人员、利润、纳税额等规模条件和财务指标作为供应商的资格要求或者评审因素，不得在企业股权结构、经营 年限等方面对中小企业实行差别待遇或者歧视待遇。</w:t>
      </w:r>
    </w:p>
    <w:p w14:paraId="3BC5CCB1">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第六条 主管预算单位应当组织评估本部门及所属单位政府采购项目，统筹制定面向中小企业预留采购份额的具体方案，对适宜由中小企业提供的采购项目和采购包，预留采购份额专门面向中小企业采购，并在政府采购预算中单独列示。</w:t>
      </w:r>
    </w:p>
    <w:p w14:paraId="2E4A78FF">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符合下列情形之一的，可不专门面向中小企业预留采购份额：</w:t>
      </w:r>
    </w:p>
    <w:p w14:paraId="7A10882E">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（一）法律法规和国家有关政策明确规定优先或者应当面向事业单位、社会组织等非企业主体采购的；</w:t>
      </w:r>
    </w:p>
    <w:p w14:paraId="674539BB">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（二）因确需使用不可替代的专利、专有技术，基础设施限制，或者提供特定公共服务等原因，只能从中小企业之外的供应商处采购的；</w:t>
      </w:r>
    </w:p>
    <w:p w14:paraId="65C49FDC">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（三）按照本办法规定预留采购份额无法确保充分供应、充分竞争，或者存在可能影响政府采购目标实现的情形；</w:t>
      </w:r>
    </w:p>
    <w:p w14:paraId="4335AE76">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（四）框架协议采购项目；</w:t>
      </w:r>
    </w:p>
    <w:p w14:paraId="7D72C226">
      <w:pPr>
        <w:pStyle w:val="10"/>
        <w:tabs>
          <w:tab w:val="left" w:pos="2207"/>
        </w:tabs>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（五）省级以上人民政府财政部门规定的其他情形。 除上述情形外，其他均为适宜由中小企业提供的情形。</w:t>
      </w:r>
    </w:p>
    <w:p w14:paraId="368F317A">
      <w:pPr>
        <w:pStyle w:val="10"/>
        <w:tabs>
          <w:tab w:val="left" w:pos="2207"/>
        </w:tabs>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第七条 采购限额标准以上，200 万元以下的货物和服务采购项目、400 万元以下的工程采购项目，适宜由中小企业提供的，采购人应当专门面向中小企业采购。</w:t>
      </w:r>
    </w:p>
    <w:p w14:paraId="2E69F0F6">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第八条 超过 200 万元的货物和服务采购项目、超过400 万元的工程采购项目中适宜由中小企业提供的，预留该部分采购项目预算总额的 30%以上专门面向中小企业采购， 其中预留给小微企业的比例不低于 60%。预留份额通过下列措施进行：</w:t>
      </w:r>
    </w:p>
    <w:p w14:paraId="314DC677">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（一）将采购项目整体或者设置采购包专门面向中小企业采购；</w:t>
      </w:r>
    </w:p>
    <w:p w14:paraId="0FC38672">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（二）要求供应商以联合体形式参加采购活动，且联合体中中小企业承担的部分达到一定比例；</w:t>
      </w:r>
    </w:p>
    <w:p w14:paraId="5B097444">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（三）要求获得采购合同的供应商将采购项目中的一定比例分包给一家或者多家中小企业。</w:t>
      </w:r>
    </w:p>
    <w:p w14:paraId="14BE3F08">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组成联合体或者接受分包合同的中小企业与联合体内 其他企业、分包企业之间不得存在直接控股、管理关系。</w:t>
      </w:r>
    </w:p>
    <w:p w14:paraId="6184BFB7">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第九条 对于经主管预算单位统筹后未预留份额专门面向中小企业采购的采购项目，以及预留份额项目中的非预留部分采购包，采购人、采购代理机构应当对符合本办法规定的小微企业报价给予 6%—10%（工程项目为 3%—5%）的扣除，用扣除后的价格参加评审。适用招标投标法的政府采购 工程建设项目，采用综合评分法但未采用低价优先法计算价格分的，评标时应当在采用原报价进行评分的基础上增加其价格得分的 3%—5%作为其价格分。</w:t>
      </w:r>
    </w:p>
    <w:p w14:paraId="3CBBB6F5">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接受大中型企业与小微企业组成联合体或者允许大中 型企业向一家或者多家小微企业分包的采购项目，对于联合协议或者分包意向协议约定小微企业的合同份额占到合同 总金额 30%以上的，采购人、采购代理机构应当对联合体或者大中型企业的报价给予 2%-3%（工程项目为 1%—2%）的扣除，用扣除后的价格参加评审。适用招标投标法的政府采购 工程建设项目，采用综合评分法但未采用低价优先法计算价格分的，评标时应当在采用原报价进行评分的基础上增加其价格得分的 1%—2%作为其价格分。组成联合体或者接受分包的小微企业与联合体内其他企业、分包企业之间存在直接控股、管理关系的，不享受价格扣除优惠政策。</w:t>
      </w:r>
    </w:p>
    <w:p w14:paraId="0866A8ED">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656B505B">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第十条 采购人应当严格按照本办法规定和主管预算单位制定的预留采购份额具体方案开展采购活动。预留份额的采购项目或者采购包，通过发布公告方式邀请供应商后， 符合资格条件的中小企业数量不足 3 家的，应当中止采购活动，视同未预留份额的采购项目或者采购包，按照本办法第九条有关规定重新组织采购活动。</w:t>
      </w:r>
    </w:p>
    <w:p w14:paraId="60F69F1A">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第十一条 中小企业参加政府采购活动，应当出具本办法规定的《中小企业声明函》（附1），否则不得享受相关中小企业扶持政策。任何单位和个人不得要求供应商提供《中 小企业声明函》之外的中小企业身份证明文件。</w:t>
      </w:r>
    </w:p>
    <w:p w14:paraId="7042A5CC">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第十二条 采购项目涉及中小企业采购的，采购文件应当明确以下内容：</w:t>
      </w:r>
    </w:p>
    <w:p w14:paraId="47DF7EE4">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（一）预留份额的采购项目或者采购包，明确该项目或相关采购包专门面向中小企业采购，以及相关标的及预算金额；</w:t>
      </w:r>
    </w:p>
    <w:p w14:paraId="6413CD5D">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（二）要求以联合体形式参加或者合同分包的，明确联</w:t>
      </w:r>
    </w:p>
    <w:p w14:paraId="66BA4F23">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合协议或者分包意向协议中中小企业合同金额应当达到的比例，并作为供应商资格条件；</w:t>
      </w:r>
    </w:p>
    <w:p w14:paraId="147AD034">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（三）非预留份额的采购项目或者采购包，明确有关价格扣除比例或者价格分加分比例；</w:t>
      </w:r>
    </w:p>
    <w:p w14:paraId="4692103D">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（四）规定依据本办法规定享受扶持政策获得政府采购合同的，小微企业不得将合同分包给大中型企业，中型企业不得将合同分包给大型企业；</w:t>
      </w:r>
    </w:p>
    <w:p w14:paraId="6C85DA96">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（五）采购人认为具备相关条件的，明确对中小企业在资金支付期限、预付款比例等方面的优惠措施；</w:t>
      </w:r>
    </w:p>
    <w:p w14:paraId="661F91F1">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（六）明确采购标的对应的中小企业划分标准所属行业；</w:t>
      </w:r>
    </w:p>
    <w:p w14:paraId="642EC8A7">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（七）法律法规和省级以上人民政府财政部门规定的其他事项。</w:t>
      </w:r>
    </w:p>
    <w:p w14:paraId="71D4A367">
      <w:pPr>
        <w:pStyle w:val="10"/>
        <w:tabs>
          <w:tab w:val="left" w:pos="2526"/>
        </w:tabs>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第十三条  中标、成交供应商享受本办法规定的中小企业扶持政策的，采购人、采购代理机构应当随中标、成交结果公开中标、成交供应商的《中小企业声明函》。</w:t>
      </w:r>
    </w:p>
    <w:p w14:paraId="058DA679">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适用招标投标法的政府采购工程建设项目，应当在公示中标候选人时公开中标候选人的《中小企业声明函》。</w:t>
      </w:r>
    </w:p>
    <w:p w14:paraId="263833C5">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第十四条 对于通过预留采购项目、预留专门采购包、要求以联合体形式参加或者合同分包等措施签订的采购合同，应当明确标注本合同为中小企业预留合同。其中，要求以联合体形式参加采购活动或者合同分包的，应当将联合协议或者分包意向协议作为采购合同的组成部分。</w:t>
      </w:r>
    </w:p>
    <w:p w14:paraId="5526CECD">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第十五条 鼓励各地区、各部门在采购活动中允许中小企业引入信用担保手段，为中小企业在投标（响应）保证、履约保证等方面提供专业化服务。鼓励中小企业依法合规通过政府采购合同融资。</w:t>
      </w:r>
    </w:p>
    <w:p w14:paraId="4CD87E31">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第十六条 政府采购监督检查、投诉处理及政府采购行政处罚中对中小企业的认定，由货物制造商或者工程、服务供应商注册登记所在地的县级以上人民政府中小企业主管 部门负责。</w:t>
      </w:r>
    </w:p>
    <w:p w14:paraId="286DF0F9">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中小企业主管部门应当在收到财政部门或者有关招标 投标行政监督部门关于协助开展中小企业认定函后 10 个工作日内做出书面答复。</w:t>
      </w:r>
    </w:p>
    <w:p w14:paraId="1CC24BC3">
      <w:pPr>
        <w:pStyle w:val="10"/>
        <w:tabs>
          <w:tab w:val="left" w:pos="2459"/>
        </w:tabs>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第十七条 各地区、各部门应当对涉及中小企业采购的 预算项目实施全过程绩效管理，合理设置绩效目标和指标，落实扶持中小企业有关政策要求，定期开展绩效监控和评价，强化绩效评价结果应用。</w:t>
      </w:r>
    </w:p>
    <w:p w14:paraId="64E1405E">
      <w:pPr>
        <w:pStyle w:val="10"/>
        <w:tabs>
          <w:tab w:val="left" w:pos="1880"/>
          <w:tab w:val="left" w:pos="2547"/>
        </w:tabs>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 xml:space="preserve">第十八条 主管预算单位应当自 2022 年起向同级财政部门报告本部门上一年度面向中小企业预留份额和采购的具体情况，并在中国政府采购网公开预留项目执行情况(附 2)。未达到本办法规定的预留份额比例的，应当作出说明。 </w:t>
      </w:r>
    </w:p>
    <w:p w14:paraId="306F4FC2">
      <w:pPr>
        <w:pStyle w:val="10"/>
        <w:tabs>
          <w:tab w:val="left" w:pos="1880"/>
          <w:tab w:val="left" w:pos="2547"/>
        </w:tabs>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第十九条 采购人未按本办法规定为中小企业预留采购份额，采购人、采购代理机构未按照本办法规定要求实施价格扣除或者价格分加分的，属于未按照规定执行政府采购政策，依照《中华人民共和国政府采购法》等国家有关规定追究法律责任。</w:t>
      </w:r>
    </w:p>
    <w:p w14:paraId="395397C0">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第二十条 供应商按照本办法规定提供声明函内容不实的，属于提供虚假材料谋取中标、成交，依照《中华人民 共和国政府采购法》等国家有关规定追究相应责任。</w:t>
      </w:r>
    </w:p>
    <w:p w14:paraId="56F16529">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适用招标投标法的政府采购工程建设项目，投标人按照本办法规定提供声明函内容不实的，属于弄虚作假骗取中标，依照《中华人民共和国招标投标法》等国家有关规定追究相应责任。</w:t>
      </w:r>
    </w:p>
    <w:p w14:paraId="05C2A985">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第二十一条 财政部门、中小企业主管部门及其工作人员在履行职责中违反本办法规定及存在其他滥用职权、玩忽职守、徇私舞弊等违法违纪行为的，依照《中华人民共和国政府采购法》、《中华人民共和国公务员法》、《中华人民共和国监察法》、《中华人民共和国政府采购法实施条例》等国家 有关规定追究相应责任；涉嫌犯罪的，依法移送有关国家机关处理。</w:t>
      </w:r>
    </w:p>
    <w:p w14:paraId="17EDFBB5">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第二十二条 对外援助项目、国家相关资格或者资质管理制度另有规定的项目，不适用本办法。</w:t>
      </w:r>
    </w:p>
    <w:p w14:paraId="1FDDFE8F">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第二十三条 关于视同中小企业的其他主体的政府采购扶持政策，由财政部会同有关部门另行规定。</w:t>
      </w:r>
    </w:p>
    <w:p w14:paraId="227B8972">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第二十四条 省级财政部门可以会同中小企业主管部门根据本办法的规定制定具体实施办法。</w:t>
      </w:r>
    </w:p>
    <w:p w14:paraId="7854978D">
      <w:pPr>
        <w:pStyle w:val="10"/>
        <w:spacing w:after="0" w:line="340" w:lineRule="exact"/>
        <w:ind w:firstLine="480" w:firstLineChars="200"/>
        <w:rPr>
          <w:rFonts w:hint="eastAsia" w:ascii="宋体" w:hAnsi="宋体" w:cs="宋体"/>
          <w:bCs/>
          <w:color w:val="auto"/>
          <w:sz w:val="24"/>
          <w:highlight w:val="none"/>
        </w:rPr>
      </w:pPr>
      <w:r>
        <w:rPr>
          <w:rFonts w:hint="eastAsia" w:ascii="宋体" w:hAnsi="宋体" w:cs="宋体"/>
          <w:bCs/>
          <w:color w:val="auto"/>
          <w:sz w:val="24"/>
          <w:highlight w:val="none"/>
        </w:rPr>
        <w:t>第二十五条 本办法自 2021 年 1 月 1 日起施行。《财政部 工业和信息化部关于印发〈政府采购促进中小企业发展暂行办法〉的通知》（财库﹝2011﹞181 号）同时废止。</w:t>
      </w:r>
    </w:p>
    <w:p w14:paraId="736655A6">
      <w:pPr>
        <w:spacing w:before="156" w:beforeLines="50" w:after="156" w:afterLines="50"/>
        <w:jc w:val="center"/>
        <w:textAlignment w:val="baseline"/>
        <w:rPr>
          <w:rFonts w:hint="eastAsia" w:ascii="宋体" w:hAnsi="宋体" w:eastAsia="宋体" w:cs="宋体"/>
          <w:b/>
          <w:bCs/>
          <w:color w:val="auto"/>
          <w:sz w:val="24"/>
          <w:highlight w:val="none"/>
        </w:rPr>
        <w:sectPr>
          <w:pgSz w:w="11906" w:h="16838"/>
          <w:pgMar w:top="1440" w:right="1080" w:bottom="1440" w:left="1080" w:header="851" w:footer="992" w:gutter="0"/>
          <w:cols w:space="0" w:num="1"/>
          <w:docGrid w:type="lines" w:linePitch="312" w:charSpace="0"/>
        </w:sectPr>
      </w:pPr>
    </w:p>
    <w:p w14:paraId="1F90A4DD">
      <w:pPr>
        <w:widowControl/>
        <w:shd w:val="clear" w:color="auto" w:fill="FFFFFF"/>
        <w:topLinePunct/>
        <w:spacing w:before="100" w:beforeAutospacing="1" w:after="100" w:afterAutospacing="1" w:line="444"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kern w:val="0"/>
          <w:sz w:val="24"/>
          <w:highlight w:val="none"/>
          <w:shd w:val="clear" w:color="auto" w:fill="FFFFFF"/>
          <w:lang w:bidi="ar"/>
        </w:rPr>
        <w:t>财政部关于进一步加大政府采购支持中小企业力度的通知</w:t>
      </w:r>
    </w:p>
    <w:p w14:paraId="0B116B16">
      <w:pPr>
        <w:widowControl/>
        <w:shd w:val="clear" w:color="auto" w:fill="FFFFFF"/>
        <w:topLinePunct/>
        <w:spacing w:before="100" w:beforeAutospacing="1" w:after="100" w:afterAutospacing="1" w:line="444" w:lineRule="atLeast"/>
        <w:jc w:val="center"/>
        <w:rPr>
          <w:rFonts w:hint="eastAsia" w:ascii="宋体" w:hAnsi="宋体" w:eastAsia="宋体" w:cs="宋体"/>
          <w:b/>
          <w:bCs/>
          <w:color w:val="auto"/>
          <w:sz w:val="24"/>
          <w:highlight w:val="none"/>
        </w:rPr>
      </w:pPr>
      <w:r>
        <w:rPr>
          <w:rFonts w:hint="eastAsia" w:ascii="宋体" w:hAnsi="宋体" w:eastAsia="宋体" w:cs="宋体"/>
          <w:b/>
          <w:bCs/>
          <w:color w:val="auto"/>
          <w:kern w:val="0"/>
          <w:sz w:val="24"/>
          <w:highlight w:val="none"/>
          <w:shd w:val="clear" w:color="auto" w:fill="FFFFFF"/>
          <w:lang w:bidi="ar"/>
        </w:rPr>
        <w:t>（财库〔2022〕19号）</w:t>
      </w:r>
    </w:p>
    <w:p w14:paraId="3645D255">
      <w:pPr>
        <w:widowControl/>
        <w:shd w:val="clear" w:color="auto" w:fill="FFFFFF"/>
        <w:topLinePunct/>
        <w:spacing w:before="100" w:beforeAutospacing="1" w:after="100" w:afterAutospacing="1" w:line="444" w:lineRule="atLeas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 各中央预算单位，各省、自治区、直辖市、计划单列市财政厅（局），新疆生产建设兵团财政局：</w:t>
      </w:r>
    </w:p>
    <w:p w14:paraId="2FA2C838">
      <w:pPr>
        <w:widowControl/>
        <w:shd w:val="clear" w:color="auto" w:fill="FFFFFF"/>
        <w:topLinePunct/>
        <w:spacing w:before="100" w:beforeAutospacing="1" w:after="100" w:afterAutospacing="1" w:line="444" w:lineRule="atLeast"/>
        <w:ind w:firstLine="516"/>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为贯彻落实《国务院关于印发扎实稳住经济一揽子政策措施的通知》（国发〔2022〕12号）有关要求，做好财政政策支持中小企业纾困解难工作，助力经济平稳健康发展，现就加大政府采购支持中小企业力度有关事项通知如下：</w:t>
      </w:r>
    </w:p>
    <w:p w14:paraId="12E7CECF">
      <w:pPr>
        <w:widowControl/>
        <w:shd w:val="clear" w:color="auto" w:fill="FFFFFF"/>
        <w:topLinePunct/>
        <w:spacing w:before="100" w:beforeAutospacing="1" w:after="100" w:afterAutospacing="1" w:line="444" w:lineRule="atLeast"/>
        <w:ind w:firstLine="516"/>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一、严格落实支持中小企业政府采购政策。各地区、各部门要按照国务院的统一部署，认真落实《政府采购促进中小企业发展管理办法》（财库〔2020〕46号）的规定，规范资格条件设置，降低中小企业参与门槛，灵活采取项目整体预留、合理预留采购包、要求大企业与中小企业组成联合体、要求大企业向中小企业分包等形式，确保中小企业合同份额。要通过提高预付款比例、引入信用担保、支持中小企业开展合同融资、免费提供电子采购文件等方式，为中小企业参与采购活动提供便利。要严格按规定及时支付采购资金，不得收取没有法律法规依据的保证金，有效减轻中小企业资金压力。</w:t>
      </w:r>
    </w:p>
    <w:p w14:paraId="61F59318">
      <w:pPr>
        <w:widowControl/>
        <w:shd w:val="clear" w:color="auto" w:fill="FFFFFF"/>
        <w:topLinePunct/>
        <w:spacing w:before="100" w:beforeAutospacing="1" w:after="100" w:afterAutospacing="1" w:line="444" w:lineRule="atLeast"/>
        <w:ind w:firstLine="516"/>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二、调整对小微企业的价格评审优惠幅度。货物服务采购项目给予小微企业的价格扣除优惠，由财库〔2020〕46号文件规定的6%—10%提高至10%—20%。大中型企业与小微企业组成联合体或者大中型企业向小微企业分包的，评审优惠幅度由2%—3%提高至4%—6%。政府采购工程的价格评审优惠按照财库〔2020〕46号文件的规定执行。自本通知执行之日起发布采购公告或者发出采购邀请的货物服务采购项目，按照本通知规定的评审优惠幅度执行。</w:t>
      </w:r>
    </w:p>
    <w:p w14:paraId="2518ECE4">
      <w:pPr>
        <w:widowControl/>
        <w:shd w:val="clear" w:color="auto" w:fill="FFFFFF"/>
        <w:topLinePunct/>
        <w:spacing w:before="100" w:beforeAutospacing="1" w:after="100" w:afterAutospacing="1" w:line="444" w:lineRule="atLeast"/>
        <w:ind w:firstLine="516"/>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三、提高政府采购工程面向中小企业预留份额。400万元以下的工程采购项目适宜由中小企业提供的，采购人应当专门面向中小企业采购。超过400万元的工程采购项目中适宜由中小企业提供的，在坚持公开公正、公平竞争原则和统一质量标准的前提下，2022年下半年面向中小企业的预留份额由30%以上阶段性提高至40%以上。发展改革委会同相关工程招投标行政监督部门完善工程招投标领域落实政府采购支持中小企业政策相关措施。省级财政部门要积极协调发展改革、工业和信息化、住房和城乡建设、交通、水利、商务、铁路、民航等部门调整完善工程招投标领域有关标准文本、评标制度等规定和做法，并于2022年6月30日前将落实情况汇总报财政部。</w:t>
      </w:r>
    </w:p>
    <w:p w14:paraId="4844B341">
      <w:pPr>
        <w:widowControl/>
        <w:shd w:val="clear" w:color="auto" w:fill="FFFFFF"/>
        <w:topLinePunct/>
        <w:spacing w:before="100" w:beforeAutospacing="1" w:after="100" w:afterAutospacing="1" w:line="444" w:lineRule="atLeast"/>
        <w:ind w:firstLine="516"/>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四、认真做好组织实施。各地区、各部门应当加强组织领导，明确工作责任，细化执行要求，强化监督检查，确保国务院部署落实到位，对通知执行中出现的问题要及时向财政部报告。</w:t>
      </w:r>
    </w:p>
    <w:p w14:paraId="0E9DA8F2">
      <w:pPr>
        <w:widowControl/>
        <w:shd w:val="clear" w:color="auto" w:fill="FFFFFF"/>
        <w:topLinePunct/>
        <w:spacing w:before="100" w:beforeAutospacing="1" w:after="100" w:afterAutospacing="1" w:line="444" w:lineRule="atLeast"/>
        <w:ind w:firstLine="516"/>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本通知自2022年7月1日起执行。</w:t>
      </w:r>
    </w:p>
    <w:p w14:paraId="516707B5">
      <w:pPr>
        <w:widowControl/>
        <w:shd w:val="clear" w:color="auto" w:fill="FFFFFF"/>
        <w:topLinePunct/>
        <w:spacing w:before="100" w:beforeAutospacing="1" w:after="100" w:afterAutospacing="1" w:line="444" w:lineRule="atLeas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 </w:t>
      </w:r>
    </w:p>
    <w:p w14:paraId="789F82A4">
      <w:pPr>
        <w:widowControl/>
        <w:shd w:val="clear" w:color="auto" w:fill="FFFFFF"/>
        <w:topLinePunct/>
        <w:spacing w:before="100" w:beforeAutospacing="1" w:after="100" w:afterAutospacing="1" w:line="444" w:lineRule="atLeast"/>
        <w:ind w:firstLine="4584"/>
        <w:jc w:val="righ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财政部</w:t>
      </w:r>
    </w:p>
    <w:p w14:paraId="1A63D041">
      <w:pPr>
        <w:widowControl/>
        <w:shd w:val="clear" w:color="auto" w:fill="FFFFFF"/>
        <w:topLinePunct/>
        <w:spacing w:before="100" w:beforeAutospacing="1" w:after="100" w:afterAutospacing="1" w:line="444" w:lineRule="atLeast"/>
        <w:ind w:firstLine="4200"/>
        <w:jc w:val="right"/>
        <w:rPr>
          <w:rFonts w:hint="eastAsia" w:ascii="宋体" w:hAnsi="宋体" w:eastAsia="宋体" w:cs="宋体"/>
          <w:color w:val="auto"/>
          <w:sz w:val="24"/>
          <w:highlight w:val="none"/>
        </w:rPr>
      </w:pPr>
      <w:r>
        <w:rPr>
          <w:rFonts w:hint="eastAsia" w:ascii="宋体" w:hAnsi="宋体" w:eastAsia="宋体" w:cs="宋体"/>
          <w:color w:val="auto"/>
          <w:kern w:val="0"/>
          <w:sz w:val="24"/>
          <w:highlight w:val="none"/>
          <w:shd w:val="clear" w:color="auto" w:fill="FFFFFF"/>
          <w:lang w:bidi="ar"/>
        </w:rPr>
        <w:t>2022年5月30日</w:t>
      </w:r>
    </w:p>
    <w:p w14:paraId="02391F10">
      <w:pPr>
        <w:spacing w:before="156" w:beforeLines="50" w:after="156" w:afterLines="50"/>
        <w:jc w:val="center"/>
        <w:textAlignment w:val="baseline"/>
        <w:rPr>
          <w:rFonts w:hint="eastAsia" w:ascii="宋体" w:hAnsi="宋体" w:eastAsia="宋体" w:cs="宋体"/>
          <w:b/>
          <w:color w:val="auto"/>
          <w:sz w:val="24"/>
          <w:highlight w:val="none"/>
          <w:shd w:val="clear" w:color="auto" w:fill="FFFFFF"/>
        </w:rPr>
      </w:pPr>
      <w:r>
        <w:rPr>
          <w:rFonts w:hint="eastAsia" w:ascii="宋体" w:hAnsi="宋体" w:eastAsia="宋体" w:cs="宋体"/>
          <w:b/>
          <w:bCs/>
          <w:color w:val="auto"/>
          <w:sz w:val="24"/>
          <w:highlight w:val="none"/>
        </w:rPr>
        <w:br w:type="page"/>
      </w:r>
      <w:r>
        <w:rPr>
          <w:rFonts w:hint="eastAsia" w:ascii="宋体" w:hAnsi="宋体" w:eastAsia="宋体" w:cs="宋体"/>
          <w:b/>
          <w:color w:val="auto"/>
          <w:sz w:val="24"/>
          <w:highlight w:val="none"/>
          <w:shd w:val="clear" w:color="auto" w:fill="FFFFFF"/>
        </w:rPr>
        <w:t>财政部 司法部关于政府采购支持监狱企业发展有关问题的通知</w:t>
      </w:r>
    </w:p>
    <w:p w14:paraId="64696D4C">
      <w:pPr>
        <w:spacing w:before="156" w:beforeLines="50" w:after="156" w:afterLines="50"/>
        <w:jc w:val="center"/>
        <w:textAlignment w:val="baseline"/>
        <w:rPr>
          <w:rFonts w:hint="eastAsia" w:ascii="宋体" w:hAnsi="宋体" w:eastAsia="宋体" w:cs="宋体"/>
          <w:b/>
          <w:color w:val="auto"/>
          <w:sz w:val="24"/>
          <w:highlight w:val="none"/>
        </w:rPr>
      </w:pPr>
      <w:bookmarkStart w:id="24" w:name="_Toc21391"/>
      <w:r>
        <w:rPr>
          <w:rFonts w:hint="eastAsia" w:ascii="宋体" w:hAnsi="宋体" w:eastAsia="宋体" w:cs="宋体"/>
          <w:b/>
          <w:color w:val="auto"/>
          <w:sz w:val="24"/>
          <w:highlight w:val="none"/>
          <w:shd w:val="clear" w:color="auto" w:fill="FFFFFF"/>
        </w:rPr>
        <w:t>财库〔2014〕68号</w:t>
      </w:r>
      <w:bookmarkEnd w:id="24"/>
    </w:p>
    <w:p w14:paraId="3B92D733">
      <w:pPr>
        <w:pStyle w:val="20"/>
        <w:spacing w:line="400" w:lineRule="exac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0B56A12A">
      <w:pPr>
        <w:pStyle w:val="20"/>
        <w:spacing w:line="400" w:lineRule="exac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　　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15716F60">
      <w:pPr>
        <w:pStyle w:val="20"/>
        <w:spacing w:line="400" w:lineRule="exac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　　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3BCA624F">
      <w:pPr>
        <w:pStyle w:val="20"/>
        <w:spacing w:line="400" w:lineRule="exac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　　二、在政府采购活动中，监狱企业视同小型、微型企业，享受预留份额、评审中价格扣除等政府采购促进中小企业发展的政府采购政策。向监狱企业采购的金额，计入面向中小企业采购的统计数据。</w:t>
      </w:r>
    </w:p>
    <w:p w14:paraId="5E2A3F86">
      <w:pPr>
        <w:pStyle w:val="20"/>
        <w:spacing w:line="400" w:lineRule="exac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　　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15D3D4D2">
      <w:pPr>
        <w:pStyle w:val="20"/>
        <w:spacing w:line="400" w:lineRule="exac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　　四、各地区可以结合本地区实际，对监狱企业生产的办公用品、家具用具、车辆维修和提供的保养服务、消防设备等，提出预留份额等政府采购支持措施，加大对监狱企业产品的采购力度。</w:t>
      </w:r>
    </w:p>
    <w:p w14:paraId="7A98274B">
      <w:pPr>
        <w:pStyle w:val="20"/>
        <w:spacing w:line="400" w:lineRule="exact"/>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3A28727D">
      <w:pPr>
        <w:pStyle w:val="20"/>
        <w:spacing w:line="400" w:lineRule="exact"/>
        <w:jc w:val="righ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中华人民共和国财政部</w:t>
      </w:r>
    </w:p>
    <w:p w14:paraId="3CBD0432">
      <w:pPr>
        <w:pStyle w:val="20"/>
        <w:spacing w:line="400" w:lineRule="exact"/>
        <w:jc w:val="righ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中华人民共和国司法部</w:t>
      </w:r>
    </w:p>
    <w:p w14:paraId="3A56C363">
      <w:pPr>
        <w:pStyle w:val="20"/>
        <w:spacing w:line="400" w:lineRule="exact"/>
        <w:jc w:val="righ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2014年6月10日</w:t>
      </w:r>
    </w:p>
    <w:p w14:paraId="2D9282E9">
      <w:pPr>
        <w:spacing w:before="156" w:beforeLines="50" w:after="156" w:afterLines="50"/>
        <w:jc w:val="center"/>
        <w:textAlignment w:val="baseline"/>
        <w:rPr>
          <w:rFonts w:hint="eastAsia" w:ascii="宋体" w:hAnsi="宋体" w:eastAsia="宋体" w:cs="宋体"/>
          <w:b/>
          <w:color w:val="auto"/>
          <w:sz w:val="24"/>
          <w:highlight w:val="none"/>
          <w:shd w:val="clear" w:color="auto" w:fill="FFFFFF"/>
        </w:rPr>
      </w:pPr>
      <w:r>
        <w:rPr>
          <w:rFonts w:hint="eastAsia" w:ascii="宋体" w:hAnsi="宋体" w:eastAsia="宋体" w:cs="宋体"/>
          <w:color w:val="auto"/>
          <w:sz w:val="24"/>
          <w:highlight w:val="none"/>
          <w:shd w:val="clear" w:color="auto" w:fill="FFFFFF"/>
        </w:rPr>
        <w:br w:type="page"/>
      </w:r>
      <w:r>
        <w:rPr>
          <w:rFonts w:hint="eastAsia" w:ascii="宋体" w:hAnsi="宋体" w:eastAsia="宋体" w:cs="宋体"/>
          <w:b/>
          <w:color w:val="auto"/>
          <w:sz w:val="24"/>
          <w:highlight w:val="none"/>
          <w:shd w:val="clear" w:color="auto" w:fill="FFFFFF"/>
        </w:rPr>
        <w:t>关于促进残疾人就业政府采购政策的通知</w:t>
      </w:r>
    </w:p>
    <w:p w14:paraId="68B4E53B">
      <w:pPr>
        <w:pStyle w:val="20"/>
        <w:spacing w:before="62" w:beforeLines="20" w:after="62" w:afterLines="20"/>
        <w:jc w:val="center"/>
        <w:textAlignment w:val="baseline"/>
        <w:rPr>
          <w:rFonts w:hint="eastAsia" w:ascii="宋体" w:hAnsi="宋体" w:cs="宋体"/>
          <w:b/>
          <w:color w:val="auto"/>
          <w:highlight w:val="none"/>
        </w:rPr>
      </w:pPr>
      <w:r>
        <w:rPr>
          <w:rStyle w:val="27"/>
          <w:rFonts w:hint="eastAsia" w:ascii="宋体" w:hAnsi="宋体" w:cs="宋体"/>
          <w:b/>
          <w:color w:val="auto"/>
          <w:highlight w:val="none"/>
          <w:shd w:val="clear" w:color="auto" w:fill="FFFFFF"/>
        </w:rPr>
        <w:t>财库〔2017〕141号</w:t>
      </w:r>
    </w:p>
    <w:p w14:paraId="7ECAF84C">
      <w:pPr>
        <w:pStyle w:val="20"/>
        <w:spacing w:line="330" w:lineRule="exact"/>
        <w:ind w:firstLine="420"/>
        <w:jc w:val="both"/>
        <w:textAlignment w:val="baseline"/>
        <w:rPr>
          <w:rFonts w:hint="eastAsia" w:ascii="宋体" w:hAnsi="宋体" w:cs="宋体"/>
          <w:color w:val="auto"/>
          <w:highlight w:val="none"/>
        </w:rPr>
      </w:pPr>
      <w:bookmarkStart w:id="25" w:name="toDeptId"/>
      <w:r>
        <w:rPr>
          <w:rFonts w:hint="eastAsia" w:ascii="宋体" w:hAnsi="宋体" w:cs="宋体"/>
          <w:color w:val="auto"/>
          <w:highlight w:val="none"/>
          <w:shd w:val="clear" w:color="auto" w:fill="FFFFFF"/>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bookmarkEnd w:id="25"/>
      <w:r>
        <w:rPr>
          <w:rFonts w:hint="eastAsia" w:ascii="宋体" w:hAnsi="宋体" w:cs="宋体"/>
          <w:color w:val="auto"/>
          <w:highlight w:val="none"/>
          <w:shd w:val="clear" w:color="auto" w:fill="FFFFFF"/>
        </w:rPr>
        <w:t>：</w:t>
      </w:r>
    </w:p>
    <w:p w14:paraId="4BA48314">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为了发挥政府采购促进残疾人就业的作用，进一步保障残疾人权益，依照《政府采购法》、《残疾人保障法》等法律法规及相关规定，现就促进残疾人就业政府采购政策通知如下：</w:t>
      </w:r>
    </w:p>
    <w:p w14:paraId="01457FB2">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一、享受政府采购支持政策的残疾人福利性单位应当同时满足以下条件：</w:t>
      </w:r>
    </w:p>
    <w:p w14:paraId="62407294">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（一）安置的残疾人占本单位在职职工人数的比例不低于25%（含25%），并且安置的残疾人人数不少于10人（含10人）；</w:t>
      </w:r>
    </w:p>
    <w:p w14:paraId="5D788A55">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（二）依法与安置的每位残疾人签订了一年以上（含一年）的劳动合同或服务协议；</w:t>
      </w:r>
    </w:p>
    <w:p w14:paraId="745FB9C4">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（三）为安置的每位残疾人按月足额缴纳了基本养老保险、基本医疗保险、失业保险、工伤保险和生育保险等社会保险费；</w:t>
      </w:r>
    </w:p>
    <w:p w14:paraId="17667AB5">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（四）通过银行等金融机构向安置的每位残疾人，按月支付了不低于单位所在区县适用的经省级人民政府批准的月最低工资标准的工资；</w:t>
      </w:r>
    </w:p>
    <w:p w14:paraId="517E37D0">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（五）提供本单位制造的货物、承担的工程或者服务（以下简称产品），或者提供其他残疾人福利性单位制造的货物（不包括使用非残疾人福利性单位注册商标的货物）。</w:t>
      </w:r>
    </w:p>
    <w:p w14:paraId="722FFA08">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3597EC15">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2048C01E">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中标、成交供应商为残疾人福利性单位的，采购人或者其委托的采购代理机构应当随中标、成交结果同时公告其《残疾人福利性单位声明函》，接受社会监督。</w:t>
      </w:r>
    </w:p>
    <w:p w14:paraId="21FEF440">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供应商提供的《残疾人福利性单位声明函》与事实不符的，依照《政府采购法》第七十七条第一款的规定追究法律责任。</w:t>
      </w:r>
    </w:p>
    <w:p w14:paraId="4CECFB50">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3A721184">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四、采购人采购公开招标数额标准以上的货物或者服务，因落实促进残疾人就业政策的需要，依法履行有关报批程序后，可采用公开招标以外的采购方式。</w:t>
      </w:r>
    </w:p>
    <w:p w14:paraId="4516CC8B">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16B1D74D">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3F9D608A">
      <w:pPr>
        <w:pStyle w:val="20"/>
        <w:spacing w:line="330" w:lineRule="exact"/>
        <w:jc w:val="both"/>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　　七、本通知自2017年10月1日起执行。</w:t>
      </w:r>
    </w:p>
    <w:p w14:paraId="138D777C">
      <w:pPr>
        <w:pStyle w:val="20"/>
        <w:spacing w:line="330" w:lineRule="exact"/>
        <w:jc w:val="right"/>
        <w:textAlignment w:val="baseline"/>
        <w:rPr>
          <w:rFonts w:hint="eastAsia" w:ascii="宋体" w:hAnsi="宋体" w:cs="宋体"/>
          <w:color w:val="auto"/>
          <w:highlight w:val="none"/>
          <w:shd w:val="clear" w:color="auto" w:fill="FFFFFF"/>
        </w:rPr>
      </w:pPr>
      <w:r>
        <w:rPr>
          <w:rFonts w:hint="eastAsia" w:ascii="宋体" w:hAnsi="宋体" w:cs="宋体"/>
          <w:color w:val="auto"/>
          <w:highlight w:val="none"/>
          <w:shd w:val="clear" w:color="auto" w:fill="FFFFFF"/>
        </w:rPr>
        <w:t>　　</w:t>
      </w:r>
    </w:p>
    <w:p w14:paraId="352D925C">
      <w:pPr>
        <w:pStyle w:val="20"/>
        <w:spacing w:line="330" w:lineRule="exact"/>
        <w:jc w:val="right"/>
        <w:textAlignment w:val="baseline"/>
        <w:rPr>
          <w:rFonts w:hint="eastAsia" w:ascii="宋体" w:hAnsi="宋体" w:cs="宋体"/>
          <w:color w:val="auto"/>
          <w:highlight w:val="none"/>
          <w:shd w:val="clear" w:color="auto" w:fill="FFFFFF"/>
        </w:rPr>
      </w:pPr>
    </w:p>
    <w:p w14:paraId="3054A3BF">
      <w:pPr>
        <w:pStyle w:val="20"/>
        <w:spacing w:line="330" w:lineRule="exact"/>
        <w:jc w:val="right"/>
        <w:textAlignment w:val="baseline"/>
        <w:rPr>
          <w:rFonts w:hint="eastAsia" w:ascii="宋体" w:hAnsi="宋体" w:cs="宋体"/>
          <w:color w:val="auto"/>
          <w:highlight w:val="none"/>
          <w:shd w:val="clear" w:color="auto" w:fill="FFFFFF"/>
        </w:rPr>
      </w:pPr>
    </w:p>
    <w:p w14:paraId="3A1AA570">
      <w:pPr>
        <w:pStyle w:val="20"/>
        <w:spacing w:line="330" w:lineRule="exact"/>
        <w:jc w:val="right"/>
        <w:textAlignment w:val="baseline"/>
        <w:rPr>
          <w:rFonts w:hint="eastAsia" w:ascii="宋体" w:hAnsi="宋体" w:cs="宋体"/>
          <w:color w:val="auto"/>
          <w:highlight w:val="none"/>
        </w:rPr>
      </w:pPr>
      <w:r>
        <w:rPr>
          <w:rFonts w:hint="eastAsia" w:ascii="宋体" w:hAnsi="宋体" w:cs="宋体"/>
          <w:color w:val="auto"/>
          <w:highlight w:val="none"/>
          <w:shd w:val="clear" w:color="auto" w:fill="FFFFFF"/>
        </w:rPr>
        <w:t>财政部 民政部 中国残疾人联合会</w:t>
      </w:r>
    </w:p>
    <w:p w14:paraId="2B49855E">
      <w:pPr>
        <w:pStyle w:val="20"/>
        <w:spacing w:line="330" w:lineRule="exact"/>
        <w:jc w:val="right"/>
        <w:textAlignment w:val="baseline"/>
        <w:rPr>
          <w:rFonts w:hint="eastAsia" w:ascii="宋体" w:hAnsi="宋体" w:cs="宋体"/>
          <w:color w:val="auto"/>
          <w:sz w:val="21"/>
          <w:szCs w:val="21"/>
          <w:highlight w:val="none"/>
          <w:shd w:val="clear" w:color="auto" w:fill="FFFFFF"/>
        </w:rPr>
      </w:pPr>
      <w:r>
        <w:rPr>
          <w:rFonts w:hint="eastAsia" w:ascii="宋体" w:hAnsi="宋体" w:cs="宋体"/>
          <w:color w:val="auto"/>
          <w:highlight w:val="none"/>
          <w:shd w:val="clear" w:color="auto" w:fill="FFFFFF"/>
        </w:rPr>
        <w:t>　　2017年8月22日</w:t>
      </w:r>
    </w:p>
    <w:p w14:paraId="3E8E2C28">
      <w:pPr>
        <w:spacing w:line="400" w:lineRule="exact"/>
        <w:ind w:firstLine="452"/>
        <w:rPr>
          <w:rFonts w:hint="eastAsia" w:ascii="宋体" w:hAnsi="宋体" w:eastAsia="宋体" w:cs="宋体"/>
          <w:color w:val="auto"/>
          <w:spacing w:val="8"/>
          <w:szCs w:val="21"/>
          <w:highlight w:val="none"/>
        </w:rPr>
      </w:pPr>
      <w:r>
        <w:rPr>
          <w:rFonts w:hint="eastAsia" w:ascii="宋体" w:hAnsi="宋体" w:eastAsia="宋体" w:cs="宋体"/>
          <w:color w:val="auto"/>
          <w:szCs w:val="21"/>
          <w:highlight w:val="none"/>
          <w:shd w:val="clear" w:color="auto" w:fill="FFFFFF"/>
        </w:rPr>
        <w:br w:type="page"/>
      </w:r>
    </w:p>
    <w:p w14:paraId="38CF9A3C">
      <w:pPr>
        <w:pStyle w:val="22"/>
        <w:rPr>
          <w:rFonts w:hint="eastAsia" w:ascii="宋体" w:hAnsi="宋体" w:cs="宋体"/>
          <w:color w:val="auto"/>
          <w:highlight w:val="none"/>
        </w:rPr>
        <w:sectPr>
          <w:pgSz w:w="11906" w:h="16838"/>
          <w:pgMar w:top="1440" w:right="1080" w:bottom="1440" w:left="1080" w:header="851" w:footer="992" w:gutter="0"/>
          <w:cols w:space="0" w:num="1"/>
          <w:docGrid w:type="lines" w:linePitch="312" w:charSpace="0"/>
        </w:sectPr>
      </w:pPr>
    </w:p>
    <w:p w14:paraId="26CC5EEA">
      <w:pPr>
        <w:pStyle w:val="2"/>
        <w:numPr>
          <w:ilvl w:val="0"/>
          <w:numId w:val="3"/>
        </w:numPr>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 xml:space="preserve"> </w:t>
      </w:r>
      <w:bookmarkStart w:id="26" w:name="_Toc27924"/>
      <w:bookmarkStart w:id="27" w:name="_Toc16662"/>
      <w:r>
        <w:rPr>
          <w:rFonts w:hint="eastAsia" w:ascii="宋体" w:hAnsi="宋体" w:cs="宋体"/>
          <w:color w:val="auto"/>
          <w:sz w:val="32"/>
          <w:szCs w:val="32"/>
          <w:highlight w:val="none"/>
        </w:rPr>
        <w:t>采购需求</w:t>
      </w:r>
      <w:bookmarkEnd w:id="26"/>
      <w:bookmarkEnd w:id="27"/>
    </w:p>
    <w:p w14:paraId="09621040">
      <w:pPr>
        <w:jc w:val="left"/>
        <w:rPr>
          <w:rFonts w:hint="eastAsia" w:ascii="宋体" w:hAnsi="宋体" w:eastAsia="宋体" w:cs="宋体"/>
          <w:b/>
          <w:color w:val="auto"/>
          <w:kern w:val="0"/>
          <w:szCs w:val="21"/>
          <w:highlight w:val="none"/>
        </w:rPr>
      </w:pPr>
      <w:bookmarkStart w:id="28" w:name="_Toc14635"/>
      <w:bookmarkStart w:id="29" w:name="_Toc26888"/>
      <w:r>
        <w:rPr>
          <w:rFonts w:hint="eastAsia" w:ascii="宋体" w:hAnsi="宋体" w:eastAsia="宋体" w:cs="宋体"/>
          <w:b/>
          <w:color w:val="auto"/>
          <w:kern w:val="0"/>
          <w:szCs w:val="21"/>
          <w:highlight w:val="none"/>
        </w:rPr>
        <w:t>一、采购需求一览表</w:t>
      </w:r>
    </w:p>
    <w:tbl>
      <w:tblPr>
        <w:tblStyle w:val="24"/>
        <w:tblpPr w:leftFromText="180" w:rightFromText="180" w:vertAnchor="text" w:horzAnchor="page" w:tblpX="1565" w:tblpY="180"/>
        <w:tblOverlap w:val="never"/>
        <w:tblW w:w="5244" w:type="pct"/>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725"/>
        <w:gridCol w:w="3203"/>
        <w:gridCol w:w="2459"/>
        <w:gridCol w:w="2550"/>
      </w:tblGrid>
      <w:tr w14:paraId="5AD0D2A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406" w:type="pct"/>
            <w:vAlign w:val="center"/>
          </w:tcPr>
          <w:p w14:paraId="1216278B">
            <w:pPr>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序号</w:t>
            </w:r>
          </w:p>
        </w:tc>
        <w:tc>
          <w:tcPr>
            <w:tcW w:w="1791" w:type="pct"/>
            <w:vAlign w:val="center"/>
          </w:tcPr>
          <w:p w14:paraId="76F7AD20">
            <w:pPr>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项目名称</w:t>
            </w:r>
          </w:p>
        </w:tc>
        <w:tc>
          <w:tcPr>
            <w:tcW w:w="1375" w:type="pct"/>
            <w:vAlign w:val="center"/>
          </w:tcPr>
          <w:p w14:paraId="16B99638">
            <w:pPr>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核心产品</w:t>
            </w:r>
          </w:p>
        </w:tc>
        <w:tc>
          <w:tcPr>
            <w:tcW w:w="1426" w:type="pct"/>
            <w:vAlign w:val="center"/>
          </w:tcPr>
          <w:p w14:paraId="68C4A3E7">
            <w:pPr>
              <w:jc w:val="center"/>
              <w:rPr>
                <w:rFonts w:hint="eastAsia" w:ascii="宋体" w:hAnsi="宋体" w:eastAsia="宋体" w:cs="宋体"/>
                <w:b/>
                <w:bCs/>
                <w:color w:val="auto"/>
                <w:kern w:val="0"/>
                <w:szCs w:val="21"/>
                <w:highlight w:val="none"/>
              </w:rPr>
            </w:pPr>
            <w:r>
              <w:rPr>
                <w:rFonts w:hint="eastAsia" w:ascii="宋体" w:hAnsi="宋体" w:eastAsia="宋体" w:cs="宋体"/>
                <w:b/>
                <w:bCs/>
                <w:color w:val="auto"/>
                <w:kern w:val="0"/>
                <w:szCs w:val="21"/>
                <w:highlight w:val="none"/>
              </w:rPr>
              <w:t>中小企业划分标准所属行业</w:t>
            </w:r>
          </w:p>
        </w:tc>
      </w:tr>
      <w:tr w14:paraId="321766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trPr>
        <w:tc>
          <w:tcPr>
            <w:tcW w:w="406" w:type="pct"/>
            <w:vAlign w:val="center"/>
          </w:tcPr>
          <w:p w14:paraId="182DFC34">
            <w:pPr>
              <w:pStyle w:val="13"/>
              <w:tabs>
                <w:tab w:val="left" w:pos="3570"/>
              </w:tabs>
              <w:adjustRightInd w:val="0"/>
              <w:snapToGrid w:val="0"/>
              <w:jc w:val="center"/>
              <w:rPr>
                <w:rFonts w:hint="eastAsia" w:ascii="宋体" w:hAnsi="宋体" w:eastAsia="宋体" w:cs="宋体"/>
                <w:bCs/>
                <w:snapToGrid w:val="0"/>
                <w:color w:val="auto"/>
                <w:kern w:val="0"/>
                <w:sz w:val="21"/>
                <w:szCs w:val="21"/>
                <w:highlight w:val="none"/>
              </w:rPr>
            </w:pPr>
            <w:r>
              <w:rPr>
                <w:rFonts w:hint="eastAsia" w:ascii="宋体" w:hAnsi="宋体" w:eastAsia="宋体" w:cs="宋体"/>
                <w:bCs/>
                <w:snapToGrid w:val="0"/>
                <w:color w:val="auto"/>
                <w:kern w:val="0"/>
                <w:sz w:val="21"/>
                <w:szCs w:val="21"/>
                <w:highlight w:val="none"/>
              </w:rPr>
              <w:t>1</w:t>
            </w:r>
          </w:p>
        </w:tc>
        <w:tc>
          <w:tcPr>
            <w:tcW w:w="1791" w:type="pct"/>
            <w:vAlign w:val="center"/>
          </w:tcPr>
          <w:p w14:paraId="37311ED3">
            <w:pPr>
              <w:widowControl/>
              <w:jc w:val="center"/>
              <w:rPr>
                <w:rFonts w:hint="eastAsia" w:ascii="宋体" w:hAnsi="宋体" w:eastAsia="宋体" w:cs="宋体"/>
                <w:bCs/>
                <w:snapToGrid w:val="0"/>
                <w:color w:val="auto"/>
                <w:kern w:val="0"/>
                <w:szCs w:val="21"/>
                <w:highlight w:val="none"/>
              </w:rPr>
            </w:pPr>
            <w:r>
              <w:rPr>
                <w:rFonts w:hint="eastAsia" w:ascii="宋体" w:hAnsi="宋体" w:eastAsia="宋体" w:cs="宋体"/>
                <w:bCs/>
                <w:snapToGrid w:val="0"/>
                <w:color w:val="auto"/>
                <w:kern w:val="0"/>
                <w:szCs w:val="21"/>
                <w:highlight w:val="none"/>
              </w:rPr>
              <w:t>2025年度仪器设备购置</w:t>
            </w:r>
          </w:p>
        </w:tc>
        <w:tc>
          <w:tcPr>
            <w:tcW w:w="1375" w:type="pct"/>
            <w:vAlign w:val="center"/>
          </w:tcPr>
          <w:p w14:paraId="72784683">
            <w:pPr>
              <w:jc w:val="center"/>
              <w:rPr>
                <w:rFonts w:hint="eastAsia" w:ascii="宋体" w:hAnsi="宋体" w:eastAsia="宋体" w:cs="宋体"/>
                <w:bCs/>
                <w:snapToGrid w:val="0"/>
                <w:color w:val="auto"/>
                <w:kern w:val="0"/>
                <w:szCs w:val="21"/>
                <w:highlight w:val="none"/>
              </w:rPr>
            </w:pPr>
            <w:r>
              <w:rPr>
                <w:rFonts w:hint="eastAsia" w:ascii="宋体" w:hAnsi="宋体" w:eastAsia="宋体" w:cs="宋体"/>
                <w:color w:val="auto"/>
                <w:kern w:val="0"/>
                <w:szCs w:val="21"/>
                <w:highlight w:val="none"/>
                <w:lang w:bidi="ar"/>
              </w:rPr>
              <w:t>粗粒土三轴剪切试验机</w:t>
            </w:r>
          </w:p>
        </w:tc>
        <w:tc>
          <w:tcPr>
            <w:tcW w:w="1426" w:type="pct"/>
            <w:vAlign w:val="center"/>
          </w:tcPr>
          <w:p w14:paraId="0B3602D5">
            <w:pPr>
              <w:jc w:val="center"/>
              <w:rPr>
                <w:rFonts w:hint="eastAsia" w:ascii="宋体" w:hAnsi="宋体" w:eastAsia="宋体" w:cs="宋体"/>
                <w:bCs/>
                <w:snapToGrid w:val="0"/>
                <w:color w:val="auto"/>
                <w:kern w:val="0"/>
                <w:szCs w:val="21"/>
                <w:highlight w:val="none"/>
              </w:rPr>
            </w:pPr>
            <w:r>
              <w:rPr>
                <w:rFonts w:hint="eastAsia" w:ascii="宋体" w:hAnsi="宋体" w:eastAsia="宋体" w:cs="宋体"/>
                <w:bCs/>
                <w:snapToGrid w:val="0"/>
                <w:color w:val="auto"/>
                <w:kern w:val="0"/>
                <w:szCs w:val="21"/>
                <w:highlight w:val="none"/>
              </w:rPr>
              <w:t>工业</w:t>
            </w:r>
          </w:p>
        </w:tc>
      </w:tr>
    </w:tbl>
    <w:p w14:paraId="46D502EB">
      <w:pPr>
        <w:widowControl/>
        <w:jc w:val="left"/>
        <w:rPr>
          <w:rFonts w:hint="eastAsia" w:ascii="宋体" w:hAnsi="宋体" w:eastAsia="宋体" w:cs="宋体"/>
          <w:bCs/>
          <w:snapToGrid w:val="0"/>
          <w:color w:val="auto"/>
          <w:kern w:val="0"/>
          <w:szCs w:val="21"/>
          <w:highlight w:val="none"/>
        </w:rPr>
      </w:pPr>
      <w:r>
        <w:rPr>
          <w:rFonts w:hint="eastAsia" w:ascii="宋体" w:hAnsi="宋体" w:eastAsia="宋体" w:cs="宋体"/>
          <w:bCs/>
          <w:snapToGrid w:val="0"/>
          <w:color w:val="auto"/>
          <w:kern w:val="0"/>
          <w:szCs w:val="21"/>
          <w:highlight w:val="none"/>
        </w:rPr>
        <w:t>注：使用综合评分法的采购项目，提供相同品牌产品且通过资格审查、符合性审查的不同投标人参加同一合同项下投标的，按一家投标人计算，评审后得分最高的同品牌投标人获得 中标人推荐资格；评审得分相同的，由评标委员会采取随机抽取方式确定，其他同品牌投标人不作为中标候选人。</w:t>
      </w:r>
    </w:p>
    <w:p w14:paraId="74DDC344">
      <w:pPr>
        <w:widowControl/>
        <w:jc w:val="left"/>
        <w:rPr>
          <w:rFonts w:hint="eastAsia" w:ascii="宋体" w:hAnsi="宋体" w:eastAsia="宋体" w:cs="宋体"/>
          <w:b/>
          <w:color w:val="auto"/>
          <w:kern w:val="0"/>
          <w:szCs w:val="21"/>
          <w:highlight w:val="none"/>
        </w:rPr>
      </w:pPr>
      <w:r>
        <w:rPr>
          <w:rFonts w:hint="eastAsia" w:ascii="宋体" w:hAnsi="宋体" w:eastAsia="宋体" w:cs="宋体"/>
          <w:bCs/>
          <w:snapToGrid w:val="0"/>
          <w:color w:val="auto"/>
          <w:kern w:val="0"/>
          <w:szCs w:val="21"/>
          <w:highlight w:val="none"/>
        </w:rPr>
        <w:t>非单一产品采购项目，采购人根据采购项目技术构成、产品价格比重等合理确定核心产品，并在招标文件中载明。多家投标人提供的核心产品品牌相同的，按前款规定处理。</w:t>
      </w:r>
    </w:p>
    <w:p w14:paraId="7A98F5FF">
      <w:pPr>
        <w:jc w:val="left"/>
        <w:rPr>
          <w:rFonts w:hint="eastAsia" w:ascii="宋体" w:hAnsi="宋体" w:cs="宋体"/>
          <w:b/>
          <w:bCs/>
          <w:color w:val="auto"/>
          <w:sz w:val="24"/>
          <w:highlight w:val="none"/>
        </w:rPr>
      </w:pPr>
      <w:bookmarkStart w:id="30" w:name="_Hlk135506071"/>
      <w:r>
        <w:rPr>
          <w:rFonts w:hint="eastAsia" w:ascii="宋体" w:hAnsi="宋体" w:eastAsia="宋体" w:cs="宋体"/>
          <w:b/>
          <w:color w:val="auto"/>
          <w:kern w:val="0"/>
          <w:szCs w:val="21"/>
          <w:highlight w:val="none"/>
        </w:rPr>
        <w:t>二、项目采购清单</w:t>
      </w:r>
      <w:bookmarkEnd w:id="30"/>
    </w:p>
    <w:p w14:paraId="59221FDC">
      <w:pPr>
        <w:numPr>
          <w:ilvl w:val="0"/>
          <w:numId w:val="4"/>
        </w:num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产品明细表</w:t>
      </w:r>
    </w:p>
    <w:tbl>
      <w:tblPr>
        <w:tblStyle w:val="24"/>
        <w:tblW w:w="8736" w:type="dxa"/>
        <w:tblInd w:w="93" w:type="dxa"/>
        <w:tblLayout w:type="fixed"/>
        <w:tblCellMar>
          <w:top w:w="0" w:type="dxa"/>
          <w:left w:w="108" w:type="dxa"/>
          <w:bottom w:w="0" w:type="dxa"/>
          <w:right w:w="108" w:type="dxa"/>
        </w:tblCellMar>
      </w:tblPr>
      <w:tblGrid>
        <w:gridCol w:w="708"/>
        <w:gridCol w:w="2889"/>
        <w:gridCol w:w="1436"/>
        <w:gridCol w:w="1350"/>
        <w:gridCol w:w="1123"/>
        <w:gridCol w:w="1230"/>
      </w:tblGrid>
      <w:tr w14:paraId="3AF993AD">
        <w:tblPrEx>
          <w:tblCellMar>
            <w:top w:w="0" w:type="dxa"/>
            <w:left w:w="108" w:type="dxa"/>
            <w:bottom w:w="0" w:type="dxa"/>
            <w:right w:w="108" w:type="dxa"/>
          </w:tblCellMar>
        </w:tblPrEx>
        <w:trPr>
          <w:trHeight w:val="886"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2D2E3D">
            <w:pPr>
              <w:widowControl/>
              <w:jc w:val="center"/>
              <w:textAlignment w:val="center"/>
              <w:rPr>
                <w:rFonts w:hint="eastAsia" w:ascii="黑体" w:hAnsi="宋体" w:eastAsia="黑体" w:cs="黑体"/>
                <w:color w:val="auto"/>
                <w:szCs w:val="21"/>
                <w:highlight w:val="none"/>
              </w:rPr>
            </w:pPr>
            <w:r>
              <w:rPr>
                <w:rFonts w:hint="eastAsia" w:ascii="黑体" w:hAnsi="宋体" w:eastAsia="黑体" w:cs="黑体"/>
                <w:color w:val="auto"/>
                <w:kern w:val="0"/>
                <w:szCs w:val="21"/>
                <w:highlight w:val="none"/>
                <w:lang w:bidi="ar"/>
              </w:rPr>
              <w:t>序号</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3A28B">
            <w:pPr>
              <w:widowControl/>
              <w:jc w:val="center"/>
              <w:textAlignment w:val="center"/>
              <w:rPr>
                <w:rFonts w:hint="eastAsia" w:ascii="黑体" w:hAnsi="宋体" w:eastAsia="黑体" w:cs="黑体"/>
                <w:color w:val="auto"/>
                <w:szCs w:val="21"/>
                <w:highlight w:val="none"/>
              </w:rPr>
            </w:pPr>
            <w:r>
              <w:rPr>
                <w:rFonts w:hint="eastAsia" w:ascii="宋体" w:hAnsi="宋体" w:cs="宋体"/>
                <w:b/>
                <w:bCs/>
                <w:color w:val="auto"/>
                <w:sz w:val="24"/>
                <w:highlight w:val="none"/>
              </w:rPr>
              <w:t>货物名称</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F73CE">
            <w:pPr>
              <w:widowControl/>
              <w:jc w:val="center"/>
              <w:textAlignment w:val="center"/>
              <w:rPr>
                <w:rFonts w:hint="eastAsia" w:ascii="黑体" w:hAnsi="宋体" w:eastAsia="黑体" w:cs="黑体"/>
                <w:color w:val="auto"/>
                <w:szCs w:val="21"/>
                <w:highlight w:val="none"/>
              </w:rPr>
            </w:pPr>
            <w:r>
              <w:rPr>
                <w:rFonts w:hint="eastAsia" w:ascii="黑体" w:hAnsi="宋体" w:eastAsia="黑体" w:cs="黑体"/>
                <w:color w:val="auto"/>
                <w:kern w:val="0"/>
                <w:szCs w:val="21"/>
                <w:highlight w:val="none"/>
                <w:lang w:bidi="ar"/>
              </w:rPr>
              <w:t>单价（万元/台套）</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A8059">
            <w:pPr>
              <w:widowControl/>
              <w:jc w:val="center"/>
              <w:textAlignment w:val="center"/>
              <w:rPr>
                <w:rFonts w:hint="eastAsia" w:ascii="黑体" w:hAnsi="宋体" w:eastAsia="黑体" w:cs="黑体"/>
                <w:color w:val="auto"/>
                <w:szCs w:val="21"/>
                <w:highlight w:val="none"/>
              </w:rPr>
            </w:pPr>
            <w:r>
              <w:rPr>
                <w:rFonts w:hint="eastAsia" w:ascii="黑体" w:hAnsi="宋体" w:eastAsia="黑体" w:cs="黑体"/>
                <w:color w:val="auto"/>
                <w:kern w:val="0"/>
                <w:szCs w:val="21"/>
                <w:highlight w:val="none"/>
                <w:lang w:bidi="ar"/>
              </w:rPr>
              <w:t>数量（台套）</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AC05C">
            <w:pPr>
              <w:widowControl/>
              <w:jc w:val="center"/>
              <w:textAlignment w:val="center"/>
              <w:rPr>
                <w:rFonts w:hint="eastAsia" w:ascii="黑体" w:hAnsi="宋体" w:eastAsia="黑体" w:cs="黑体"/>
                <w:color w:val="auto"/>
                <w:szCs w:val="21"/>
                <w:highlight w:val="none"/>
              </w:rPr>
            </w:pPr>
            <w:r>
              <w:rPr>
                <w:rFonts w:hint="eastAsia" w:ascii="黑体" w:hAnsi="宋体" w:eastAsia="黑体" w:cs="黑体"/>
                <w:color w:val="auto"/>
                <w:kern w:val="0"/>
                <w:szCs w:val="21"/>
                <w:highlight w:val="none"/>
                <w:lang w:bidi="ar"/>
              </w:rPr>
              <w:t>总金额</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23DCB">
            <w:pPr>
              <w:widowControl/>
              <w:jc w:val="center"/>
              <w:textAlignment w:val="center"/>
              <w:rPr>
                <w:rFonts w:hint="eastAsia" w:ascii="黑体" w:hAnsi="宋体" w:eastAsia="黑体" w:cs="黑体"/>
                <w:color w:val="auto"/>
                <w:kern w:val="0"/>
                <w:szCs w:val="21"/>
                <w:highlight w:val="none"/>
                <w:lang w:bidi="ar"/>
              </w:rPr>
            </w:pPr>
            <w:r>
              <w:rPr>
                <w:rFonts w:hint="eastAsia" w:ascii="黑体" w:hAnsi="宋体" w:eastAsia="黑体" w:cs="黑体"/>
                <w:color w:val="auto"/>
                <w:kern w:val="0"/>
                <w:szCs w:val="21"/>
                <w:highlight w:val="none"/>
                <w:lang w:bidi="ar"/>
              </w:rPr>
              <w:t>备注</w:t>
            </w:r>
          </w:p>
        </w:tc>
      </w:tr>
      <w:tr w14:paraId="7A88EADD">
        <w:tblPrEx>
          <w:tblCellMar>
            <w:top w:w="0" w:type="dxa"/>
            <w:left w:w="108" w:type="dxa"/>
            <w:bottom w:w="0" w:type="dxa"/>
            <w:right w:w="108" w:type="dxa"/>
          </w:tblCellMar>
        </w:tblPrEx>
        <w:trPr>
          <w:trHeight w:val="446" w:hRule="atLeast"/>
        </w:trPr>
        <w:tc>
          <w:tcPr>
            <w:tcW w:w="708" w:type="dxa"/>
            <w:tcBorders>
              <w:top w:val="nil"/>
              <w:left w:val="single" w:color="000000" w:sz="4" w:space="0"/>
              <w:bottom w:val="single" w:color="000000" w:sz="4" w:space="0"/>
              <w:right w:val="nil"/>
            </w:tcBorders>
            <w:shd w:val="clear" w:color="auto" w:fill="auto"/>
            <w:vAlign w:val="center"/>
          </w:tcPr>
          <w:p w14:paraId="36AC0BF9">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1</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257E5">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基桩高应变检测仪</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5C5000">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9.6</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62F740">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28D5D">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9.6</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CE2C9B">
            <w:pPr>
              <w:widowControl/>
              <w:jc w:val="center"/>
              <w:textAlignment w:val="center"/>
              <w:rPr>
                <w:rFonts w:hint="eastAsia" w:ascii="宋体" w:hAnsi="宋体" w:eastAsia="宋体" w:cs="宋体"/>
                <w:color w:val="auto"/>
                <w:kern w:val="0"/>
                <w:szCs w:val="21"/>
                <w:highlight w:val="none"/>
                <w:lang w:bidi="ar"/>
              </w:rPr>
            </w:pPr>
          </w:p>
        </w:tc>
      </w:tr>
      <w:tr w14:paraId="58CD24E8">
        <w:tblPrEx>
          <w:tblCellMar>
            <w:top w:w="0" w:type="dxa"/>
            <w:left w:w="108" w:type="dxa"/>
            <w:bottom w:w="0" w:type="dxa"/>
            <w:right w:w="108" w:type="dxa"/>
          </w:tblCellMar>
        </w:tblPrEx>
        <w:trPr>
          <w:trHeight w:val="508" w:hRule="atLeast"/>
        </w:trPr>
        <w:tc>
          <w:tcPr>
            <w:tcW w:w="708" w:type="dxa"/>
            <w:tcBorders>
              <w:top w:val="nil"/>
              <w:left w:val="single" w:color="000000" w:sz="4" w:space="0"/>
              <w:bottom w:val="single" w:color="000000" w:sz="4" w:space="0"/>
              <w:right w:val="nil"/>
            </w:tcBorders>
            <w:shd w:val="clear" w:color="auto" w:fill="auto"/>
            <w:vAlign w:val="center"/>
          </w:tcPr>
          <w:p w14:paraId="3139F268">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2</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A575C3">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粗粒土三轴剪切试验机</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52083A2">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32.45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6BD459">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157A6">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 w:val="24"/>
                <w:szCs w:val="24"/>
                <w:highlight w:val="none"/>
                <w:lang w:bidi="ar"/>
              </w:rPr>
              <w:t>32.45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0A7DDC">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核心产品</w:t>
            </w:r>
          </w:p>
        </w:tc>
      </w:tr>
      <w:tr w14:paraId="29DD01FB">
        <w:tblPrEx>
          <w:tblCellMar>
            <w:top w:w="0" w:type="dxa"/>
            <w:left w:w="108" w:type="dxa"/>
            <w:bottom w:w="0" w:type="dxa"/>
            <w:right w:w="108" w:type="dxa"/>
          </w:tblCellMar>
        </w:tblPrEx>
        <w:trPr>
          <w:trHeight w:val="467" w:hRule="atLeast"/>
        </w:trPr>
        <w:tc>
          <w:tcPr>
            <w:tcW w:w="708" w:type="dxa"/>
            <w:tcBorders>
              <w:top w:val="nil"/>
              <w:left w:val="single" w:color="000000" w:sz="4" w:space="0"/>
              <w:bottom w:val="single" w:color="000000" w:sz="4" w:space="0"/>
              <w:right w:val="nil"/>
            </w:tcBorders>
            <w:shd w:val="clear" w:color="auto" w:fill="auto"/>
            <w:vAlign w:val="center"/>
          </w:tcPr>
          <w:p w14:paraId="4345A00A">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3</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1C42F9">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粗粒土直剪固结一体机</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13D9B4F">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22.8</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F0871C">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F00C9D">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22.8</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70F9A">
            <w:pPr>
              <w:widowControl/>
              <w:jc w:val="center"/>
              <w:textAlignment w:val="center"/>
              <w:rPr>
                <w:rFonts w:hint="eastAsia" w:ascii="宋体" w:hAnsi="宋体" w:eastAsia="宋体" w:cs="宋体"/>
                <w:color w:val="auto"/>
                <w:kern w:val="0"/>
                <w:szCs w:val="21"/>
                <w:highlight w:val="none"/>
                <w:lang w:bidi="ar"/>
              </w:rPr>
            </w:pPr>
          </w:p>
        </w:tc>
      </w:tr>
      <w:tr w14:paraId="06702A26">
        <w:tblPrEx>
          <w:tblCellMar>
            <w:top w:w="0" w:type="dxa"/>
            <w:left w:w="108" w:type="dxa"/>
            <w:bottom w:w="0" w:type="dxa"/>
            <w:right w:w="108" w:type="dxa"/>
          </w:tblCellMar>
        </w:tblPrEx>
        <w:trPr>
          <w:trHeight w:val="508" w:hRule="atLeast"/>
        </w:trPr>
        <w:tc>
          <w:tcPr>
            <w:tcW w:w="708" w:type="dxa"/>
            <w:tcBorders>
              <w:top w:val="nil"/>
              <w:left w:val="single" w:color="000000" w:sz="4" w:space="0"/>
              <w:bottom w:val="single" w:color="000000" w:sz="4" w:space="0"/>
              <w:right w:val="nil"/>
            </w:tcBorders>
            <w:shd w:val="clear" w:color="auto" w:fill="auto"/>
            <w:vAlign w:val="center"/>
          </w:tcPr>
          <w:p w14:paraId="2E469143">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4</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AAA11">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高密度电法仪</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3E453F9">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12.45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7C8D9C">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9CCDCD">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12.45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44273">
            <w:pPr>
              <w:widowControl/>
              <w:jc w:val="center"/>
              <w:textAlignment w:val="center"/>
              <w:rPr>
                <w:rFonts w:hint="eastAsia" w:ascii="宋体" w:hAnsi="宋体" w:eastAsia="宋体" w:cs="宋体"/>
                <w:color w:val="auto"/>
                <w:kern w:val="0"/>
                <w:szCs w:val="21"/>
                <w:highlight w:val="none"/>
                <w:lang w:bidi="ar"/>
              </w:rPr>
            </w:pPr>
          </w:p>
        </w:tc>
      </w:tr>
      <w:tr w14:paraId="181FDAB9">
        <w:tblPrEx>
          <w:tblCellMar>
            <w:top w:w="0" w:type="dxa"/>
            <w:left w:w="108" w:type="dxa"/>
            <w:bottom w:w="0" w:type="dxa"/>
            <w:right w:w="108" w:type="dxa"/>
          </w:tblCellMar>
        </w:tblPrEx>
        <w:trPr>
          <w:trHeight w:val="467" w:hRule="atLeast"/>
        </w:trPr>
        <w:tc>
          <w:tcPr>
            <w:tcW w:w="708" w:type="dxa"/>
            <w:tcBorders>
              <w:top w:val="nil"/>
              <w:left w:val="single" w:color="000000" w:sz="4" w:space="0"/>
              <w:bottom w:val="single" w:color="000000" w:sz="4" w:space="0"/>
              <w:right w:val="nil"/>
            </w:tcBorders>
            <w:shd w:val="clear" w:color="auto" w:fill="auto"/>
            <w:vAlign w:val="center"/>
          </w:tcPr>
          <w:p w14:paraId="3FCA0609">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5</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565A11">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数字化农业生态服务平台</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FCA0D00">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7</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19623">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98E16">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7</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CC5E0">
            <w:pPr>
              <w:widowControl/>
              <w:jc w:val="center"/>
              <w:textAlignment w:val="center"/>
              <w:rPr>
                <w:rFonts w:hint="eastAsia" w:ascii="宋体" w:hAnsi="宋体" w:eastAsia="宋体" w:cs="宋体"/>
                <w:color w:val="auto"/>
                <w:kern w:val="0"/>
                <w:szCs w:val="21"/>
                <w:highlight w:val="none"/>
                <w:lang w:bidi="ar"/>
              </w:rPr>
            </w:pPr>
          </w:p>
        </w:tc>
      </w:tr>
      <w:tr w14:paraId="0D85E64B">
        <w:tblPrEx>
          <w:tblCellMar>
            <w:top w:w="0" w:type="dxa"/>
            <w:left w:w="108" w:type="dxa"/>
            <w:bottom w:w="0" w:type="dxa"/>
            <w:right w:w="108" w:type="dxa"/>
          </w:tblCellMar>
        </w:tblPrEx>
        <w:trPr>
          <w:trHeight w:val="436"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16B577">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6</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C49EF">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农林气象环境监测系统</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7EED1609">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szCs w:val="21"/>
                <w:highlight w:val="none"/>
              </w:rPr>
              <w:t>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34AA8">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404BF">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6D492">
            <w:pPr>
              <w:widowControl/>
              <w:jc w:val="center"/>
              <w:textAlignment w:val="center"/>
              <w:rPr>
                <w:rFonts w:hint="eastAsia" w:ascii="宋体" w:hAnsi="宋体" w:eastAsia="宋体" w:cs="宋体"/>
                <w:color w:val="auto"/>
                <w:kern w:val="0"/>
                <w:szCs w:val="21"/>
                <w:highlight w:val="none"/>
                <w:lang w:bidi="ar"/>
              </w:rPr>
            </w:pPr>
          </w:p>
        </w:tc>
      </w:tr>
      <w:tr w14:paraId="6A9A5E08">
        <w:tblPrEx>
          <w:tblCellMar>
            <w:top w:w="0" w:type="dxa"/>
            <w:left w:w="108" w:type="dxa"/>
            <w:bottom w:w="0" w:type="dxa"/>
            <w:right w:w="108" w:type="dxa"/>
          </w:tblCellMar>
        </w:tblPrEx>
        <w:trPr>
          <w:trHeight w:val="593"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E08B75">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7</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52FAE5">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土壤温湿度信息自动采集系统</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B6FF28B">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4.2</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87FB0">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073776">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4.2</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E7905F">
            <w:pPr>
              <w:widowControl/>
              <w:jc w:val="center"/>
              <w:textAlignment w:val="center"/>
              <w:rPr>
                <w:rFonts w:hint="eastAsia" w:ascii="宋体" w:hAnsi="宋体" w:eastAsia="宋体" w:cs="宋体"/>
                <w:color w:val="auto"/>
                <w:kern w:val="0"/>
                <w:szCs w:val="21"/>
                <w:highlight w:val="none"/>
                <w:lang w:bidi="ar"/>
              </w:rPr>
            </w:pPr>
          </w:p>
        </w:tc>
      </w:tr>
      <w:tr w14:paraId="49645E79">
        <w:tblPrEx>
          <w:tblCellMar>
            <w:top w:w="0" w:type="dxa"/>
            <w:left w:w="108" w:type="dxa"/>
            <w:bottom w:w="0" w:type="dxa"/>
            <w:right w:w="108" w:type="dxa"/>
          </w:tblCellMar>
        </w:tblPrEx>
        <w:trPr>
          <w:trHeight w:val="519"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64AB9">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8</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D71AC">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称重式降水测量系统</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313EC4DA">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9</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2B237">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4BCBB5">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9</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2D5E5">
            <w:pPr>
              <w:widowControl/>
              <w:jc w:val="center"/>
              <w:textAlignment w:val="center"/>
              <w:rPr>
                <w:rFonts w:hint="eastAsia" w:ascii="宋体" w:hAnsi="宋体" w:eastAsia="宋体" w:cs="宋体"/>
                <w:color w:val="auto"/>
                <w:kern w:val="0"/>
                <w:szCs w:val="21"/>
                <w:highlight w:val="none"/>
                <w:lang w:bidi="ar"/>
              </w:rPr>
            </w:pPr>
          </w:p>
        </w:tc>
      </w:tr>
      <w:tr w14:paraId="6D2B70D0">
        <w:tblPrEx>
          <w:tblCellMar>
            <w:top w:w="0" w:type="dxa"/>
            <w:left w:w="108" w:type="dxa"/>
            <w:bottom w:w="0" w:type="dxa"/>
            <w:right w:w="108" w:type="dxa"/>
          </w:tblCellMar>
        </w:tblPrEx>
        <w:trPr>
          <w:trHeight w:val="530"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92F36">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9</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E4E9A1">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E601型蒸发器</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47E3BC79">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1.55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258E2">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D8914B">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1.55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AD71E">
            <w:pPr>
              <w:widowControl/>
              <w:jc w:val="center"/>
              <w:textAlignment w:val="center"/>
              <w:rPr>
                <w:rFonts w:hint="eastAsia" w:ascii="宋体" w:hAnsi="宋体" w:eastAsia="宋体" w:cs="宋体"/>
                <w:color w:val="auto"/>
                <w:kern w:val="0"/>
                <w:szCs w:val="21"/>
                <w:highlight w:val="none"/>
                <w:lang w:bidi="ar"/>
              </w:rPr>
            </w:pPr>
          </w:p>
        </w:tc>
      </w:tr>
      <w:tr w14:paraId="33BAE9E4">
        <w:tblPrEx>
          <w:tblCellMar>
            <w:top w:w="0" w:type="dxa"/>
            <w:left w:w="108" w:type="dxa"/>
            <w:bottom w:w="0" w:type="dxa"/>
            <w:right w:w="108" w:type="dxa"/>
          </w:tblCellMar>
        </w:tblPrEx>
        <w:trPr>
          <w:trHeight w:val="530"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3D060">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10</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DD39B">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远程图像监控系统</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2A9BCE42">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4</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47180">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305D3">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4</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3770D">
            <w:pPr>
              <w:widowControl/>
              <w:jc w:val="center"/>
              <w:textAlignment w:val="center"/>
              <w:rPr>
                <w:rFonts w:hint="eastAsia" w:ascii="宋体" w:hAnsi="宋体" w:eastAsia="宋体" w:cs="宋体"/>
                <w:color w:val="auto"/>
                <w:kern w:val="0"/>
                <w:szCs w:val="21"/>
                <w:highlight w:val="none"/>
                <w:lang w:bidi="ar"/>
              </w:rPr>
            </w:pPr>
          </w:p>
        </w:tc>
      </w:tr>
      <w:tr w14:paraId="0B5DBEAC">
        <w:tblPrEx>
          <w:tblCellMar>
            <w:top w:w="0" w:type="dxa"/>
            <w:left w:w="108" w:type="dxa"/>
            <w:bottom w:w="0" w:type="dxa"/>
            <w:right w:w="108" w:type="dxa"/>
          </w:tblCellMar>
        </w:tblPrEx>
        <w:trPr>
          <w:trHeight w:val="446"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ABA433">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11</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7003B">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智能生态气象站</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5860D11E">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3.45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34524">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C0365E">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3.45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F28824">
            <w:pPr>
              <w:widowControl/>
              <w:jc w:val="center"/>
              <w:textAlignment w:val="center"/>
              <w:rPr>
                <w:rFonts w:hint="eastAsia" w:ascii="宋体" w:hAnsi="宋体" w:eastAsia="宋体" w:cs="宋体"/>
                <w:color w:val="auto"/>
                <w:kern w:val="0"/>
                <w:szCs w:val="21"/>
                <w:highlight w:val="none"/>
                <w:lang w:bidi="ar"/>
              </w:rPr>
            </w:pPr>
          </w:p>
        </w:tc>
      </w:tr>
      <w:tr w14:paraId="3A0A8475">
        <w:tblPrEx>
          <w:tblCellMar>
            <w:top w:w="0" w:type="dxa"/>
            <w:left w:w="108" w:type="dxa"/>
            <w:bottom w:w="0" w:type="dxa"/>
            <w:right w:w="108" w:type="dxa"/>
          </w:tblCellMar>
        </w:tblPrEx>
        <w:trPr>
          <w:trHeight w:val="90" w:hRule="atLeast"/>
        </w:trPr>
        <w:tc>
          <w:tcPr>
            <w:tcW w:w="7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88E0C">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12</w:t>
            </w:r>
          </w:p>
        </w:tc>
        <w:tc>
          <w:tcPr>
            <w:tcW w:w="288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E39BB">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土壤墒情自动采集系统（液位版）</w:t>
            </w:r>
          </w:p>
        </w:tc>
        <w:tc>
          <w:tcPr>
            <w:tcW w:w="1436" w:type="dxa"/>
            <w:tcBorders>
              <w:top w:val="single" w:color="000000" w:sz="4" w:space="0"/>
              <w:left w:val="single" w:color="000000" w:sz="4" w:space="0"/>
              <w:bottom w:val="single" w:color="000000" w:sz="4" w:space="0"/>
              <w:right w:val="single" w:color="000000" w:sz="4" w:space="0"/>
            </w:tcBorders>
            <w:shd w:val="clear" w:color="auto" w:fill="FFFFFF"/>
            <w:vAlign w:val="center"/>
          </w:tcPr>
          <w:p w14:paraId="66996677">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3.35</w:t>
            </w:r>
          </w:p>
        </w:tc>
        <w:tc>
          <w:tcPr>
            <w:tcW w:w="135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FCD187">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10</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FEE9E7">
            <w:pPr>
              <w:widowControl/>
              <w:jc w:val="center"/>
              <w:textAlignment w:val="center"/>
              <w:rPr>
                <w:rFonts w:hint="eastAsia" w:ascii="宋体" w:hAnsi="宋体" w:eastAsia="宋体" w:cs="宋体"/>
                <w:color w:val="auto"/>
                <w:szCs w:val="21"/>
                <w:highlight w:val="none"/>
              </w:rPr>
            </w:pPr>
            <w:r>
              <w:rPr>
                <w:rFonts w:hint="eastAsia" w:ascii="宋体" w:hAnsi="宋体" w:eastAsia="宋体" w:cs="宋体"/>
                <w:color w:val="auto"/>
                <w:kern w:val="0"/>
                <w:szCs w:val="21"/>
                <w:highlight w:val="none"/>
                <w:lang w:bidi="ar"/>
              </w:rPr>
              <w:t>33.5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603628">
            <w:pPr>
              <w:widowControl/>
              <w:jc w:val="center"/>
              <w:textAlignment w:val="center"/>
              <w:rPr>
                <w:rFonts w:hint="eastAsia" w:ascii="宋体" w:hAnsi="宋体" w:eastAsia="宋体" w:cs="宋体"/>
                <w:color w:val="auto"/>
                <w:kern w:val="0"/>
                <w:szCs w:val="21"/>
                <w:highlight w:val="none"/>
                <w:lang w:bidi="ar"/>
              </w:rPr>
            </w:pPr>
          </w:p>
        </w:tc>
      </w:tr>
      <w:tr w14:paraId="79FD54A0">
        <w:tblPrEx>
          <w:tblCellMar>
            <w:top w:w="0" w:type="dxa"/>
            <w:left w:w="108" w:type="dxa"/>
            <w:bottom w:w="0" w:type="dxa"/>
            <w:right w:w="108" w:type="dxa"/>
          </w:tblCellMar>
        </w:tblPrEx>
        <w:trPr>
          <w:trHeight w:val="1076" w:hRule="atLeast"/>
        </w:trPr>
        <w:tc>
          <w:tcPr>
            <w:tcW w:w="6383"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408853DF">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合计</w:t>
            </w:r>
          </w:p>
        </w:tc>
        <w:tc>
          <w:tcPr>
            <w:tcW w:w="112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0663E8">
            <w:pPr>
              <w:widowControl/>
              <w:jc w:val="center"/>
              <w:textAlignment w:val="center"/>
              <w:rPr>
                <w:rFonts w:hint="eastAsia" w:ascii="宋体" w:hAnsi="宋体" w:eastAsia="宋体" w:cs="宋体"/>
                <w:color w:val="auto"/>
                <w:kern w:val="0"/>
                <w:szCs w:val="21"/>
                <w:highlight w:val="none"/>
                <w:lang w:bidi="ar"/>
              </w:rPr>
            </w:pPr>
            <w:r>
              <w:rPr>
                <w:rFonts w:hint="eastAsia" w:ascii="宋体" w:hAnsi="宋体" w:eastAsia="宋体" w:cs="宋体"/>
                <w:color w:val="auto"/>
                <w:kern w:val="0"/>
                <w:szCs w:val="21"/>
                <w:highlight w:val="none"/>
                <w:lang w:bidi="ar"/>
              </w:rPr>
              <w:t>145</w:t>
            </w:r>
          </w:p>
        </w:tc>
        <w:tc>
          <w:tcPr>
            <w:tcW w:w="123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3A994">
            <w:pPr>
              <w:widowControl/>
              <w:jc w:val="center"/>
              <w:textAlignment w:val="center"/>
              <w:rPr>
                <w:rFonts w:hint="eastAsia" w:ascii="宋体" w:hAnsi="宋体" w:eastAsia="宋体" w:cs="宋体"/>
                <w:color w:val="auto"/>
                <w:kern w:val="0"/>
                <w:szCs w:val="21"/>
                <w:highlight w:val="none"/>
                <w:lang w:bidi="ar"/>
              </w:rPr>
            </w:pPr>
          </w:p>
        </w:tc>
      </w:tr>
    </w:tbl>
    <w:p w14:paraId="06A4715E">
      <w:pPr>
        <w:spacing w:line="360" w:lineRule="auto"/>
        <w:rPr>
          <w:rFonts w:hint="eastAsia" w:asciiTheme="minorEastAsia" w:hAnsiTheme="minorEastAsia"/>
          <w:b/>
          <w:color w:val="auto"/>
          <w:sz w:val="32"/>
          <w:szCs w:val="32"/>
          <w:highlight w:val="none"/>
        </w:rPr>
      </w:pPr>
      <w:r>
        <w:rPr>
          <w:rFonts w:hint="eastAsia" w:ascii="宋体" w:hAnsi="宋体" w:cs="宋体"/>
          <w:b/>
          <w:bCs/>
          <w:color w:val="auto"/>
          <w:sz w:val="24"/>
          <w:highlight w:val="none"/>
        </w:rPr>
        <w:t>（二）技术参数</w:t>
      </w:r>
    </w:p>
    <w:p w14:paraId="6D9DE4B5">
      <w:pPr>
        <w:tabs>
          <w:tab w:val="left" w:pos="0"/>
        </w:tabs>
        <w:ind w:left="357" w:hanging="357"/>
        <w:rPr>
          <w:rFonts w:ascii="Times New Roman" w:hAnsi="Times New Roman"/>
          <w:b/>
          <w:bCs/>
          <w:color w:val="auto"/>
          <w:sz w:val="24"/>
          <w:highlight w:val="none"/>
        </w:rPr>
      </w:pPr>
      <w:r>
        <w:rPr>
          <w:rFonts w:hint="eastAsia" w:ascii="Times New Roman" w:hAnsi="Times New Roman"/>
          <w:b/>
          <w:bCs/>
          <w:color w:val="auto"/>
          <w:sz w:val="24"/>
          <w:highlight w:val="none"/>
        </w:rPr>
        <w:t>注：</w:t>
      </w:r>
      <w:r>
        <w:rPr>
          <w:rFonts w:ascii="Times New Roman" w:hAnsi="Times New Roman"/>
          <w:b/>
          <w:bCs/>
          <w:color w:val="auto"/>
          <w:sz w:val="24"/>
          <w:highlight w:val="none"/>
        </w:rPr>
        <w:t>“*”项为实质性要求，有一项不满足，投标将被拒绝</w:t>
      </w:r>
      <w:r>
        <w:rPr>
          <w:rFonts w:hint="eastAsia" w:ascii="Times New Roman" w:hAnsi="Times New Roman"/>
          <w:b/>
          <w:bCs/>
          <w:color w:val="auto"/>
          <w:sz w:val="24"/>
          <w:highlight w:val="none"/>
        </w:rPr>
        <w:t>；</w:t>
      </w:r>
      <w:r>
        <w:rPr>
          <w:rFonts w:ascii="Times New Roman" w:hAnsi="Times New Roman"/>
          <w:b/>
          <w:bCs/>
          <w:color w:val="auto"/>
          <w:sz w:val="24"/>
          <w:highlight w:val="none"/>
        </w:rPr>
        <w:t>“</w:t>
      </w:r>
      <w:r>
        <w:rPr>
          <w:rFonts w:hint="eastAsia" w:ascii="Times New Roman" w:hAnsi="Times New Roman"/>
          <w:b/>
          <w:bCs/>
          <w:color w:val="auto"/>
          <w:sz w:val="24"/>
          <w:highlight w:val="none"/>
        </w:rPr>
        <w:t>☆</w:t>
      </w:r>
      <w:r>
        <w:rPr>
          <w:rFonts w:ascii="Times New Roman" w:hAnsi="Times New Roman"/>
          <w:b/>
          <w:bCs/>
          <w:color w:val="auto"/>
          <w:sz w:val="24"/>
          <w:highlight w:val="none"/>
        </w:rPr>
        <w:t>”指标表示</w:t>
      </w:r>
      <w:r>
        <w:rPr>
          <w:rFonts w:hint="eastAsia" w:ascii="Times New Roman" w:hAnsi="Times New Roman"/>
          <w:b/>
          <w:bCs/>
          <w:color w:val="auto"/>
          <w:sz w:val="24"/>
          <w:highlight w:val="none"/>
        </w:rPr>
        <w:t>优质优价指标，</w:t>
      </w:r>
      <w:r>
        <w:rPr>
          <w:rFonts w:ascii="Times New Roman" w:hAnsi="Times New Roman"/>
          <w:b/>
          <w:bCs/>
          <w:color w:val="auto"/>
          <w:sz w:val="24"/>
          <w:highlight w:val="none"/>
        </w:rPr>
        <w:t>“</w:t>
      </w:r>
      <w:r>
        <w:rPr>
          <w:rFonts w:hint="eastAsia" w:ascii="Times New Roman" w:hAnsi="Times New Roman"/>
          <w:b/>
          <w:bCs/>
          <w:color w:val="auto"/>
          <w:sz w:val="24"/>
          <w:highlight w:val="none"/>
        </w:rPr>
        <w:t>#</w:t>
      </w:r>
      <w:r>
        <w:rPr>
          <w:rFonts w:ascii="Times New Roman" w:hAnsi="Times New Roman"/>
          <w:b/>
          <w:bCs/>
          <w:color w:val="auto"/>
          <w:sz w:val="24"/>
          <w:highlight w:val="none"/>
        </w:rPr>
        <w:t>”指标表示重要指标“</w:t>
      </w:r>
      <w:r>
        <w:rPr>
          <w:rFonts w:hint="eastAsia" w:ascii="Times New Roman" w:hAnsi="Times New Roman"/>
          <w:b/>
          <w:bCs/>
          <w:color w:val="auto"/>
          <w:sz w:val="24"/>
          <w:highlight w:val="none"/>
        </w:rPr>
        <w:t>△</w:t>
      </w:r>
      <w:r>
        <w:rPr>
          <w:rFonts w:ascii="Times New Roman" w:hAnsi="Times New Roman"/>
          <w:b/>
          <w:bCs/>
          <w:color w:val="auto"/>
          <w:sz w:val="24"/>
          <w:highlight w:val="none"/>
        </w:rPr>
        <w:t>”指标表示一般指标项。</w:t>
      </w:r>
    </w:p>
    <w:p w14:paraId="5D5BF17B">
      <w:pPr>
        <w:widowControl/>
        <w:adjustRightInd w:val="0"/>
        <w:snapToGrid w:val="0"/>
        <w:spacing w:line="360" w:lineRule="auto"/>
        <w:jc w:val="center"/>
        <w:outlineLvl w:val="1"/>
        <w:rPr>
          <w:rFonts w:hint="eastAsia" w:asciiTheme="minorEastAsia" w:hAnsiTheme="minorEastAsia"/>
          <w:b/>
          <w:color w:val="auto"/>
          <w:sz w:val="32"/>
          <w:szCs w:val="32"/>
          <w:highlight w:val="none"/>
        </w:rPr>
      </w:pPr>
    </w:p>
    <w:p w14:paraId="2B4BF418">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 xml:space="preserve"> 1、基桩高应变检测仪</w:t>
      </w:r>
    </w:p>
    <w:p w14:paraId="1BE01297">
      <w:pPr>
        <w:widowControl/>
        <w:adjustRightInd w:val="0"/>
        <w:snapToGrid w:val="0"/>
        <w:spacing w:line="360" w:lineRule="auto"/>
        <w:jc w:val="left"/>
        <w:rPr>
          <w:rFonts w:hint="eastAsia" w:asciiTheme="minorEastAsia" w:hAnsiTheme="minorEastAsia"/>
          <w:b/>
          <w:color w:val="auto"/>
          <w:sz w:val="32"/>
          <w:szCs w:val="32"/>
          <w:highlight w:val="none"/>
        </w:rPr>
      </w:pPr>
      <w:r>
        <w:rPr>
          <w:rFonts w:hint="eastAsia" w:asciiTheme="minorEastAsia" w:hAnsiTheme="minorEastAsia"/>
          <w:color w:val="auto"/>
          <w:sz w:val="24"/>
          <w:highlight w:val="none"/>
        </w:rPr>
        <w:t>一、主要技术参数</w:t>
      </w:r>
    </w:p>
    <w:p w14:paraId="7E35E47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1、独创瞬时浮点放大技术，动态范围大，信噪比高，兼顾强、弱信号采集不失真；</w:t>
      </w:r>
    </w:p>
    <w:p w14:paraId="748AE9F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2、应变电桥全自动调平衡，降低应变环初始变形对信号采集的影响，消除信号零漂；</w:t>
      </w:r>
    </w:p>
    <w:p w14:paraId="103DC9A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3、可完成60锤/分钟信号采集工作，实时打桩监控测试功能；</w:t>
      </w:r>
    </w:p>
    <w:p w14:paraId="2D6DABF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4、能实时进行现场传感器安装状态自检；</w:t>
      </w:r>
    </w:p>
    <w:p w14:paraId="636AE138">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*5、可现场显示Case法分析结果，F-ZV曲线，上下行波曲线；</w:t>
      </w:r>
    </w:p>
    <w:p w14:paraId="164F0DEB">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6、具有浅部缺陷三维修正功能；</w:t>
      </w:r>
    </w:p>
    <w:p w14:paraId="71D5AB6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7、机身需要耐高温阻燃，抗冲击性能要高；</w:t>
      </w:r>
    </w:p>
    <w:p w14:paraId="2D1DE072">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8、能实时监控无线上传，支持4G、WiFi、蓝牙方式；</w:t>
      </w:r>
    </w:p>
    <w:p w14:paraId="6E382E48">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9、需内置4G模块，实现软件在线一键升级；</w:t>
      </w:r>
    </w:p>
    <w:p w14:paraId="7C547B2F">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10、电池可拆卸，续航时间：≥10h</w:t>
      </w:r>
    </w:p>
    <w:p w14:paraId="5006C42B">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11、显示方式</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真彩液晶显示屏背光可调</w:t>
      </w:r>
      <w:r>
        <w:rPr>
          <w:rFonts w:hint="eastAsia" w:asciiTheme="minorEastAsia" w:hAnsiTheme="minorEastAsia"/>
          <w:color w:val="auto"/>
          <w:sz w:val="24"/>
          <w:highlight w:val="none"/>
        </w:rPr>
        <w:tab/>
      </w:r>
    </w:p>
    <w:p w14:paraId="2EA07678">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*12、频带宽度</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速度通道：2～12000Hz应变通道：0～12000Hz</w:t>
      </w:r>
    </w:p>
    <w:p w14:paraId="5CEDB30F">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*13、浮点放大倍数</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1～256</w:t>
      </w:r>
    </w:p>
    <w:p w14:paraId="25FB1BA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14、记录长度</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1k</w:t>
      </w:r>
      <w:r>
        <w:rPr>
          <w:rFonts w:hint="eastAsia" w:asciiTheme="minorEastAsia" w:hAnsiTheme="minorEastAsia"/>
          <w:color w:val="auto"/>
          <w:sz w:val="24"/>
          <w:highlight w:val="none"/>
        </w:rPr>
        <w:tab/>
      </w:r>
    </w:p>
    <w:p w14:paraId="2D60509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15、A/D转换精度</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24位瞬时浮点</w:t>
      </w:r>
      <w:r>
        <w:rPr>
          <w:rFonts w:hint="eastAsia" w:asciiTheme="minorEastAsia" w:hAnsiTheme="minorEastAsia"/>
          <w:color w:val="auto"/>
          <w:sz w:val="24"/>
          <w:highlight w:val="none"/>
        </w:rPr>
        <w:tab/>
      </w:r>
    </w:p>
    <w:p w14:paraId="62FFE3C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16、系统噪声电压</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＜20μV</w:t>
      </w:r>
    </w:p>
    <w:p w14:paraId="0DD1407A">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17、动态范围</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≥100dB</w:t>
      </w:r>
    </w:p>
    <w:p w14:paraId="2FA3483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18、操作方式</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电容触摸</w:t>
      </w:r>
      <w:r>
        <w:rPr>
          <w:rFonts w:hint="eastAsia" w:asciiTheme="minorEastAsia" w:hAnsiTheme="minorEastAsia"/>
          <w:color w:val="auto"/>
          <w:sz w:val="24"/>
          <w:highlight w:val="none"/>
        </w:rPr>
        <w:tab/>
      </w:r>
    </w:p>
    <w:p w14:paraId="2616FD5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19、触发电平</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四档可选</w:t>
      </w:r>
    </w:p>
    <w:p w14:paraId="5B00C5E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20、存储量</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16G 电子硬盘</w:t>
      </w:r>
      <w:r>
        <w:rPr>
          <w:rFonts w:hint="eastAsia" w:asciiTheme="minorEastAsia" w:hAnsiTheme="minorEastAsia"/>
          <w:color w:val="auto"/>
          <w:sz w:val="24"/>
          <w:highlight w:val="none"/>
        </w:rPr>
        <w:tab/>
      </w:r>
    </w:p>
    <w:p w14:paraId="47B4C83E">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21、通道数</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高应变：四个通道  低应变：一个通道</w:t>
      </w:r>
    </w:p>
    <w:p w14:paraId="7D72DB7F">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22、信号采集方式</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有线</w:t>
      </w:r>
      <w:r>
        <w:rPr>
          <w:rFonts w:hint="eastAsia" w:asciiTheme="minorEastAsia" w:hAnsiTheme="minorEastAsia"/>
          <w:color w:val="auto"/>
          <w:sz w:val="24"/>
          <w:highlight w:val="none"/>
        </w:rPr>
        <w:tab/>
      </w:r>
    </w:p>
    <w:p w14:paraId="3A5B835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23、采集模式</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两道加速度+两道应变</w:t>
      </w:r>
    </w:p>
    <w:p w14:paraId="63CA38C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*24、提供设备检测模拟报告（复印件）</w:t>
      </w:r>
    </w:p>
    <w:p w14:paraId="5FF22A6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25、主频≥1GHz 内存：512M</w:t>
      </w:r>
      <w:r>
        <w:rPr>
          <w:rFonts w:hint="eastAsia" w:asciiTheme="minorEastAsia" w:hAnsiTheme="minorEastAsia"/>
          <w:color w:val="auto"/>
          <w:sz w:val="24"/>
          <w:highlight w:val="none"/>
        </w:rPr>
        <w:tab/>
      </w:r>
    </w:p>
    <w:p w14:paraId="6850822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*26、采样间隔</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高应变：50～500μs 分档可调低应变：5～1000μs连续可调</w:t>
      </w:r>
    </w:p>
    <w:p w14:paraId="739E3E3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27、工作温度</w:t>
      </w:r>
      <w:r>
        <w:rPr>
          <w:rFonts w:hint="eastAsia" w:asciiTheme="minorEastAsia" w:hAnsiTheme="minorEastAsia"/>
          <w:color w:val="auto"/>
          <w:sz w:val="24"/>
          <w:highlight w:val="none"/>
        </w:rPr>
        <w:tab/>
      </w:r>
      <w:r>
        <w:rPr>
          <w:rFonts w:hint="eastAsia" w:asciiTheme="minorEastAsia" w:hAnsiTheme="minorEastAsia"/>
          <w:color w:val="auto"/>
          <w:sz w:val="24"/>
          <w:highlight w:val="none"/>
        </w:rPr>
        <w:t>-20～+55℃</w:t>
      </w:r>
    </w:p>
    <w:p w14:paraId="18C52C88">
      <w:pPr>
        <w:rPr>
          <w:color w:val="auto"/>
          <w:highlight w:val="none"/>
        </w:rPr>
      </w:pPr>
    </w:p>
    <w:p w14:paraId="5F4A1693">
      <w:pPr>
        <w:pStyle w:val="3"/>
        <w:widowControl/>
        <w:adjustRightInd w:val="0"/>
        <w:snapToGrid w:val="0"/>
        <w:spacing w:line="360" w:lineRule="auto"/>
        <w:jc w:val="center"/>
        <w:rPr>
          <w:rFonts w:hint="eastAsia" w:asciiTheme="minorEastAsia" w:hAnsiTheme="minorEastAsia" w:eastAsiaTheme="minorEastAsia" w:cstheme="minorEastAsia"/>
          <w:color w:val="auto"/>
          <w:highlight w:val="none"/>
        </w:rPr>
      </w:pPr>
      <w:r>
        <w:rPr>
          <w:rFonts w:hint="eastAsia" w:asciiTheme="minorEastAsia" w:hAnsiTheme="minorEastAsia"/>
          <w:color w:val="auto"/>
          <w:szCs w:val="32"/>
          <w:highlight w:val="none"/>
        </w:rPr>
        <w:t>2、</w:t>
      </w:r>
      <w:r>
        <w:rPr>
          <w:rFonts w:hint="eastAsia" w:asciiTheme="minorEastAsia" w:hAnsiTheme="minorEastAsia" w:eastAsiaTheme="minorEastAsia" w:cstheme="minorEastAsia"/>
          <w:color w:val="auto"/>
          <w:highlight w:val="none"/>
        </w:rPr>
        <w:t>粗粒土三轴剪切试验机</w:t>
      </w:r>
    </w:p>
    <w:p w14:paraId="3850F5F2">
      <w:pPr>
        <w:widowControl/>
        <w:adjustRightInd w:val="0"/>
        <w:snapToGrid w:val="0"/>
        <w:spacing w:line="360" w:lineRule="auto"/>
        <w:ind w:right="-105" w:rightChars="-50" w:firstLine="480" w:firstLineChars="200"/>
        <w:rPr>
          <w:rFonts w:hint="eastAsia" w:asciiTheme="minorEastAsia" w:hAnsiTheme="minorEastAsia" w:cstheme="minorEastAsia"/>
          <w:color w:val="auto"/>
          <w:sz w:val="24"/>
          <w:highlight w:val="none"/>
        </w:rPr>
      </w:pPr>
    </w:p>
    <w:p w14:paraId="14F81803">
      <w:pPr>
        <w:widowControl/>
        <w:adjustRightInd w:val="0"/>
        <w:snapToGrid w:val="0"/>
        <w:spacing w:line="360" w:lineRule="auto"/>
        <w:ind w:right="-112"/>
        <w:rPr>
          <w:rFonts w:hint="eastAsia" w:asciiTheme="minorEastAsia" w:hAnsiTheme="minorEastAsia" w:cstheme="minorEastAsia"/>
          <w:b/>
          <w:bCs/>
          <w:color w:val="auto"/>
          <w:sz w:val="28"/>
          <w:highlight w:val="none"/>
        </w:rPr>
      </w:pPr>
      <w:r>
        <w:rPr>
          <w:rFonts w:hint="eastAsia" w:asciiTheme="minorEastAsia" w:hAnsiTheme="minorEastAsia" w:cstheme="minorEastAsia"/>
          <w:b/>
          <w:bCs/>
          <w:color w:val="auto"/>
          <w:sz w:val="28"/>
          <w:highlight w:val="none"/>
        </w:rPr>
        <w:t>主要功能及参数</w:t>
      </w:r>
    </w:p>
    <w:p w14:paraId="0CBDEF6E">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1、试样尺寸：Φ300×600mm</w:t>
      </w:r>
    </w:p>
    <w:p w14:paraId="6D96F53F">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2、最大轴向荷载：1000KN</w:t>
      </w:r>
    </w:p>
    <w:p w14:paraId="534B6B1F">
      <w:pPr>
        <w:widowControl/>
        <w:adjustRightInd w:val="0"/>
        <w:snapToGrid w:val="0"/>
        <w:spacing w:line="360" w:lineRule="auto"/>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stheme="minorEastAsia"/>
          <w:color w:val="auto"/>
          <w:sz w:val="24"/>
          <w:highlight w:val="none"/>
        </w:rPr>
        <w:t>3、力测量精度：±0.5% F.S</w:t>
      </w:r>
    </w:p>
    <w:p w14:paraId="0F595A35">
      <w:pPr>
        <w:widowControl/>
        <w:autoSpaceDE w:val="0"/>
        <w:autoSpaceDN w:val="0"/>
        <w:adjustRightInd w:val="0"/>
        <w:snapToGrid w:val="0"/>
        <w:spacing w:line="360" w:lineRule="auto"/>
        <w:ind w:right="-105" w:rightChars="-50"/>
        <w:jc w:val="left"/>
        <w:rPr>
          <w:rFonts w:hint="eastAsia" w:asciiTheme="minorEastAsia" w:hAnsiTheme="minorEastAsia"/>
          <w:color w:val="auto"/>
          <w:sz w:val="24"/>
          <w:highlight w:val="none"/>
        </w:rPr>
      </w:pPr>
      <w:r>
        <w:rPr>
          <w:rFonts w:hint="eastAsia" w:ascii="宋体" w:hAnsi="宋体" w:eastAsia="宋体" w:cs="宋体"/>
          <w:color w:val="auto"/>
          <w:sz w:val="24"/>
          <w:highlight w:val="none"/>
        </w:rPr>
        <w:t>4、轴向力分辨率：0.1KN</w:t>
      </w:r>
    </w:p>
    <w:p w14:paraId="71E663D7">
      <w:pPr>
        <w:widowControl/>
        <w:adjustRightInd w:val="0"/>
        <w:snapToGrid w:val="0"/>
        <w:spacing w:line="360" w:lineRule="auto"/>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 xml:space="preserve">5、最大周围压力：3.0MPa  </w:t>
      </w:r>
    </w:p>
    <w:p w14:paraId="2E911EFA">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 xml:space="preserve">6、最大反压力：0～1.0MPa  </w:t>
      </w:r>
    </w:p>
    <w:p w14:paraId="105E17A4">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7、孔隙压力：-0.1～3.0MPa</w:t>
      </w:r>
    </w:p>
    <w:p w14:paraId="04BDB89C">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8、压力分辨率：0.001MPa</w:t>
      </w:r>
    </w:p>
    <w:p w14:paraId="7D5FFDD4">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*9、最大轴向行程：300mm（油缸）</w:t>
      </w:r>
    </w:p>
    <w:p w14:paraId="6699A0F4">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*10、光栅位移传感器量程：0～300mm</w:t>
      </w:r>
    </w:p>
    <w:p w14:paraId="2EC0A30F">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*11、位移分辨率：0.001mm</w:t>
      </w:r>
    </w:p>
    <w:p w14:paraId="2F3C37F0">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12、位移精度：±0.3</w:t>
      </w:r>
      <w:r>
        <w:rPr>
          <w:rFonts w:asciiTheme="minorEastAsia" w:hAnsiTheme="minorEastAsia"/>
          <w:color w:val="auto"/>
          <w:sz w:val="24"/>
          <w:highlight w:val="none"/>
        </w:rPr>
        <w:t xml:space="preserve">% </w:t>
      </w:r>
      <w:r>
        <w:rPr>
          <w:rFonts w:hint="eastAsia" w:asciiTheme="minorEastAsia" w:hAnsiTheme="minorEastAsia"/>
          <w:color w:val="auto"/>
          <w:sz w:val="24"/>
          <w:highlight w:val="none"/>
        </w:rPr>
        <w:t>F.S</w:t>
      </w:r>
    </w:p>
    <w:p w14:paraId="343AC296">
      <w:pPr>
        <w:widowControl/>
        <w:autoSpaceDE w:val="0"/>
        <w:autoSpaceDN w:val="0"/>
        <w:adjustRightInd w:val="0"/>
        <w:snapToGrid w:val="0"/>
        <w:spacing w:line="360" w:lineRule="auto"/>
        <w:ind w:right="-105" w:rightChars="-50"/>
        <w:jc w:val="left"/>
        <w:rPr>
          <w:rFonts w:hint="eastAsia" w:ascii="宋体" w:hAnsi="宋体" w:eastAsia="宋体" w:cs="宋体"/>
          <w:color w:val="auto"/>
          <w:sz w:val="24"/>
          <w:highlight w:val="none"/>
        </w:rPr>
      </w:pPr>
      <w:r>
        <w:rPr>
          <w:rFonts w:hint="eastAsia" w:asciiTheme="minorEastAsia" w:hAnsiTheme="minorEastAsia"/>
          <w:color w:val="auto"/>
          <w:sz w:val="24"/>
          <w:highlight w:val="none"/>
        </w:rPr>
        <w:t>13、应变式轴向加载速率：0.01-3mm/min</w:t>
      </w:r>
    </w:p>
    <w:p w14:paraId="4D47CA82">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14、体变管容积：8000ml</w:t>
      </w:r>
    </w:p>
    <w:p w14:paraId="5630CB25">
      <w:pPr>
        <w:widowControl/>
        <w:adjustRightInd w:val="0"/>
        <w:snapToGrid w:val="0"/>
        <w:spacing w:line="360" w:lineRule="auto"/>
        <w:rPr>
          <w:rFonts w:hint="eastAsia" w:asciiTheme="minorEastAsia" w:hAnsiTheme="minorEastAsia"/>
          <w:color w:val="auto"/>
          <w:sz w:val="24"/>
          <w:highlight w:val="none"/>
        </w:rPr>
      </w:pPr>
      <w:r>
        <w:rPr>
          <w:rFonts w:hint="eastAsia" w:asciiTheme="minorEastAsia" w:hAnsiTheme="minorEastAsia"/>
          <w:color w:val="auto"/>
          <w:sz w:val="24"/>
          <w:highlight w:val="none"/>
        </w:rPr>
        <w:t>15、体变分辨率：0.2ml</w:t>
      </w:r>
    </w:p>
    <w:p w14:paraId="28EE3631">
      <w:pPr>
        <w:widowControl/>
        <w:adjustRightInd w:val="0"/>
        <w:snapToGrid w:val="0"/>
        <w:spacing w:line="360" w:lineRule="auto"/>
        <w:ind w:right="-105" w:rightChars="-50"/>
        <w:jc w:val="left"/>
        <w:rPr>
          <w:rFonts w:hint="eastAsia"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16、设备能进行轴向应力、应变、周围压力、孔隙压力、试样体积变化、饱和进水量和固结排水量等参数测试；</w:t>
      </w:r>
    </w:p>
    <w:p w14:paraId="55A1B0EB">
      <w:pPr>
        <w:widowControl/>
        <w:adjustRightInd w:val="0"/>
        <w:snapToGrid w:val="0"/>
        <w:spacing w:line="360" w:lineRule="auto"/>
        <w:ind w:right="-112"/>
        <w:rPr>
          <w:rFonts w:hint="eastAsia" w:asciiTheme="minorEastAsia" w:hAnsiTheme="minorEastAsia" w:cstheme="minorEastAsia"/>
          <w:color w:val="auto"/>
          <w:sz w:val="24"/>
          <w:highlight w:val="none"/>
        </w:rPr>
      </w:pPr>
      <w:r>
        <w:rPr>
          <w:rFonts w:hint="eastAsia" w:asciiTheme="minorEastAsia" w:hAnsiTheme="minorEastAsia" w:cstheme="minorEastAsia"/>
          <w:color w:val="auto"/>
          <w:sz w:val="24"/>
          <w:highlight w:val="none"/>
        </w:rPr>
        <w:t>17、设备利用工业控制计算机与工业级PLC控制器，数字信号转换器等联合组成设备控制系统；</w:t>
      </w:r>
    </w:p>
    <w:p w14:paraId="370D0D46">
      <w:pPr>
        <w:widowControl/>
        <w:adjustRightInd w:val="0"/>
        <w:snapToGrid w:val="0"/>
        <w:spacing w:line="360" w:lineRule="auto"/>
        <w:ind w:right="-112"/>
        <w:rPr>
          <w:rFonts w:hint="eastAsia" w:asciiTheme="minorEastAsia" w:hAnsiTheme="minorEastAsia" w:cs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stheme="minorEastAsia"/>
          <w:color w:val="auto"/>
          <w:sz w:val="24"/>
          <w:highlight w:val="none"/>
        </w:rPr>
        <w:t>18、设备配有水头压力、真空抽气、反压力等三种不同的方式，对试样进行饱和。</w:t>
      </w:r>
    </w:p>
    <w:p w14:paraId="0AC31179">
      <w:pPr>
        <w:widowControl/>
        <w:adjustRightInd w:val="0"/>
        <w:snapToGrid w:val="0"/>
        <w:spacing w:line="360" w:lineRule="auto"/>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19、含压力室吊装装置</w:t>
      </w:r>
    </w:p>
    <w:p w14:paraId="7881F6AA">
      <w:pPr>
        <w:pStyle w:val="10"/>
        <w:rPr>
          <w:rFonts w:hint="eastAsia" w:asciiTheme="minorEastAsia" w:hAnsiTheme="minorEastAsia"/>
          <w:color w:val="auto"/>
          <w:sz w:val="24"/>
          <w:highlight w:val="none"/>
        </w:rPr>
      </w:pPr>
      <w:r>
        <w:rPr>
          <w:rFonts w:hint="eastAsia" w:asciiTheme="minorEastAsia" w:hAnsiTheme="minorEastAsia"/>
          <w:color w:val="auto"/>
          <w:sz w:val="24"/>
          <w:highlight w:val="none"/>
        </w:rPr>
        <w:t>*20、软件有操作试验过程步骤提示功能，</w:t>
      </w:r>
      <w:r>
        <w:rPr>
          <w:rFonts w:hint="eastAsia" w:ascii="宋体" w:hAnsi="宋体" w:cs="宋体"/>
          <w:b/>
          <w:bCs/>
          <w:color w:val="auto"/>
          <w:sz w:val="24"/>
          <w:highlight w:val="none"/>
        </w:rPr>
        <w:t>（投标文件中需提供软件截图加盖投标人公章作为证明材料）</w:t>
      </w:r>
      <w:r>
        <w:rPr>
          <w:rFonts w:hint="eastAsia" w:ascii="宋体" w:hAnsi="宋体" w:cs="宋体"/>
          <w:color w:val="auto"/>
          <w:sz w:val="24"/>
          <w:highlight w:val="none"/>
        </w:rPr>
        <w:t>。</w:t>
      </w:r>
    </w:p>
    <w:p w14:paraId="2CE0E24D">
      <w:pPr>
        <w:rPr>
          <w:color w:val="auto"/>
          <w:highlight w:val="none"/>
        </w:rPr>
      </w:pPr>
    </w:p>
    <w:p w14:paraId="4A567844">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 xml:space="preserve"> 3、粗粒土直剪固结一体机</w:t>
      </w:r>
    </w:p>
    <w:p w14:paraId="7250AFCD">
      <w:pPr>
        <w:widowControl/>
        <w:adjustRightInd w:val="0"/>
        <w:snapToGrid w:val="0"/>
        <w:spacing w:line="360" w:lineRule="auto"/>
        <w:jc w:val="left"/>
        <w:rPr>
          <w:rFonts w:hint="eastAsia" w:asciiTheme="minorEastAsia" w:hAnsiTheme="minorEastAsia"/>
          <w:b/>
          <w:bCs/>
          <w:color w:val="auto"/>
          <w:sz w:val="28"/>
          <w:highlight w:val="none"/>
        </w:rPr>
      </w:pPr>
      <w:r>
        <w:rPr>
          <w:rFonts w:hint="eastAsia" w:asciiTheme="minorEastAsia" w:hAnsiTheme="minorEastAsia"/>
          <w:b/>
          <w:bCs/>
          <w:color w:val="auto"/>
          <w:sz w:val="28"/>
          <w:highlight w:val="none"/>
        </w:rPr>
        <w:t>主要技术指标</w:t>
      </w:r>
    </w:p>
    <w:p w14:paraId="1C754948">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1、直剪仪加载架：框架式</w:t>
      </w:r>
    </w:p>
    <w:p w14:paraId="5A8901BB">
      <w:pPr>
        <w:spacing w:line="360" w:lineRule="auto"/>
        <w:jc w:val="left"/>
        <w:rPr>
          <w:rFonts w:hint="eastAsia" w:ascii="宋体" w:hAnsi="宋体" w:eastAsia="宋体" w:cs="宋体"/>
          <w:color w:val="auto"/>
          <w:sz w:val="24"/>
          <w:highlight w:val="none"/>
        </w:rPr>
      </w:pPr>
      <w:r>
        <w:rPr>
          <w:rFonts w:hint="eastAsia" w:ascii="Times New Roman" w:hAnsi="Times New Roman"/>
          <w:b/>
          <w:bCs/>
          <w:color w:val="auto"/>
          <w:sz w:val="24"/>
          <w:highlight w:val="none"/>
        </w:rPr>
        <w:t>△</w:t>
      </w:r>
      <w:r>
        <w:rPr>
          <w:rFonts w:hint="eastAsia" w:ascii="宋体" w:hAnsi="宋体" w:eastAsia="宋体" w:cs="宋体"/>
          <w:color w:val="auto"/>
          <w:sz w:val="24"/>
          <w:highlight w:val="none"/>
        </w:rPr>
        <w:t>2、试样尺寸：Ф504.6×400mm（面积2000cm2）</w:t>
      </w:r>
    </w:p>
    <w:p w14:paraId="55145413">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3、最大垂直载荷：700KN</w:t>
      </w:r>
    </w:p>
    <w:p w14:paraId="07EA4163">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4、最大水平推力：700KN</w:t>
      </w:r>
    </w:p>
    <w:p w14:paraId="40DB1655">
      <w:pPr>
        <w:spacing w:line="360" w:lineRule="auto"/>
        <w:jc w:val="left"/>
        <w:rPr>
          <w:rFonts w:hint="eastAsia" w:ascii="宋体" w:hAnsi="宋体" w:eastAsia="宋体" w:cs="宋体"/>
          <w:color w:val="auto"/>
          <w:sz w:val="24"/>
          <w:highlight w:val="none"/>
        </w:rPr>
      </w:pPr>
      <w:r>
        <w:rPr>
          <w:rFonts w:hint="eastAsia" w:ascii="Times New Roman" w:hAnsi="Times New Roman"/>
          <w:b/>
          <w:bCs/>
          <w:color w:val="auto"/>
          <w:sz w:val="24"/>
          <w:highlight w:val="none"/>
        </w:rPr>
        <w:t>#</w:t>
      </w:r>
      <w:r>
        <w:rPr>
          <w:rFonts w:hint="eastAsia" w:ascii="宋体" w:hAnsi="宋体" w:eastAsia="宋体" w:cs="宋体"/>
          <w:color w:val="auto"/>
          <w:sz w:val="24"/>
          <w:highlight w:val="none"/>
        </w:rPr>
        <w:t>5、力分辨率：0.01KN</w:t>
      </w:r>
    </w:p>
    <w:p w14:paraId="2FF48A87">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6、最大垂直行程：200mm（油缸）</w:t>
      </w:r>
    </w:p>
    <w:p w14:paraId="53733A1A">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7、最大水平行程：200mm（油缸）</w:t>
      </w:r>
    </w:p>
    <w:p w14:paraId="0688E837">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*8、垂直位移传感器量程：0～100mm</w:t>
      </w:r>
    </w:p>
    <w:p w14:paraId="4D41479E">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*9、水平位移传感器量程：0～200mm</w:t>
      </w:r>
    </w:p>
    <w:p w14:paraId="5C6556BB">
      <w:pPr>
        <w:spacing w:line="360" w:lineRule="auto"/>
        <w:jc w:val="left"/>
        <w:rPr>
          <w:rFonts w:hint="eastAsia" w:ascii="宋体" w:hAnsi="宋体" w:eastAsia="宋体" w:cs="宋体"/>
          <w:color w:val="auto"/>
          <w:sz w:val="24"/>
          <w:highlight w:val="none"/>
        </w:rPr>
      </w:pPr>
      <w:r>
        <w:rPr>
          <w:rFonts w:hint="eastAsia" w:ascii="Times New Roman" w:hAnsi="Times New Roman"/>
          <w:b/>
          <w:bCs/>
          <w:color w:val="auto"/>
          <w:sz w:val="24"/>
          <w:highlight w:val="none"/>
        </w:rPr>
        <w:t>#</w:t>
      </w:r>
      <w:r>
        <w:rPr>
          <w:rFonts w:hint="eastAsia" w:ascii="宋体" w:hAnsi="宋体" w:eastAsia="宋体" w:cs="宋体"/>
          <w:color w:val="auto"/>
          <w:sz w:val="24"/>
          <w:highlight w:val="none"/>
        </w:rPr>
        <w:t>10、位移分辨率：0.01mm</w:t>
      </w:r>
    </w:p>
    <w:p w14:paraId="36BD3813">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11、力测量精度：±0.5%F.S</w:t>
      </w:r>
    </w:p>
    <w:p w14:paraId="141CF936">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12、位移测量精度：±0.5%F.S</w:t>
      </w:r>
    </w:p>
    <w:p w14:paraId="36914AF5">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*13、应变式水平剪切速度：0.5～10mm/min</w:t>
      </w:r>
    </w:p>
    <w:p w14:paraId="7EF577A3">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14、压缩仪加载架：二柱式</w:t>
      </w:r>
    </w:p>
    <w:p w14:paraId="29FB91DE">
      <w:pPr>
        <w:spacing w:line="360" w:lineRule="auto"/>
        <w:jc w:val="left"/>
        <w:rPr>
          <w:rFonts w:hint="eastAsia" w:ascii="宋体" w:hAnsi="宋体" w:eastAsia="宋体" w:cs="宋体"/>
          <w:color w:val="auto"/>
          <w:sz w:val="24"/>
          <w:highlight w:val="none"/>
        </w:rPr>
      </w:pPr>
      <w:r>
        <w:rPr>
          <w:rFonts w:hint="eastAsia" w:ascii="Times New Roman" w:hAnsi="Times New Roman"/>
          <w:b/>
          <w:bCs/>
          <w:color w:val="auto"/>
          <w:sz w:val="24"/>
          <w:highlight w:val="none"/>
        </w:rPr>
        <w:t>△</w:t>
      </w:r>
      <w:r>
        <w:rPr>
          <w:rFonts w:hint="eastAsia" w:ascii="宋体" w:hAnsi="宋体" w:eastAsia="宋体" w:cs="宋体"/>
          <w:color w:val="auto"/>
          <w:sz w:val="24"/>
          <w:highlight w:val="none"/>
        </w:rPr>
        <w:t>15、试样尺寸：Ф504.6×300mm（面积2000cm2）</w:t>
      </w:r>
    </w:p>
    <w:p w14:paraId="3317A99F">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16、最大垂直载荷：700KN</w:t>
      </w:r>
    </w:p>
    <w:p w14:paraId="2DD3068A">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17、力分辨率：0.01KN</w:t>
      </w:r>
    </w:p>
    <w:p w14:paraId="13AEA471">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#18、最大垂直行程：200mm（油缸）</w:t>
      </w:r>
    </w:p>
    <w:p w14:paraId="2DE74164">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*19、位移传感器量程：0～200mm</w:t>
      </w:r>
    </w:p>
    <w:p w14:paraId="1BC477F7">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*20、位移分辨率：0.01mm</w:t>
      </w:r>
    </w:p>
    <w:p w14:paraId="5B3B0204">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21、力测量精度：±0.5%F.S</w:t>
      </w:r>
    </w:p>
    <w:p w14:paraId="01C931A4">
      <w:pPr>
        <w:spacing w:line="360" w:lineRule="auto"/>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22、位移测量精度：±0.5%F.S</w:t>
      </w:r>
    </w:p>
    <w:p w14:paraId="1E82206B">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23、该设备可同时做直剪试验和压缩试验，互不干预数据，免下沉一体机身。</w:t>
      </w:r>
    </w:p>
    <w:p w14:paraId="0122796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24、粗粒土直剪试验机</w:t>
      </w:r>
      <w:r>
        <w:rPr>
          <w:rFonts w:asciiTheme="minorEastAsia" w:hAnsiTheme="minorEastAsia"/>
          <w:color w:val="auto"/>
          <w:sz w:val="24"/>
          <w:highlight w:val="none"/>
        </w:rPr>
        <w:t>采用框架</w:t>
      </w:r>
      <w:r>
        <w:rPr>
          <w:rFonts w:hint="eastAsia" w:asciiTheme="minorEastAsia" w:hAnsiTheme="minorEastAsia"/>
          <w:color w:val="auto"/>
          <w:sz w:val="24"/>
          <w:highlight w:val="none"/>
        </w:rPr>
        <w:t>式</w:t>
      </w:r>
      <w:r>
        <w:rPr>
          <w:rFonts w:asciiTheme="minorEastAsia" w:hAnsiTheme="minorEastAsia"/>
          <w:color w:val="auto"/>
          <w:sz w:val="24"/>
          <w:highlight w:val="none"/>
        </w:rPr>
        <w:t>，</w:t>
      </w:r>
      <w:r>
        <w:rPr>
          <w:rFonts w:hint="eastAsia" w:asciiTheme="minorEastAsia" w:hAnsiTheme="minorEastAsia"/>
          <w:color w:val="auto"/>
          <w:sz w:val="24"/>
          <w:highlight w:val="none"/>
        </w:rPr>
        <w:t>直剪剪盒为</w:t>
      </w:r>
      <w:r>
        <w:rPr>
          <w:rFonts w:asciiTheme="minorEastAsia" w:hAnsiTheme="minorEastAsia"/>
          <w:color w:val="auto"/>
          <w:sz w:val="24"/>
          <w:highlight w:val="none"/>
        </w:rPr>
        <w:t>两层圆形剪切盒，开缝高度可调</w:t>
      </w:r>
    </w:p>
    <w:p w14:paraId="2298F8D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stheme="minorEastAsia"/>
          <w:color w:val="auto"/>
          <w:sz w:val="24"/>
          <w:highlight w:val="none"/>
        </w:rPr>
        <w:t>25、</w:t>
      </w:r>
      <w:r>
        <w:rPr>
          <w:rFonts w:hint="eastAsia" w:asciiTheme="minorEastAsia" w:hAnsiTheme="minorEastAsia"/>
          <w:color w:val="auto"/>
          <w:sz w:val="24"/>
          <w:highlight w:val="none"/>
        </w:rPr>
        <w:t>微机自动控制系统，配套自动数据采集系统；各种试验参数均由计算机进行控制、存储、测量、显示、处理并打印图表；</w:t>
      </w:r>
    </w:p>
    <w:p w14:paraId="618EB9A0">
      <w:pPr>
        <w:widowControl/>
        <w:adjustRightInd w:val="0"/>
        <w:snapToGrid w:val="0"/>
        <w:spacing w:line="360" w:lineRule="auto"/>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26、含试件吊装装置</w:t>
      </w:r>
    </w:p>
    <w:p w14:paraId="3B7427F3">
      <w:pPr>
        <w:pStyle w:val="10"/>
        <w:rPr>
          <w:rFonts w:hint="eastAsia" w:asciiTheme="minorEastAsia" w:hAnsiTheme="minorEastAsia"/>
          <w:b/>
          <w:bCs/>
          <w:color w:val="auto"/>
          <w:sz w:val="28"/>
          <w:highlight w:val="none"/>
        </w:rPr>
      </w:pPr>
      <w:r>
        <w:rPr>
          <w:rFonts w:hint="eastAsia" w:asciiTheme="minorEastAsia" w:hAnsiTheme="minorEastAsia"/>
          <w:color w:val="auto"/>
          <w:sz w:val="24"/>
          <w:highlight w:val="none"/>
        </w:rPr>
        <w:t>*27、软件有操作试验过程步骤提示功能，</w:t>
      </w:r>
      <w:r>
        <w:rPr>
          <w:rFonts w:hint="eastAsia" w:ascii="宋体" w:hAnsi="宋体" w:cs="宋体"/>
          <w:b/>
          <w:bCs/>
          <w:color w:val="auto"/>
          <w:sz w:val="24"/>
          <w:highlight w:val="none"/>
        </w:rPr>
        <w:t>（投标文件中需提供软件截图加盖投标人公章作为证明材料）</w:t>
      </w:r>
      <w:r>
        <w:rPr>
          <w:rFonts w:hint="eastAsia" w:ascii="宋体" w:hAnsi="宋体" w:cs="宋体"/>
          <w:color w:val="auto"/>
          <w:sz w:val="24"/>
          <w:highlight w:val="none"/>
        </w:rPr>
        <w:t>。</w:t>
      </w:r>
    </w:p>
    <w:p w14:paraId="722D57F6">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4、高密度电法仪</w:t>
      </w:r>
    </w:p>
    <w:p w14:paraId="50946B88">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一、主要技术参数</w:t>
      </w:r>
    </w:p>
    <w:p w14:paraId="68EE214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1、利用一套金属电极（不用不极化电极）同时测量高密度电阻率和高密度极化率。</w:t>
      </w:r>
    </w:p>
    <w:p w14:paraId="127FE868">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*2、多条测线之间可以交叉供电测量，实现真三维立体地质构造测量。</w:t>
      </w:r>
    </w:p>
    <w:p w14:paraId="50038D0F">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3、自定义工作模式，适合复杂地形勘探。</w:t>
      </w:r>
    </w:p>
    <w:p w14:paraId="334769E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*4、电缆连接线为双向电缆。</w:t>
      </w:r>
    </w:p>
    <w:p w14:paraId="55B629D1">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5、输入阻抗：    大于60 MΩ</w:t>
      </w:r>
    </w:p>
    <w:p w14:paraId="486F168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 xml:space="preserve">6、最大供电电压：±900V    </w:t>
      </w:r>
    </w:p>
    <w:p w14:paraId="68C056EA">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7、最大供电电流: ± 5A</w:t>
      </w:r>
    </w:p>
    <w:p w14:paraId="35D3445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8、50Hz工频抑制：80dB</w:t>
      </w:r>
    </w:p>
    <w:p w14:paraId="04F1CF0C">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 xml:space="preserve">9、转换电极数：  120道，可以滚动测量 </w:t>
      </w:r>
    </w:p>
    <w:p w14:paraId="4BA0A22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10、道间距：     5米</w:t>
      </w:r>
    </w:p>
    <w:p w14:paraId="6C788A4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 xml:space="preserve">11、电压测量范围：±5V      </w:t>
      </w:r>
    </w:p>
    <w:p w14:paraId="675CB74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12、电压测量精度：±0.1%</w:t>
      </w:r>
    </w:p>
    <w:p w14:paraId="6AF00CB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 xml:space="preserve">13、电流测量范围：±5A     </w:t>
      </w:r>
    </w:p>
    <w:p w14:paraId="16248DD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14、电流测量精度：±0.1%</w:t>
      </w:r>
    </w:p>
    <w:p w14:paraId="136338EB">
      <w:pPr>
        <w:widowControl/>
        <w:adjustRightInd w:val="0"/>
        <w:snapToGrid w:val="0"/>
        <w:spacing w:line="360" w:lineRule="auto"/>
        <w:jc w:val="left"/>
        <w:rPr>
          <w:rFonts w:hint="eastAsia" w:asciiTheme="minorEastAsia" w:hAnsiTheme="minorEastAsia"/>
          <w:color w:val="auto"/>
          <w:sz w:val="24"/>
          <w:highlight w:val="none"/>
        </w:rPr>
      </w:pPr>
      <w:r>
        <w:rPr>
          <w:rFonts w:hint="eastAsia" w:ascii="Times New Roman" w:hAnsi="Times New Roman"/>
          <w:b/>
          <w:bCs/>
          <w:color w:val="auto"/>
          <w:sz w:val="24"/>
          <w:highlight w:val="none"/>
        </w:rPr>
        <w:t>△</w:t>
      </w:r>
      <w:r>
        <w:rPr>
          <w:rFonts w:hint="eastAsia" w:asciiTheme="minorEastAsia" w:hAnsiTheme="minorEastAsia"/>
          <w:color w:val="auto"/>
          <w:sz w:val="24"/>
          <w:highlight w:val="none"/>
        </w:rPr>
        <w:t>15、采用十英寸彩色显示屏，分辨率1024 * 768</w:t>
      </w:r>
    </w:p>
    <w:p w14:paraId="608B5CD8">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16、两个USB 接口</w:t>
      </w:r>
    </w:p>
    <w:p w14:paraId="5D75C3A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17、CF卡最大容量128G开关供电：   最高电压±500V 、最大电流:±2A</w:t>
      </w:r>
    </w:p>
    <w:p w14:paraId="09DEC65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18、绝缘性能     ≥600 MΩ</w:t>
      </w:r>
    </w:p>
    <w:p w14:paraId="426AC83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19、使用环境：   -20°C ～ +55°C、湿度90%RH</w:t>
      </w:r>
    </w:p>
    <w:p w14:paraId="158F1DE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20、采用PC104工控机,工作可靠</w:t>
      </w:r>
    </w:p>
    <w:p w14:paraId="2E7AE46F">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二、提供盖章的相关资料</w:t>
      </w:r>
      <w:r>
        <w:rPr>
          <w:rFonts w:hint="eastAsia" w:ascii="宋体" w:hAnsi="宋体" w:cs="宋体"/>
          <w:b/>
          <w:bCs/>
          <w:color w:val="auto"/>
          <w:sz w:val="24"/>
          <w:highlight w:val="none"/>
        </w:rPr>
        <w:t>（投标文件中需提供软件截图加盖投标人公章作为证明材料）</w:t>
      </w:r>
      <w:r>
        <w:rPr>
          <w:rFonts w:hint="eastAsia" w:ascii="宋体" w:hAnsi="宋体" w:cs="宋体"/>
          <w:color w:val="auto"/>
          <w:sz w:val="24"/>
          <w:highlight w:val="none"/>
        </w:rPr>
        <w:t>。</w:t>
      </w:r>
    </w:p>
    <w:p w14:paraId="3B9A5509">
      <w:pPr>
        <w:widowControl/>
        <w:adjustRightInd w:val="0"/>
        <w:snapToGrid w:val="0"/>
        <w:spacing w:line="360" w:lineRule="auto"/>
        <w:jc w:val="left"/>
        <w:rPr>
          <w:rFonts w:hint="eastAsia" w:asciiTheme="minorEastAsia" w:hAnsiTheme="minorEastAsia"/>
          <w:color w:val="auto"/>
          <w:sz w:val="24"/>
          <w:highlight w:val="none"/>
        </w:rPr>
      </w:pPr>
    </w:p>
    <w:p w14:paraId="2ABD0486">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5、数字化农业生态服务平台</w:t>
      </w:r>
    </w:p>
    <w:p w14:paraId="306362BF">
      <w:pPr>
        <w:widowControl/>
        <w:adjustRightInd w:val="0"/>
        <w:snapToGrid w:val="0"/>
        <w:spacing w:line="360" w:lineRule="auto"/>
        <w:jc w:val="left"/>
        <w:rPr>
          <w:rFonts w:hint="eastAsia" w:asciiTheme="minorEastAsia" w:hAnsiTheme="minorEastAsia"/>
          <w:b/>
          <w:color w:val="auto"/>
          <w:sz w:val="32"/>
          <w:szCs w:val="32"/>
          <w:highlight w:val="none"/>
        </w:rPr>
      </w:pPr>
      <w:r>
        <w:rPr>
          <w:rFonts w:hint="eastAsia" w:asciiTheme="minorEastAsia" w:hAnsiTheme="minorEastAsia"/>
          <w:color w:val="auto"/>
          <w:sz w:val="24"/>
          <w:highlight w:val="none"/>
        </w:rPr>
        <w:t>一、主要技术参数</w:t>
      </w:r>
    </w:p>
    <w:p w14:paraId="6FCFF999">
      <w:pPr>
        <w:widowControl/>
        <w:adjustRightInd w:val="0"/>
        <w:snapToGrid w:val="0"/>
        <w:spacing w:line="360" w:lineRule="auto"/>
        <w:ind w:firstLine="480" w:firstLineChars="200"/>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系统实现B/S模式的系统架构，可以在任何地方进行操作而不用安装专门的软件，只要有一台能上网的电脑就能使用，主要包括系统账号管理、数据管理、数据查询、统计分析预警。自动收集相关信息，包括气象数据、设备信息、远程预警等，系统中将采集地点自动生成分布图，在地图上一目了然，通过地图搜索查询可直接找到并查看设备安装地点的位置和现场的实际情况及历史发生数据。气象数据则全部为系统自动采集、上传、处理、并生成趋势图等。</w:t>
      </w:r>
    </w:p>
    <w:p w14:paraId="18A755F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1、基础信息管理：</w:t>
      </w:r>
    </w:p>
    <w:p w14:paraId="669A00CE">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1.1区域信息管理。管理区域的范围划分，所属区域的指定，区域基本信息的维护，包括所属行政区域信息，区域面积信息，站点监测地址等。</w:t>
      </w:r>
    </w:p>
    <w:p w14:paraId="3D1DC66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1.2人员信息管理。将系统管理人员的信息、组织、权限等进行基本的信息管理与划分。</w:t>
      </w:r>
    </w:p>
    <w:p w14:paraId="3A509EDB">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 xml:space="preserve">1.3设备信息管理。对系统建设中的现场设备维护在系统中，包括位置信息、设备类型、设备名称、设备作用等，这些信息在系统运行过程中辅助设备获取现场环境信息，确保整个系统有效运行。  </w:t>
      </w:r>
    </w:p>
    <w:p w14:paraId="41EAF7B3">
      <w:pPr>
        <w:widowControl/>
        <w:adjustRightInd w:val="0"/>
        <w:snapToGrid w:val="0"/>
        <w:spacing w:line="360" w:lineRule="auto"/>
        <w:ind w:firstLine="480" w:firstLineChars="200"/>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每个监测区域通过墒情监测系统、环境监测系统、图像监控系统等，数字化农业生态服务云平台对每个监测点的空气温度、空气湿度、光照强度、风速风向、雨量、大气压力、土壤温湿度等各种作物生长过程中重要的参数进行实时监测，测量结果可以在平台上直观的显示出来，同时还可形成报表，自主选择时间范围，通过视频监控系统可以查看作物的长势等进行实时监测。</w:t>
      </w:r>
    </w:p>
    <w:p w14:paraId="6E2D541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2、GIS地图管理</w:t>
      </w:r>
    </w:p>
    <w:p w14:paraId="5BFFA376">
      <w:pPr>
        <w:widowControl/>
        <w:adjustRightInd w:val="0"/>
        <w:snapToGrid w:val="0"/>
        <w:spacing w:line="360" w:lineRule="auto"/>
        <w:ind w:firstLine="480" w:firstLineChars="200"/>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通过GIS地图的方式对监测站点域的地理位置在地图上也可进行定位，明确区域地理位置，同时兼具防盗的功能。</w:t>
      </w:r>
    </w:p>
    <w:p w14:paraId="792ECD3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3、GPS定位监测点分布展示</w:t>
      </w:r>
    </w:p>
    <w:p w14:paraId="1382BD2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统计并分析历年空气温度、空气湿度、土壤温度、土壤含水率、蒸发量、降雨量、风速、风向、光照度、光合有效辐射、气压等数据，形成统计图表，与有害生物的发生情况进行对比，用于研究农业有害生物高发期或森林物种长势优良时的参数值，为更好地林业有害生物预测、治理、防治和发展起指导作用。</w:t>
      </w:r>
    </w:p>
    <w:p w14:paraId="199F2776">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4、远程监控模块</w:t>
      </w:r>
    </w:p>
    <w:p w14:paraId="09B98661">
      <w:pPr>
        <w:widowControl/>
        <w:adjustRightInd w:val="0"/>
        <w:snapToGrid w:val="0"/>
        <w:spacing w:line="360" w:lineRule="auto"/>
        <w:ind w:firstLine="480" w:firstLineChars="200"/>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基于高清智能球机、枪机，可将监测现场实时采集的图像、视频直接传入云端服务器。通过摄像头的拉伸，可以清晰的查看植物的长势状况。</w:t>
      </w:r>
    </w:p>
    <w:p w14:paraId="2D64E6AB">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二、提供盖章的相关资料</w:t>
      </w:r>
      <w:r>
        <w:rPr>
          <w:rFonts w:hint="eastAsia" w:ascii="宋体" w:hAnsi="宋体" w:cs="宋体"/>
          <w:b/>
          <w:bCs/>
          <w:color w:val="auto"/>
          <w:sz w:val="24"/>
          <w:highlight w:val="none"/>
        </w:rPr>
        <w:t>（投标文件中需提供软件截图加盖投标人公章作为证明材料）</w:t>
      </w:r>
      <w:r>
        <w:rPr>
          <w:rFonts w:hint="eastAsia" w:ascii="宋体" w:hAnsi="宋体" w:cs="宋体"/>
          <w:color w:val="auto"/>
          <w:sz w:val="24"/>
          <w:highlight w:val="none"/>
        </w:rPr>
        <w:t>。</w:t>
      </w:r>
    </w:p>
    <w:p w14:paraId="12F20724">
      <w:pPr>
        <w:widowControl/>
        <w:adjustRightInd w:val="0"/>
        <w:snapToGrid w:val="0"/>
        <w:spacing w:line="360" w:lineRule="auto"/>
        <w:ind w:firstLine="480" w:firstLineChars="200"/>
        <w:jc w:val="left"/>
        <w:rPr>
          <w:rFonts w:hint="eastAsia" w:asciiTheme="minorEastAsia" w:hAnsiTheme="minorEastAsia"/>
          <w:color w:val="auto"/>
          <w:sz w:val="24"/>
          <w:highlight w:val="none"/>
        </w:rPr>
      </w:pPr>
    </w:p>
    <w:p w14:paraId="6A089B76">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6、农林气象环境监测系统</w:t>
      </w:r>
    </w:p>
    <w:p w14:paraId="6740DE39">
      <w:pPr>
        <w:widowControl/>
        <w:adjustRightInd w:val="0"/>
        <w:snapToGrid w:val="0"/>
        <w:spacing w:line="360" w:lineRule="auto"/>
        <w:jc w:val="left"/>
        <w:rPr>
          <w:rFonts w:hint="eastAsia" w:asciiTheme="minorEastAsia" w:hAnsiTheme="minorEastAsia"/>
          <w:b/>
          <w:color w:val="auto"/>
          <w:sz w:val="32"/>
          <w:szCs w:val="32"/>
          <w:highlight w:val="none"/>
        </w:rPr>
      </w:pPr>
      <w:r>
        <w:rPr>
          <w:rFonts w:hint="eastAsia" w:asciiTheme="minorEastAsia" w:hAnsiTheme="minorEastAsia"/>
          <w:color w:val="auto"/>
          <w:sz w:val="24"/>
          <w:highlight w:val="none"/>
        </w:rPr>
        <w:t>一、主要技术参数</w:t>
      </w:r>
    </w:p>
    <w:p w14:paraId="3E9A212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（一）功能简介</w:t>
      </w:r>
    </w:p>
    <w:p w14:paraId="39F7877A">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1、工作原理及工作环境：用于野外小型气象观测站气象监测，通过数据采集器将传感器测到的信号由数据采集器记录并通过采用 GPRS 无线网络数据上传到终端、采集到的气象数据进行分析，对大气的温湿度、风速风向，大气压力、降雨量、土壤温湿度等环境监测能够为农业环境监测提供实时数据。</w:t>
      </w:r>
    </w:p>
    <w:p w14:paraId="68151BC6">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2、数据采集器：</w:t>
      </w:r>
    </w:p>
    <w:p w14:paraId="0CD76D9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通道数：21 个通道，储存数量：52万条数据</w:t>
      </w:r>
    </w:p>
    <w:p w14:paraId="3F93506F">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供电方式：能够提供 2 种供电模式，太阳能或 220v 交流电</w:t>
      </w:r>
    </w:p>
    <w:p w14:paraId="1181765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记录间隔：1分钟～100天连续可调。</w:t>
      </w:r>
    </w:p>
    <w:p w14:paraId="2EA67E91">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防水等级：IP68，可防护潮湿环境及雨水冲刷，但禁止透水或用水浸泡。</w:t>
      </w:r>
    </w:p>
    <w:p w14:paraId="44523DAB">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工作环境：-40℃～80℃(0~100%RH)。</w:t>
      </w:r>
    </w:p>
    <w:p w14:paraId="22149D6B">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平均功耗：主机平均功耗≤0.1W，(电池供电:存储间隔60秒)。</w:t>
      </w:r>
    </w:p>
    <w:p w14:paraId="0BE7D29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可扩展：仪器内置GPS模块能测定测点的精确信息（经度、纬度）小数点后四位，定位精度：小于5米。集数据采集、记录于一体，全程跟踪记录，记录时间长，断电后数据不丢失。</w:t>
      </w:r>
    </w:p>
    <w:p w14:paraId="5787821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3、采集器通讯功能：</w:t>
      </w:r>
    </w:p>
    <w:p w14:paraId="04976B6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采用无线 GPRS 数据传输（5年流量），无需去现场操作。数据可通过GPRS无线模块上传至云平台及“全国土壤墒情监测系统”。</w:t>
      </w:r>
    </w:p>
    <w:p w14:paraId="4000123A">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蓝牙模块：手机蓝牙通讯，现场设置设备启动时间，读取即使数据。</w:t>
      </w:r>
    </w:p>
    <w:p w14:paraId="5DC823AB">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4、电源：采用220V、太阳能双供电方式，太阳能功率：≥30w逆变电源供电系统 1 套。</w:t>
      </w:r>
    </w:p>
    <w:p w14:paraId="620D46D6">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5、观测支架：整体采用烤瓷或静电喷涂工艺，具有良好的防腐蚀性，可长期运行于各种恶劣的室外环境，安装支架高度 3m，集成太阳能系统，可配备拉线，能够根据不同规格安装气象传感器支架及防水箱等设备。</w:t>
      </w:r>
    </w:p>
    <w:p w14:paraId="3263794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6、传感器技术指标</w:t>
      </w:r>
    </w:p>
    <w:p w14:paraId="2D306419">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风速测量范围：1~33m/s      精度：±1m/s；   分辨率：0.1m/s</w:t>
      </w:r>
    </w:p>
    <w:p w14:paraId="347CDB9D">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风向测量范围：0~360°      精度：±5°；   分辨率：0.1°</w:t>
      </w:r>
    </w:p>
    <w:p w14:paraId="3501E948">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空气温度范围：-30℃～70℃  精度：±0.2℃；  分辨率：0.1℃</w:t>
      </w:r>
    </w:p>
    <w:p w14:paraId="255F416E">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空气温度范围：0～100%RH  精度：±2%RH；  分辨率：0.1%RH</w:t>
      </w:r>
    </w:p>
    <w:p w14:paraId="525DDD5F">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太阳辐射范围：300～3000nm 灵敏度：7～14μV/W•m-2 年稳定度：±2%</w:t>
      </w:r>
    </w:p>
    <w:p w14:paraId="76025921">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大气压力范围：50～110Kpa   精度：±0.5 Kpa；   分辨率：0.1 Kpa</w:t>
      </w:r>
    </w:p>
    <w:p w14:paraId="53223C1A">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日照时数范围：0～24h     精度：±0.1h  分 辨 率 0.01h</w:t>
      </w:r>
    </w:p>
    <w:p w14:paraId="636887B0">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雨量范围：0～4mm/min（可在&lt;8mm/min条件下正常工作） 精度 ±3%（测试雨强2mm/min） 分辨率 0.2mm</w:t>
      </w:r>
    </w:p>
    <w:p w14:paraId="3C2A4766">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水面蒸发范围：0～240mm   精度：±0.5mm；   分辨率：0.1mm</w:t>
      </w:r>
    </w:p>
    <w:p w14:paraId="3D01F37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（二）功能要求：</w:t>
      </w:r>
    </w:p>
    <w:p w14:paraId="0EE4F24C">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1、大容量非易失性存储器，可实现长时间全程数据跟踪。</w:t>
      </w:r>
    </w:p>
    <w:p w14:paraId="0030029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2、通讯方式：GPRS远传平台/现场蓝牙通讯/近距离USB电脑通讯等多种通讯方式可供选择。GPRS无线传输系统：支持移动、联通、电信多种无线传输方式。</w:t>
      </w:r>
    </w:p>
    <w:p w14:paraId="4CDFF81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支持蓝牙：用户可以现场通过蓝牙和手机APP通讯获取即时数据、启动设备现场存储。有线USB数据通讯，支持标准USB数据接口，可通过本地通讯导出设备历史数据、查看即时数据及设置设备关键运行参数。</w:t>
      </w:r>
    </w:p>
    <w:p w14:paraId="473CEAF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3、存储功能：现场存储和云端存储双模式，数据双备份更安全，硬件存储条数不低于52万条。</w:t>
      </w:r>
    </w:p>
    <w:p w14:paraId="070EC37A">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4、设备运行环境：-40～80℃，0～100%RH(可在凝露环境稳定工作)，主机防护级别IP65，无线传输模块防护级别IP65,传感器防护级别IP68。</w:t>
      </w:r>
    </w:p>
    <w:p w14:paraId="5C6DC635">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7、土壤温湿度信息自动采集系统</w:t>
      </w:r>
    </w:p>
    <w:p w14:paraId="7A59C38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一、技术参数：</w:t>
      </w:r>
    </w:p>
    <w:p w14:paraId="60AE2D6A">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1、运行环境：-30℃ ～70℃</w:t>
      </w:r>
    </w:p>
    <w:p w14:paraId="1511179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*2、外壳防水等级：IP68</w:t>
      </w:r>
    </w:p>
    <w:p w14:paraId="4BC30520">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3、土壤水分测量范围：干土 ～ 水分饱和土（0~100%）</w:t>
      </w:r>
    </w:p>
    <w:p w14:paraId="13A86D7A">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*4、土壤水分测量精度：±3%</w:t>
      </w:r>
    </w:p>
    <w:p w14:paraId="3F7C946C">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5、监测深度：最大200cm</w:t>
      </w:r>
    </w:p>
    <w:p w14:paraId="2956C86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*6、土层监测间距：最小10cm间距</w:t>
      </w:r>
    </w:p>
    <w:p w14:paraId="0153EB9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7、数据采集间隔：1分钟 - 100天</w:t>
      </w:r>
    </w:p>
    <w:p w14:paraId="0B81F29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*8、数据采集设置：本地软件设置,现场蓝牙手机APP设置和远程电脑设置</w:t>
      </w:r>
    </w:p>
    <w:p w14:paraId="1343A86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9、分 辨 率：0.5%</w:t>
      </w:r>
    </w:p>
    <w:p w14:paraId="25A042D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10、线 性 度：≥90%</w:t>
      </w:r>
    </w:p>
    <w:p w14:paraId="1030CB8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11、互换精度：≤2%</w:t>
      </w:r>
    </w:p>
    <w:p w14:paraId="3AFD73B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12、带电插拔：支持</w:t>
      </w:r>
    </w:p>
    <w:p w14:paraId="284E12D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*13、湿度类型：相对含水量（农业测墒通用指标）</w:t>
      </w:r>
    </w:p>
    <w:p w14:paraId="56364103">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14、土壤温度测量范围：-30℃～70℃（A级PT1000）</w:t>
      </w:r>
    </w:p>
    <w:p w14:paraId="7A68E7AE">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15、土壤温度测量精度：±0.2℃</w:t>
      </w:r>
    </w:p>
    <w:p w14:paraId="258CE50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*16、超低功耗：待机电流小于0.1MA</w:t>
      </w:r>
    </w:p>
    <w:p w14:paraId="293A860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二、功能要求：</w:t>
      </w:r>
    </w:p>
    <w:p w14:paraId="4534572A">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多种功能一体集成，集成高精度数据采集、处理单元，多层次、不同间隔的土壤温湿度同时测量（例如10cm、30cm、50cm、80cm），具备GPRS无线远程传输，大容量非易失性存储器，可实现长时间全程数据跟踪，记录间隔1分至100天任意设置。</w:t>
      </w:r>
    </w:p>
    <w:p w14:paraId="0400CEF0">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2、采用220V、太阳能双供电系统：10W高性能太阳能板和快速充电系统，正常天气5小时充满电池。</w:t>
      </w:r>
    </w:p>
    <w:p w14:paraId="2E0F772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3、锂电池：10.4AH ; 高密度、高性能进口三星电池，为阴雨天提供长达两个月以上的续航</w:t>
      </w:r>
    </w:p>
    <w:p w14:paraId="225ABBDB">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4、通讯方式：GPRS远传平台/现场蓝牙通讯/近距离USB电脑通讯等多种通讯方式可供选择。</w:t>
      </w:r>
    </w:p>
    <w:p w14:paraId="0DE58C3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*GPRS无线传输系统（5年流量）：全频段传输支持移动、联通、电信多种无线传输方式。</w:t>
      </w:r>
    </w:p>
    <w:p w14:paraId="3A41C52B">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☆支持蓝牙：用户可以现场通过蓝牙和手机APP通讯获取即时数据、启动设备现场存储。</w:t>
      </w:r>
    </w:p>
    <w:p w14:paraId="0835E7A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△有线USB：支持标准USB数据接口，可通过本地通讯导出设备历史数据、查看即时数据及设置设备关键运行参数。</w:t>
      </w:r>
    </w:p>
    <w:p w14:paraId="1703B946">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5、存储功能：现场存储、云端存储。</w:t>
      </w:r>
    </w:p>
    <w:p w14:paraId="04E7653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现场存储：硬件存储条数不低于52万条。</w:t>
      </w:r>
    </w:p>
    <w:p w14:paraId="3C23681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6、仪器具备：相对含水量、体积含水量、质量含水量三种测量功能，可以跟据客户要求输出一种测量方式，具备校正表功能，允许针对特殊土质进行二次标定、测量精度更高。受土壤含盐量影响较小，对大部分土质的适应能力更强。</w:t>
      </w:r>
    </w:p>
    <w:p w14:paraId="355E1F04">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#7、</w:t>
      </w:r>
      <w:r>
        <w:rPr>
          <w:rFonts w:hint="eastAsia" w:asciiTheme="minorEastAsia" w:hAnsiTheme="minorEastAsia"/>
          <w:color w:val="auto"/>
          <w:sz w:val="24"/>
          <w:highlight w:val="none"/>
        </w:rPr>
        <w:t>设备运行环境：-30～70℃，0～100%RH(可在凝露环境稳定工作)，管式一体化土壤墒情监测站防护级别IP68。</w:t>
      </w:r>
    </w:p>
    <w:p w14:paraId="76D8A74E">
      <w:pPr>
        <w:widowControl/>
        <w:adjustRightInd w:val="0"/>
        <w:snapToGrid w:val="0"/>
        <w:spacing w:line="360" w:lineRule="auto"/>
        <w:jc w:val="left"/>
        <w:rPr>
          <w:rFonts w:hint="eastAsia" w:asciiTheme="minorEastAsia" w:hAnsiTheme="minorEastAsia"/>
          <w:color w:val="auto"/>
          <w:sz w:val="24"/>
          <w:highlight w:val="none"/>
        </w:rPr>
      </w:pPr>
    </w:p>
    <w:p w14:paraId="709746C8">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8、称重式降水测量系统</w:t>
      </w:r>
    </w:p>
    <w:p w14:paraId="768352C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一、技术参数</w:t>
      </w:r>
    </w:p>
    <w:p w14:paraId="270B7A54">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1、承雨口径：φ200±0.06mm；</w:t>
      </w:r>
    </w:p>
    <w:p w14:paraId="7E60C0DA">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 xml:space="preserve">2、刃口锐角：40°～45°； </w:t>
      </w:r>
    </w:p>
    <w:p w14:paraId="60D37151">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3、量   程：0~1000mm；</w:t>
      </w:r>
    </w:p>
    <w:p w14:paraId="2AAF0FA9">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4、分辨率：0.1mm；</w:t>
      </w:r>
    </w:p>
    <w:p w14:paraId="18F89B11">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5、测量误差(强度≥0.5mm/h)： ±0.2mm，≤10mm时；±2%，&gt;10mm时；</w:t>
      </w:r>
    </w:p>
    <w:p w14:paraId="1461986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6、载荷量：50KG；</w:t>
      </w:r>
    </w:p>
    <w:p w14:paraId="7F201D8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7、供电范围：220V；</w:t>
      </w:r>
    </w:p>
    <w:p w14:paraId="0E199EC9">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8、工作温度范围：-40℃~60℃；</w:t>
      </w:r>
    </w:p>
    <w:p w14:paraId="07ED374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9、温度检测精度：±0.5℃；</w:t>
      </w:r>
    </w:p>
    <w:p w14:paraId="326F33E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10、时钟精度：2分钟/年；</w:t>
      </w:r>
    </w:p>
    <w:p w14:paraId="6F260D5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11、存储容量：大于10年；</w:t>
      </w:r>
    </w:p>
    <w:p w14:paraId="21DA8AD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12、输出方式：RS485（协议见附录）或开关量；</w:t>
      </w:r>
    </w:p>
    <w:p w14:paraId="580D117A">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13、加热套件：选装；</w:t>
      </w:r>
    </w:p>
    <w:p w14:paraId="0864581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14、尺寸（测量仪）：高：692mm ；外径：368mm；</w:t>
      </w:r>
    </w:p>
    <w:p w14:paraId="0C93BA2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15、总重（测量仪）：14KG。</w:t>
      </w:r>
    </w:p>
    <w:p w14:paraId="1A5A320F">
      <w:pPr>
        <w:widowControl/>
        <w:adjustRightInd w:val="0"/>
        <w:snapToGrid w:val="0"/>
        <w:spacing w:line="360" w:lineRule="auto"/>
        <w:jc w:val="left"/>
        <w:rPr>
          <w:rFonts w:hint="eastAsia" w:asciiTheme="minorEastAsia" w:hAnsiTheme="minorEastAsia"/>
          <w:color w:val="auto"/>
          <w:sz w:val="24"/>
          <w:highlight w:val="none"/>
        </w:rPr>
      </w:pPr>
    </w:p>
    <w:p w14:paraId="113F1789">
      <w:pPr>
        <w:widowControl/>
        <w:adjustRightInd w:val="0"/>
        <w:snapToGrid w:val="0"/>
        <w:spacing w:line="360" w:lineRule="auto"/>
        <w:jc w:val="left"/>
        <w:rPr>
          <w:rFonts w:hint="eastAsia" w:asciiTheme="minorEastAsia" w:hAnsiTheme="minorEastAsia"/>
          <w:color w:val="auto"/>
          <w:sz w:val="24"/>
          <w:highlight w:val="none"/>
        </w:rPr>
      </w:pPr>
    </w:p>
    <w:p w14:paraId="3C768B15">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9、E601型蒸发器</w:t>
      </w:r>
    </w:p>
    <w:p w14:paraId="2AC273D4">
      <w:pPr>
        <w:widowControl/>
        <w:adjustRightInd w:val="0"/>
        <w:snapToGrid w:val="0"/>
        <w:spacing w:line="360" w:lineRule="auto"/>
        <w:jc w:val="center"/>
        <w:outlineLvl w:val="1"/>
        <w:rPr>
          <w:rFonts w:hint="eastAsia" w:asciiTheme="minorEastAsia" w:hAnsiTheme="minorEastAsia"/>
          <w:b/>
          <w:color w:val="auto"/>
          <w:sz w:val="32"/>
          <w:szCs w:val="32"/>
          <w:highlight w:val="none"/>
        </w:rPr>
      </w:pPr>
    </w:p>
    <w:p w14:paraId="00E265A2">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主要由蒸发器、水圈、溢流桶和测针四部分组成。</w:t>
      </w:r>
    </w:p>
    <w:p w14:paraId="0861B49F">
      <w:pPr>
        <w:widowControl/>
        <w:adjustRightInd w:val="0"/>
        <w:snapToGrid w:val="0"/>
        <w:spacing w:line="360" w:lineRule="auto"/>
        <w:jc w:val="left"/>
        <w:rPr>
          <w:rFonts w:hint="eastAsia" w:asciiTheme="minorEastAsia" w:hAnsiTheme="minorEastAsia"/>
          <w:color w:val="auto"/>
          <w:sz w:val="24"/>
          <w:highlight w:val="none"/>
        </w:rPr>
      </w:pPr>
    </w:p>
    <w:p w14:paraId="275AF727">
      <w:pPr>
        <w:widowControl/>
        <w:adjustRightInd w:val="0"/>
        <w:snapToGrid w:val="0"/>
        <w:spacing w:line="360" w:lineRule="auto"/>
        <w:jc w:val="center"/>
        <w:outlineLvl w:val="1"/>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10、远程图像监控系统</w:t>
      </w:r>
    </w:p>
    <w:p w14:paraId="67C86BC5">
      <w:pPr>
        <w:widowControl/>
        <w:adjustRightInd w:val="0"/>
        <w:snapToGrid w:val="0"/>
        <w:spacing w:line="360" w:lineRule="auto"/>
        <w:jc w:val="center"/>
        <w:outlineLvl w:val="1"/>
        <w:rPr>
          <w:rFonts w:hint="eastAsia" w:asciiTheme="minorEastAsia" w:hAnsiTheme="minorEastAsia"/>
          <w:b/>
          <w:color w:val="auto"/>
          <w:sz w:val="32"/>
          <w:szCs w:val="32"/>
          <w:highlight w:val="none"/>
        </w:rPr>
      </w:pPr>
    </w:p>
    <w:p w14:paraId="0EDB4989">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1.支持360°水平旋转，垂直方向-15°-90°（自动翻转）</w:t>
      </w:r>
    </w:p>
    <w:p w14:paraId="0DA0CA3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2.像素：200万</w:t>
      </w:r>
    </w:p>
    <w:p w14:paraId="6C7A515B">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3.支持宽幅电压：9-18V</w:t>
      </w:r>
    </w:p>
    <w:p w14:paraId="2B9004C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4.设备运行最大功耗18W，休眠模式功耗3.2W，静止图像功耗5.2W</w:t>
      </w:r>
    </w:p>
    <w:p w14:paraId="4F14DFF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5.支持告警触发、配置定时预置位抓图唤醒</w:t>
      </w:r>
    </w:p>
    <w:p w14:paraId="6EE03EF2">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6.支持深度学习算法，有效提升Smart和跟踪能力</w:t>
      </w:r>
    </w:p>
    <w:p w14:paraId="2BDBC9AB">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7.支持最大1920×1080@30fps高清画面输出</w:t>
      </w:r>
    </w:p>
    <w:p w14:paraId="29D4736C">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8.支持4G（移动、联通，电信）5年物联网络传输，兼容3G（移动、联通、电信）</w:t>
      </w:r>
    </w:p>
    <w:p w14:paraId="565CC8F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9.支持H.265高效压缩算法，可较大节省存储空间</w:t>
      </w:r>
    </w:p>
    <w:p w14:paraId="409626D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10.支持超低照度，0.005Lux/F1.6(彩色),0.001Lux/F1.6(黑白) ,0 Lux with IR</w:t>
      </w:r>
    </w:p>
    <w:p w14:paraId="5B5DA72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11.支持23倍光学变倍</w:t>
      </w:r>
    </w:p>
    <w:p w14:paraId="32E360B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12.采用高效红外阵列，低功耗，照射距离最远可达100m</w:t>
      </w:r>
    </w:p>
    <w:p w14:paraId="5801E72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13.支持960p@60fps、720p@60fps高帧率输出</w:t>
      </w:r>
    </w:p>
    <w:p w14:paraId="5C0DB67B">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14.支持三码流技术，每路码流可独立配置分辨率及帧率</w:t>
      </w:r>
    </w:p>
    <w:p w14:paraId="151E7B6E">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15.支持人脸抓拍、区域入侵侦测、越界侦测、移动侦测等智能侦测功能</w:t>
      </w:r>
    </w:p>
    <w:p w14:paraId="4D71F04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△16.支持3D数字降噪、强光抑制、电子防抖、SmartIR</w:t>
      </w:r>
    </w:p>
    <w:p w14:paraId="271B6195">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△17.支持3D定位，可通过鼠标框选目标以实现目标的快速定位与捕捉</w:t>
      </w:r>
    </w:p>
    <w:p w14:paraId="607B54CA">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18.支持定时抓图与事件抓图功能</w:t>
      </w:r>
    </w:p>
    <w:p w14:paraId="7670A40B">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△19.支持区域曝光与区域聚焦功能</w:t>
      </w:r>
    </w:p>
    <w:p w14:paraId="5A5231F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20.支持1路音频输入和1路音频输出</w:t>
      </w:r>
    </w:p>
    <w:p w14:paraId="1E53568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21.内置1路报警输入和1路报警输出，支持报警联动功能</w:t>
      </w:r>
    </w:p>
    <w:p w14:paraId="7E2A45D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22.支持最大256G的 Micro SD/SDHC/SDXC卡存储，内置EMCC存储，支持人脸断电续传</w:t>
      </w:r>
    </w:p>
    <w:p w14:paraId="36C52A2F">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23.防雷、防浪涌、防突波，IP66防护等级</w:t>
      </w:r>
    </w:p>
    <w:p w14:paraId="44F01D0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24.光伏组件：单晶硅，组件效率：≥17%，寿命：不少于10年，10年线性功率保证：≥90%不低于150W；</w:t>
      </w:r>
    </w:p>
    <w:p w14:paraId="4A9641C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25.控制器高效的串联式PWM充电方式，保证蓄电池正常使用寿命，提高了系统性能蓄电池指示灯可直观判断蓄电池电压状态，简洁直观，采用温度补偿，自动调整充放电参数，多重的保护功能：蓄电池超压保护、蓄电池过放保护、负载短路保护、负载过载保护、高压浪涌保护、人性化按键设置，操作更加舒适、方便、工业级设计。</w:t>
      </w:r>
    </w:p>
    <w:p w14:paraId="0165430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26.静态损耗：12V≤9.6mA; 24V≤10.5mA</w:t>
      </w:r>
    </w:p>
    <w:p w14:paraId="24C97368">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27.充电回路压降：≤0.18V</w:t>
      </w:r>
    </w:p>
    <w:p w14:paraId="5F5D2D0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28.放电回路压降：≤0.26V</w:t>
      </w:r>
    </w:p>
    <w:p w14:paraId="14955F7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29.工作环境温度：-35℃ ～ +50℃</w:t>
      </w:r>
    </w:p>
    <w:p w14:paraId="417D1CD2">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30.相对湿度：≤95%,无凝露</w:t>
      </w:r>
    </w:p>
    <w:p w14:paraId="77C77908">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31.耐低温胶体电池: 12V、电池容量：不低于110AH，设计寿命：3-5年</w:t>
      </w:r>
    </w:p>
    <w:p w14:paraId="3A7B127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32.具有性价比高、温度适应区间广、充电接受能力高、耐过充过放能力好、维护方便、不饱和循环充电寿命长的特点。</w:t>
      </w:r>
    </w:p>
    <w:p w14:paraId="1E7FD15F">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33.供电系统需要保证设备连续阴雨工作7天以上</w:t>
      </w:r>
    </w:p>
    <w:p w14:paraId="288FEC33">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34.采用220V、太阳能双供电系统、支架高为3米</w:t>
      </w:r>
    </w:p>
    <w:p w14:paraId="34652D54">
      <w:pPr>
        <w:jc w:val="center"/>
        <w:rPr>
          <w:rFonts w:hint="eastAsia" w:asciiTheme="minorEastAsia" w:hAnsiTheme="minorEastAsia"/>
          <w:color w:val="auto"/>
          <w:sz w:val="24"/>
          <w:highlight w:val="none"/>
        </w:rPr>
      </w:pPr>
      <w:r>
        <w:rPr>
          <w:rFonts w:hint="eastAsia" w:asciiTheme="minorEastAsia" w:hAnsiTheme="minorEastAsia"/>
          <w:b/>
          <w:color w:val="auto"/>
          <w:sz w:val="32"/>
          <w:szCs w:val="32"/>
          <w:highlight w:val="none"/>
        </w:rPr>
        <w:t>11、智能生态气象站</w:t>
      </w:r>
    </w:p>
    <w:p w14:paraId="2888D053">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1.具备气象七参数测量能力（风速、风向、气温、湿度、大气压力、降雨量、太阳辐射）</w:t>
      </w:r>
    </w:p>
    <w:p w14:paraId="23ACCDB5">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2.具备移动网络或局域数据网络通讯能力 ，具有GPRS无线通讯功能，自动上传测量数据，以GPRS方式与服务器通讯。</w:t>
      </w:r>
    </w:p>
    <w:p w14:paraId="375C4C28">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3.定位功能：每一套气象观测系统都带有一个GPS定位系统，其经纬度地理位置信息可通过GPRS发送到后台服务器。</w:t>
      </w:r>
    </w:p>
    <w:p w14:paraId="6AE2653C">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4.结构防水设计（IP65）、抗恶劣气候环境设计。</w:t>
      </w:r>
    </w:p>
    <w:p w14:paraId="0A528C50">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5.测量要素及数据处理：风速、风向、大气温度、相对湿度、大气压力、降雨量、太阳辐射等，支持云智能数据传输，支持微信数据服务和服务器远程数据服务。</w:t>
      </w:r>
    </w:p>
    <w:p w14:paraId="1BDD808D">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 xml:space="preserve">5.1超声波风速传感器，风速测量范围：0～60m/s；分辨率：0.01m/s；测量精度：±（0.5+0.03v）m/s           </w:t>
      </w:r>
    </w:p>
    <w:p w14:paraId="1B997080">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5.2超声波风向传感器，风向测量范围：0～360°；分辨率：0.1°；测量精度：±3°</w:t>
      </w:r>
    </w:p>
    <w:p w14:paraId="687D98B8">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5.3室外温度测量范围：-40℃～65℃；分辨率：0.02℃；测量精度：±0.2℃</w:t>
      </w:r>
    </w:p>
    <w:p w14:paraId="3558A9DB">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5.4大气压力测量范围：300～1100hPa；分辨率：0.01 hPa 测量精度：±0.5 hPa</w:t>
      </w:r>
    </w:p>
    <w:p w14:paraId="2578F653">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5.5相对湿度测量范围：0-100%RH；分辨率：0.05% RH；测量精度：±3% RH</w:t>
      </w:r>
    </w:p>
    <w:p w14:paraId="2C8E97BC">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5.6降雨测量范围：0～200mm/h；分辨率：0.01mm；测量精度：±4%</w:t>
      </w:r>
    </w:p>
    <w:p w14:paraId="755FC902">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5.7太阳辐射测量范围：0-1800W/m2，分辨率：0.1W/m2，测量精度：±5%</w:t>
      </w:r>
    </w:p>
    <w:p w14:paraId="76AF370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5.8气象站具有电子罗盘功能，可自动找北，不需要在现场进行指南针找北</w:t>
      </w:r>
    </w:p>
    <w:p w14:paraId="3ADEF79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5.9气象站具有电子陀螺功能，可自动水平校正。</w:t>
      </w:r>
    </w:p>
    <w:p w14:paraId="16CC1812">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5.10手机微信和PC网页实时查看数据</w:t>
      </w:r>
    </w:p>
    <w:p w14:paraId="2EC42C54">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5.11采用压电式雨量计监测降雨，且有效压电面板尺寸φ200mm；</w:t>
      </w:r>
    </w:p>
    <w:p w14:paraId="36E5586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5.12采用超声波原理测量风速风向。</w:t>
      </w:r>
    </w:p>
    <w:p w14:paraId="177E1322">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6.集成一体化结构设计： 所有传感器单元、充电电池、主机板、无线通讯模块等部件都集成设计，重量轻、体积小</w:t>
      </w:r>
    </w:p>
    <w:p w14:paraId="5AB0C868">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7.配置清单</w:t>
      </w:r>
    </w:p>
    <w:p w14:paraId="4B051B71">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7.1 智能生态气象站1套；7.2 太阳能板1套</w:t>
      </w:r>
    </w:p>
    <w:p w14:paraId="1DFA99D7">
      <w:pPr>
        <w:rPr>
          <w:rFonts w:hint="eastAsia" w:asciiTheme="minorEastAsia" w:hAnsiTheme="minorEastAsia"/>
          <w:color w:val="auto"/>
          <w:sz w:val="24"/>
          <w:highlight w:val="none"/>
        </w:rPr>
      </w:pPr>
      <w:r>
        <w:rPr>
          <w:rFonts w:hint="eastAsia" w:asciiTheme="minorEastAsia" w:hAnsiTheme="minorEastAsia"/>
          <w:color w:val="auto"/>
          <w:sz w:val="24"/>
          <w:highlight w:val="none"/>
        </w:rPr>
        <w:br w:type="page"/>
      </w:r>
    </w:p>
    <w:p w14:paraId="31EC9424">
      <w:pPr>
        <w:jc w:val="center"/>
        <w:rPr>
          <w:rFonts w:hint="eastAsia" w:asciiTheme="minorEastAsia" w:hAnsiTheme="minorEastAsia"/>
          <w:b/>
          <w:color w:val="auto"/>
          <w:sz w:val="32"/>
          <w:szCs w:val="32"/>
          <w:highlight w:val="none"/>
        </w:rPr>
      </w:pPr>
      <w:r>
        <w:rPr>
          <w:rFonts w:hint="eastAsia" w:asciiTheme="minorEastAsia" w:hAnsiTheme="minorEastAsia"/>
          <w:b/>
          <w:color w:val="auto"/>
          <w:sz w:val="32"/>
          <w:szCs w:val="32"/>
          <w:highlight w:val="none"/>
        </w:rPr>
        <w:t>12、土壤墒情自动采集系统（液位版）</w:t>
      </w:r>
    </w:p>
    <w:p w14:paraId="5BFBE40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一、技术参数：</w:t>
      </w:r>
    </w:p>
    <w:p w14:paraId="6968785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1、运行环境：-30℃ ～70℃</w:t>
      </w:r>
    </w:p>
    <w:p w14:paraId="67DCEB6E">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*2、外壳防水等级：IP68</w:t>
      </w:r>
    </w:p>
    <w:p w14:paraId="2140CEA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3、土壤水分测量范围：干土 ～ 水分饱和土（0~100%）</w:t>
      </w:r>
    </w:p>
    <w:p w14:paraId="4E44A18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*4、土壤水分测量精度：±3%</w:t>
      </w:r>
    </w:p>
    <w:p w14:paraId="39F58F1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5、监测深度：最大</w:t>
      </w:r>
      <w:r>
        <w:rPr>
          <w:rFonts w:asciiTheme="minorEastAsia" w:hAnsiTheme="minorEastAsia"/>
          <w:color w:val="auto"/>
          <w:sz w:val="24"/>
          <w:highlight w:val="none"/>
        </w:rPr>
        <w:t>1</w:t>
      </w:r>
      <w:r>
        <w:rPr>
          <w:rFonts w:hint="eastAsia" w:asciiTheme="minorEastAsia" w:hAnsiTheme="minorEastAsia"/>
          <w:color w:val="auto"/>
          <w:sz w:val="24"/>
          <w:highlight w:val="none"/>
        </w:rPr>
        <w:t>00cm</w:t>
      </w:r>
    </w:p>
    <w:p w14:paraId="1C800190">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6、土层监测间距：最小10cm间距</w:t>
      </w:r>
    </w:p>
    <w:p w14:paraId="75C8A35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7、数据采集间隔：1分钟 - 100天</w:t>
      </w:r>
    </w:p>
    <w:p w14:paraId="2D300D8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*8、数据采集设置：本地软件设置,现场蓝牙手机APP设置和远程电脑设置</w:t>
      </w:r>
    </w:p>
    <w:p w14:paraId="278335A1">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9、分 辨 率：0.5%</w:t>
      </w:r>
    </w:p>
    <w:p w14:paraId="6FAD2F9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10、线 性 度：≥90%</w:t>
      </w:r>
    </w:p>
    <w:p w14:paraId="62068B7D">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11、互换精度：≤2%</w:t>
      </w:r>
    </w:p>
    <w:p w14:paraId="30223512">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12、带电插拔：支持</w:t>
      </w:r>
    </w:p>
    <w:p w14:paraId="2B5AB447">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*13、湿度类型：相对含水量（农业测墒通用指标）</w:t>
      </w:r>
    </w:p>
    <w:p w14:paraId="51C2DF3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14、土壤温度测量范围：-30℃～70℃（A级PT1000）</w:t>
      </w:r>
    </w:p>
    <w:p w14:paraId="3BFAD9AA">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15、土壤温度测量精度：±0.2℃</w:t>
      </w:r>
    </w:p>
    <w:p w14:paraId="217D1292">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16、水位传感器测量范围：0～300MM(可以定制深度)    精度：±0.8MM   分辨率: 0.3MM</w:t>
      </w:r>
    </w:p>
    <w:p w14:paraId="563E2D4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*17、超低功耗：待机电流小于0.1MA</w:t>
      </w:r>
    </w:p>
    <w:p w14:paraId="2A5BC62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二、功能要求：</w:t>
      </w:r>
    </w:p>
    <w:p w14:paraId="1DCD72FA">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1、多种功能一体集成，集成高精度数据采集、处理单元，多层次、不同间隔的土壤温湿度同时测量（例如10cm、30cm、50cm、80cm），具备GPRS无线远程传输，大容量非易失性存储器，可实现长时间全程数据跟踪，记录间隔1分至100天任意设置。</w:t>
      </w:r>
    </w:p>
    <w:p w14:paraId="6DC0AC1F">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*2、标配的太阳能供电系统：10W高性能太阳能板和快速充电系统，正常天气5小时充满电池。</w:t>
      </w:r>
    </w:p>
    <w:p w14:paraId="1398102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3、锂电池：10.4AH ; 高密度、高性能进口三星电池，为阴雨天提供长达两个月以上的续航</w:t>
      </w:r>
    </w:p>
    <w:p w14:paraId="4BB0A1C7">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w:t>
      </w:r>
      <w:r>
        <w:rPr>
          <w:rFonts w:hint="eastAsia" w:asciiTheme="minorEastAsia" w:hAnsiTheme="minorEastAsia"/>
          <w:color w:val="auto"/>
          <w:sz w:val="24"/>
          <w:highlight w:val="none"/>
        </w:rPr>
        <w:t>4、通讯方式：GPRS远传平台/现场蓝牙通讯/近距离USB电脑通讯等多种通讯方式可供选择。</w:t>
      </w:r>
    </w:p>
    <w:p w14:paraId="523B2190">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*GPRS无线传输系统（5年流量）：全频段传输支持移动、联通、电信多种无线传输方式。</w:t>
      </w:r>
    </w:p>
    <w:p w14:paraId="41837C16">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支持蓝牙：用户可以现场通过蓝牙和手机APP通讯获取即时数据、启动设备现场存储。</w:t>
      </w:r>
    </w:p>
    <w:p w14:paraId="6C3C2B9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有线USB：支持标准USB数据接口，可通过本地通讯导出设备历史数据、查看即时数据及设置设备关键运行参数。</w:t>
      </w:r>
    </w:p>
    <w:p w14:paraId="5B61F4C9">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5、存储功能：现场存储、云端存储。</w:t>
      </w:r>
    </w:p>
    <w:p w14:paraId="57F89943">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现场存储：硬件存储条数不低于52万条。</w:t>
      </w:r>
    </w:p>
    <w:p w14:paraId="771C7BCC">
      <w:pPr>
        <w:widowControl/>
        <w:adjustRightInd w:val="0"/>
        <w:snapToGrid w:val="0"/>
        <w:spacing w:line="360" w:lineRule="auto"/>
        <w:jc w:val="left"/>
        <w:rPr>
          <w:rFonts w:hint="eastAsia" w:asciiTheme="minorEastAsia" w:hAnsiTheme="minorEastAsia"/>
          <w:color w:val="auto"/>
          <w:sz w:val="24"/>
          <w:highlight w:val="none"/>
        </w:rPr>
      </w:pPr>
      <w:r>
        <w:rPr>
          <w:rFonts w:hint="eastAsia" w:asciiTheme="minorEastAsia" w:hAnsiTheme="minorEastAsia"/>
          <w:color w:val="auto"/>
          <w:sz w:val="24"/>
          <w:highlight w:val="none"/>
        </w:rPr>
        <w:t>*6、仪器具备：相对含水量、体积含水量、质量含水量三种测量功能，可以跟据客户要求输出一种测量方式，具备校正表功能，允许针对特殊土质进行二次标定、测量精度更高。受土壤含盐量影响较小，对大部分土质的适应能力更强。</w:t>
      </w:r>
    </w:p>
    <w:p w14:paraId="1AC646DC">
      <w:pPr>
        <w:widowControl/>
        <w:adjustRightInd w:val="0"/>
        <w:snapToGrid w:val="0"/>
        <w:spacing w:line="360" w:lineRule="auto"/>
        <w:jc w:val="left"/>
        <w:rPr>
          <w:rFonts w:hint="eastAsia" w:asciiTheme="minorEastAsia" w:hAnsiTheme="minorEastAsia"/>
          <w:color w:val="auto"/>
          <w:sz w:val="24"/>
          <w:highlight w:val="none"/>
        </w:rPr>
      </w:pPr>
      <w:r>
        <w:rPr>
          <w:rFonts w:asciiTheme="minorEastAsia" w:hAnsiTheme="minorEastAsia"/>
          <w:color w:val="auto"/>
          <w:sz w:val="24"/>
          <w:highlight w:val="none"/>
        </w:rPr>
        <w:t>#7、</w:t>
      </w:r>
      <w:r>
        <w:rPr>
          <w:rFonts w:hint="eastAsia" w:asciiTheme="minorEastAsia" w:hAnsiTheme="minorEastAsia"/>
          <w:color w:val="auto"/>
          <w:sz w:val="24"/>
          <w:highlight w:val="none"/>
        </w:rPr>
        <w:t>设备运行环境：-30～70℃，0～100%RH(可在凝露环境稳定工作)，管式一体化土壤墒情监测站防护级别IP68。</w:t>
      </w:r>
    </w:p>
    <w:p w14:paraId="4399223D">
      <w:pPr>
        <w:widowControl/>
        <w:adjustRightInd w:val="0"/>
        <w:snapToGrid w:val="0"/>
        <w:spacing w:line="360" w:lineRule="auto"/>
        <w:jc w:val="left"/>
        <w:rPr>
          <w:rFonts w:hint="eastAsia" w:asciiTheme="minorEastAsia" w:hAnsiTheme="minorEastAsia"/>
          <w:color w:val="auto"/>
          <w:sz w:val="24"/>
          <w:highlight w:val="none"/>
        </w:rPr>
      </w:pPr>
    </w:p>
    <w:p w14:paraId="64C36077">
      <w:pPr>
        <w:spacing w:line="460" w:lineRule="exact"/>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一、质量要求及质保：</w:t>
      </w:r>
    </w:p>
    <w:p w14:paraId="36589B0F">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1、质量要求：符合国家及行业现行相关标准和规范。</w:t>
      </w:r>
    </w:p>
    <w:p w14:paraId="0041628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2、质保期：为一年；</w:t>
      </w:r>
    </w:p>
    <w:p w14:paraId="676D5A83">
      <w:pPr>
        <w:pStyle w:val="46"/>
        <w:spacing w:line="360" w:lineRule="auto"/>
        <w:ind w:left="0"/>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二、售后服务及培训措施</w:t>
      </w:r>
    </w:p>
    <w:p w14:paraId="69363765">
      <w:pPr>
        <w:spacing w:line="360" w:lineRule="auto"/>
        <w:ind w:left="400"/>
        <w:rPr>
          <w:rFonts w:hint="eastAsia" w:ascii="宋体" w:hAnsi="宋体" w:eastAsia="宋体" w:cs="宋体"/>
          <w:color w:val="auto"/>
          <w:sz w:val="24"/>
          <w:highlight w:val="none"/>
        </w:rPr>
      </w:pPr>
      <w:r>
        <w:rPr>
          <w:rFonts w:hint="eastAsia" w:ascii="宋体" w:hAnsi="宋体" w:eastAsia="宋体" w:cs="宋体"/>
          <w:color w:val="auto"/>
          <w:sz w:val="24"/>
          <w:highlight w:val="none"/>
        </w:rPr>
        <w:t>1、供方负责将仪器设备搬运到试验室指定位置，不得破坏房屋结构。</w:t>
      </w:r>
    </w:p>
    <w:p w14:paraId="5FF803D1">
      <w:pPr>
        <w:spacing w:line="360" w:lineRule="auto"/>
        <w:ind w:left="400"/>
        <w:rPr>
          <w:rFonts w:hint="eastAsia" w:ascii="宋体" w:hAnsi="宋体" w:eastAsia="宋体" w:cs="宋体"/>
          <w:color w:val="auto"/>
          <w:sz w:val="24"/>
          <w:highlight w:val="none"/>
        </w:rPr>
      </w:pPr>
      <w:r>
        <w:rPr>
          <w:rFonts w:hint="eastAsia" w:ascii="宋体" w:hAnsi="宋体" w:eastAsia="宋体" w:cs="宋体"/>
          <w:color w:val="auto"/>
          <w:sz w:val="24"/>
          <w:highlight w:val="none"/>
        </w:rPr>
        <w:t>2、在设备到达试验室后，根据要求的时间内，进行设备安装、调试及试机验收，并保证设备运行正常。</w:t>
      </w:r>
    </w:p>
    <w:p w14:paraId="48B758DE">
      <w:pPr>
        <w:spacing w:line="360" w:lineRule="auto"/>
        <w:ind w:left="400"/>
        <w:rPr>
          <w:rFonts w:hint="eastAsia" w:ascii="宋体" w:hAnsi="宋体" w:eastAsia="宋体" w:cs="宋体"/>
          <w:color w:val="auto"/>
          <w:sz w:val="24"/>
          <w:highlight w:val="none"/>
        </w:rPr>
      </w:pPr>
      <w:r>
        <w:rPr>
          <w:rFonts w:hint="eastAsia" w:ascii="宋体" w:hAnsi="宋体" w:eastAsia="宋体" w:cs="宋体"/>
          <w:color w:val="auto"/>
          <w:sz w:val="24"/>
          <w:highlight w:val="none"/>
        </w:rPr>
        <w:t>3、仪器设备在使用过程中出现任何问题，保证在接到用户通知的2小时内，给予用户及时反馈，提出解决问题、排除故障的方案。若有需要，保证派专业技术人员在接到用户通知后24小时内到达现场解决问题。</w:t>
      </w:r>
    </w:p>
    <w:p w14:paraId="3CD924B9">
      <w:pPr>
        <w:spacing w:line="360" w:lineRule="auto"/>
        <w:ind w:left="400"/>
        <w:rPr>
          <w:rFonts w:hint="eastAsia" w:ascii="宋体" w:hAnsi="宋体" w:eastAsia="宋体" w:cs="宋体"/>
          <w:color w:val="auto"/>
          <w:sz w:val="24"/>
          <w:highlight w:val="none"/>
        </w:rPr>
      </w:pPr>
      <w:r>
        <w:rPr>
          <w:rFonts w:hint="eastAsia" w:ascii="宋体" w:hAnsi="宋体" w:eastAsia="宋体" w:cs="宋体"/>
          <w:color w:val="auto"/>
          <w:sz w:val="24"/>
          <w:highlight w:val="none"/>
        </w:rPr>
        <w:t>4、在保修期内，所有服务及配件全部免费。</w:t>
      </w:r>
    </w:p>
    <w:p w14:paraId="7162B282">
      <w:pPr>
        <w:spacing w:line="360" w:lineRule="auto"/>
        <w:ind w:left="400"/>
        <w:rPr>
          <w:rFonts w:hint="eastAsia" w:ascii="宋体" w:hAnsi="宋体" w:eastAsia="宋体" w:cs="宋体"/>
          <w:color w:val="auto"/>
          <w:sz w:val="24"/>
          <w:highlight w:val="none"/>
        </w:rPr>
      </w:pPr>
      <w:r>
        <w:rPr>
          <w:rFonts w:hint="eastAsia" w:ascii="宋体" w:hAnsi="宋体" w:eastAsia="宋体" w:cs="宋体"/>
          <w:color w:val="auto"/>
          <w:sz w:val="24"/>
          <w:highlight w:val="none"/>
        </w:rPr>
        <w:t>*5、要求实操现场培训供方提供培训现场。出具模拟报告及原始数据。</w:t>
      </w:r>
    </w:p>
    <w:p w14:paraId="7267153E">
      <w:pPr>
        <w:spacing w:line="360" w:lineRule="auto"/>
        <w:ind w:left="400"/>
        <w:rPr>
          <w:rFonts w:hint="eastAsia" w:ascii="宋体" w:hAnsi="宋体" w:eastAsia="宋体" w:cs="宋体"/>
          <w:color w:val="auto"/>
          <w:sz w:val="24"/>
          <w:highlight w:val="none"/>
        </w:rPr>
      </w:pPr>
    </w:p>
    <w:p w14:paraId="77A6DAA4">
      <w:pPr>
        <w:widowControl/>
        <w:adjustRightInd w:val="0"/>
        <w:snapToGrid w:val="0"/>
        <w:spacing w:line="360" w:lineRule="auto"/>
        <w:jc w:val="left"/>
        <w:rPr>
          <w:rFonts w:hint="eastAsia" w:asciiTheme="minorEastAsia" w:hAnsiTheme="minorEastAsia"/>
          <w:color w:val="auto"/>
          <w:sz w:val="24"/>
          <w:highlight w:val="none"/>
        </w:rPr>
      </w:pPr>
    </w:p>
    <w:p w14:paraId="571EADCD">
      <w:pPr>
        <w:pStyle w:val="2"/>
        <w:jc w:val="center"/>
        <w:rPr>
          <w:rFonts w:hint="eastAsia" w:ascii="宋体" w:hAnsi="宋体" w:cs="宋体"/>
          <w:color w:val="auto"/>
          <w:kern w:val="2"/>
          <w:sz w:val="21"/>
          <w:szCs w:val="21"/>
          <w:highlight w:val="none"/>
          <w:lang w:bidi="ar"/>
        </w:rPr>
      </w:pPr>
      <w:r>
        <w:rPr>
          <w:rFonts w:hint="eastAsia" w:ascii="宋体" w:hAnsi="宋体" w:cs="宋体"/>
          <w:color w:val="auto"/>
          <w:sz w:val="32"/>
          <w:szCs w:val="32"/>
          <w:highlight w:val="none"/>
        </w:rPr>
        <w:t>第五部分 合同条款及格式</w:t>
      </w:r>
      <w:bookmarkEnd w:id="28"/>
      <w:bookmarkEnd w:id="29"/>
      <w:r>
        <w:rPr>
          <w:rFonts w:hint="eastAsia" w:ascii="宋体" w:hAnsi="宋体" w:cs="宋体"/>
          <w:b w:val="0"/>
          <w:bCs w:val="0"/>
          <w:color w:val="auto"/>
          <w:kern w:val="2"/>
          <w:sz w:val="21"/>
          <w:szCs w:val="21"/>
          <w:highlight w:val="none"/>
          <w:lang w:bidi="ar"/>
        </w:rPr>
        <w:t xml:space="preserve">                    </w:t>
      </w:r>
    </w:p>
    <w:p w14:paraId="4EFE84C9">
      <w:pPr>
        <w:pStyle w:val="23"/>
        <w:ind w:left="0" w:leftChars="0" w:firstLine="0" w:firstLineChars="0"/>
        <w:jc w:val="center"/>
        <w:rPr>
          <w:rFonts w:hint="eastAsia" w:ascii="宋体" w:hAnsi="宋体" w:cs="宋体"/>
          <w:b/>
          <w:bCs/>
          <w:color w:val="auto"/>
          <w:sz w:val="24"/>
          <w:szCs w:val="24"/>
          <w:highlight w:val="none"/>
          <w:lang w:bidi="ar"/>
        </w:rPr>
      </w:pPr>
      <w:r>
        <w:rPr>
          <w:rFonts w:hint="eastAsia" w:ascii="宋体" w:hAnsi="宋体" w:cs="宋体"/>
          <w:b/>
          <w:bCs/>
          <w:color w:val="auto"/>
          <w:sz w:val="24"/>
          <w:szCs w:val="24"/>
          <w:highlight w:val="none"/>
          <w:lang w:bidi="ar"/>
        </w:rPr>
        <w:t>注：合同模板仅供参考，最终以甲乙双方签订的合同为准。</w:t>
      </w:r>
    </w:p>
    <w:p w14:paraId="153901C4">
      <w:pPr>
        <w:rPr>
          <w:rFonts w:hint="eastAsia" w:ascii="宋体" w:hAnsi="宋体" w:eastAsia="宋体" w:cs="宋体"/>
          <w:b/>
          <w:bCs/>
          <w:color w:val="auto"/>
          <w:sz w:val="24"/>
          <w:highlight w:val="none"/>
          <w:lang w:bidi="ar"/>
        </w:rPr>
      </w:pPr>
    </w:p>
    <w:p w14:paraId="47058183">
      <w:pPr>
        <w:autoSpaceDN w:val="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bidi="ar"/>
        </w:rPr>
        <w:t>政府采购合同</w:t>
      </w:r>
    </w:p>
    <w:p w14:paraId="3946591B">
      <w:pPr>
        <w:autoSpaceDN w:val="0"/>
        <w:jc w:val="center"/>
        <w:rPr>
          <w:rFonts w:hint="eastAsia" w:ascii="宋体" w:hAnsi="宋体" w:eastAsia="宋体" w:cs="宋体"/>
          <w:color w:val="auto"/>
          <w:sz w:val="28"/>
          <w:szCs w:val="28"/>
          <w:highlight w:val="none"/>
        </w:rPr>
      </w:pPr>
      <w:r>
        <w:rPr>
          <w:rFonts w:hint="eastAsia" w:ascii="宋体" w:hAnsi="宋体" w:eastAsia="宋体" w:cs="宋体"/>
          <w:b/>
          <w:bCs/>
          <w:color w:val="auto"/>
          <w:sz w:val="28"/>
          <w:szCs w:val="28"/>
          <w:highlight w:val="none"/>
          <w:lang w:bidi="ar"/>
        </w:rPr>
        <w:t>（2025年度仪器设备购置合同）</w:t>
      </w:r>
    </w:p>
    <w:p w14:paraId="5AD52478">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采购人：                                       </w:t>
      </w:r>
    </w:p>
    <w:p w14:paraId="3DE4EA42">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供应商：                                       </w:t>
      </w:r>
    </w:p>
    <w:p w14:paraId="11FBB79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签订时间：      年    月    日</w:t>
      </w:r>
    </w:p>
    <w:p w14:paraId="00BE54D4">
      <w:pPr>
        <w:autoSpaceDN w:val="0"/>
        <w:rPr>
          <w:rFonts w:hint="eastAsia" w:ascii="宋体" w:hAnsi="宋体" w:eastAsia="宋体" w:cs="宋体"/>
          <w:color w:val="auto"/>
          <w:sz w:val="24"/>
          <w:highlight w:val="none"/>
        </w:rPr>
      </w:pPr>
    </w:p>
    <w:p w14:paraId="20C8F500">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甲方：                              </w:t>
      </w:r>
    </w:p>
    <w:p w14:paraId="586BCC6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乙方：                             </w:t>
      </w:r>
    </w:p>
    <w:p w14:paraId="3A8C803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项目经批准采用公开招标采购方式，确定将采购合同授予乙方。为进一步明确双方的责任，确保合同的顺利履行，根据</w:t>
      </w:r>
      <w:r>
        <w:rPr>
          <w:rFonts w:hint="eastAsia" w:ascii="宋体" w:hAnsi="宋体" w:eastAsia="宋体" w:cs="宋体"/>
          <w:color w:val="auto"/>
          <w:sz w:val="24"/>
          <w:highlight w:val="none"/>
          <w:lang w:bidi="ar"/>
        </w:rPr>
        <w:t>《中华人民共和国民法典》</w:t>
      </w:r>
      <w:r>
        <w:rPr>
          <w:rFonts w:hint="eastAsia" w:ascii="宋体" w:hAnsi="宋体" w:eastAsia="宋体" w:cs="宋体"/>
          <w:color w:val="auto"/>
          <w:sz w:val="24"/>
          <w:highlight w:val="none"/>
          <w:lang w:bidi="ar"/>
        </w:rPr>
        <w:t>之规定，经甲乙双方充分协商，就乙方为                      项目达成如下合同，以便共同遵守。</w:t>
      </w:r>
    </w:p>
    <w:p w14:paraId="3B2081F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第一条  合同标的乙方根据甲方需求提供下列货物，货物名称、规格及数量，备件、易损件和专用工具等（详见《供货一览表》）。</w:t>
      </w:r>
    </w:p>
    <w:p w14:paraId="6926F0D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第二条  合同总金额</w:t>
      </w:r>
    </w:p>
    <w:p w14:paraId="15F16715">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大写：                                      元。</w:t>
      </w:r>
    </w:p>
    <w:p w14:paraId="690C4C58">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本合同项下货物总金额：￥                   元。</w:t>
      </w:r>
    </w:p>
    <w:p w14:paraId="17D9C342">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分项价款在《供货一览表》中有明确规定。</w:t>
      </w:r>
    </w:p>
    <w:p w14:paraId="1824750C">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本合同总价款包括货物、软件、标准附件、备品备件、专用工具、图纸资料、技术服务，包装、运输、装卸、保险、税金，货到就位以及安装、调试、培训、保修等验收合格之前和质保期内的售后服务一切税金和费用。</w:t>
      </w:r>
    </w:p>
    <w:p w14:paraId="49AB1E6E">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本合同执行期间合同总价款不变。</w:t>
      </w:r>
    </w:p>
    <w:p w14:paraId="44BB5055">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第三条  权利和质量保证</w:t>
      </w:r>
    </w:p>
    <w:p w14:paraId="610595B5">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1.乙方应保证甲方在使用该货物或其任何一部分时不受第三方提出侵犯其专利权、版权、商标权或其他权利的起诉。一旦出现侵权，索赔或诉讼，乙方应承担全部责任。</w:t>
      </w:r>
    </w:p>
    <w:p w14:paraId="2E4D2FE0">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2.乙方保证货物是全新的、未使用过的，完全符合国家规范及甲乙双方确认的投标文件、本合同关于货物数量、质量的要求。货物符合实行国家“三包”规定的，应执行“三包”规定。</w:t>
      </w:r>
    </w:p>
    <w:p w14:paraId="6232662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本项目质保期      年，保修期     年。</w:t>
      </w:r>
    </w:p>
    <w:p w14:paraId="42861F2B">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3.乙方提交的货物应符合投标文件中所记载的详细配置、技术参数、参数及性能，并应附有此类货物完整、详细的技术资料和说明文件。</w:t>
      </w:r>
    </w:p>
    <w:p w14:paraId="2E667A28">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4.乙方提交的货物必须按照招标采购文件的要求和中标人投标文件的承诺，以约定标准进行制造、安装；经政府采购管理部门批准采购的进口产品应执行原产地国家有关部门最新颁布的相应正式标准并提供国家商检、海关报关等手续。</w:t>
      </w:r>
    </w:p>
    <w:p w14:paraId="2C691996">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5.乙方应保证将货物按照国家或专业标准包装、确保货物安全无损运抵合同规定的交货地点，并进行安装、试运行。</w:t>
      </w:r>
    </w:p>
    <w:p w14:paraId="57076D27">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6、乙方保证货物不存在危及人身及财产安全的产品缺陷，否则应承担全部法律责任。</w:t>
      </w:r>
    </w:p>
    <w:p w14:paraId="52F34CF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第四条  付款方式</w:t>
      </w:r>
    </w:p>
    <w:p w14:paraId="5ADC1A0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1.本合同项下所有款项均以人民币支付。</w:t>
      </w:r>
    </w:p>
    <w:p w14:paraId="48DFAC9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2.乙方向甲方提交下列文件材料，经甲方审核无误后支付采购资金：</w:t>
      </w:r>
    </w:p>
    <w:p w14:paraId="47ED67E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（1）经甲方确认的发票；</w:t>
      </w:r>
    </w:p>
    <w:p w14:paraId="79B838EC">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（2）经甲乙双方确认签署的《验收报告》（或按项目进度阶段性《验收报告》）；</w:t>
      </w:r>
    </w:p>
    <w:p w14:paraId="2B6CA96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（3）其他材料。</w:t>
      </w:r>
    </w:p>
    <w:p w14:paraId="02AC7F76">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3.款项的支付进度以招标采购文件的有关规定为准。如招标采购文件未作特别规定，则付款进度应符合如下约定：</w:t>
      </w:r>
    </w:p>
    <w:p w14:paraId="2EA28292">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货到初验合格后支付至合同总价的     ％，货到安装调试合格后支付至合同总价的     ％，运行正常后支付至合同总价的     ％，余款     ％作为质量保证金于货物或系统运行满     月（年）后，并经甲乙双方复验合格后的     个工作日内付清。</w:t>
      </w:r>
    </w:p>
    <w:p w14:paraId="2B77F76E">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第五条  履约保证金</w:t>
      </w:r>
    </w:p>
    <w:p w14:paraId="345C000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1.乙方在签订本合同之日，向甲方提交合同履约保证金                元</w:t>
      </w:r>
    </w:p>
    <w:p w14:paraId="4879771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（履约保证金的数额不得超过政府采购合同金额的  %）。</w:t>
      </w:r>
    </w:p>
    <w:p w14:paraId="76DB6F52">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2.履约保证金有效期为甲乙双方最终验收后1个月内。到期后，甲方向乙方无息退还。</w:t>
      </w:r>
    </w:p>
    <w:p w14:paraId="5B4A8A2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3.如乙方未能履行、或未能完全履行合同规定的义务，甲方有权从履约保证金中取得补偿。履约保证金扣除甲方应得的补偿后的余额在合同期满后      天内无息退还乙方。</w:t>
      </w:r>
    </w:p>
    <w:p w14:paraId="55A40E68">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第六条  交货和验收</w:t>
      </w:r>
    </w:p>
    <w:p w14:paraId="11C983C0">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1.交货时间：                                         。</w:t>
      </w:r>
    </w:p>
    <w:p w14:paraId="7AD019A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交货地点：                                         。</w:t>
      </w:r>
    </w:p>
    <w:p w14:paraId="1C758273">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安装调试时间：                                     。</w:t>
      </w:r>
    </w:p>
    <w:p w14:paraId="631A3AA2">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 乙方应对提供的货物作出全面自查和整理，并列出清单，作为甲方验收和使用的技术条件依据，清单应随提供的验收资料交给甲方。</w:t>
      </w:r>
    </w:p>
    <w:p w14:paraId="0048564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3.乙方提供的货物应包括本合同“第一条 合同文件”规定的全部货物及其附（辅）件、资料。</w:t>
      </w:r>
    </w:p>
    <w:p w14:paraId="7222E48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4.甲方应当在到货后的     个工作日内对货物进行验收。货物验收时，甲乙双方必须同时在场，双方共同确认货物与本合同规定的生产厂家产地、品牌、规格型号、数量、质量、技术参数和性能等是否一致。乙方所交付的货物不符合合同规定的，甲方有权拒收。乙方应及时按本合同规定和甲方要求免费对拒收货物采取更换或其他必要的补救措施，直至验收合格，方视为乙方按本合同规定完成交货。验收合格的，由双方共同签署《验收报告》。</w:t>
      </w:r>
    </w:p>
    <w:p w14:paraId="3FA680E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5.需要乙方对货物（包括软件）或系统进行安装调试的，甲乙双方应在货物安装调试完毕后的    个工作日内进行运行效果验收。在验收之前，乙方需提前提交相应的调试计划（包括调试程序、环境、内容和检验标准、调试时间安排等）供甲方确认，乙方还应对所有检验验收调试的结果、步骤、原始数据等作妥善记录。如甲方要求，乙方应将记录提供给甲方。调试检验出现全部或部分未达到本合同所约定的技术指标，甲方有权选择下列任一处理方式：</w:t>
      </w:r>
    </w:p>
    <w:p w14:paraId="71AC5FC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a.重新调试直至合格为止；</w:t>
      </w:r>
    </w:p>
    <w:p w14:paraId="7CE26BA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b.要求乙方对货物进行免费更换，然后重新调试直至合格为止。</w:t>
      </w:r>
    </w:p>
    <w:p w14:paraId="15486E96">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甲方因乙方原因所产生的所有费用均由乙方负担。</w:t>
      </w:r>
    </w:p>
    <w:p w14:paraId="16C73BA6">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6.验收合格的，由双方共同签署《验收报告》。</w:t>
      </w:r>
    </w:p>
    <w:p w14:paraId="744809E5">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7.甲方可以视项目规模或复杂情况聘请专业人员参与验收，大型或复杂项目，以及特种货物应当邀请国家认可的第三方质量检测机构参与验收。</w:t>
      </w:r>
    </w:p>
    <w:p w14:paraId="0AB0980C">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8.货物验收包括：货物包装是否完好，产地生产厂家名称、品牌、型号、规格、数量、外观质量、配置、内在质量，以及调试运行是否达到“第一条合同文件”规定的效果。乙方应将所提供货物的装箱清单、产品合格证、甲方手册、原厂保修卡、随机资料及备品备件、易损件、专用工具等交付给甲方；乙方不能完整交付货物、附（辅）件和资料的，视为未按合同约定交货，乙方负责补齐，因此导致逾期交付的，由乙方承担相关的违约责任。</w:t>
      </w:r>
    </w:p>
    <w:p w14:paraId="33C5AF98">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9.货物达不到本合同“第一条合同文件”规定的数量、质量要求和运行效果，甲方有权拒收，并可以解除合同；由此引起甲方损失及赔偿责任由乙方承担。</w:t>
      </w:r>
    </w:p>
    <w:p w14:paraId="41EE2CA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10.如果合同双方对《验收报告》有分歧，双方须于出现分歧后    天内给对方书面声明，以陈述己方的理由及要求，并附有关证据。分歧应通过协商解决。</w:t>
      </w:r>
    </w:p>
    <w:p w14:paraId="693361EC">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第七条  项目管理服务</w:t>
      </w:r>
    </w:p>
    <w:p w14:paraId="73408C7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乙方应指定不少于一人全权全程负责本项目的商务服务，以及货物安装、调试、咨询、培训和售后等技术服务工作。</w:t>
      </w:r>
    </w:p>
    <w:p w14:paraId="0E59F3D3">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项目负责人姓名：               ； </w:t>
      </w:r>
    </w:p>
    <w:p w14:paraId="2BEB8E7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联系电话：                      。</w:t>
      </w:r>
    </w:p>
    <w:p w14:paraId="06C62B07">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第八条  售后服务</w:t>
      </w:r>
    </w:p>
    <w:p w14:paraId="7B6D684E">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1.质量保证期为自货物通过最终验收之日起    个月。若国家有明确规定的质量保证期高于此质量保证期的，执行国家规定。</w:t>
      </w:r>
    </w:p>
    <w:p w14:paraId="2F47847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2.在货物质保期内，乙方应对由于设计、工艺、质量（含环保节能要求）、材料和的缺陷而发生的任何不足或故障负责，并解决存在的问题。</w:t>
      </w:r>
    </w:p>
    <w:p w14:paraId="65B1236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3.对不符合本合同第四条规定要求的货物应立即进行调换，调换本身并不影响甲方就其损失向乙方索赔的权利。</w:t>
      </w:r>
    </w:p>
    <w:p w14:paraId="57A79795">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4.货物安装调试完成后，乙方应继续向甲方提供良好的技术支持。应当由专门队伍从事此项工作，并提供全天候的热线技术支持服务，应当对甲方所反映的任何问题在    日（小时）之内做出及时响应，在    日（小时）之内赶到现场实地解决问题。若问题、故障在检修    工作日（小时）后仍无法解决，乙方应在     日（小时）内免费提供不低于故障货物规格型号档次的备用货物供甲方使用，直至故障货物修复。</w:t>
      </w:r>
    </w:p>
    <w:p w14:paraId="536F0A5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5.乙方应当建立健全售后服务体系，确保货物正常运行。乙方应当遵守甲方的有关管理制度、操作规程。对于乙方违规操作造成甲方损失的，由乙方按照本合同第十二条的约定承担赔偿责任。</w:t>
      </w:r>
    </w:p>
    <w:p w14:paraId="65EBA170">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6.乙方应负责货物及主要部件、配件维修更换。质保期内，乙方对货物（人为故意损坏除外）提供全免费保修或免费更换；质保期后，收取维修成本费（备品备件乙方应以投标文件承诺的优惠价格提供）。</w:t>
      </w:r>
    </w:p>
    <w:p w14:paraId="1B9D21A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第九条  分包</w:t>
      </w:r>
    </w:p>
    <w:p w14:paraId="761FCC17">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除招标采购文件事先说明、且经甲方事先书面同意外，乙方不得分包其应履行的合同义务。</w:t>
      </w:r>
    </w:p>
    <w:p w14:paraId="3CE58DC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第十条  合同的生效</w:t>
      </w:r>
    </w:p>
    <w:p w14:paraId="4D7E16F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1.本合同经甲乙双方授权代表签订并加盖公章或合同专用章后生效，</w:t>
      </w:r>
      <w:r>
        <w:rPr>
          <w:rFonts w:hint="eastAsia" w:ascii="宋体" w:hAnsi="宋体" w:eastAsia="宋体" w:cs="宋体"/>
          <w:color w:val="auto"/>
          <w:sz w:val="24"/>
          <w:highlight w:val="none"/>
          <w:lang w:bidi="ar"/>
        </w:rPr>
        <w:t>自所约定的事宜完成后终止。</w:t>
      </w:r>
    </w:p>
    <w:p w14:paraId="7944CB1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2.生效后，除《政府采购法》第49条、第50条第二款规定的情形外，甲乙双方不得擅自变更、中止或终止合同。</w:t>
      </w:r>
    </w:p>
    <w:p w14:paraId="5F31044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第十一条  违约责任</w:t>
      </w:r>
    </w:p>
    <w:p w14:paraId="767D2107">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1.乙方所交付的货物不符合本合同规定的，甲方有权拒收，乙方在得到甲方通知之日起     个工作日内采取补救措施，逾期仍未采取有效措施的，甲方有权要求乙方赔偿因此造成的损失或扣留履约保证金；同时乙方应向甲方支付合同总价      ％的违约金。</w:t>
      </w:r>
    </w:p>
    <w:p w14:paraId="39690D9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2.甲方无正当理由拒收货物、拒付货款的，甲方应向乙方偿付拒付货款    ％的违约金。</w:t>
      </w:r>
    </w:p>
    <w:p w14:paraId="0E3A4F9E">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3.乙方无正当理由逾期交付货物的，每逾期1天，乙方向甲方偿付逾期交货部分货款总额的    ‰的违约金。如乙方逾期交货达    天，甲方有权解除合同，甲方解除合同的通知自到达乙方时生效。在此情况下，乙方给甲方造成的实际损失高于违约金的，对高出违约金的部分乙方应予以赔偿。</w:t>
      </w:r>
    </w:p>
    <w:p w14:paraId="6E0D0F00">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4.甲方未按合同规定的期限向乙方支付货款的，每逾期1天甲方向乙方偿付欠款总额的    ‰违约金，但累计违约金总额不超过欠款总额的    ％。</w:t>
      </w:r>
    </w:p>
    <w:p w14:paraId="06057275">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5.在乙方承诺的或国家规定的质量保证期内（取两者中最长的期限），如经乙方两次维修，货物仍不能达到合同约定的质量标准、运行效果的，甲方有权要求乙方更换为全新合格货物并按本条第1款处理，同时，乙方还须赔偿甲方因此遭受的损失。</w:t>
      </w:r>
    </w:p>
    <w:p w14:paraId="1A04A4E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6.其它未尽事宜，以</w:t>
      </w:r>
      <w:r>
        <w:rPr>
          <w:rFonts w:hint="eastAsia" w:ascii="宋体" w:hAnsi="宋体" w:eastAsia="宋体" w:cs="宋体"/>
          <w:color w:val="auto"/>
          <w:sz w:val="24"/>
          <w:highlight w:val="none"/>
          <w:lang w:bidi="ar"/>
        </w:rPr>
        <w:t>《民法典》</w:t>
      </w:r>
      <w:r>
        <w:rPr>
          <w:rFonts w:hint="eastAsia" w:ascii="宋体" w:hAnsi="宋体" w:eastAsia="宋体" w:cs="宋体"/>
          <w:color w:val="auto"/>
          <w:sz w:val="24"/>
          <w:highlight w:val="none"/>
          <w:lang w:bidi="ar"/>
        </w:rPr>
        <w:t>和《政府采购法》等有关法律法规规定为准，无相关规定的，双方协商解决。</w:t>
      </w:r>
    </w:p>
    <w:p w14:paraId="3F3821AB">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第十二条  不可抗力</w:t>
      </w:r>
    </w:p>
    <w:p w14:paraId="6770637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甲、乙方中任何一方，因不可抗力不能按时或完全履行合同的，应及时通知对方，并在    个工作日内提供相应证明。未履行完合同部分是否继续履行、如何履行等问题，可由双方初步协商，并向主管部门和政府采购管理部门报告。确定为不可抗力原因造成的损失，免予承担责任。</w:t>
      </w:r>
    </w:p>
    <w:p w14:paraId="5DA52EA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第十三条  争议的解决方式</w:t>
      </w:r>
    </w:p>
    <w:p w14:paraId="24FC067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1.因货物的质量问题发生争议的，应当邀请国家认可的质量检测机构对货物质量进行鉴定。货物符合标准的，鉴定费由甲方承担；货物不符合质量标准的，鉴定费由乙方承担。</w:t>
      </w:r>
    </w:p>
    <w:p w14:paraId="739049A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2.在解释或者执行本合同的过程中发生争议时，双方应通过协商方式解决。</w:t>
      </w:r>
    </w:p>
    <w:p w14:paraId="0167AB9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3.经协商不能解决的争议，</w:t>
      </w:r>
      <w:r>
        <w:rPr>
          <w:rFonts w:hint="eastAsia" w:ascii="宋体" w:hAnsi="宋体" w:eastAsia="宋体" w:cs="宋体"/>
          <w:color w:val="auto"/>
          <w:sz w:val="24"/>
          <w:highlight w:val="none"/>
          <w:lang w:bidi="ar"/>
        </w:rPr>
        <w:t>双方可选择以下第 ①  种方式解决：</w:t>
      </w:r>
    </w:p>
    <w:p w14:paraId="012ECB27">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①向长春市有管辖权的法院提起诉讼；</w:t>
      </w:r>
    </w:p>
    <w:p w14:paraId="7B343DFB">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②向长春市仲裁委员会提出仲裁。</w:t>
      </w:r>
    </w:p>
    <w:p w14:paraId="1E3AAEF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4.在法院审理</w:t>
      </w:r>
      <w:r>
        <w:rPr>
          <w:rFonts w:hint="eastAsia" w:ascii="宋体" w:hAnsi="宋体" w:eastAsia="宋体" w:cs="宋体"/>
          <w:color w:val="auto"/>
          <w:sz w:val="24"/>
          <w:highlight w:val="none"/>
          <w:lang w:bidi="ar"/>
        </w:rPr>
        <w:t>或者</w:t>
      </w:r>
      <w:r>
        <w:rPr>
          <w:rFonts w:hint="eastAsia" w:ascii="宋体" w:hAnsi="宋体" w:eastAsia="宋体" w:cs="宋体"/>
          <w:color w:val="auto"/>
          <w:sz w:val="24"/>
          <w:highlight w:val="none"/>
          <w:lang w:bidi="ar"/>
        </w:rPr>
        <w:t>仲裁期间，除有争议部分外，本合同其他部分可以履行的仍应按合同条款继续履行。</w:t>
      </w:r>
    </w:p>
    <w:p w14:paraId="4C573716">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第十五条  其他</w:t>
      </w:r>
    </w:p>
    <w:p w14:paraId="48E91C69">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符合《政府采购法》第49条规定的，经双方协商，办理政府采购手续后，可签订补充合同，所签订的补充合同与本合同具有同等法律效力。</w:t>
      </w:r>
    </w:p>
    <w:p w14:paraId="31F3C4A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本合同一式    份，甲、乙双方各执    份。</w:t>
      </w:r>
    </w:p>
    <w:p w14:paraId="6FCD2D8F">
      <w:pPr>
        <w:autoSpaceDN w:val="0"/>
        <w:rPr>
          <w:rFonts w:hint="eastAsia" w:ascii="宋体" w:hAnsi="宋体" w:eastAsia="宋体" w:cs="宋体"/>
          <w:color w:val="auto"/>
          <w:sz w:val="24"/>
          <w:highlight w:val="none"/>
        </w:rPr>
      </w:pPr>
    </w:p>
    <w:p w14:paraId="2D59CBCC">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甲   方：                        乙   方：</w:t>
      </w:r>
    </w:p>
    <w:p w14:paraId="68EC2CE5">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名称：（盖章）                    名称：（盖章）</w:t>
      </w:r>
    </w:p>
    <w:p w14:paraId="47833A96">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地址：                           地址：</w:t>
      </w:r>
    </w:p>
    <w:p w14:paraId="106B6DD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法定代表人（签字）：              法定代表人（签字）：</w:t>
      </w:r>
    </w:p>
    <w:p w14:paraId="04610F9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授权代表（签字）：                授权代表（签字）：</w:t>
      </w:r>
    </w:p>
    <w:p w14:paraId="1AA103AE">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开户银行：                       开户银行：</w:t>
      </w:r>
    </w:p>
    <w:p w14:paraId="2E16F78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银行帐号：                       银行帐号：</w:t>
      </w:r>
    </w:p>
    <w:p w14:paraId="42232DFE">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合同法律审核（盖章）：</w:t>
      </w:r>
    </w:p>
    <w:p w14:paraId="5AA84057">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时  间：         年     月     日</w:t>
      </w:r>
    </w:p>
    <w:p w14:paraId="03B925F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特别说明：</w:t>
      </w:r>
    </w:p>
    <w:p w14:paraId="70F359B0">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1.本范本根据《政府采购法》、</w:t>
      </w:r>
      <w:r>
        <w:rPr>
          <w:rFonts w:hint="eastAsia" w:ascii="宋体" w:hAnsi="宋体" w:eastAsia="宋体" w:cs="宋体"/>
          <w:color w:val="auto"/>
          <w:sz w:val="24"/>
          <w:highlight w:val="none"/>
          <w:lang w:bidi="ar"/>
        </w:rPr>
        <w:t>《民法典》</w:t>
      </w:r>
      <w:r>
        <w:rPr>
          <w:rFonts w:hint="eastAsia" w:ascii="宋体" w:hAnsi="宋体" w:eastAsia="宋体" w:cs="宋体"/>
          <w:color w:val="auto"/>
          <w:sz w:val="24"/>
          <w:highlight w:val="none"/>
          <w:lang w:bidi="ar"/>
        </w:rPr>
        <w:t>等法律法规制定。具体项目的采购合同条款，在本范本框架内由甲乙双方协商一致签订。空格处划横线。</w:t>
      </w:r>
    </w:p>
    <w:p w14:paraId="42C49BA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2.收款单位名称应与本合同乙方单位名称、项目中标单位名称、开具发票单位名称相一致。</w:t>
      </w:r>
    </w:p>
    <w:p w14:paraId="0B94A3C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3.甲方（采购单位）应盖本单位公章（不允许盖内设科室章），乙方应盖单位公章或合同专用章，合同双方应盖骑缝章。</w:t>
      </w:r>
    </w:p>
    <w:p w14:paraId="605C972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4. 除涉密项目外，根据《政府采购法实施条例》第50条规定：采购人应当自政府采购合同签订之日起2个工作日内，将政府采购合同在省级以上人民政府财政部门指定的媒体上公告。</w:t>
      </w:r>
    </w:p>
    <w:p w14:paraId="5B20CA41">
      <w:pPr>
        <w:rPr>
          <w:rFonts w:hint="eastAsia" w:ascii="宋体" w:hAnsi="宋体" w:eastAsia="宋体" w:cs="宋体"/>
          <w:color w:val="auto"/>
          <w:sz w:val="32"/>
          <w:szCs w:val="32"/>
          <w:highlight w:val="none"/>
        </w:rPr>
      </w:pPr>
      <w:bookmarkStart w:id="31" w:name="_Toc11238"/>
      <w:bookmarkStart w:id="32" w:name="_Toc17091"/>
      <w:r>
        <w:rPr>
          <w:rFonts w:hint="eastAsia" w:ascii="宋体" w:hAnsi="宋体" w:eastAsia="宋体" w:cs="宋体"/>
          <w:color w:val="auto"/>
          <w:sz w:val="32"/>
          <w:szCs w:val="32"/>
          <w:highlight w:val="none"/>
        </w:rPr>
        <w:br w:type="page"/>
      </w:r>
    </w:p>
    <w:p w14:paraId="13FBF3D6">
      <w:pPr>
        <w:pStyle w:val="2"/>
        <w:jc w:val="center"/>
        <w:rPr>
          <w:rFonts w:hint="eastAsia" w:ascii="宋体" w:hAnsi="宋体" w:cs="宋体"/>
          <w:color w:val="auto"/>
          <w:sz w:val="32"/>
          <w:szCs w:val="32"/>
          <w:highlight w:val="none"/>
        </w:rPr>
      </w:pPr>
      <w:r>
        <w:rPr>
          <w:rFonts w:hint="eastAsia" w:ascii="宋体" w:hAnsi="宋体" w:cs="宋体"/>
          <w:color w:val="auto"/>
          <w:sz w:val="32"/>
          <w:szCs w:val="32"/>
          <w:highlight w:val="none"/>
        </w:rPr>
        <w:t>第六部分  投标文件格式</w:t>
      </w:r>
      <w:bookmarkEnd w:id="31"/>
      <w:bookmarkEnd w:id="32"/>
    </w:p>
    <w:p w14:paraId="43C61283">
      <w:pPr>
        <w:autoSpaceDN w:val="0"/>
        <w:rPr>
          <w:rFonts w:hint="eastAsia" w:ascii="宋体" w:hAnsi="宋体" w:eastAsia="宋体" w:cs="宋体"/>
          <w:color w:val="auto"/>
          <w:szCs w:val="21"/>
          <w:highlight w:val="none"/>
          <w:lang w:bidi="ar"/>
        </w:rPr>
      </w:pPr>
    </w:p>
    <w:p w14:paraId="20C10728">
      <w:pPr>
        <w:autoSpaceDN w:val="0"/>
        <w:rPr>
          <w:rFonts w:hint="eastAsia" w:ascii="宋体" w:hAnsi="宋体" w:eastAsia="宋体" w:cs="宋体"/>
          <w:color w:val="auto"/>
          <w:szCs w:val="21"/>
          <w:highlight w:val="none"/>
          <w:lang w:bidi="ar"/>
        </w:rPr>
      </w:pPr>
    </w:p>
    <w:p w14:paraId="283C3BA9">
      <w:pPr>
        <w:autoSpaceDN w:val="0"/>
        <w:rPr>
          <w:rFonts w:hint="eastAsia" w:ascii="宋体" w:hAnsi="宋体" w:eastAsia="宋体" w:cs="宋体"/>
          <w:color w:val="auto"/>
          <w:szCs w:val="21"/>
          <w:highlight w:val="none"/>
          <w:lang w:bidi="ar"/>
        </w:rPr>
      </w:pPr>
    </w:p>
    <w:p w14:paraId="29C989BA">
      <w:pPr>
        <w:autoSpaceDN w:val="0"/>
        <w:rPr>
          <w:rFonts w:hint="eastAsia" w:ascii="宋体" w:hAnsi="宋体" w:eastAsia="宋体" w:cs="宋体"/>
          <w:color w:val="auto"/>
          <w:szCs w:val="21"/>
          <w:highlight w:val="none"/>
          <w:lang w:bidi="ar"/>
        </w:rPr>
      </w:pPr>
    </w:p>
    <w:p w14:paraId="33B57B6A">
      <w:pPr>
        <w:autoSpaceDN w:val="0"/>
        <w:rPr>
          <w:rFonts w:hint="eastAsia" w:ascii="宋体" w:hAnsi="宋体" w:eastAsia="宋体" w:cs="宋体"/>
          <w:color w:val="auto"/>
          <w:szCs w:val="21"/>
          <w:highlight w:val="none"/>
          <w:lang w:bidi="ar"/>
        </w:rPr>
      </w:pPr>
    </w:p>
    <w:p w14:paraId="544C58FD">
      <w:pPr>
        <w:autoSpaceDN w:val="0"/>
        <w:rPr>
          <w:rFonts w:hint="eastAsia" w:ascii="宋体" w:hAnsi="宋体" w:eastAsia="宋体" w:cs="宋体"/>
          <w:color w:val="auto"/>
          <w:szCs w:val="21"/>
          <w:highlight w:val="none"/>
          <w:lang w:bidi="ar"/>
        </w:rPr>
      </w:pPr>
    </w:p>
    <w:p w14:paraId="0FFEC6B1">
      <w:pPr>
        <w:autoSpaceDN w:val="0"/>
        <w:rPr>
          <w:rFonts w:hint="eastAsia" w:ascii="宋体" w:hAnsi="宋体" w:eastAsia="宋体" w:cs="宋体"/>
          <w:color w:val="auto"/>
          <w:szCs w:val="21"/>
          <w:highlight w:val="none"/>
          <w:lang w:bidi="ar"/>
        </w:rPr>
      </w:pPr>
    </w:p>
    <w:p w14:paraId="3C19338A">
      <w:pPr>
        <w:autoSpaceDN w:val="0"/>
        <w:rPr>
          <w:rFonts w:hint="eastAsia" w:ascii="宋体" w:hAnsi="宋体" w:eastAsia="宋体" w:cs="宋体"/>
          <w:color w:val="auto"/>
          <w:szCs w:val="21"/>
          <w:highlight w:val="none"/>
          <w:lang w:bidi="ar"/>
        </w:rPr>
      </w:pPr>
    </w:p>
    <w:p w14:paraId="2DDB1AA9">
      <w:pPr>
        <w:autoSpaceDN w:val="0"/>
        <w:rPr>
          <w:rFonts w:hint="eastAsia" w:ascii="宋体" w:hAnsi="宋体" w:eastAsia="宋体" w:cs="宋体"/>
          <w:color w:val="auto"/>
          <w:szCs w:val="21"/>
          <w:highlight w:val="none"/>
          <w:lang w:bidi="ar"/>
        </w:rPr>
      </w:pPr>
    </w:p>
    <w:p w14:paraId="499AA3F4">
      <w:pPr>
        <w:autoSpaceDN w:val="0"/>
        <w:rPr>
          <w:rFonts w:hint="eastAsia" w:ascii="宋体" w:hAnsi="宋体" w:eastAsia="宋体" w:cs="宋体"/>
          <w:color w:val="auto"/>
          <w:szCs w:val="21"/>
          <w:highlight w:val="none"/>
          <w:lang w:bidi="ar"/>
        </w:rPr>
      </w:pPr>
    </w:p>
    <w:p w14:paraId="4C90AA52">
      <w:pPr>
        <w:autoSpaceDN w:val="0"/>
        <w:rPr>
          <w:rFonts w:hint="eastAsia" w:ascii="宋体" w:hAnsi="宋体" w:eastAsia="宋体" w:cs="宋体"/>
          <w:color w:val="auto"/>
          <w:szCs w:val="21"/>
          <w:highlight w:val="none"/>
          <w:lang w:bidi="ar"/>
        </w:rPr>
      </w:pPr>
    </w:p>
    <w:p w14:paraId="64E2EE18">
      <w:pPr>
        <w:autoSpaceDN w:val="0"/>
        <w:rPr>
          <w:rFonts w:hint="eastAsia" w:ascii="宋体" w:hAnsi="宋体" w:eastAsia="宋体" w:cs="宋体"/>
          <w:color w:val="auto"/>
          <w:szCs w:val="21"/>
          <w:highlight w:val="none"/>
          <w:lang w:bidi="ar"/>
        </w:rPr>
      </w:pPr>
    </w:p>
    <w:p w14:paraId="70D4F48B">
      <w:pPr>
        <w:autoSpaceDN w:val="0"/>
        <w:rPr>
          <w:rFonts w:hint="eastAsia" w:ascii="宋体" w:hAnsi="宋体" w:eastAsia="宋体" w:cs="宋体"/>
          <w:color w:val="auto"/>
          <w:szCs w:val="21"/>
          <w:highlight w:val="none"/>
          <w:lang w:bidi="ar"/>
        </w:rPr>
      </w:pPr>
    </w:p>
    <w:p w14:paraId="34B672EE">
      <w:pPr>
        <w:autoSpaceDN w:val="0"/>
        <w:rPr>
          <w:rFonts w:hint="eastAsia" w:ascii="宋体" w:hAnsi="宋体" w:eastAsia="宋体" w:cs="宋体"/>
          <w:color w:val="auto"/>
          <w:szCs w:val="21"/>
          <w:highlight w:val="none"/>
          <w:lang w:bidi="ar"/>
        </w:rPr>
      </w:pPr>
    </w:p>
    <w:p w14:paraId="5663E6CE">
      <w:pPr>
        <w:autoSpaceDN w:val="0"/>
        <w:rPr>
          <w:rFonts w:hint="eastAsia" w:ascii="宋体" w:hAnsi="宋体" w:eastAsia="宋体" w:cs="宋体"/>
          <w:color w:val="auto"/>
          <w:szCs w:val="21"/>
          <w:highlight w:val="none"/>
          <w:lang w:bidi="ar"/>
        </w:rPr>
      </w:pPr>
    </w:p>
    <w:p w14:paraId="519A5E94">
      <w:pPr>
        <w:autoSpaceDN w:val="0"/>
        <w:rPr>
          <w:rFonts w:hint="eastAsia" w:ascii="宋体" w:hAnsi="宋体" w:eastAsia="宋体" w:cs="宋体"/>
          <w:color w:val="auto"/>
          <w:szCs w:val="21"/>
          <w:highlight w:val="none"/>
          <w:lang w:bidi="ar"/>
        </w:rPr>
      </w:pPr>
    </w:p>
    <w:p w14:paraId="2A2B2344">
      <w:pPr>
        <w:autoSpaceDN w:val="0"/>
        <w:rPr>
          <w:rFonts w:hint="eastAsia" w:ascii="宋体" w:hAnsi="宋体" w:eastAsia="宋体" w:cs="宋体"/>
          <w:color w:val="auto"/>
          <w:szCs w:val="21"/>
          <w:highlight w:val="none"/>
          <w:lang w:bidi="ar"/>
        </w:rPr>
      </w:pPr>
    </w:p>
    <w:p w14:paraId="53F4B6D4">
      <w:pPr>
        <w:autoSpaceDN w:val="0"/>
        <w:rPr>
          <w:rFonts w:hint="eastAsia" w:ascii="宋体" w:hAnsi="宋体" w:eastAsia="宋体" w:cs="宋体"/>
          <w:color w:val="auto"/>
          <w:szCs w:val="21"/>
          <w:highlight w:val="none"/>
          <w:lang w:bidi="ar"/>
        </w:rPr>
      </w:pPr>
    </w:p>
    <w:p w14:paraId="6E16B5A9">
      <w:pPr>
        <w:autoSpaceDN w:val="0"/>
        <w:rPr>
          <w:rFonts w:hint="eastAsia" w:ascii="宋体" w:hAnsi="宋体" w:eastAsia="宋体" w:cs="宋体"/>
          <w:color w:val="auto"/>
          <w:szCs w:val="21"/>
          <w:highlight w:val="none"/>
          <w:lang w:bidi="ar"/>
        </w:rPr>
      </w:pPr>
    </w:p>
    <w:p w14:paraId="7843FBA5">
      <w:pPr>
        <w:autoSpaceDN w:val="0"/>
        <w:rPr>
          <w:rFonts w:hint="eastAsia" w:ascii="宋体" w:hAnsi="宋体" w:eastAsia="宋体" w:cs="宋体"/>
          <w:color w:val="auto"/>
          <w:szCs w:val="21"/>
          <w:highlight w:val="none"/>
          <w:lang w:bidi="ar"/>
        </w:rPr>
      </w:pPr>
    </w:p>
    <w:p w14:paraId="6319CE78">
      <w:pPr>
        <w:autoSpaceDN w:val="0"/>
        <w:rPr>
          <w:rFonts w:hint="eastAsia" w:ascii="宋体" w:hAnsi="宋体" w:eastAsia="宋体" w:cs="宋体"/>
          <w:color w:val="auto"/>
          <w:szCs w:val="21"/>
          <w:highlight w:val="none"/>
          <w:lang w:bidi="ar"/>
        </w:rPr>
      </w:pPr>
    </w:p>
    <w:p w14:paraId="7012B03A">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br w:type="page"/>
      </w:r>
    </w:p>
    <w:p w14:paraId="17FF8AB9">
      <w:pPr>
        <w:pStyle w:val="14"/>
        <w:autoSpaceDN w:val="0"/>
        <w:ind w:left="0" w:leftChars="0"/>
        <w:rPr>
          <w:rFonts w:hint="eastAsia" w:ascii="宋体" w:hAnsi="宋体" w:cs="宋体"/>
          <w:color w:val="auto"/>
          <w:highlight w:val="none"/>
          <w:lang w:bidi="ar"/>
        </w:rPr>
      </w:pPr>
    </w:p>
    <w:p w14:paraId="4179932E">
      <w:pPr>
        <w:autoSpaceDN w:val="0"/>
        <w:jc w:val="center"/>
        <w:rPr>
          <w:rFonts w:hint="eastAsia" w:ascii="宋体" w:hAnsi="宋体" w:eastAsia="宋体" w:cs="宋体"/>
          <w:color w:val="auto"/>
          <w:sz w:val="44"/>
          <w:szCs w:val="44"/>
          <w:highlight w:val="none"/>
          <w:lang w:bidi="ar"/>
        </w:rPr>
      </w:pPr>
      <w:r>
        <w:rPr>
          <w:rFonts w:hint="eastAsia" w:ascii="宋体" w:hAnsi="宋体" w:eastAsia="宋体" w:cs="宋体"/>
          <w:color w:val="auto"/>
          <w:sz w:val="44"/>
          <w:szCs w:val="44"/>
          <w:highlight w:val="none"/>
          <w:lang w:bidi="ar"/>
        </w:rPr>
        <w:t>（项目名称）</w:t>
      </w:r>
    </w:p>
    <w:p w14:paraId="7010197C">
      <w:pPr>
        <w:autoSpaceDN w:val="0"/>
        <w:rPr>
          <w:rFonts w:hint="eastAsia" w:ascii="宋体" w:hAnsi="宋体" w:eastAsia="宋体" w:cs="宋体"/>
          <w:color w:val="auto"/>
          <w:sz w:val="44"/>
          <w:szCs w:val="44"/>
          <w:highlight w:val="none"/>
          <w:lang w:bidi="ar"/>
        </w:rPr>
      </w:pPr>
    </w:p>
    <w:p w14:paraId="34AE98B8">
      <w:pPr>
        <w:pStyle w:val="14"/>
        <w:autoSpaceDN w:val="0"/>
        <w:rPr>
          <w:rFonts w:hint="eastAsia" w:ascii="宋体" w:hAnsi="宋体" w:cs="宋体"/>
          <w:color w:val="auto"/>
          <w:sz w:val="44"/>
          <w:szCs w:val="44"/>
          <w:highlight w:val="none"/>
          <w:lang w:bidi="ar"/>
        </w:rPr>
      </w:pPr>
    </w:p>
    <w:p w14:paraId="29258943">
      <w:pPr>
        <w:pStyle w:val="14"/>
        <w:autoSpaceDN w:val="0"/>
        <w:rPr>
          <w:rFonts w:hint="eastAsia" w:ascii="宋体" w:hAnsi="宋体" w:cs="宋体"/>
          <w:color w:val="auto"/>
          <w:sz w:val="44"/>
          <w:szCs w:val="44"/>
          <w:highlight w:val="none"/>
          <w:lang w:bidi="ar"/>
        </w:rPr>
      </w:pPr>
    </w:p>
    <w:p w14:paraId="200F8E95">
      <w:pPr>
        <w:autoSpaceDN w:val="0"/>
        <w:rPr>
          <w:rFonts w:hint="eastAsia" w:ascii="宋体" w:hAnsi="宋体" w:eastAsia="宋体" w:cs="宋体"/>
          <w:color w:val="auto"/>
          <w:sz w:val="44"/>
          <w:szCs w:val="44"/>
          <w:highlight w:val="none"/>
          <w:lang w:bidi="ar"/>
        </w:rPr>
      </w:pPr>
    </w:p>
    <w:p w14:paraId="0FDDA94C">
      <w:pPr>
        <w:autoSpaceDN w:val="0"/>
        <w:jc w:val="center"/>
        <w:rPr>
          <w:rFonts w:hint="eastAsia" w:ascii="宋体" w:hAnsi="宋体" w:eastAsia="宋体" w:cs="宋体"/>
          <w:color w:val="auto"/>
          <w:sz w:val="44"/>
          <w:szCs w:val="44"/>
          <w:highlight w:val="none"/>
          <w:lang w:bidi="ar"/>
        </w:rPr>
      </w:pPr>
      <w:r>
        <w:rPr>
          <w:rFonts w:hint="eastAsia" w:ascii="宋体" w:hAnsi="宋体" w:eastAsia="宋体" w:cs="宋体"/>
          <w:color w:val="auto"/>
          <w:sz w:val="44"/>
          <w:szCs w:val="44"/>
          <w:highlight w:val="none"/>
          <w:lang w:bidi="ar"/>
        </w:rPr>
        <w:t>投  标  文  件</w:t>
      </w:r>
    </w:p>
    <w:p w14:paraId="45B480CE">
      <w:pPr>
        <w:autoSpaceDN w:val="0"/>
        <w:rPr>
          <w:rFonts w:hint="eastAsia" w:ascii="宋体" w:hAnsi="宋体" w:eastAsia="宋体" w:cs="宋体"/>
          <w:color w:val="auto"/>
          <w:sz w:val="44"/>
          <w:szCs w:val="44"/>
          <w:highlight w:val="none"/>
          <w:lang w:bidi="ar"/>
        </w:rPr>
      </w:pPr>
    </w:p>
    <w:p w14:paraId="38BE4184">
      <w:pPr>
        <w:autoSpaceDN w:val="0"/>
        <w:rPr>
          <w:rFonts w:hint="eastAsia" w:ascii="宋体" w:hAnsi="宋体" w:eastAsia="宋体" w:cs="宋体"/>
          <w:color w:val="auto"/>
          <w:sz w:val="44"/>
          <w:szCs w:val="44"/>
          <w:highlight w:val="none"/>
          <w:lang w:bidi="ar"/>
        </w:rPr>
      </w:pPr>
    </w:p>
    <w:p w14:paraId="75E44742">
      <w:pPr>
        <w:autoSpaceDN w:val="0"/>
        <w:rPr>
          <w:rFonts w:hint="eastAsia" w:ascii="宋体" w:hAnsi="宋体" w:eastAsia="宋体" w:cs="宋体"/>
          <w:color w:val="auto"/>
          <w:sz w:val="44"/>
          <w:szCs w:val="44"/>
          <w:highlight w:val="none"/>
          <w:lang w:bidi="ar"/>
        </w:rPr>
      </w:pPr>
    </w:p>
    <w:p w14:paraId="518E94CE">
      <w:pPr>
        <w:autoSpaceDN w:val="0"/>
        <w:rPr>
          <w:rFonts w:hint="eastAsia" w:ascii="宋体" w:hAnsi="宋体" w:eastAsia="宋体" w:cs="宋体"/>
          <w:color w:val="auto"/>
          <w:sz w:val="44"/>
          <w:szCs w:val="44"/>
          <w:highlight w:val="none"/>
          <w:lang w:bidi="ar"/>
        </w:rPr>
      </w:pPr>
    </w:p>
    <w:p w14:paraId="65EF76FA">
      <w:pPr>
        <w:autoSpaceDN w:val="0"/>
        <w:rPr>
          <w:rFonts w:hint="eastAsia" w:ascii="宋体" w:hAnsi="宋体" w:eastAsia="宋体" w:cs="宋体"/>
          <w:color w:val="auto"/>
          <w:sz w:val="44"/>
          <w:szCs w:val="44"/>
          <w:highlight w:val="none"/>
          <w:lang w:bidi="ar"/>
        </w:rPr>
      </w:pPr>
    </w:p>
    <w:p w14:paraId="2EB4545A">
      <w:pPr>
        <w:autoSpaceDN w:val="0"/>
        <w:rPr>
          <w:rFonts w:hint="eastAsia" w:ascii="宋体" w:hAnsi="宋体" w:eastAsia="宋体" w:cs="宋体"/>
          <w:color w:val="auto"/>
          <w:sz w:val="44"/>
          <w:szCs w:val="44"/>
          <w:highlight w:val="none"/>
          <w:lang w:bidi="ar"/>
        </w:rPr>
      </w:pPr>
    </w:p>
    <w:p w14:paraId="5714BA04">
      <w:pPr>
        <w:autoSpaceDN w:val="0"/>
        <w:jc w:val="center"/>
        <w:rPr>
          <w:rFonts w:hint="eastAsia" w:ascii="宋体" w:hAnsi="宋体" w:eastAsia="宋体" w:cs="宋体"/>
          <w:color w:val="auto"/>
          <w:sz w:val="32"/>
          <w:szCs w:val="32"/>
          <w:highlight w:val="none"/>
          <w:lang w:bidi="ar"/>
        </w:rPr>
      </w:pPr>
      <w:r>
        <w:rPr>
          <w:rFonts w:hint="eastAsia" w:ascii="宋体" w:hAnsi="宋体" w:eastAsia="宋体" w:cs="宋体"/>
          <w:color w:val="auto"/>
          <w:sz w:val="32"/>
          <w:szCs w:val="32"/>
          <w:highlight w:val="none"/>
          <w:lang w:bidi="ar"/>
        </w:rPr>
        <w:t>投标人名称：</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32"/>
          <w:szCs w:val="32"/>
          <w:highlight w:val="none"/>
          <w:lang w:bidi="ar"/>
        </w:rPr>
        <w:t>（盖单位章）</w:t>
      </w:r>
    </w:p>
    <w:p w14:paraId="51310391">
      <w:pPr>
        <w:pStyle w:val="14"/>
        <w:autoSpaceDN w:val="0"/>
        <w:jc w:val="center"/>
        <w:rPr>
          <w:rFonts w:hint="eastAsia" w:ascii="宋体" w:hAnsi="宋体" w:cs="宋体"/>
          <w:color w:val="auto"/>
          <w:highlight w:val="none"/>
          <w:lang w:bidi="ar"/>
        </w:rPr>
      </w:pPr>
    </w:p>
    <w:p w14:paraId="6062C2E4">
      <w:pPr>
        <w:autoSpaceDN w:val="0"/>
        <w:jc w:val="center"/>
        <w:rPr>
          <w:rFonts w:hint="eastAsia" w:ascii="宋体" w:hAnsi="宋体" w:eastAsia="宋体" w:cs="宋体"/>
          <w:color w:val="auto"/>
          <w:sz w:val="32"/>
          <w:szCs w:val="32"/>
          <w:highlight w:val="none"/>
          <w:lang w:bidi="ar"/>
        </w:rPr>
      </w:pPr>
      <w:r>
        <w:rPr>
          <w:rFonts w:hint="eastAsia" w:ascii="宋体" w:hAnsi="宋体" w:eastAsia="宋体" w:cs="宋体"/>
          <w:color w:val="auto"/>
          <w:sz w:val="32"/>
          <w:szCs w:val="32"/>
          <w:highlight w:val="none"/>
          <w:lang w:bidi="ar"/>
        </w:rPr>
        <w:t>法定代表人或其委托代理人：</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32"/>
          <w:szCs w:val="32"/>
          <w:highlight w:val="none"/>
          <w:lang w:bidi="ar"/>
        </w:rPr>
        <w:t>（签字）</w:t>
      </w:r>
    </w:p>
    <w:p w14:paraId="47DB9046">
      <w:pPr>
        <w:pStyle w:val="14"/>
        <w:autoSpaceDN w:val="0"/>
        <w:jc w:val="center"/>
        <w:rPr>
          <w:rFonts w:hint="eastAsia" w:ascii="宋体" w:hAnsi="宋体" w:cs="宋体"/>
          <w:color w:val="auto"/>
          <w:highlight w:val="none"/>
          <w:lang w:bidi="ar"/>
        </w:rPr>
      </w:pPr>
    </w:p>
    <w:p w14:paraId="4D3AB967">
      <w:pPr>
        <w:autoSpaceDN w:val="0"/>
        <w:jc w:val="center"/>
        <w:rPr>
          <w:rFonts w:hint="eastAsia" w:ascii="宋体" w:hAnsi="宋体" w:eastAsia="宋体" w:cs="宋体"/>
          <w:color w:val="auto"/>
          <w:sz w:val="32"/>
          <w:szCs w:val="32"/>
          <w:highlight w:val="none"/>
          <w:lang w:bidi="ar"/>
        </w:rPr>
      </w:pP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32"/>
          <w:szCs w:val="32"/>
          <w:highlight w:val="none"/>
          <w:lang w:bidi="ar"/>
        </w:rPr>
        <w:t xml:space="preserve">年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32"/>
          <w:szCs w:val="32"/>
          <w:highlight w:val="none"/>
          <w:lang w:bidi="ar"/>
        </w:rPr>
        <w:t xml:space="preserve">月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32"/>
          <w:szCs w:val="32"/>
          <w:highlight w:val="none"/>
          <w:lang w:bidi="ar"/>
        </w:rPr>
        <w:t xml:space="preserve"> 日</w:t>
      </w:r>
    </w:p>
    <w:p w14:paraId="60E77471">
      <w:pPr>
        <w:autoSpaceDN w:val="0"/>
        <w:jc w:val="center"/>
        <w:rPr>
          <w:rFonts w:hint="eastAsia" w:ascii="宋体" w:hAnsi="宋体" w:eastAsia="宋体" w:cs="宋体"/>
          <w:color w:val="auto"/>
          <w:sz w:val="28"/>
          <w:szCs w:val="28"/>
          <w:highlight w:val="none"/>
          <w:lang w:bidi="ar"/>
        </w:rPr>
      </w:pPr>
      <w:r>
        <w:rPr>
          <w:rFonts w:hint="eastAsia" w:ascii="宋体" w:hAnsi="宋体" w:eastAsia="宋体" w:cs="宋体"/>
          <w:color w:val="auto"/>
          <w:szCs w:val="21"/>
          <w:highlight w:val="none"/>
          <w:lang w:bidi="ar"/>
        </w:rPr>
        <w:br w:type="page"/>
      </w:r>
      <w:r>
        <w:rPr>
          <w:rFonts w:hint="eastAsia" w:ascii="宋体" w:hAnsi="宋体" w:eastAsia="宋体" w:cs="宋体"/>
          <w:b/>
          <w:bCs/>
          <w:color w:val="auto"/>
          <w:sz w:val="32"/>
          <w:szCs w:val="32"/>
          <w:highlight w:val="none"/>
          <w:lang w:bidi="ar"/>
        </w:rPr>
        <w:t>一、法定代表人身份证明</w:t>
      </w:r>
    </w:p>
    <w:p w14:paraId="2A6AEC97">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投标人名称：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63033904">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单位性质：</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0DAF3855">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地址：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1610BB3F">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成立时间：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年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月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日</w:t>
      </w:r>
    </w:p>
    <w:p w14:paraId="1AEC135D">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经营期限：</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6DAFA874">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姓名：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性别：</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年龄：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职务：</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06DE69E6">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系</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（投标人名称）的法定代表人。</w:t>
      </w:r>
    </w:p>
    <w:p w14:paraId="1D91447E">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特此证明。</w:t>
      </w:r>
    </w:p>
    <w:p w14:paraId="68FD687E">
      <w:pPr>
        <w:autoSpaceDN w:val="0"/>
        <w:spacing w:line="360" w:lineRule="auto"/>
        <w:rPr>
          <w:rFonts w:hint="eastAsia" w:ascii="宋体" w:hAnsi="宋体" w:eastAsia="宋体" w:cs="宋体"/>
          <w:color w:val="auto"/>
          <w:sz w:val="24"/>
          <w:highlight w:val="none"/>
          <w:lang w:bidi="ar"/>
        </w:rPr>
      </w:pPr>
    </w:p>
    <w:p w14:paraId="5C9E97FE">
      <w:pPr>
        <w:autoSpaceDN w:val="0"/>
        <w:spacing w:line="360" w:lineRule="auto"/>
        <w:rPr>
          <w:rFonts w:hint="eastAsia" w:ascii="宋体" w:hAnsi="宋体" w:eastAsia="宋体" w:cs="宋体"/>
          <w:color w:val="auto"/>
          <w:sz w:val="24"/>
          <w:highlight w:val="none"/>
          <w:lang w:bidi="ar"/>
        </w:rPr>
      </w:pPr>
    </w:p>
    <w:p w14:paraId="4B39CC88">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                         投标人名称：</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（盖单位章）</w:t>
      </w:r>
    </w:p>
    <w:p w14:paraId="03684E68">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年</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月</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日           </w:t>
      </w:r>
    </w:p>
    <w:p w14:paraId="5394ACD1">
      <w:pPr>
        <w:autoSpaceDN w:val="0"/>
        <w:rPr>
          <w:rFonts w:hint="eastAsia" w:ascii="宋体" w:hAnsi="宋体" w:eastAsia="宋体" w:cs="宋体"/>
          <w:color w:val="auto"/>
          <w:sz w:val="24"/>
          <w:highlight w:val="none"/>
          <w:lang w:bidi="ar"/>
        </w:rPr>
      </w:pPr>
    </w:p>
    <w:p w14:paraId="09B6C13E">
      <w:pPr>
        <w:autoSpaceDN w:val="0"/>
        <w:rPr>
          <w:rFonts w:hint="eastAsia" w:ascii="宋体" w:hAnsi="宋体" w:eastAsia="宋体" w:cs="宋体"/>
          <w:color w:val="auto"/>
          <w:sz w:val="24"/>
          <w:highlight w:val="none"/>
          <w:lang w:bidi="ar"/>
        </w:rPr>
      </w:pPr>
    </w:p>
    <w:p w14:paraId="43202FE8">
      <w:pPr>
        <w:autoSpaceDN w:val="0"/>
        <w:rPr>
          <w:rFonts w:hint="eastAsia" w:ascii="宋体" w:hAnsi="宋体" w:eastAsia="宋体" w:cs="宋体"/>
          <w:color w:val="auto"/>
          <w:sz w:val="24"/>
          <w:highlight w:val="none"/>
          <w:lang w:bidi="ar"/>
        </w:rPr>
      </w:pPr>
    </w:p>
    <w:p w14:paraId="44DA9C97">
      <w:pPr>
        <w:autoSpaceDN w:val="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注：本法定代表人身份证明后必须附上法定代表人的身份证复印件。</w:t>
      </w:r>
    </w:p>
    <w:p w14:paraId="11B6275F">
      <w:pPr>
        <w:autoSpaceDN w:val="0"/>
        <w:rPr>
          <w:rFonts w:hint="eastAsia" w:ascii="宋体" w:hAnsi="宋体" w:eastAsia="宋体" w:cs="宋体"/>
          <w:color w:val="auto"/>
          <w:sz w:val="24"/>
          <w:highlight w:val="none"/>
          <w:lang w:bidi="ar"/>
        </w:rPr>
      </w:pPr>
    </w:p>
    <w:p w14:paraId="14112B2D">
      <w:pPr>
        <w:autoSpaceDN w:val="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br w:type="page"/>
      </w:r>
    </w:p>
    <w:p w14:paraId="71B211A5">
      <w:pPr>
        <w:autoSpaceDN w:val="0"/>
        <w:jc w:val="center"/>
        <w:rPr>
          <w:rFonts w:hint="eastAsia" w:ascii="宋体" w:hAnsi="宋体" w:eastAsia="宋体" w:cs="宋体"/>
          <w:color w:val="auto"/>
          <w:sz w:val="28"/>
          <w:szCs w:val="28"/>
          <w:highlight w:val="none"/>
          <w:lang w:bidi="ar"/>
        </w:rPr>
      </w:pPr>
      <w:r>
        <w:rPr>
          <w:rFonts w:hint="eastAsia" w:ascii="宋体" w:hAnsi="宋体" w:eastAsia="宋体" w:cs="宋体"/>
          <w:b/>
          <w:bCs/>
          <w:color w:val="auto"/>
          <w:sz w:val="32"/>
          <w:szCs w:val="32"/>
          <w:highlight w:val="none"/>
          <w:lang w:bidi="ar"/>
        </w:rPr>
        <w:t>授权委托书</w:t>
      </w:r>
    </w:p>
    <w:p w14:paraId="575BDEE7">
      <w:pPr>
        <w:autoSpaceDN w:val="0"/>
        <w:spacing w:line="360" w:lineRule="auto"/>
        <w:ind w:firstLine="42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本人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（姓名）系</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（投标人名称）的法定代表人，现委托</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（姓名）为我方代理人。代理人根据授权，以我方名义签署、澄清、说明、补正、递交、撤回、修改</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（项目名称）投标文件、签订合同和处理有关事宜，其法律后果由我方承担。</w:t>
      </w:r>
    </w:p>
    <w:p w14:paraId="7A831669">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    委托期限：</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w:t>
      </w:r>
    </w:p>
    <w:p w14:paraId="11FFB9D3">
      <w:pPr>
        <w:autoSpaceDN w:val="0"/>
        <w:spacing w:line="360" w:lineRule="auto"/>
        <w:ind w:firstLine="480" w:firstLineChars="20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代理人无转委托权。</w:t>
      </w:r>
    </w:p>
    <w:p w14:paraId="1A889AE9">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附：法定代表人身份证明</w:t>
      </w:r>
    </w:p>
    <w:p w14:paraId="05ABAC86">
      <w:pPr>
        <w:autoSpaceDN w:val="0"/>
        <w:spacing w:line="360" w:lineRule="auto"/>
        <w:rPr>
          <w:rFonts w:hint="eastAsia" w:ascii="宋体" w:hAnsi="宋体" w:eastAsia="宋体" w:cs="宋体"/>
          <w:color w:val="auto"/>
          <w:sz w:val="24"/>
          <w:highlight w:val="none"/>
          <w:lang w:bidi="ar"/>
        </w:rPr>
      </w:pPr>
    </w:p>
    <w:p w14:paraId="260635EC">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lang w:bidi="ar"/>
        </w:rPr>
        <w:t>：</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（盖单位章）</w:t>
      </w:r>
    </w:p>
    <w:p w14:paraId="574F5CC6">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法定代表人：</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（签字）</w:t>
      </w:r>
    </w:p>
    <w:p w14:paraId="1AA7010F">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身份证号码：</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13E049DC">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委托代理人：</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（签字） </w:t>
      </w:r>
    </w:p>
    <w:p w14:paraId="1E7E333F">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身份证号码：</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6A80C5CF">
      <w:pPr>
        <w:autoSpaceDN w:val="0"/>
        <w:spacing w:line="360" w:lineRule="auto"/>
        <w:rPr>
          <w:rFonts w:hint="eastAsia" w:ascii="宋体" w:hAnsi="宋体" w:eastAsia="宋体" w:cs="宋体"/>
          <w:color w:val="auto"/>
          <w:sz w:val="24"/>
          <w:highlight w:val="none"/>
          <w:lang w:bidi="ar"/>
        </w:rPr>
      </w:pPr>
    </w:p>
    <w:p w14:paraId="693192CE">
      <w:pPr>
        <w:autoSpaceDN w:val="0"/>
        <w:spacing w:line="360" w:lineRule="auto"/>
        <w:jc w:val="right"/>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年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月</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日</w:t>
      </w:r>
    </w:p>
    <w:p w14:paraId="2DD9C54D">
      <w:pPr>
        <w:autoSpaceDN w:val="0"/>
        <w:spacing w:line="360" w:lineRule="auto"/>
        <w:rPr>
          <w:rFonts w:hint="eastAsia" w:ascii="宋体" w:hAnsi="宋体" w:eastAsia="宋体" w:cs="宋体"/>
          <w:color w:val="auto"/>
          <w:sz w:val="24"/>
          <w:highlight w:val="none"/>
          <w:lang w:bidi="ar"/>
        </w:rPr>
      </w:pPr>
    </w:p>
    <w:p w14:paraId="1672D3FF">
      <w:pPr>
        <w:autoSpaceDN w:val="0"/>
        <w:spacing w:line="360" w:lineRule="auto"/>
        <w:rPr>
          <w:rFonts w:hint="eastAsia" w:ascii="宋体" w:hAnsi="宋体" w:eastAsia="宋体" w:cs="宋体"/>
          <w:color w:val="auto"/>
          <w:sz w:val="24"/>
          <w:highlight w:val="none"/>
          <w:lang w:bidi="ar"/>
        </w:rPr>
      </w:pPr>
    </w:p>
    <w:p w14:paraId="4E3B99E1">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注：本授权委托书后必须附上获授权代理人的身份证复印件。</w:t>
      </w:r>
    </w:p>
    <w:p w14:paraId="5F8B2813">
      <w:pPr>
        <w:autoSpaceDN w:val="0"/>
        <w:rPr>
          <w:rFonts w:hint="eastAsia" w:ascii="宋体" w:hAnsi="宋体" w:eastAsia="宋体" w:cs="宋体"/>
          <w:color w:val="auto"/>
          <w:szCs w:val="21"/>
          <w:highlight w:val="none"/>
          <w:lang w:bidi="ar"/>
        </w:rPr>
      </w:pPr>
    </w:p>
    <w:p w14:paraId="788D4AD9">
      <w:pPr>
        <w:autoSpaceDN w:val="0"/>
        <w:jc w:val="center"/>
        <w:rPr>
          <w:rFonts w:hint="eastAsia" w:ascii="宋体" w:hAnsi="宋体" w:eastAsia="宋体" w:cs="宋体"/>
          <w:color w:val="auto"/>
          <w:sz w:val="28"/>
          <w:szCs w:val="28"/>
          <w:highlight w:val="none"/>
          <w:lang w:bidi="ar"/>
        </w:rPr>
      </w:pPr>
      <w:r>
        <w:rPr>
          <w:rFonts w:hint="eastAsia" w:ascii="宋体" w:hAnsi="宋体" w:eastAsia="宋体" w:cs="宋体"/>
          <w:color w:val="auto"/>
          <w:szCs w:val="21"/>
          <w:highlight w:val="none"/>
          <w:lang w:bidi="ar"/>
        </w:rPr>
        <w:br w:type="page"/>
      </w:r>
      <w:r>
        <w:rPr>
          <w:rFonts w:hint="eastAsia" w:ascii="宋体" w:hAnsi="宋体" w:eastAsia="宋体" w:cs="宋体"/>
          <w:b/>
          <w:bCs/>
          <w:color w:val="auto"/>
          <w:sz w:val="32"/>
          <w:szCs w:val="32"/>
          <w:highlight w:val="none"/>
          <w:lang w:bidi="ar"/>
        </w:rPr>
        <w:t>二、投  标  函</w:t>
      </w:r>
    </w:p>
    <w:p w14:paraId="5F7D60E3">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致：</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67FAE09E">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    1．根据你方招标的</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的招标文件，遵照《中华人民共和国招标投标法》等有关规定，经研究上述招标文件的投标须知、合同条款、技术需求标准及其他有关文件后，我方愿以</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（大写）</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（小写）      的投标报价，并按上述招标文件条款、合同条款和技术标准的条件等要求承包上述项目的全部内容，并承担任何质量缺陷保修责任。</w:t>
      </w:r>
    </w:p>
    <w:p w14:paraId="1E880CC7">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2．我方已详细审核全部招标文件，包括修改文件（如有时）及有关附件。</w:t>
      </w:r>
    </w:p>
    <w:p w14:paraId="645F000A">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3．一旦我方中标，我方保证按合同协议书中规定的供货期</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日内完成并移交全部货物并安装调试完成。质量标准“</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w:t>
      </w:r>
    </w:p>
    <w:p w14:paraId="2B915FFE">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4．我方同意所提交的投标文件在招标文件的投标须知中规定的投标有效期内有效，在此期间内如果中标，我方将受此约束。</w:t>
      </w:r>
    </w:p>
    <w:p w14:paraId="031C5D62">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5. 除非另外达成协议并生效，你方的中标通知书和本投标文件将成为约束双方的合同文件的组成部分。</w:t>
      </w:r>
    </w:p>
    <w:p w14:paraId="72371E5D">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6．我方将与本投标函一起，提交人民币</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元作为投标保证金。</w:t>
      </w:r>
    </w:p>
    <w:p w14:paraId="4794C49B">
      <w:pPr>
        <w:autoSpaceDN w:val="0"/>
        <w:spacing w:line="360" w:lineRule="auto"/>
        <w:rPr>
          <w:rFonts w:hint="eastAsia" w:ascii="宋体" w:hAnsi="宋体" w:eastAsia="宋体" w:cs="宋体"/>
          <w:color w:val="auto"/>
          <w:sz w:val="24"/>
          <w:highlight w:val="none"/>
          <w:lang w:bidi="ar"/>
        </w:rPr>
      </w:pPr>
    </w:p>
    <w:p w14:paraId="31475197">
      <w:pPr>
        <w:autoSpaceDN w:val="0"/>
        <w:spacing w:line="360" w:lineRule="auto"/>
        <w:rPr>
          <w:rFonts w:hint="eastAsia" w:ascii="宋体" w:hAnsi="宋体" w:eastAsia="宋体" w:cs="宋体"/>
          <w:color w:val="auto"/>
          <w:sz w:val="24"/>
          <w:highlight w:val="none"/>
          <w:lang w:bidi="ar"/>
        </w:rPr>
      </w:pPr>
    </w:p>
    <w:p w14:paraId="1811DB2F">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lang w:bidi="ar"/>
        </w:rPr>
        <w:t>：</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（盖章）</w:t>
      </w:r>
    </w:p>
    <w:p w14:paraId="00125EF0">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单位地址：</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5BD0CDE4">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法定代表人或其委托代理人：</w:t>
      </w:r>
      <w:r>
        <w:rPr>
          <w:rFonts w:hint="eastAsia" w:ascii="宋体" w:hAnsi="宋体" w:eastAsia="宋体" w:cs="宋体"/>
          <w:color w:val="auto"/>
          <w:sz w:val="24"/>
          <w:highlight w:val="none"/>
          <w:u w:val="single"/>
          <w:lang w:bidi="ar"/>
        </w:rPr>
        <w:t xml:space="preserve">            </w:t>
      </w:r>
    </w:p>
    <w:p w14:paraId="74778037">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邮政编码：</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277EA409">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电话：</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4067B008">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传真：</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64D8F6AD">
      <w:pPr>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日期：</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年</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月</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日</w:t>
      </w:r>
    </w:p>
    <w:p w14:paraId="727C2788">
      <w:pPr>
        <w:autoSpaceDN w:val="0"/>
        <w:spacing w:line="360" w:lineRule="auto"/>
        <w:rPr>
          <w:rFonts w:hint="eastAsia" w:ascii="宋体" w:hAnsi="宋体" w:eastAsia="宋体" w:cs="宋体"/>
          <w:color w:val="auto"/>
          <w:sz w:val="28"/>
          <w:szCs w:val="28"/>
          <w:highlight w:val="none"/>
          <w:lang w:bidi="ar"/>
        </w:rPr>
      </w:pPr>
    </w:p>
    <w:p w14:paraId="200580B2">
      <w:pPr>
        <w:autoSpaceDN w:val="0"/>
        <w:spacing w:line="360" w:lineRule="auto"/>
        <w:rPr>
          <w:rFonts w:hint="eastAsia" w:ascii="宋体" w:hAnsi="宋体" w:eastAsia="宋体" w:cs="宋体"/>
          <w:color w:val="auto"/>
          <w:sz w:val="28"/>
          <w:szCs w:val="28"/>
          <w:highlight w:val="none"/>
          <w:lang w:bidi="ar"/>
        </w:rPr>
      </w:pPr>
    </w:p>
    <w:p w14:paraId="0E2702E9">
      <w:pPr>
        <w:autoSpaceDN w:val="0"/>
        <w:spacing w:line="360" w:lineRule="auto"/>
        <w:rPr>
          <w:rFonts w:hint="eastAsia" w:ascii="宋体" w:hAnsi="宋体" w:eastAsia="宋体" w:cs="宋体"/>
          <w:color w:val="auto"/>
          <w:sz w:val="28"/>
          <w:szCs w:val="28"/>
          <w:highlight w:val="none"/>
          <w:lang w:bidi="ar"/>
        </w:rPr>
      </w:pPr>
      <w:r>
        <w:rPr>
          <w:rFonts w:hint="eastAsia" w:ascii="宋体" w:hAnsi="宋体" w:eastAsia="宋体" w:cs="宋体"/>
          <w:color w:val="auto"/>
          <w:sz w:val="28"/>
          <w:szCs w:val="28"/>
          <w:highlight w:val="none"/>
          <w:lang w:bidi="ar"/>
        </w:rPr>
        <w:br w:type="page"/>
      </w:r>
    </w:p>
    <w:p w14:paraId="09A75ABF">
      <w:pPr>
        <w:autoSpaceDN w:val="0"/>
        <w:jc w:val="center"/>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三、开标一览表</w:t>
      </w:r>
    </w:p>
    <w:p w14:paraId="74510A67">
      <w:pPr>
        <w:widowControl/>
        <w:kinsoku w:val="0"/>
        <w:autoSpaceDE w:val="0"/>
        <w:autoSpaceDN w:val="0"/>
        <w:adjustRightInd w:val="0"/>
        <w:snapToGrid w:val="0"/>
        <w:spacing w:before="182" w:line="468" w:lineRule="exact"/>
        <w:ind w:left="605"/>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position w:val="17"/>
          <w:sz w:val="24"/>
          <w:highlight w:val="none"/>
          <w:lang w:bidi="ar"/>
        </w:rPr>
        <w:t>项</w:t>
      </w:r>
      <w:r>
        <w:rPr>
          <w:rFonts w:hint="eastAsia" w:ascii="宋体" w:hAnsi="宋体" w:eastAsia="宋体" w:cs="宋体"/>
          <w:color w:val="auto"/>
          <w:spacing w:val="5"/>
          <w:kern w:val="0"/>
          <w:position w:val="17"/>
          <w:sz w:val="24"/>
          <w:highlight w:val="none"/>
          <w:lang w:bidi="ar"/>
        </w:rPr>
        <w:t>目名称：</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64091A63">
      <w:pPr>
        <w:widowControl/>
        <w:kinsoku w:val="0"/>
        <w:autoSpaceDE w:val="0"/>
        <w:autoSpaceDN w:val="0"/>
        <w:adjustRightInd w:val="0"/>
        <w:snapToGrid w:val="0"/>
        <w:ind w:left="605"/>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sz w:val="24"/>
          <w:highlight w:val="none"/>
          <w:lang w:bidi="ar"/>
        </w:rPr>
        <w:t>项</w:t>
      </w:r>
      <w:r>
        <w:rPr>
          <w:rFonts w:hint="eastAsia" w:ascii="宋体" w:hAnsi="宋体" w:eastAsia="宋体" w:cs="宋体"/>
          <w:color w:val="auto"/>
          <w:spacing w:val="5"/>
          <w:kern w:val="0"/>
          <w:sz w:val="24"/>
          <w:highlight w:val="none"/>
          <w:lang w:bidi="ar"/>
        </w:rPr>
        <w:t>目编号：</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4C46234D">
      <w:pPr>
        <w:widowControl/>
        <w:kinsoku w:val="0"/>
        <w:autoSpaceDE w:val="0"/>
        <w:autoSpaceDN w:val="0"/>
        <w:adjustRightInd w:val="0"/>
        <w:snapToGrid w:val="0"/>
        <w:spacing w:before="182"/>
        <w:ind w:left="604"/>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8"/>
          <w:kern w:val="0"/>
          <w:sz w:val="24"/>
          <w:highlight w:val="none"/>
          <w:lang w:bidi="ar"/>
        </w:rPr>
        <w:t>投</w:t>
      </w:r>
      <w:r>
        <w:rPr>
          <w:rFonts w:hint="eastAsia" w:ascii="宋体" w:hAnsi="宋体" w:eastAsia="宋体" w:cs="宋体"/>
          <w:color w:val="auto"/>
          <w:spacing w:val="7"/>
          <w:kern w:val="0"/>
          <w:sz w:val="24"/>
          <w:highlight w:val="none"/>
          <w:lang w:bidi="ar"/>
        </w:rPr>
        <w:t>标人名称 (加盖公章)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39C52AEC">
      <w:pPr>
        <w:widowControl/>
        <w:kinsoku w:val="0"/>
        <w:autoSpaceDE w:val="0"/>
        <w:autoSpaceDN w:val="0"/>
        <w:adjustRightInd w:val="0"/>
        <w:snapToGrid w:val="0"/>
        <w:spacing w:before="185"/>
        <w:ind w:left="603"/>
        <w:jc w:val="left"/>
        <w:textAlignment w:val="baseline"/>
        <w:rPr>
          <w:rFonts w:hint="eastAsia" w:ascii="宋体" w:hAnsi="宋体" w:eastAsia="宋体" w:cs="宋体"/>
          <w:color w:val="auto"/>
          <w:kern w:val="0"/>
          <w:sz w:val="28"/>
          <w:szCs w:val="28"/>
          <w:highlight w:val="none"/>
        </w:rPr>
      </w:pPr>
      <w:r>
        <w:rPr>
          <w:rFonts w:hint="eastAsia" w:ascii="宋体" w:hAnsi="宋体" w:eastAsia="宋体" w:cs="宋体"/>
          <w:color w:val="auto"/>
          <w:spacing w:val="14"/>
          <w:kern w:val="0"/>
          <w:sz w:val="24"/>
          <w:highlight w:val="none"/>
          <w:lang w:bidi="ar"/>
        </w:rPr>
        <w:t>单</w:t>
      </w:r>
      <w:r>
        <w:rPr>
          <w:rFonts w:hint="eastAsia" w:ascii="宋体" w:hAnsi="宋体" w:eastAsia="宋体" w:cs="宋体"/>
          <w:color w:val="auto"/>
          <w:spacing w:val="13"/>
          <w:kern w:val="0"/>
          <w:sz w:val="24"/>
          <w:highlight w:val="none"/>
          <w:lang w:bidi="ar"/>
        </w:rPr>
        <w:t>位</w:t>
      </w:r>
      <w:r>
        <w:rPr>
          <w:rFonts w:hint="eastAsia" w:ascii="宋体" w:hAnsi="宋体" w:eastAsia="宋体" w:cs="宋体"/>
          <w:color w:val="auto"/>
          <w:spacing w:val="7"/>
          <w:kern w:val="0"/>
          <w:sz w:val="24"/>
          <w:highlight w:val="none"/>
          <w:lang w:bidi="ar"/>
        </w:rPr>
        <w:t>负责人或授权代理人 (签字)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z w:val="24"/>
          <w:highlight w:val="none"/>
          <w:lang w:bidi="ar"/>
        </w:rPr>
        <w:t xml:space="preserve"> </w:t>
      </w:r>
    </w:p>
    <w:p w14:paraId="5C0C736E">
      <w:pPr>
        <w:widowControl/>
        <w:kinsoku w:val="0"/>
        <w:autoSpaceDE w:val="0"/>
        <w:autoSpaceDN w:val="0"/>
        <w:adjustRightInd w:val="0"/>
        <w:snapToGrid w:val="0"/>
        <w:spacing w:before="188"/>
        <w:ind w:left="612"/>
        <w:jc w:val="left"/>
        <w:textAlignment w:val="baseline"/>
        <w:rPr>
          <w:rFonts w:hint="eastAsia" w:ascii="宋体" w:hAnsi="宋体" w:eastAsia="宋体" w:cs="宋体"/>
          <w:color w:val="auto"/>
          <w:kern w:val="0"/>
          <w:sz w:val="24"/>
          <w:highlight w:val="none"/>
          <w:u w:val="single"/>
        </w:rPr>
      </w:pPr>
      <w:r>
        <w:rPr>
          <w:rFonts w:hint="eastAsia" w:ascii="宋体" w:hAnsi="宋体" w:eastAsia="宋体" w:cs="宋体"/>
          <w:color w:val="auto"/>
          <w:spacing w:val="1"/>
          <w:kern w:val="0"/>
          <w:sz w:val="24"/>
          <w:highlight w:val="none"/>
          <w:lang w:bidi="ar"/>
        </w:rPr>
        <w:t xml:space="preserve">时间：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pacing w:val="1"/>
          <w:kern w:val="0"/>
          <w:sz w:val="24"/>
          <w:highlight w:val="none"/>
          <w:lang w:bidi="ar"/>
        </w:rPr>
        <w:t xml:space="preserve">年 </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pacing w:val="1"/>
          <w:kern w:val="0"/>
          <w:sz w:val="24"/>
          <w:highlight w:val="none"/>
          <w:lang w:bidi="ar"/>
        </w:rPr>
        <w:t xml:space="preserve"> 月</w:t>
      </w:r>
      <w:r>
        <w:rPr>
          <w:rFonts w:hint="eastAsia" w:ascii="宋体" w:hAnsi="宋体" w:eastAsia="宋体" w:cs="宋体"/>
          <w:color w:val="auto"/>
          <w:sz w:val="24"/>
          <w:highlight w:val="none"/>
          <w:u w:val="single"/>
          <w:lang w:bidi="ar"/>
        </w:rPr>
        <w:t xml:space="preserve">    </w:t>
      </w:r>
      <w:r>
        <w:rPr>
          <w:rFonts w:hint="eastAsia" w:ascii="宋体" w:hAnsi="宋体" w:eastAsia="宋体" w:cs="宋体"/>
          <w:color w:val="auto"/>
          <w:spacing w:val="1"/>
          <w:kern w:val="0"/>
          <w:sz w:val="24"/>
          <w:highlight w:val="none"/>
          <w:lang w:bidi="ar"/>
        </w:rPr>
        <w:t xml:space="preserve">日       </w:t>
      </w:r>
      <w:r>
        <w:rPr>
          <w:rFonts w:hint="eastAsia" w:ascii="宋体" w:hAnsi="宋体" w:eastAsia="宋体" w:cs="宋体"/>
          <w:color w:val="auto"/>
          <w:kern w:val="0"/>
          <w:sz w:val="24"/>
          <w:highlight w:val="none"/>
          <w:lang w:bidi="ar"/>
        </w:rPr>
        <w:t>货币单位:</w:t>
      </w:r>
      <w:r>
        <w:rPr>
          <w:rFonts w:hint="eastAsia" w:ascii="宋体" w:hAnsi="宋体" w:eastAsia="宋体" w:cs="宋体"/>
          <w:color w:val="auto"/>
          <w:kern w:val="0"/>
          <w:sz w:val="24"/>
          <w:highlight w:val="none"/>
          <w:u w:val="single"/>
          <w:lang w:bidi="ar"/>
        </w:rPr>
        <w:t>元（保留小数点后2位）</w:t>
      </w:r>
    </w:p>
    <w:p w14:paraId="64B518AD">
      <w:pPr>
        <w:widowControl/>
        <w:kinsoku w:val="0"/>
        <w:autoSpaceDE w:val="0"/>
        <w:autoSpaceDN w:val="0"/>
        <w:adjustRightInd w:val="0"/>
        <w:snapToGrid w:val="0"/>
        <w:spacing w:line="143" w:lineRule="exact"/>
        <w:jc w:val="left"/>
        <w:textAlignment w:val="baseline"/>
        <w:rPr>
          <w:rFonts w:hint="eastAsia" w:ascii="宋体" w:hAnsi="宋体" w:eastAsia="宋体" w:cs="宋体"/>
          <w:color w:val="auto"/>
          <w:kern w:val="0"/>
          <w:sz w:val="24"/>
          <w:highlight w:val="none"/>
        </w:rPr>
      </w:pPr>
    </w:p>
    <w:tbl>
      <w:tblPr>
        <w:tblStyle w:val="24"/>
        <w:tblW w:w="5150" w:type="pct"/>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autofit"/>
        <w:tblCellMar>
          <w:top w:w="0" w:type="dxa"/>
          <w:left w:w="108" w:type="dxa"/>
          <w:bottom w:w="0" w:type="dxa"/>
          <w:right w:w="108" w:type="dxa"/>
        </w:tblCellMar>
      </w:tblPr>
      <w:tblGrid>
        <w:gridCol w:w="2097"/>
        <w:gridCol w:w="1770"/>
        <w:gridCol w:w="1600"/>
        <w:gridCol w:w="1909"/>
        <w:gridCol w:w="1401"/>
      </w:tblGrid>
      <w:tr w14:paraId="783E6988">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526" w:hRule="atLeast"/>
        </w:trPr>
        <w:tc>
          <w:tcPr>
            <w:tcW w:w="1194" w:type="pct"/>
            <w:tcBorders>
              <w:top w:val="single" w:color="auto" w:sz="4" w:space="0"/>
              <w:left w:val="single" w:color="auto" w:sz="4" w:space="0"/>
              <w:bottom w:val="single" w:color="auto" w:sz="4" w:space="0"/>
              <w:right w:val="single" w:color="auto" w:sz="4" w:space="0"/>
            </w:tcBorders>
            <w:shd w:val="clear" w:color="auto" w:fill="auto"/>
            <w:vAlign w:val="center"/>
          </w:tcPr>
          <w:p w14:paraId="12809D43">
            <w:pPr>
              <w:widowControl/>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bidi="ar"/>
              </w:rPr>
              <w:t>投标单位</w:t>
            </w:r>
          </w:p>
        </w:tc>
        <w:tc>
          <w:tcPr>
            <w:tcW w:w="1008" w:type="pct"/>
            <w:tcBorders>
              <w:top w:val="single" w:color="auto" w:sz="4" w:space="0"/>
              <w:left w:val="single" w:color="auto" w:sz="4" w:space="0"/>
              <w:bottom w:val="single" w:color="auto" w:sz="4" w:space="0"/>
              <w:right w:val="single" w:color="auto" w:sz="4" w:space="0"/>
            </w:tcBorders>
            <w:shd w:val="clear" w:color="auto" w:fill="auto"/>
            <w:vAlign w:val="center"/>
          </w:tcPr>
          <w:p w14:paraId="6B1DC2D8">
            <w:pPr>
              <w:widowControl/>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bidi="ar"/>
              </w:rPr>
              <w:t>投标报价（元）</w:t>
            </w:r>
          </w:p>
        </w:tc>
        <w:tc>
          <w:tcPr>
            <w:tcW w:w="911" w:type="pct"/>
            <w:tcBorders>
              <w:top w:val="single" w:color="auto" w:sz="4" w:space="0"/>
              <w:left w:val="single" w:color="auto" w:sz="4" w:space="0"/>
              <w:bottom w:val="single" w:color="auto" w:sz="4" w:space="0"/>
              <w:right w:val="single" w:color="auto" w:sz="4" w:space="0"/>
            </w:tcBorders>
            <w:shd w:val="clear" w:color="auto" w:fill="auto"/>
            <w:vAlign w:val="center"/>
          </w:tcPr>
          <w:p w14:paraId="6FC8B873">
            <w:pPr>
              <w:widowControl/>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bidi="ar"/>
              </w:rPr>
              <w:t>质量标准</w:t>
            </w:r>
          </w:p>
        </w:tc>
        <w:tc>
          <w:tcPr>
            <w:tcW w:w="1087" w:type="pct"/>
            <w:tcBorders>
              <w:top w:val="single" w:color="auto" w:sz="4" w:space="0"/>
              <w:left w:val="single" w:color="auto" w:sz="4" w:space="0"/>
              <w:bottom w:val="single" w:color="auto" w:sz="4" w:space="0"/>
              <w:right w:val="single" w:color="auto" w:sz="4" w:space="0"/>
            </w:tcBorders>
            <w:shd w:val="clear" w:color="auto" w:fill="auto"/>
            <w:vAlign w:val="center"/>
          </w:tcPr>
          <w:p w14:paraId="025907D8">
            <w:pPr>
              <w:widowControl/>
              <w:autoSpaceDN w:val="0"/>
              <w:spacing w:line="360" w:lineRule="auto"/>
              <w:jc w:val="center"/>
              <w:rPr>
                <w:rFonts w:hint="eastAsia" w:ascii="宋体" w:hAnsi="宋体" w:eastAsia="宋体" w:cs="宋体"/>
                <w:b/>
                <w:color w:val="auto"/>
                <w:sz w:val="24"/>
                <w:highlight w:val="none"/>
              </w:rPr>
            </w:pPr>
            <w:r>
              <w:rPr>
                <w:rFonts w:hint="eastAsia" w:ascii="宋体" w:hAnsi="宋体" w:eastAsia="宋体" w:cs="宋体"/>
                <w:b/>
                <w:color w:val="auto"/>
                <w:sz w:val="24"/>
                <w:highlight w:val="none"/>
                <w:lang w:bidi="ar"/>
              </w:rPr>
              <w:t>合同履行期限</w:t>
            </w:r>
          </w:p>
        </w:tc>
        <w:tc>
          <w:tcPr>
            <w:tcW w:w="797" w:type="pct"/>
            <w:tcBorders>
              <w:top w:val="single" w:color="auto" w:sz="4" w:space="0"/>
              <w:left w:val="single" w:color="auto" w:sz="4" w:space="0"/>
              <w:bottom w:val="single" w:color="auto" w:sz="4" w:space="0"/>
              <w:right w:val="single" w:color="auto" w:sz="4" w:space="0"/>
            </w:tcBorders>
            <w:shd w:val="clear" w:color="auto" w:fill="auto"/>
            <w:vAlign w:val="center"/>
          </w:tcPr>
          <w:p w14:paraId="2C8EAAE2">
            <w:pPr>
              <w:widowControl/>
              <w:autoSpaceDN w:val="0"/>
              <w:spacing w:line="360" w:lineRule="auto"/>
              <w:rPr>
                <w:rFonts w:hint="eastAsia" w:ascii="宋体" w:hAnsi="宋体" w:eastAsia="宋体" w:cs="宋体"/>
                <w:b/>
                <w:color w:val="auto"/>
                <w:sz w:val="24"/>
                <w:highlight w:val="none"/>
              </w:rPr>
            </w:pPr>
            <w:r>
              <w:rPr>
                <w:rFonts w:hint="eastAsia" w:ascii="宋体" w:hAnsi="宋体" w:eastAsia="宋体" w:cs="宋体"/>
                <w:b/>
                <w:color w:val="auto"/>
                <w:sz w:val="24"/>
                <w:highlight w:val="none"/>
                <w:lang w:bidi="ar"/>
              </w:rPr>
              <w:t>备注</w:t>
            </w:r>
          </w:p>
        </w:tc>
      </w:tr>
      <w:tr w14:paraId="285949F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453" w:hRule="atLeast"/>
        </w:trPr>
        <w:tc>
          <w:tcPr>
            <w:tcW w:w="1194" w:type="pct"/>
            <w:tcBorders>
              <w:top w:val="single" w:color="auto" w:sz="4" w:space="0"/>
              <w:left w:val="single" w:color="auto" w:sz="4" w:space="0"/>
              <w:bottom w:val="single" w:color="auto" w:sz="4" w:space="0"/>
              <w:right w:val="single" w:color="auto" w:sz="4" w:space="0"/>
            </w:tcBorders>
            <w:shd w:val="clear" w:color="auto" w:fill="auto"/>
          </w:tcPr>
          <w:p w14:paraId="0D63778D">
            <w:pPr>
              <w:widowControl/>
              <w:autoSpaceDN w:val="0"/>
              <w:spacing w:line="360" w:lineRule="auto"/>
              <w:rPr>
                <w:rFonts w:hint="eastAsia" w:ascii="宋体" w:hAnsi="宋体" w:eastAsia="宋体" w:cs="宋体"/>
                <w:bCs/>
                <w:color w:val="auto"/>
                <w:sz w:val="24"/>
                <w:highlight w:val="none"/>
              </w:rPr>
            </w:pPr>
          </w:p>
        </w:tc>
        <w:tc>
          <w:tcPr>
            <w:tcW w:w="1008" w:type="pct"/>
            <w:tcBorders>
              <w:top w:val="single" w:color="auto" w:sz="4" w:space="0"/>
              <w:left w:val="single" w:color="auto" w:sz="4" w:space="0"/>
              <w:bottom w:val="single" w:color="auto" w:sz="4" w:space="0"/>
              <w:right w:val="single" w:color="auto" w:sz="4" w:space="0"/>
            </w:tcBorders>
            <w:shd w:val="clear" w:color="auto" w:fill="auto"/>
          </w:tcPr>
          <w:p w14:paraId="3BEE1A7D">
            <w:pPr>
              <w:widowControl/>
              <w:autoSpaceDN w:val="0"/>
              <w:spacing w:line="360" w:lineRule="auto"/>
              <w:rPr>
                <w:rFonts w:hint="eastAsia" w:ascii="宋体" w:hAnsi="宋体" w:eastAsia="宋体" w:cs="宋体"/>
                <w:bCs/>
                <w:color w:val="auto"/>
                <w:sz w:val="24"/>
                <w:highlight w:val="none"/>
              </w:rPr>
            </w:pPr>
          </w:p>
        </w:tc>
        <w:tc>
          <w:tcPr>
            <w:tcW w:w="911" w:type="pct"/>
            <w:tcBorders>
              <w:top w:val="single" w:color="auto" w:sz="4" w:space="0"/>
              <w:left w:val="single" w:color="auto" w:sz="4" w:space="0"/>
              <w:bottom w:val="single" w:color="auto" w:sz="4" w:space="0"/>
              <w:right w:val="single" w:color="auto" w:sz="4" w:space="0"/>
            </w:tcBorders>
            <w:shd w:val="clear" w:color="auto" w:fill="auto"/>
          </w:tcPr>
          <w:p w14:paraId="387B0514">
            <w:pPr>
              <w:widowControl/>
              <w:autoSpaceDN w:val="0"/>
              <w:spacing w:line="360" w:lineRule="auto"/>
              <w:rPr>
                <w:rFonts w:hint="eastAsia" w:ascii="宋体" w:hAnsi="宋体" w:eastAsia="宋体" w:cs="宋体"/>
                <w:bCs/>
                <w:color w:val="auto"/>
                <w:sz w:val="24"/>
                <w:highlight w:val="none"/>
              </w:rPr>
            </w:pPr>
          </w:p>
        </w:tc>
        <w:tc>
          <w:tcPr>
            <w:tcW w:w="1087" w:type="pct"/>
            <w:tcBorders>
              <w:top w:val="single" w:color="auto" w:sz="4" w:space="0"/>
              <w:left w:val="single" w:color="auto" w:sz="4" w:space="0"/>
              <w:bottom w:val="single" w:color="auto" w:sz="4" w:space="0"/>
              <w:right w:val="single" w:color="auto" w:sz="4" w:space="0"/>
            </w:tcBorders>
            <w:shd w:val="clear" w:color="auto" w:fill="auto"/>
          </w:tcPr>
          <w:p w14:paraId="627E97AC">
            <w:pPr>
              <w:widowControl/>
              <w:autoSpaceDN w:val="0"/>
              <w:spacing w:line="360" w:lineRule="auto"/>
              <w:rPr>
                <w:rFonts w:hint="eastAsia" w:ascii="宋体" w:hAnsi="宋体" w:eastAsia="宋体" w:cs="宋体"/>
                <w:bCs/>
                <w:color w:val="auto"/>
                <w:sz w:val="24"/>
                <w:highlight w:val="none"/>
              </w:rPr>
            </w:pPr>
          </w:p>
        </w:tc>
        <w:tc>
          <w:tcPr>
            <w:tcW w:w="797" w:type="pct"/>
            <w:tcBorders>
              <w:top w:val="single" w:color="auto" w:sz="4" w:space="0"/>
              <w:left w:val="single" w:color="auto" w:sz="4" w:space="0"/>
              <w:bottom w:val="single" w:color="auto" w:sz="4" w:space="0"/>
              <w:right w:val="single" w:color="auto" w:sz="4" w:space="0"/>
            </w:tcBorders>
            <w:shd w:val="clear" w:color="auto" w:fill="auto"/>
          </w:tcPr>
          <w:p w14:paraId="2D8D7F4C">
            <w:pPr>
              <w:widowControl/>
              <w:autoSpaceDN w:val="0"/>
              <w:spacing w:line="360" w:lineRule="auto"/>
              <w:rPr>
                <w:rFonts w:hint="eastAsia" w:ascii="宋体" w:hAnsi="宋体" w:eastAsia="宋体" w:cs="宋体"/>
                <w:bCs/>
                <w:color w:val="auto"/>
                <w:sz w:val="24"/>
                <w:highlight w:val="none"/>
              </w:rPr>
            </w:pPr>
          </w:p>
        </w:tc>
      </w:tr>
    </w:tbl>
    <w:p w14:paraId="04779440">
      <w:pPr>
        <w:widowControl/>
        <w:kinsoku w:val="0"/>
        <w:autoSpaceDE w:val="0"/>
        <w:autoSpaceDN w:val="0"/>
        <w:adjustRightInd w:val="0"/>
        <w:snapToGrid w:val="0"/>
        <w:spacing w:before="34"/>
        <w:ind w:left="124"/>
        <w:jc w:val="left"/>
        <w:textAlignment w:val="baseline"/>
        <w:rPr>
          <w:rFonts w:hint="eastAsia" w:ascii="宋体" w:hAnsi="宋体" w:eastAsia="宋体" w:cs="宋体"/>
          <w:color w:val="auto"/>
          <w:spacing w:val="3"/>
          <w:kern w:val="0"/>
          <w:sz w:val="24"/>
          <w:highlight w:val="none"/>
        </w:rPr>
      </w:pPr>
    </w:p>
    <w:p w14:paraId="7A7F16F7">
      <w:pPr>
        <w:widowControl/>
        <w:kinsoku w:val="0"/>
        <w:autoSpaceDE w:val="0"/>
        <w:autoSpaceDN w:val="0"/>
        <w:adjustRightInd w:val="0"/>
        <w:snapToGrid w:val="0"/>
        <w:spacing w:before="34"/>
        <w:ind w:left="124"/>
        <w:jc w:val="left"/>
        <w:textAlignment w:val="baseline"/>
        <w:rPr>
          <w:rFonts w:hint="eastAsia" w:ascii="宋体" w:hAnsi="宋体" w:eastAsia="宋体" w:cs="宋体"/>
          <w:color w:val="auto"/>
          <w:spacing w:val="3"/>
          <w:kern w:val="0"/>
          <w:sz w:val="24"/>
          <w:highlight w:val="none"/>
        </w:rPr>
      </w:pPr>
    </w:p>
    <w:p w14:paraId="78A0F903">
      <w:pPr>
        <w:widowControl/>
        <w:kinsoku w:val="0"/>
        <w:autoSpaceDE w:val="0"/>
        <w:autoSpaceDN w:val="0"/>
        <w:adjustRightInd w:val="0"/>
        <w:snapToGrid w:val="0"/>
        <w:spacing w:before="34"/>
        <w:ind w:left="124"/>
        <w:jc w:val="left"/>
        <w:textAlignment w:val="baseline"/>
        <w:rPr>
          <w:rFonts w:hint="eastAsia" w:ascii="宋体" w:hAnsi="宋体" w:eastAsia="宋体" w:cs="宋体"/>
          <w:color w:val="auto"/>
          <w:spacing w:val="2"/>
          <w:kern w:val="0"/>
          <w:sz w:val="24"/>
          <w:highlight w:val="none"/>
        </w:rPr>
      </w:pPr>
      <w:r>
        <w:rPr>
          <w:rFonts w:hint="eastAsia" w:ascii="宋体" w:hAnsi="宋体" w:eastAsia="宋体" w:cs="宋体"/>
          <w:color w:val="auto"/>
          <w:spacing w:val="3"/>
          <w:kern w:val="0"/>
          <w:sz w:val="24"/>
          <w:highlight w:val="none"/>
          <w:lang w:bidi="ar"/>
        </w:rPr>
        <w:t>说</w:t>
      </w:r>
      <w:r>
        <w:rPr>
          <w:rFonts w:hint="eastAsia" w:ascii="宋体" w:hAnsi="宋体" w:eastAsia="宋体" w:cs="宋体"/>
          <w:color w:val="auto"/>
          <w:spacing w:val="2"/>
          <w:kern w:val="0"/>
          <w:sz w:val="24"/>
          <w:highlight w:val="none"/>
          <w:lang w:bidi="ar"/>
        </w:rPr>
        <w:t>明：</w:t>
      </w:r>
    </w:p>
    <w:p w14:paraId="527DEEE3">
      <w:pPr>
        <w:widowControl/>
        <w:kinsoku w:val="0"/>
        <w:autoSpaceDE w:val="0"/>
        <w:autoSpaceDN w:val="0"/>
        <w:adjustRightInd w:val="0"/>
        <w:snapToGrid w:val="0"/>
        <w:spacing w:before="34"/>
        <w:ind w:left="124" w:firstLine="536" w:firstLineChars="20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position w:val="17"/>
          <w:sz w:val="24"/>
          <w:highlight w:val="none"/>
          <w:lang w:bidi="ar"/>
        </w:rPr>
        <w:t>1</w:t>
      </w:r>
      <w:r>
        <w:rPr>
          <w:rFonts w:hint="eastAsia" w:ascii="宋体" w:hAnsi="宋体" w:eastAsia="宋体" w:cs="宋体"/>
          <w:color w:val="auto"/>
          <w:spacing w:val="12"/>
          <w:kern w:val="0"/>
          <w:position w:val="17"/>
          <w:sz w:val="24"/>
          <w:highlight w:val="none"/>
          <w:lang w:bidi="ar"/>
        </w:rPr>
        <w:t>.</w:t>
      </w:r>
      <w:r>
        <w:rPr>
          <w:rFonts w:hint="eastAsia" w:ascii="宋体" w:hAnsi="宋体" w:eastAsia="宋体" w:cs="宋体"/>
          <w:color w:val="auto"/>
          <w:spacing w:val="7"/>
          <w:kern w:val="0"/>
          <w:position w:val="17"/>
          <w:sz w:val="24"/>
          <w:highlight w:val="none"/>
          <w:lang w:bidi="ar"/>
        </w:rPr>
        <w:t>本“开标一览表”用于开标时唱标使用。</w:t>
      </w:r>
    </w:p>
    <w:p w14:paraId="44424B9D">
      <w:pPr>
        <w:widowControl/>
        <w:kinsoku w:val="0"/>
        <w:autoSpaceDE w:val="0"/>
        <w:autoSpaceDN w:val="0"/>
        <w:adjustRightInd w:val="0"/>
        <w:snapToGrid w:val="0"/>
        <w:spacing w:line="311" w:lineRule="exact"/>
        <w:ind w:left="604"/>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6"/>
          <w:kern w:val="0"/>
          <w:position w:val="1"/>
          <w:sz w:val="24"/>
          <w:highlight w:val="none"/>
          <w:lang w:bidi="ar"/>
        </w:rPr>
        <w:t>2</w:t>
      </w:r>
      <w:r>
        <w:rPr>
          <w:rFonts w:hint="eastAsia" w:ascii="宋体" w:hAnsi="宋体" w:eastAsia="宋体" w:cs="宋体"/>
          <w:color w:val="auto"/>
          <w:spacing w:val="15"/>
          <w:kern w:val="0"/>
          <w:position w:val="1"/>
          <w:sz w:val="24"/>
          <w:highlight w:val="none"/>
          <w:lang w:bidi="ar"/>
        </w:rPr>
        <w:t>.</w:t>
      </w:r>
      <w:r>
        <w:rPr>
          <w:rFonts w:hint="eastAsia" w:ascii="宋体" w:hAnsi="宋体" w:eastAsia="宋体" w:cs="宋体"/>
          <w:color w:val="auto"/>
          <w:spacing w:val="8"/>
          <w:kern w:val="0"/>
          <w:position w:val="1"/>
          <w:sz w:val="24"/>
          <w:highlight w:val="none"/>
          <w:lang w:bidi="ar"/>
        </w:rPr>
        <w:t>此表中的各项内容应与投标文件的相应内容一致。</w:t>
      </w:r>
    </w:p>
    <w:p w14:paraId="3E5B9503">
      <w:pPr>
        <w:widowControl/>
        <w:kinsoku w:val="0"/>
        <w:autoSpaceDE w:val="0"/>
        <w:autoSpaceDN w:val="0"/>
        <w:adjustRightInd w:val="0"/>
        <w:snapToGrid w:val="0"/>
        <w:spacing w:before="154" w:line="340" w:lineRule="auto"/>
        <w:ind w:left="111" w:right="2" w:firstLine="494"/>
        <w:jc w:val="left"/>
        <w:textAlignment w:val="baseline"/>
        <w:rPr>
          <w:rFonts w:hint="eastAsia" w:ascii="宋体" w:hAnsi="宋体" w:eastAsia="宋体" w:cs="宋体"/>
          <w:b/>
          <w:bCs/>
          <w:color w:val="auto"/>
          <w:kern w:val="0"/>
          <w:sz w:val="24"/>
          <w:highlight w:val="none"/>
        </w:rPr>
      </w:pPr>
      <w:r>
        <w:rPr>
          <w:rFonts w:hint="eastAsia" w:ascii="宋体" w:hAnsi="宋体" w:eastAsia="宋体" w:cs="宋体"/>
          <w:b/>
          <w:bCs/>
          <w:color w:val="auto"/>
          <w:spacing w:val="-18"/>
          <w:kern w:val="0"/>
          <w:sz w:val="24"/>
          <w:highlight w:val="none"/>
          <w:lang w:bidi="ar"/>
        </w:rPr>
        <w:t>3.</w:t>
      </w:r>
      <w:r>
        <w:rPr>
          <w:rFonts w:hint="eastAsia" w:ascii="宋体" w:hAnsi="宋体" w:eastAsia="宋体" w:cs="宋体"/>
          <w:b/>
          <w:bCs/>
          <w:i/>
          <w:iCs/>
          <w:color w:val="auto"/>
          <w:spacing w:val="-10"/>
          <w:kern w:val="0"/>
          <w:sz w:val="24"/>
          <w:highlight w:val="none"/>
          <w:u w:val="single"/>
          <w:lang w:bidi="ar"/>
        </w:rPr>
        <w:t>此</w:t>
      </w:r>
      <w:r>
        <w:rPr>
          <w:rFonts w:hint="eastAsia" w:ascii="宋体" w:hAnsi="宋体" w:eastAsia="宋体" w:cs="宋体"/>
          <w:b/>
          <w:bCs/>
          <w:i/>
          <w:iCs/>
          <w:color w:val="auto"/>
          <w:spacing w:val="-9"/>
          <w:kern w:val="0"/>
          <w:sz w:val="24"/>
          <w:highlight w:val="none"/>
          <w:u w:val="single"/>
          <w:lang w:bidi="ar"/>
        </w:rPr>
        <w:t>表应按投标人须知的要求单独密封和标记，并按目录顺序加入投标文件中，与</w:t>
      </w:r>
      <w:r>
        <w:rPr>
          <w:rFonts w:hint="eastAsia" w:ascii="宋体" w:hAnsi="宋体" w:eastAsia="宋体" w:cs="宋体"/>
          <w:b/>
          <w:bCs/>
          <w:i/>
          <w:iCs/>
          <w:color w:val="auto"/>
          <w:spacing w:val="-9"/>
          <w:kern w:val="0"/>
          <w:sz w:val="24"/>
          <w:highlight w:val="none"/>
          <w:lang w:bidi="ar"/>
        </w:rPr>
        <w:t>投</w:t>
      </w:r>
      <w:r>
        <w:rPr>
          <w:rFonts w:hint="eastAsia" w:ascii="宋体" w:hAnsi="宋体" w:eastAsia="宋体" w:cs="宋体"/>
          <w:b/>
          <w:bCs/>
          <w:i/>
          <w:iCs/>
          <w:color w:val="auto"/>
          <w:spacing w:val="-1"/>
          <w:kern w:val="0"/>
          <w:sz w:val="24"/>
          <w:highlight w:val="none"/>
          <w:u w:val="single"/>
          <w:lang w:bidi="ar"/>
        </w:rPr>
        <w:t>标文件同</w:t>
      </w:r>
      <w:r>
        <w:rPr>
          <w:rFonts w:hint="eastAsia" w:ascii="宋体" w:hAnsi="宋体" w:eastAsia="宋体" w:cs="宋体"/>
          <w:b/>
          <w:bCs/>
          <w:i/>
          <w:iCs/>
          <w:color w:val="auto"/>
          <w:kern w:val="0"/>
          <w:sz w:val="24"/>
          <w:highlight w:val="none"/>
          <w:u w:val="single"/>
          <w:lang w:bidi="ar"/>
        </w:rPr>
        <w:t>时递交。</w:t>
      </w:r>
    </w:p>
    <w:p w14:paraId="5A7058CC">
      <w:pPr>
        <w:widowControl/>
        <w:kinsoku w:val="0"/>
        <w:autoSpaceDE w:val="0"/>
        <w:autoSpaceDN w:val="0"/>
        <w:adjustRightInd w:val="0"/>
        <w:snapToGrid w:val="0"/>
        <w:ind w:left="600"/>
        <w:jc w:val="left"/>
        <w:textAlignment w:val="baseline"/>
        <w:outlineLvl w:val="0"/>
        <w:rPr>
          <w:rFonts w:hint="eastAsia" w:ascii="宋体" w:hAnsi="宋体" w:eastAsia="宋体" w:cs="宋体"/>
          <w:color w:val="auto"/>
          <w:kern w:val="0"/>
          <w:sz w:val="24"/>
          <w:highlight w:val="none"/>
        </w:rPr>
      </w:pPr>
      <w:bookmarkStart w:id="33" w:name="_Toc4771"/>
      <w:bookmarkStart w:id="34" w:name="_Toc23632"/>
      <w:r>
        <w:rPr>
          <w:rFonts w:hint="eastAsia" w:ascii="宋体" w:hAnsi="宋体" w:eastAsia="宋体" w:cs="宋体"/>
          <w:color w:val="auto"/>
          <w:spacing w:val="8"/>
          <w:kern w:val="0"/>
          <w:sz w:val="24"/>
          <w:highlight w:val="none"/>
          <w:lang w:bidi="ar"/>
        </w:rPr>
        <w:t>4.</w:t>
      </w:r>
      <w:r>
        <w:rPr>
          <w:rFonts w:hint="eastAsia" w:ascii="宋体" w:hAnsi="宋体" w:eastAsia="宋体" w:cs="宋体"/>
          <w:color w:val="auto"/>
          <w:spacing w:val="6"/>
          <w:kern w:val="0"/>
          <w:sz w:val="24"/>
          <w:highlight w:val="none"/>
          <w:lang w:bidi="ar"/>
        </w:rPr>
        <w:t>此</w:t>
      </w:r>
      <w:r>
        <w:rPr>
          <w:rFonts w:hint="eastAsia" w:ascii="宋体" w:hAnsi="宋体" w:eastAsia="宋体" w:cs="宋体"/>
          <w:color w:val="auto"/>
          <w:spacing w:val="4"/>
          <w:kern w:val="0"/>
          <w:sz w:val="24"/>
          <w:highlight w:val="none"/>
          <w:lang w:bidi="ar"/>
        </w:rPr>
        <w:t>表可根据需要自行拉长加宽。  (可根据实际情况调整)</w:t>
      </w:r>
      <w:bookmarkEnd w:id="33"/>
      <w:bookmarkEnd w:id="34"/>
    </w:p>
    <w:p w14:paraId="230B799B">
      <w:pPr>
        <w:widowControl/>
        <w:kinsoku w:val="0"/>
        <w:autoSpaceDE w:val="0"/>
        <w:autoSpaceDN w:val="0"/>
        <w:adjustRightInd w:val="0"/>
        <w:snapToGrid w:val="0"/>
        <w:spacing w:before="189" w:line="309" w:lineRule="exact"/>
        <w:ind w:left="606"/>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position w:val="1"/>
          <w:sz w:val="24"/>
          <w:highlight w:val="none"/>
          <w:lang w:bidi="ar"/>
        </w:rPr>
        <w:t>5.投</w:t>
      </w:r>
      <w:r>
        <w:rPr>
          <w:rFonts w:hint="eastAsia" w:ascii="宋体" w:hAnsi="宋体" w:eastAsia="宋体" w:cs="宋体"/>
          <w:color w:val="auto"/>
          <w:spacing w:val="13"/>
          <w:kern w:val="0"/>
          <w:position w:val="1"/>
          <w:sz w:val="24"/>
          <w:highlight w:val="none"/>
          <w:lang w:bidi="ar"/>
        </w:rPr>
        <w:t>标</w:t>
      </w:r>
      <w:r>
        <w:rPr>
          <w:rFonts w:hint="eastAsia" w:ascii="宋体" w:hAnsi="宋体" w:eastAsia="宋体" w:cs="宋体"/>
          <w:color w:val="auto"/>
          <w:spacing w:val="7"/>
          <w:kern w:val="0"/>
          <w:position w:val="1"/>
          <w:sz w:val="24"/>
          <w:highlight w:val="none"/>
          <w:lang w:bidi="ar"/>
        </w:rPr>
        <w:t>人报价应为优惠条件折算后的最终价格。</w:t>
      </w:r>
    </w:p>
    <w:p w14:paraId="0A44ED94">
      <w:pPr>
        <w:widowControl/>
        <w:kinsoku w:val="0"/>
        <w:autoSpaceDE w:val="0"/>
        <w:autoSpaceDN w:val="0"/>
        <w:adjustRightInd w:val="0"/>
        <w:snapToGrid w:val="0"/>
        <w:spacing w:before="184" w:line="310" w:lineRule="exact"/>
        <w:ind w:left="603"/>
        <w:jc w:val="left"/>
        <w:textAlignment w:val="baseline"/>
        <w:rPr>
          <w:rFonts w:hint="eastAsia" w:ascii="宋体" w:hAnsi="宋体" w:eastAsia="宋体" w:cs="宋体"/>
          <w:color w:val="auto"/>
          <w:sz w:val="24"/>
          <w:highlight w:val="none"/>
        </w:rPr>
      </w:pPr>
      <w:r>
        <w:rPr>
          <w:rFonts w:hint="eastAsia" w:ascii="宋体" w:hAnsi="宋体" w:eastAsia="宋体" w:cs="宋体"/>
          <w:color w:val="auto"/>
          <w:spacing w:val="22"/>
          <w:kern w:val="0"/>
          <w:position w:val="1"/>
          <w:sz w:val="24"/>
          <w:highlight w:val="none"/>
          <w:lang w:bidi="ar"/>
        </w:rPr>
        <w:t>6</w:t>
      </w:r>
      <w:r>
        <w:rPr>
          <w:rFonts w:hint="eastAsia" w:ascii="宋体" w:hAnsi="宋体" w:eastAsia="宋体" w:cs="宋体"/>
          <w:color w:val="auto"/>
          <w:spacing w:val="14"/>
          <w:kern w:val="0"/>
          <w:position w:val="1"/>
          <w:sz w:val="24"/>
          <w:highlight w:val="none"/>
          <w:lang w:bidi="ar"/>
        </w:rPr>
        <w:t>.只允许有一个报价，任何有选择性的报价或者有附加条件的报价采购人将不予接</w:t>
      </w:r>
      <w:r>
        <w:rPr>
          <w:rFonts w:hint="eastAsia" w:ascii="宋体" w:hAnsi="宋体" w:eastAsia="宋体" w:cs="宋体"/>
          <w:color w:val="auto"/>
          <w:spacing w:val="-3"/>
          <w:kern w:val="0"/>
          <w:sz w:val="24"/>
          <w:highlight w:val="none"/>
          <w:lang w:bidi="ar"/>
        </w:rPr>
        <w:t>受</w:t>
      </w:r>
      <w:r>
        <w:rPr>
          <w:rFonts w:hint="eastAsia" w:ascii="宋体" w:hAnsi="宋体" w:eastAsia="宋体" w:cs="宋体"/>
          <w:color w:val="auto"/>
          <w:spacing w:val="-2"/>
          <w:kern w:val="0"/>
          <w:sz w:val="24"/>
          <w:highlight w:val="none"/>
          <w:lang w:bidi="ar"/>
        </w:rPr>
        <w:t>。</w:t>
      </w:r>
    </w:p>
    <w:p w14:paraId="36271BB8">
      <w:pPr>
        <w:rPr>
          <w:rFonts w:hint="eastAsia" w:ascii="宋体" w:hAnsi="宋体" w:eastAsia="宋体" w:cs="宋体"/>
          <w:color w:val="auto"/>
          <w:sz w:val="24"/>
          <w:highlight w:val="none"/>
        </w:rPr>
        <w:sectPr>
          <w:pgSz w:w="11906" w:h="16839"/>
          <w:pgMar w:top="1440" w:right="1800" w:bottom="1440" w:left="1800" w:header="1" w:footer="660" w:gutter="1"/>
          <w:cols w:space="425" w:num="1"/>
          <w:docGrid w:type="lines" w:linePitch="312" w:charSpace="0"/>
        </w:sectPr>
      </w:pPr>
    </w:p>
    <w:p w14:paraId="69EB91F2">
      <w:pPr>
        <w:autoSpaceDN w:val="0"/>
        <w:jc w:val="center"/>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四、投标分项报价明细表</w:t>
      </w:r>
    </w:p>
    <w:p w14:paraId="0D4ACEBA">
      <w:pPr>
        <w:autoSpaceDN w:val="0"/>
        <w:rPr>
          <w:rFonts w:hint="eastAsia" w:ascii="宋体" w:hAnsi="宋体" w:eastAsia="宋体" w:cs="宋体"/>
          <w:color w:val="auto"/>
          <w:szCs w:val="21"/>
          <w:highlight w:val="none"/>
          <w:lang w:bidi="ar"/>
        </w:rPr>
      </w:pPr>
    </w:p>
    <w:p w14:paraId="09E978EF">
      <w:pPr>
        <w:widowControl/>
        <w:kinsoku w:val="0"/>
        <w:autoSpaceDE w:val="0"/>
        <w:autoSpaceDN w:val="0"/>
        <w:adjustRightInd w:val="0"/>
        <w:snapToGrid w:val="0"/>
        <w:spacing w:line="278" w:lineRule="auto"/>
        <w:jc w:val="left"/>
        <w:textAlignment w:val="baseline"/>
        <w:rPr>
          <w:rFonts w:hint="eastAsia" w:ascii="宋体" w:hAnsi="宋体" w:eastAsia="宋体" w:cs="宋体"/>
          <w:color w:val="auto"/>
          <w:kern w:val="0"/>
          <w:sz w:val="24"/>
          <w:highlight w:val="none"/>
        </w:rPr>
      </w:pPr>
    </w:p>
    <w:p w14:paraId="5CD1279D">
      <w:pPr>
        <w:widowControl/>
        <w:kinsoku w:val="0"/>
        <w:autoSpaceDE w:val="0"/>
        <w:autoSpaceDN w:val="0"/>
        <w:adjustRightInd w:val="0"/>
        <w:snapToGrid w:val="0"/>
        <w:spacing w:before="81"/>
        <w:ind w:left="707"/>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
          <w:kern w:val="0"/>
          <w:sz w:val="24"/>
          <w:highlight w:val="none"/>
          <w:lang w:bidi="ar"/>
        </w:rPr>
        <w:t xml:space="preserve">项目名称：                                      </w:t>
      </w:r>
      <w:r>
        <w:rPr>
          <w:rFonts w:hint="eastAsia" w:ascii="宋体" w:hAnsi="宋体" w:eastAsia="宋体" w:cs="宋体"/>
          <w:color w:val="auto"/>
          <w:kern w:val="0"/>
          <w:sz w:val="24"/>
          <w:highlight w:val="none"/>
          <w:lang w:bidi="ar"/>
        </w:rPr>
        <w:t xml:space="preserve"> 货币单位:</w:t>
      </w:r>
      <w:r>
        <w:rPr>
          <w:rFonts w:hint="eastAsia" w:ascii="宋体" w:hAnsi="宋体" w:eastAsia="宋体" w:cs="宋体"/>
          <w:i/>
          <w:iCs/>
          <w:color w:val="auto"/>
          <w:kern w:val="0"/>
          <w:sz w:val="24"/>
          <w:highlight w:val="none"/>
          <w:u w:val="single"/>
          <w:lang w:bidi="ar"/>
        </w:rPr>
        <w:t>元</w:t>
      </w:r>
    </w:p>
    <w:p w14:paraId="5EE9941D">
      <w:pPr>
        <w:widowControl/>
        <w:kinsoku w:val="0"/>
        <w:autoSpaceDE w:val="0"/>
        <w:autoSpaceDN w:val="0"/>
        <w:adjustRightInd w:val="0"/>
        <w:snapToGrid w:val="0"/>
        <w:spacing w:line="144" w:lineRule="exact"/>
        <w:jc w:val="left"/>
        <w:textAlignment w:val="baseline"/>
        <w:rPr>
          <w:rFonts w:hint="eastAsia" w:ascii="宋体" w:hAnsi="宋体" w:eastAsia="宋体" w:cs="宋体"/>
          <w:color w:val="auto"/>
          <w:kern w:val="0"/>
          <w:sz w:val="24"/>
          <w:highlight w:val="none"/>
        </w:rPr>
      </w:pPr>
    </w:p>
    <w:tbl>
      <w:tblPr>
        <w:tblStyle w:val="24"/>
        <w:tblW w:w="8976" w:type="dxa"/>
        <w:tblInd w:w="11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fixed"/>
        <w:tblCellMar>
          <w:top w:w="0" w:type="dxa"/>
          <w:left w:w="0" w:type="dxa"/>
          <w:bottom w:w="0" w:type="dxa"/>
          <w:right w:w="0" w:type="dxa"/>
        </w:tblCellMar>
      </w:tblPr>
      <w:tblGrid>
        <w:gridCol w:w="694"/>
        <w:gridCol w:w="1159"/>
        <w:gridCol w:w="1072"/>
        <w:gridCol w:w="518"/>
        <w:gridCol w:w="628"/>
        <w:gridCol w:w="972"/>
        <w:gridCol w:w="784"/>
        <w:gridCol w:w="662"/>
        <w:gridCol w:w="827"/>
        <w:gridCol w:w="714"/>
        <w:gridCol w:w="946"/>
      </w:tblGrid>
      <w:tr w14:paraId="5034A510">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1588" w:hRule="atLeast"/>
        </w:trPr>
        <w:tc>
          <w:tcPr>
            <w:tcW w:w="694" w:type="dxa"/>
            <w:tcBorders>
              <w:top w:val="single" w:color="auto" w:sz="2" w:space="0"/>
              <w:left w:val="single" w:color="auto" w:sz="2" w:space="0"/>
              <w:bottom w:val="single" w:color="auto" w:sz="2" w:space="0"/>
              <w:right w:val="single" w:color="auto" w:sz="2" w:space="0"/>
            </w:tcBorders>
            <w:shd w:val="clear" w:color="auto" w:fill="auto"/>
            <w:vAlign w:val="center"/>
          </w:tcPr>
          <w:p w14:paraId="41E413D2">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序号</w:t>
            </w:r>
          </w:p>
        </w:tc>
        <w:tc>
          <w:tcPr>
            <w:tcW w:w="1159" w:type="dxa"/>
            <w:tcBorders>
              <w:top w:val="single" w:color="auto" w:sz="2" w:space="0"/>
              <w:left w:val="single" w:color="auto" w:sz="2" w:space="0"/>
              <w:bottom w:val="single" w:color="auto" w:sz="2" w:space="0"/>
              <w:right w:val="single" w:color="auto" w:sz="2" w:space="0"/>
            </w:tcBorders>
            <w:shd w:val="clear" w:color="auto" w:fill="auto"/>
            <w:vAlign w:val="center"/>
          </w:tcPr>
          <w:p w14:paraId="65D93FB8">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货物名称</w:t>
            </w:r>
          </w:p>
        </w:tc>
        <w:tc>
          <w:tcPr>
            <w:tcW w:w="1072" w:type="dxa"/>
            <w:tcBorders>
              <w:top w:val="single" w:color="auto" w:sz="2" w:space="0"/>
              <w:left w:val="single" w:color="auto" w:sz="2" w:space="0"/>
              <w:bottom w:val="single" w:color="auto" w:sz="2" w:space="0"/>
              <w:right w:val="single" w:color="auto" w:sz="2" w:space="0"/>
            </w:tcBorders>
            <w:shd w:val="clear" w:color="auto" w:fill="auto"/>
            <w:vAlign w:val="center"/>
          </w:tcPr>
          <w:p w14:paraId="5A6E6D47">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 xml:space="preserve">品牌、规格型号 </w:t>
            </w: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vAlign w:val="center"/>
          </w:tcPr>
          <w:p w14:paraId="59632B29">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产地</w:t>
            </w:r>
          </w:p>
        </w:tc>
        <w:tc>
          <w:tcPr>
            <w:tcW w:w="972" w:type="dxa"/>
            <w:tcBorders>
              <w:top w:val="single" w:color="auto" w:sz="2" w:space="0"/>
              <w:left w:val="nil"/>
              <w:bottom w:val="single" w:color="auto" w:sz="2" w:space="0"/>
              <w:right w:val="single" w:color="auto" w:sz="2" w:space="0"/>
            </w:tcBorders>
            <w:shd w:val="clear" w:color="auto" w:fill="auto"/>
            <w:vAlign w:val="center"/>
          </w:tcPr>
          <w:p w14:paraId="4C7BB316">
            <w:pPr>
              <w:widowControl/>
              <w:kinsoku w:val="0"/>
              <w:autoSpaceDE w:val="0"/>
              <w:autoSpaceDN w:val="0"/>
              <w:adjustRightInd w:val="0"/>
              <w:snapToGrid w:val="0"/>
              <w:jc w:val="center"/>
              <w:textAlignment w:val="center"/>
              <w:rPr>
                <w:rFonts w:hint="eastAsia" w:ascii="宋体" w:hAnsi="宋体" w:eastAsia="宋体" w:cs="宋体"/>
                <w:b/>
                <w:bCs/>
                <w:color w:val="auto"/>
                <w:spacing w:val="5"/>
                <w:kern w:val="0"/>
                <w:sz w:val="24"/>
                <w:highlight w:val="none"/>
              </w:rPr>
            </w:pPr>
            <w:r>
              <w:rPr>
                <w:rFonts w:hint="eastAsia" w:ascii="宋体" w:hAnsi="宋体" w:eastAsia="宋体" w:cs="宋体"/>
                <w:b/>
                <w:bCs/>
                <w:color w:val="auto"/>
                <w:kern w:val="0"/>
                <w:sz w:val="24"/>
                <w:highlight w:val="none"/>
                <w:lang w:bidi="ar"/>
              </w:rPr>
              <w:t>生产厂家</w:t>
            </w:r>
          </w:p>
        </w:tc>
        <w:tc>
          <w:tcPr>
            <w:tcW w:w="784" w:type="dxa"/>
            <w:tcBorders>
              <w:top w:val="single" w:color="auto" w:sz="2" w:space="0"/>
              <w:left w:val="single" w:color="auto" w:sz="2" w:space="0"/>
              <w:bottom w:val="single" w:color="auto" w:sz="2" w:space="0"/>
              <w:right w:val="single" w:color="auto" w:sz="2" w:space="0"/>
            </w:tcBorders>
            <w:shd w:val="clear" w:color="auto" w:fill="auto"/>
            <w:vAlign w:val="center"/>
          </w:tcPr>
          <w:p w14:paraId="4092421C">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参数</w:t>
            </w:r>
          </w:p>
        </w:tc>
        <w:tc>
          <w:tcPr>
            <w:tcW w:w="662" w:type="dxa"/>
            <w:tcBorders>
              <w:top w:val="single" w:color="auto" w:sz="2" w:space="0"/>
              <w:left w:val="single" w:color="auto" w:sz="2" w:space="0"/>
              <w:bottom w:val="single" w:color="auto" w:sz="2" w:space="0"/>
              <w:right w:val="single" w:color="auto" w:sz="2" w:space="0"/>
            </w:tcBorders>
            <w:shd w:val="clear" w:color="auto" w:fill="auto"/>
            <w:vAlign w:val="center"/>
          </w:tcPr>
          <w:p w14:paraId="45FF1452">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单位</w:t>
            </w:r>
          </w:p>
        </w:tc>
        <w:tc>
          <w:tcPr>
            <w:tcW w:w="827" w:type="dxa"/>
            <w:tcBorders>
              <w:top w:val="single" w:color="auto" w:sz="2" w:space="0"/>
              <w:left w:val="single" w:color="auto" w:sz="2" w:space="0"/>
              <w:bottom w:val="single" w:color="auto" w:sz="2" w:space="0"/>
              <w:right w:val="single" w:color="auto" w:sz="2" w:space="0"/>
            </w:tcBorders>
            <w:shd w:val="clear" w:color="auto" w:fill="auto"/>
            <w:vAlign w:val="center"/>
          </w:tcPr>
          <w:p w14:paraId="65BB7A0F">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数量</w:t>
            </w:r>
          </w:p>
        </w:tc>
        <w:tc>
          <w:tcPr>
            <w:tcW w:w="714" w:type="dxa"/>
            <w:tcBorders>
              <w:top w:val="single" w:color="auto" w:sz="2" w:space="0"/>
              <w:left w:val="single" w:color="auto" w:sz="2" w:space="0"/>
              <w:bottom w:val="single" w:color="auto" w:sz="2" w:space="0"/>
              <w:right w:val="single" w:color="auto" w:sz="2" w:space="0"/>
            </w:tcBorders>
            <w:shd w:val="clear" w:color="auto" w:fill="auto"/>
            <w:vAlign w:val="center"/>
          </w:tcPr>
          <w:p w14:paraId="64467D58">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单价（元）</w:t>
            </w:r>
          </w:p>
        </w:tc>
        <w:tc>
          <w:tcPr>
            <w:tcW w:w="946" w:type="dxa"/>
            <w:tcBorders>
              <w:top w:val="single" w:color="auto" w:sz="2" w:space="0"/>
              <w:left w:val="single" w:color="auto" w:sz="2" w:space="0"/>
              <w:bottom w:val="single" w:color="auto" w:sz="2" w:space="0"/>
              <w:right w:val="single" w:color="auto" w:sz="2" w:space="0"/>
            </w:tcBorders>
            <w:shd w:val="clear" w:color="auto" w:fill="auto"/>
            <w:vAlign w:val="center"/>
          </w:tcPr>
          <w:p w14:paraId="7F438862">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lang w:bidi="ar"/>
              </w:rPr>
            </w:pPr>
            <w:r>
              <w:rPr>
                <w:rFonts w:hint="eastAsia" w:ascii="宋体" w:hAnsi="宋体" w:eastAsia="宋体" w:cs="宋体"/>
                <w:b/>
                <w:bCs/>
                <w:color w:val="auto"/>
                <w:kern w:val="0"/>
                <w:sz w:val="24"/>
                <w:highlight w:val="none"/>
                <w:lang w:bidi="ar"/>
              </w:rPr>
              <w:t>小计</w:t>
            </w:r>
          </w:p>
          <w:p w14:paraId="5CD41BA0">
            <w:pPr>
              <w:widowControl/>
              <w:kinsoku w:val="0"/>
              <w:autoSpaceDE w:val="0"/>
              <w:autoSpaceDN w:val="0"/>
              <w:adjustRightInd w:val="0"/>
              <w:snapToGrid w:val="0"/>
              <w:jc w:val="center"/>
              <w:textAlignment w:val="center"/>
              <w:rPr>
                <w:rFonts w:hint="eastAsia" w:ascii="宋体" w:hAnsi="宋体" w:eastAsia="宋体" w:cs="宋体"/>
                <w:b/>
                <w:bCs/>
                <w:color w:val="auto"/>
                <w:kern w:val="0"/>
                <w:sz w:val="24"/>
                <w:highlight w:val="none"/>
              </w:rPr>
            </w:pPr>
            <w:r>
              <w:rPr>
                <w:rFonts w:hint="eastAsia" w:ascii="宋体" w:hAnsi="宋体" w:eastAsia="宋体" w:cs="宋体"/>
                <w:b/>
                <w:bCs/>
                <w:color w:val="auto"/>
                <w:kern w:val="0"/>
                <w:sz w:val="24"/>
                <w:highlight w:val="none"/>
                <w:lang w:bidi="ar"/>
              </w:rPr>
              <w:t>（元）</w:t>
            </w:r>
          </w:p>
        </w:tc>
      </w:tr>
      <w:tr w14:paraId="053F94D4">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372" w:hRule="atLeast"/>
        </w:trPr>
        <w:tc>
          <w:tcPr>
            <w:tcW w:w="694" w:type="dxa"/>
            <w:tcBorders>
              <w:top w:val="single" w:color="auto" w:sz="2" w:space="0"/>
              <w:left w:val="single" w:color="auto" w:sz="2" w:space="0"/>
              <w:bottom w:val="single" w:color="auto" w:sz="2" w:space="0"/>
              <w:right w:val="single" w:color="auto" w:sz="2" w:space="0"/>
            </w:tcBorders>
            <w:shd w:val="clear" w:color="auto" w:fill="auto"/>
          </w:tcPr>
          <w:p w14:paraId="0EAD2BC9">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159" w:type="dxa"/>
            <w:tcBorders>
              <w:top w:val="single" w:color="auto" w:sz="2" w:space="0"/>
              <w:left w:val="single" w:color="auto" w:sz="2" w:space="0"/>
              <w:bottom w:val="single" w:color="auto" w:sz="2" w:space="0"/>
              <w:right w:val="single" w:color="auto" w:sz="2" w:space="0"/>
            </w:tcBorders>
            <w:shd w:val="clear" w:color="auto" w:fill="auto"/>
          </w:tcPr>
          <w:p w14:paraId="247570B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072" w:type="dxa"/>
            <w:tcBorders>
              <w:top w:val="single" w:color="auto" w:sz="2" w:space="0"/>
              <w:left w:val="single" w:color="auto" w:sz="2" w:space="0"/>
              <w:bottom w:val="single" w:color="auto" w:sz="2" w:space="0"/>
              <w:right w:val="single" w:color="auto" w:sz="2" w:space="0"/>
            </w:tcBorders>
            <w:shd w:val="clear" w:color="auto" w:fill="auto"/>
          </w:tcPr>
          <w:p w14:paraId="4873281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tcPr>
          <w:p w14:paraId="04D649B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972" w:type="dxa"/>
            <w:tcBorders>
              <w:top w:val="single" w:color="auto" w:sz="2" w:space="0"/>
              <w:left w:val="nil"/>
              <w:bottom w:val="single" w:color="auto" w:sz="2" w:space="0"/>
              <w:right w:val="single" w:color="auto" w:sz="2" w:space="0"/>
            </w:tcBorders>
            <w:shd w:val="clear" w:color="auto" w:fill="auto"/>
          </w:tcPr>
          <w:p w14:paraId="2BD5890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84" w:type="dxa"/>
            <w:tcBorders>
              <w:top w:val="single" w:color="auto" w:sz="2" w:space="0"/>
              <w:left w:val="single" w:color="auto" w:sz="2" w:space="0"/>
              <w:bottom w:val="single" w:color="auto" w:sz="2" w:space="0"/>
              <w:right w:val="single" w:color="auto" w:sz="2" w:space="0"/>
            </w:tcBorders>
            <w:shd w:val="clear" w:color="auto" w:fill="auto"/>
          </w:tcPr>
          <w:p w14:paraId="39F7A6B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62" w:type="dxa"/>
            <w:tcBorders>
              <w:top w:val="single" w:color="auto" w:sz="2" w:space="0"/>
              <w:left w:val="single" w:color="auto" w:sz="2" w:space="0"/>
              <w:bottom w:val="single" w:color="auto" w:sz="2" w:space="0"/>
              <w:right w:val="single" w:color="auto" w:sz="2" w:space="0"/>
            </w:tcBorders>
            <w:shd w:val="clear" w:color="auto" w:fill="auto"/>
          </w:tcPr>
          <w:p w14:paraId="6CC2AE8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827" w:type="dxa"/>
            <w:tcBorders>
              <w:top w:val="single" w:color="auto" w:sz="2" w:space="0"/>
              <w:left w:val="single" w:color="auto" w:sz="2" w:space="0"/>
              <w:bottom w:val="single" w:color="auto" w:sz="2" w:space="0"/>
              <w:right w:val="single" w:color="auto" w:sz="2" w:space="0"/>
            </w:tcBorders>
            <w:shd w:val="clear" w:color="auto" w:fill="auto"/>
          </w:tcPr>
          <w:p w14:paraId="03ADCC1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14" w:type="dxa"/>
            <w:tcBorders>
              <w:top w:val="single" w:color="auto" w:sz="2" w:space="0"/>
              <w:left w:val="single" w:color="auto" w:sz="2" w:space="0"/>
              <w:bottom w:val="single" w:color="auto" w:sz="2" w:space="0"/>
              <w:right w:val="single" w:color="auto" w:sz="2" w:space="0"/>
            </w:tcBorders>
            <w:shd w:val="clear" w:color="auto" w:fill="auto"/>
          </w:tcPr>
          <w:p w14:paraId="3D7BECA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946" w:type="dxa"/>
            <w:tcBorders>
              <w:top w:val="single" w:color="auto" w:sz="2" w:space="0"/>
              <w:left w:val="single" w:color="auto" w:sz="2" w:space="0"/>
              <w:bottom w:val="single" w:color="auto" w:sz="2" w:space="0"/>
              <w:right w:val="single" w:color="auto" w:sz="2" w:space="0"/>
            </w:tcBorders>
            <w:shd w:val="clear" w:color="auto" w:fill="auto"/>
          </w:tcPr>
          <w:p w14:paraId="5633333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2C19C26A">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44" w:hRule="atLeast"/>
        </w:trPr>
        <w:tc>
          <w:tcPr>
            <w:tcW w:w="694" w:type="dxa"/>
            <w:tcBorders>
              <w:top w:val="single" w:color="auto" w:sz="2" w:space="0"/>
              <w:left w:val="single" w:color="auto" w:sz="2" w:space="0"/>
              <w:bottom w:val="single" w:color="auto" w:sz="2" w:space="0"/>
              <w:right w:val="single" w:color="auto" w:sz="2" w:space="0"/>
            </w:tcBorders>
            <w:shd w:val="clear" w:color="auto" w:fill="auto"/>
          </w:tcPr>
          <w:p w14:paraId="733D3B1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159" w:type="dxa"/>
            <w:tcBorders>
              <w:top w:val="single" w:color="auto" w:sz="2" w:space="0"/>
              <w:left w:val="single" w:color="auto" w:sz="2" w:space="0"/>
              <w:bottom w:val="single" w:color="auto" w:sz="2" w:space="0"/>
              <w:right w:val="single" w:color="auto" w:sz="2" w:space="0"/>
            </w:tcBorders>
            <w:shd w:val="clear" w:color="auto" w:fill="auto"/>
          </w:tcPr>
          <w:p w14:paraId="0F0FE1E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072" w:type="dxa"/>
            <w:tcBorders>
              <w:top w:val="single" w:color="auto" w:sz="2" w:space="0"/>
              <w:left w:val="single" w:color="auto" w:sz="2" w:space="0"/>
              <w:bottom w:val="single" w:color="auto" w:sz="2" w:space="0"/>
              <w:right w:val="single" w:color="auto" w:sz="2" w:space="0"/>
            </w:tcBorders>
            <w:shd w:val="clear" w:color="auto" w:fill="auto"/>
          </w:tcPr>
          <w:p w14:paraId="6F5A35F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tcPr>
          <w:p w14:paraId="72D4C61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972" w:type="dxa"/>
            <w:tcBorders>
              <w:top w:val="single" w:color="auto" w:sz="2" w:space="0"/>
              <w:left w:val="nil"/>
              <w:bottom w:val="single" w:color="auto" w:sz="2" w:space="0"/>
              <w:right w:val="single" w:color="auto" w:sz="2" w:space="0"/>
            </w:tcBorders>
            <w:shd w:val="clear" w:color="auto" w:fill="auto"/>
          </w:tcPr>
          <w:p w14:paraId="67BFD19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84" w:type="dxa"/>
            <w:tcBorders>
              <w:top w:val="single" w:color="auto" w:sz="2" w:space="0"/>
              <w:left w:val="single" w:color="auto" w:sz="2" w:space="0"/>
              <w:bottom w:val="single" w:color="auto" w:sz="2" w:space="0"/>
              <w:right w:val="single" w:color="auto" w:sz="2" w:space="0"/>
            </w:tcBorders>
            <w:shd w:val="clear" w:color="auto" w:fill="auto"/>
          </w:tcPr>
          <w:p w14:paraId="44D8967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62" w:type="dxa"/>
            <w:tcBorders>
              <w:top w:val="single" w:color="auto" w:sz="2" w:space="0"/>
              <w:left w:val="single" w:color="auto" w:sz="2" w:space="0"/>
              <w:bottom w:val="single" w:color="auto" w:sz="2" w:space="0"/>
              <w:right w:val="single" w:color="auto" w:sz="2" w:space="0"/>
            </w:tcBorders>
            <w:shd w:val="clear" w:color="auto" w:fill="auto"/>
          </w:tcPr>
          <w:p w14:paraId="441098A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827" w:type="dxa"/>
            <w:tcBorders>
              <w:top w:val="single" w:color="auto" w:sz="2" w:space="0"/>
              <w:left w:val="single" w:color="auto" w:sz="2" w:space="0"/>
              <w:bottom w:val="single" w:color="auto" w:sz="2" w:space="0"/>
              <w:right w:val="single" w:color="auto" w:sz="2" w:space="0"/>
            </w:tcBorders>
            <w:shd w:val="clear" w:color="auto" w:fill="auto"/>
          </w:tcPr>
          <w:p w14:paraId="4BBC7D6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14" w:type="dxa"/>
            <w:tcBorders>
              <w:top w:val="single" w:color="auto" w:sz="2" w:space="0"/>
              <w:left w:val="single" w:color="auto" w:sz="2" w:space="0"/>
              <w:bottom w:val="single" w:color="auto" w:sz="2" w:space="0"/>
              <w:right w:val="single" w:color="auto" w:sz="2" w:space="0"/>
            </w:tcBorders>
            <w:shd w:val="clear" w:color="auto" w:fill="auto"/>
          </w:tcPr>
          <w:p w14:paraId="1923D09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946" w:type="dxa"/>
            <w:tcBorders>
              <w:top w:val="single" w:color="auto" w:sz="2" w:space="0"/>
              <w:left w:val="single" w:color="auto" w:sz="2" w:space="0"/>
              <w:bottom w:val="single" w:color="auto" w:sz="2" w:space="0"/>
              <w:right w:val="single" w:color="auto" w:sz="2" w:space="0"/>
            </w:tcBorders>
            <w:shd w:val="clear" w:color="auto" w:fill="auto"/>
          </w:tcPr>
          <w:p w14:paraId="0E068B46">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61E50107">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43" w:hRule="atLeast"/>
        </w:trPr>
        <w:tc>
          <w:tcPr>
            <w:tcW w:w="694" w:type="dxa"/>
            <w:tcBorders>
              <w:top w:val="single" w:color="auto" w:sz="2" w:space="0"/>
              <w:left w:val="single" w:color="auto" w:sz="2" w:space="0"/>
              <w:bottom w:val="single" w:color="auto" w:sz="2" w:space="0"/>
              <w:right w:val="single" w:color="auto" w:sz="2" w:space="0"/>
            </w:tcBorders>
            <w:shd w:val="clear" w:color="auto" w:fill="auto"/>
          </w:tcPr>
          <w:p w14:paraId="73442902">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159" w:type="dxa"/>
            <w:tcBorders>
              <w:top w:val="single" w:color="auto" w:sz="2" w:space="0"/>
              <w:left w:val="single" w:color="auto" w:sz="2" w:space="0"/>
              <w:bottom w:val="single" w:color="auto" w:sz="2" w:space="0"/>
              <w:right w:val="single" w:color="auto" w:sz="2" w:space="0"/>
            </w:tcBorders>
            <w:shd w:val="clear" w:color="auto" w:fill="auto"/>
          </w:tcPr>
          <w:p w14:paraId="18E61D0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072" w:type="dxa"/>
            <w:tcBorders>
              <w:top w:val="single" w:color="auto" w:sz="2" w:space="0"/>
              <w:left w:val="single" w:color="auto" w:sz="2" w:space="0"/>
              <w:bottom w:val="single" w:color="auto" w:sz="2" w:space="0"/>
              <w:right w:val="single" w:color="auto" w:sz="2" w:space="0"/>
            </w:tcBorders>
            <w:shd w:val="clear" w:color="auto" w:fill="auto"/>
          </w:tcPr>
          <w:p w14:paraId="4EF44D3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146" w:type="dxa"/>
            <w:gridSpan w:val="2"/>
            <w:tcBorders>
              <w:top w:val="single" w:color="auto" w:sz="2" w:space="0"/>
              <w:left w:val="single" w:color="auto" w:sz="2" w:space="0"/>
              <w:bottom w:val="single" w:color="auto" w:sz="2" w:space="0"/>
              <w:right w:val="single" w:color="auto" w:sz="4" w:space="0"/>
            </w:tcBorders>
            <w:shd w:val="clear" w:color="auto" w:fill="auto"/>
          </w:tcPr>
          <w:p w14:paraId="0D430F4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972" w:type="dxa"/>
            <w:tcBorders>
              <w:top w:val="single" w:color="auto" w:sz="2" w:space="0"/>
              <w:left w:val="nil"/>
              <w:bottom w:val="single" w:color="auto" w:sz="2" w:space="0"/>
              <w:right w:val="single" w:color="auto" w:sz="2" w:space="0"/>
            </w:tcBorders>
            <w:shd w:val="clear" w:color="auto" w:fill="auto"/>
          </w:tcPr>
          <w:p w14:paraId="60ACBCA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84" w:type="dxa"/>
            <w:tcBorders>
              <w:top w:val="single" w:color="auto" w:sz="2" w:space="0"/>
              <w:left w:val="single" w:color="auto" w:sz="2" w:space="0"/>
              <w:bottom w:val="single" w:color="auto" w:sz="2" w:space="0"/>
              <w:right w:val="single" w:color="auto" w:sz="2" w:space="0"/>
            </w:tcBorders>
            <w:shd w:val="clear" w:color="auto" w:fill="auto"/>
          </w:tcPr>
          <w:p w14:paraId="5DCF1C0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62" w:type="dxa"/>
            <w:tcBorders>
              <w:top w:val="single" w:color="auto" w:sz="2" w:space="0"/>
              <w:left w:val="single" w:color="auto" w:sz="2" w:space="0"/>
              <w:bottom w:val="single" w:color="auto" w:sz="2" w:space="0"/>
              <w:right w:val="single" w:color="auto" w:sz="2" w:space="0"/>
            </w:tcBorders>
            <w:shd w:val="clear" w:color="auto" w:fill="auto"/>
          </w:tcPr>
          <w:p w14:paraId="6D740B7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827" w:type="dxa"/>
            <w:tcBorders>
              <w:top w:val="single" w:color="auto" w:sz="2" w:space="0"/>
              <w:left w:val="single" w:color="auto" w:sz="2" w:space="0"/>
              <w:bottom w:val="single" w:color="auto" w:sz="2" w:space="0"/>
              <w:right w:val="single" w:color="auto" w:sz="2" w:space="0"/>
            </w:tcBorders>
            <w:shd w:val="clear" w:color="auto" w:fill="auto"/>
          </w:tcPr>
          <w:p w14:paraId="17E7DD66">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14" w:type="dxa"/>
            <w:tcBorders>
              <w:top w:val="single" w:color="auto" w:sz="2" w:space="0"/>
              <w:left w:val="single" w:color="auto" w:sz="2" w:space="0"/>
              <w:bottom w:val="single" w:color="auto" w:sz="2" w:space="0"/>
              <w:right w:val="single" w:color="auto" w:sz="2" w:space="0"/>
            </w:tcBorders>
            <w:shd w:val="clear" w:color="auto" w:fill="auto"/>
          </w:tcPr>
          <w:p w14:paraId="35254289">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946" w:type="dxa"/>
            <w:tcBorders>
              <w:top w:val="single" w:color="auto" w:sz="2" w:space="0"/>
              <w:left w:val="single" w:color="auto" w:sz="2" w:space="0"/>
              <w:bottom w:val="single" w:color="auto" w:sz="2" w:space="0"/>
              <w:right w:val="single" w:color="auto" w:sz="2" w:space="0"/>
            </w:tcBorders>
            <w:shd w:val="clear" w:color="auto" w:fill="auto"/>
          </w:tcPr>
          <w:p w14:paraId="7176494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58A9298B">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43" w:hRule="atLeast"/>
        </w:trPr>
        <w:tc>
          <w:tcPr>
            <w:tcW w:w="1853" w:type="dxa"/>
            <w:gridSpan w:val="2"/>
            <w:tcBorders>
              <w:top w:val="single" w:color="auto" w:sz="2" w:space="0"/>
              <w:left w:val="single" w:color="auto" w:sz="2" w:space="0"/>
              <w:bottom w:val="single" w:color="auto" w:sz="2" w:space="0"/>
              <w:right w:val="single" w:color="auto" w:sz="2" w:space="0"/>
            </w:tcBorders>
            <w:shd w:val="clear" w:color="auto" w:fill="auto"/>
          </w:tcPr>
          <w:p w14:paraId="29654F39">
            <w:pPr>
              <w:widowControl/>
              <w:kinsoku w:val="0"/>
              <w:autoSpaceDE w:val="0"/>
              <w:autoSpaceDN w:val="0"/>
              <w:adjustRightInd w:val="0"/>
              <w:snapToGrid w:val="0"/>
              <w:spacing w:before="85"/>
              <w:ind w:left="119"/>
              <w:jc w:val="left"/>
              <w:textAlignment w:val="baseline"/>
              <w:rPr>
                <w:rFonts w:hint="eastAsia" w:ascii="宋体" w:hAnsi="宋体" w:eastAsia="宋体" w:cs="宋体"/>
                <w:color w:val="auto"/>
                <w:kern w:val="0"/>
                <w:sz w:val="24"/>
                <w:highlight w:val="none"/>
              </w:rPr>
            </w:pPr>
            <w:r>
              <w:rPr>
                <w:rFonts w:hint="eastAsia" w:ascii="宋体" w:hAnsi="宋体" w:eastAsia="宋体" w:cs="宋体"/>
                <w:b/>
                <w:bCs/>
                <w:color w:val="auto"/>
                <w:sz w:val="24"/>
                <w:highlight w:val="none"/>
                <w:lang w:bidi="ar"/>
              </w:rPr>
              <w:t>备注</w:t>
            </w:r>
          </w:p>
        </w:tc>
        <w:tc>
          <w:tcPr>
            <w:tcW w:w="7123" w:type="dxa"/>
            <w:gridSpan w:val="9"/>
            <w:tcBorders>
              <w:top w:val="single" w:color="auto" w:sz="2" w:space="0"/>
              <w:left w:val="single" w:color="auto" w:sz="2" w:space="0"/>
              <w:bottom w:val="single" w:color="auto" w:sz="2" w:space="0"/>
              <w:right w:val="single" w:color="auto" w:sz="2" w:space="0"/>
            </w:tcBorders>
            <w:shd w:val="clear" w:color="auto" w:fill="auto"/>
          </w:tcPr>
          <w:p w14:paraId="2E9D03D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0E31B518">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54" w:hRule="atLeast"/>
        </w:trPr>
        <w:tc>
          <w:tcPr>
            <w:tcW w:w="1853" w:type="dxa"/>
            <w:gridSpan w:val="2"/>
            <w:tcBorders>
              <w:top w:val="single" w:color="auto" w:sz="2" w:space="0"/>
              <w:left w:val="single" w:color="auto" w:sz="2" w:space="0"/>
              <w:bottom w:val="single" w:color="auto" w:sz="2" w:space="0"/>
              <w:right w:val="single" w:color="auto" w:sz="2" w:space="0"/>
            </w:tcBorders>
            <w:shd w:val="clear" w:color="auto" w:fill="auto"/>
          </w:tcPr>
          <w:p w14:paraId="6CAB9C8D">
            <w:pPr>
              <w:widowControl/>
              <w:kinsoku w:val="0"/>
              <w:autoSpaceDE w:val="0"/>
              <w:autoSpaceDN w:val="0"/>
              <w:adjustRightInd w:val="0"/>
              <w:snapToGrid w:val="0"/>
              <w:spacing w:before="87"/>
              <w:ind w:left="12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7"/>
                <w:kern w:val="0"/>
                <w:sz w:val="24"/>
                <w:highlight w:val="none"/>
                <w:lang w:bidi="ar"/>
              </w:rPr>
              <w:t>投标总</w:t>
            </w:r>
            <w:r>
              <w:rPr>
                <w:rFonts w:hint="eastAsia" w:ascii="宋体" w:hAnsi="宋体" w:eastAsia="宋体" w:cs="宋体"/>
                <w:color w:val="auto"/>
                <w:spacing w:val="6"/>
                <w:kern w:val="0"/>
                <w:sz w:val="24"/>
                <w:highlight w:val="none"/>
                <w:lang w:bidi="ar"/>
              </w:rPr>
              <w:t>价</w:t>
            </w:r>
          </w:p>
        </w:tc>
        <w:tc>
          <w:tcPr>
            <w:tcW w:w="1590" w:type="dxa"/>
            <w:gridSpan w:val="2"/>
            <w:tcBorders>
              <w:top w:val="single" w:color="auto" w:sz="2" w:space="0"/>
              <w:left w:val="single" w:color="auto" w:sz="2" w:space="0"/>
              <w:bottom w:val="single" w:color="auto" w:sz="2" w:space="0"/>
              <w:right w:val="nil"/>
            </w:tcBorders>
            <w:shd w:val="clear" w:color="auto" w:fill="auto"/>
          </w:tcPr>
          <w:p w14:paraId="0EA1AC03">
            <w:pPr>
              <w:widowControl/>
              <w:kinsoku w:val="0"/>
              <w:autoSpaceDE w:val="0"/>
              <w:autoSpaceDN w:val="0"/>
              <w:adjustRightInd w:val="0"/>
              <w:snapToGrid w:val="0"/>
              <w:spacing w:before="88"/>
              <w:ind w:left="115"/>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8"/>
                <w:kern w:val="0"/>
                <w:sz w:val="24"/>
                <w:highlight w:val="none"/>
                <w:lang w:bidi="ar"/>
              </w:rPr>
              <w:t>人</w:t>
            </w:r>
            <w:r>
              <w:rPr>
                <w:rFonts w:hint="eastAsia" w:ascii="宋体" w:hAnsi="宋体" w:eastAsia="宋体" w:cs="宋体"/>
                <w:color w:val="auto"/>
                <w:spacing w:val="6"/>
                <w:kern w:val="0"/>
                <w:sz w:val="24"/>
                <w:highlight w:val="none"/>
                <w:lang w:bidi="ar"/>
              </w:rPr>
              <w:t>民币小写：</w:t>
            </w:r>
          </w:p>
        </w:tc>
        <w:tc>
          <w:tcPr>
            <w:tcW w:w="5533" w:type="dxa"/>
            <w:gridSpan w:val="7"/>
            <w:tcBorders>
              <w:top w:val="single" w:color="auto" w:sz="2" w:space="0"/>
              <w:left w:val="nil"/>
              <w:bottom w:val="single" w:color="auto" w:sz="2" w:space="0"/>
              <w:right w:val="single" w:color="auto" w:sz="2" w:space="0"/>
            </w:tcBorders>
            <w:shd w:val="clear" w:color="auto" w:fill="auto"/>
          </w:tcPr>
          <w:p w14:paraId="6B509A05">
            <w:pPr>
              <w:widowControl/>
              <w:kinsoku w:val="0"/>
              <w:autoSpaceDE w:val="0"/>
              <w:autoSpaceDN w:val="0"/>
              <w:adjustRightInd w:val="0"/>
              <w:snapToGrid w:val="0"/>
              <w:spacing w:before="87"/>
              <w:ind w:left="163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3"/>
                <w:kern w:val="0"/>
                <w:sz w:val="24"/>
                <w:highlight w:val="none"/>
                <w:lang w:bidi="ar"/>
              </w:rPr>
              <w:t>大</w:t>
            </w:r>
            <w:r>
              <w:rPr>
                <w:rFonts w:hint="eastAsia" w:ascii="宋体" w:hAnsi="宋体" w:eastAsia="宋体" w:cs="宋体"/>
                <w:color w:val="auto"/>
                <w:spacing w:val="2"/>
                <w:kern w:val="0"/>
                <w:sz w:val="24"/>
                <w:highlight w:val="none"/>
                <w:lang w:bidi="ar"/>
              </w:rPr>
              <w:t>写：</w:t>
            </w:r>
          </w:p>
        </w:tc>
      </w:tr>
    </w:tbl>
    <w:p w14:paraId="23FD1630">
      <w:pPr>
        <w:widowControl/>
        <w:kinsoku w:val="0"/>
        <w:autoSpaceDE w:val="0"/>
        <w:autoSpaceDN w:val="0"/>
        <w:adjustRightInd w:val="0"/>
        <w:snapToGrid w:val="0"/>
        <w:spacing w:before="36"/>
        <w:ind w:left="706"/>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2"/>
          <w:kern w:val="0"/>
          <w:sz w:val="24"/>
          <w:highlight w:val="none"/>
          <w:lang w:bidi="ar"/>
        </w:rPr>
        <w:t>投</w:t>
      </w:r>
      <w:r>
        <w:rPr>
          <w:rFonts w:hint="eastAsia" w:ascii="宋体" w:hAnsi="宋体" w:eastAsia="宋体" w:cs="宋体"/>
          <w:color w:val="auto"/>
          <w:spacing w:val="7"/>
          <w:kern w:val="0"/>
          <w:sz w:val="24"/>
          <w:highlight w:val="none"/>
          <w:lang w:bidi="ar"/>
        </w:rPr>
        <w:t>标</w:t>
      </w:r>
      <w:r>
        <w:rPr>
          <w:rFonts w:hint="eastAsia" w:ascii="宋体" w:hAnsi="宋体" w:eastAsia="宋体" w:cs="宋体"/>
          <w:color w:val="auto"/>
          <w:spacing w:val="6"/>
          <w:kern w:val="0"/>
          <w:sz w:val="24"/>
          <w:highlight w:val="none"/>
          <w:lang w:bidi="ar"/>
        </w:rPr>
        <w:t>人全称 (公章) ：</w:t>
      </w:r>
    </w:p>
    <w:p w14:paraId="3F48F951">
      <w:pPr>
        <w:widowControl/>
        <w:kinsoku w:val="0"/>
        <w:autoSpaceDE w:val="0"/>
        <w:autoSpaceDN w:val="0"/>
        <w:adjustRightInd w:val="0"/>
        <w:snapToGrid w:val="0"/>
        <w:spacing w:before="183"/>
        <w:ind w:left="705"/>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sz w:val="24"/>
          <w:highlight w:val="none"/>
          <w:lang w:bidi="ar"/>
        </w:rPr>
        <w:t>单</w:t>
      </w:r>
      <w:r>
        <w:rPr>
          <w:rFonts w:hint="eastAsia" w:ascii="宋体" w:hAnsi="宋体" w:eastAsia="宋体" w:cs="宋体"/>
          <w:color w:val="auto"/>
          <w:spacing w:val="13"/>
          <w:kern w:val="0"/>
          <w:sz w:val="24"/>
          <w:highlight w:val="none"/>
          <w:lang w:bidi="ar"/>
        </w:rPr>
        <w:t>位</w:t>
      </w:r>
      <w:r>
        <w:rPr>
          <w:rFonts w:hint="eastAsia" w:ascii="宋体" w:hAnsi="宋体" w:eastAsia="宋体" w:cs="宋体"/>
          <w:color w:val="auto"/>
          <w:spacing w:val="7"/>
          <w:kern w:val="0"/>
          <w:sz w:val="24"/>
          <w:highlight w:val="none"/>
          <w:lang w:bidi="ar"/>
        </w:rPr>
        <w:t>负责人或授权代理人 (签字) ：</w:t>
      </w:r>
    </w:p>
    <w:p w14:paraId="6D917602">
      <w:pPr>
        <w:widowControl/>
        <w:kinsoku w:val="0"/>
        <w:autoSpaceDE w:val="0"/>
        <w:autoSpaceDN w:val="0"/>
        <w:adjustRightInd w:val="0"/>
        <w:snapToGrid w:val="0"/>
        <w:spacing w:before="187" w:line="466" w:lineRule="exact"/>
        <w:ind w:left="714"/>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9"/>
          <w:kern w:val="0"/>
          <w:position w:val="17"/>
          <w:sz w:val="24"/>
          <w:highlight w:val="none"/>
          <w:lang w:bidi="ar"/>
        </w:rPr>
        <w:t>时</w:t>
      </w:r>
      <w:r>
        <w:rPr>
          <w:rFonts w:hint="eastAsia" w:ascii="宋体" w:hAnsi="宋体" w:eastAsia="宋体" w:cs="宋体"/>
          <w:color w:val="auto"/>
          <w:spacing w:val="6"/>
          <w:kern w:val="0"/>
          <w:position w:val="17"/>
          <w:sz w:val="24"/>
          <w:highlight w:val="none"/>
          <w:lang w:bidi="ar"/>
        </w:rPr>
        <w:t>间：年月日</w:t>
      </w:r>
    </w:p>
    <w:p w14:paraId="006925EA">
      <w:pPr>
        <w:widowControl/>
        <w:kinsoku w:val="0"/>
        <w:autoSpaceDE w:val="0"/>
        <w:autoSpaceDN w:val="0"/>
        <w:adjustRightInd w:val="0"/>
        <w:snapToGrid w:val="0"/>
        <w:ind w:left="226"/>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3"/>
          <w:kern w:val="0"/>
          <w:sz w:val="24"/>
          <w:highlight w:val="none"/>
          <w:lang w:bidi="ar"/>
        </w:rPr>
        <w:t>说</w:t>
      </w:r>
      <w:r>
        <w:rPr>
          <w:rFonts w:hint="eastAsia" w:ascii="宋体" w:hAnsi="宋体" w:eastAsia="宋体" w:cs="宋体"/>
          <w:color w:val="auto"/>
          <w:spacing w:val="2"/>
          <w:kern w:val="0"/>
          <w:sz w:val="24"/>
          <w:highlight w:val="none"/>
          <w:lang w:bidi="ar"/>
        </w:rPr>
        <w:t>明：</w:t>
      </w:r>
    </w:p>
    <w:p w14:paraId="5CE026CC">
      <w:pPr>
        <w:widowControl/>
        <w:kinsoku w:val="0"/>
        <w:autoSpaceDE w:val="0"/>
        <w:autoSpaceDN w:val="0"/>
        <w:adjustRightInd w:val="0"/>
        <w:snapToGrid w:val="0"/>
        <w:spacing w:before="183"/>
        <w:ind w:left="705"/>
        <w:jc w:val="left"/>
        <w:textAlignment w:val="baseline"/>
        <w:rPr>
          <w:rFonts w:hint="eastAsia" w:ascii="宋体" w:hAnsi="宋体" w:eastAsia="宋体" w:cs="宋体"/>
          <w:color w:val="auto"/>
          <w:spacing w:val="14"/>
          <w:kern w:val="0"/>
          <w:sz w:val="24"/>
          <w:highlight w:val="none"/>
          <w:lang w:bidi="ar"/>
        </w:rPr>
      </w:pPr>
      <w:r>
        <w:rPr>
          <w:rFonts w:hint="eastAsia" w:ascii="宋体" w:hAnsi="宋体" w:eastAsia="宋体" w:cs="宋体"/>
          <w:color w:val="auto"/>
          <w:spacing w:val="14"/>
          <w:kern w:val="0"/>
          <w:sz w:val="24"/>
          <w:highlight w:val="none"/>
          <w:lang w:bidi="ar"/>
        </w:rPr>
        <w:t>1.与本项目有关的各种费用均应包含在总报价中。</w:t>
      </w:r>
    </w:p>
    <w:p w14:paraId="1E3D4112">
      <w:pPr>
        <w:widowControl/>
        <w:kinsoku w:val="0"/>
        <w:autoSpaceDE w:val="0"/>
        <w:autoSpaceDN w:val="0"/>
        <w:adjustRightInd w:val="0"/>
        <w:snapToGrid w:val="0"/>
        <w:spacing w:before="183"/>
        <w:ind w:left="705"/>
        <w:jc w:val="left"/>
        <w:textAlignment w:val="baseline"/>
        <w:rPr>
          <w:rFonts w:hint="eastAsia" w:ascii="宋体" w:hAnsi="宋体" w:eastAsia="宋体" w:cs="宋体"/>
          <w:color w:val="auto"/>
          <w:spacing w:val="14"/>
          <w:kern w:val="0"/>
          <w:sz w:val="24"/>
          <w:highlight w:val="none"/>
          <w:lang w:bidi="ar"/>
        </w:rPr>
      </w:pPr>
      <w:r>
        <w:rPr>
          <w:rFonts w:hint="eastAsia" w:ascii="宋体" w:hAnsi="宋体" w:eastAsia="宋体" w:cs="宋体"/>
          <w:color w:val="auto"/>
          <w:spacing w:val="14"/>
          <w:kern w:val="0"/>
          <w:sz w:val="24"/>
          <w:highlight w:val="none"/>
          <w:lang w:bidi="ar"/>
        </w:rPr>
        <w:t>2.如果投标人提供价格折扣优惠，应在表中明确填列。</w:t>
      </w:r>
    </w:p>
    <w:p w14:paraId="2EF6130D">
      <w:pPr>
        <w:widowControl/>
        <w:kinsoku w:val="0"/>
        <w:autoSpaceDE w:val="0"/>
        <w:autoSpaceDN w:val="0"/>
        <w:adjustRightInd w:val="0"/>
        <w:snapToGrid w:val="0"/>
        <w:spacing w:before="183"/>
        <w:ind w:left="705"/>
        <w:jc w:val="left"/>
        <w:textAlignment w:val="baseline"/>
        <w:rPr>
          <w:rFonts w:hint="eastAsia" w:ascii="宋体" w:hAnsi="宋体" w:eastAsia="宋体" w:cs="宋体"/>
          <w:color w:val="auto"/>
          <w:spacing w:val="14"/>
          <w:kern w:val="0"/>
          <w:sz w:val="24"/>
          <w:highlight w:val="none"/>
          <w:lang w:bidi="ar"/>
        </w:rPr>
      </w:pPr>
      <w:r>
        <w:rPr>
          <w:rFonts w:hint="eastAsia" w:ascii="宋体" w:hAnsi="宋体" w:eastAsia="宋体" w:cs="宋体"/>
          <w:color w:val="auto"/>
          <w:spacing w:val="14"/>
          <w:kern w:val="0"/>
          <w:sz w:val="24"/>
          <w:highlight w:val="none"/>
          <w:lang w:bidi="ar"/>
        </w:rPr>
        <w:t>3.要说明的问题可另附页说明并签字和加盖公章。</w:t>
      </w:r>
    </w:p>
    <w:p w14:paraId="3145A673">
      <w:pPr>
        <w:widowControl/>
        <w:kinsoku w:val="0"/>
        <w:autoSpaceDE w:val="0"/>
        <w:autoSpaceDN w:val="0"/>
        <w:adjustRightInd w:val="0"/>
        <w:snapToGrid w:val="0"/>
        <w:spacing w:before="183"/>
        <w:ind w:left="705"/>
        <w:jc w:val="left"/>
        <w:textAlignment w:val="baseline"/>
        <w:rPr>
          <w:rFonts w:hint="eastAsia" w:ascii="宋体" w:hAnsi="宋体" w:eastAsia="宋体" w:cs="宋体"/>
          <w:color w:val="auto"/>
          <w:spacing w:val="14"/>
          <w:kern w:val="0"/>
          <w:sz w:val="24"/>
          <w:highlight w:val="none"/>
          <w:lang w:bidi="ar"/>
        </w:rPr>
      </w:pPr>
      <w:r>
        <w:rPr>
          <w:rFonts w:hint="eastAsia" w:ascii="宋体" w:hAnsi="宋体" w:eastAsia="宋体" w:cs="宋体"/>
          <w:color w:val="auto"/>
          <w:spacing w:val="14"/>
          <w:kern w:val="0"/>
          <w:sz w:val="24"/>
          <w:highlight w:val="none"/>
          <w:lang w:bidi="ar"/>
        </w:rPr>
        <w:t>4.此表可根据需要自行拉长加宽。</w:t>
      </w:r>
    </w:p>
    <w:p w14:paraId="580F639D">
      <w:pPr>
        <w:widowControl/>
        <w:kinsoku w:val="0"/>
        <w:autoSpaceDE w:val="0"/>
        <w:autoSpaceDN w:val="0"/>
        <w:adjustRightInd w:val="0"/>
        <w:snapToGrid w:val="0"/>
        <w:spacing w:before="183"/>
        <w:ind w:left="705"/>
        <w:jc w:val="left"/>
        <w:textAlignment w:val="baseline"/>
        <w:rPr>
          <w:rFonts w:hint="eastAsia" w:ascii="宋体" w:hAnsi="宋体" w:eastAsia="宋体" w:cs="宋体"/>
          <w:color w:val="auto"/>
          <w:spacing w:val="14"/>
          <w:kern w:val="0"/>
          <w:sz w:val="24"/>
          <w:highlight w:val="none"/>
          <w:lang w:bidi="ar"/>
        </w:rPr>
      </w:pPr>
      <w:r>
        <w:rPr>
          <w:rFonts w:hint="eastAsia" w:ascii="宋体" w:hAnsi="宋体" w:eastAsia="宋体" w:cs="宋体"/>
          <w:color w:val="auto"/>
          <w:spacing w:val="14"/>
          <w:kern w:val="0"/>
          <w:sz w:val="24"/>
          <w:highlight w:val="none"/>
          <w:lang w:bidi="ar"/>
        </w:rPr>
        <w:t>5.清单中各项必须填写完整，不能以空格、斜杠等其它形式代替，不能有合并单元格。</w:t>
      </w:r>
    </w:p>
    <w:p w14:paraId="616D7612">
      <w:pPr>
        <w:autoSpaceDN w:val="0"/>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br w:type="page"/>
      </w:r>
    </w:p>
    <w:p w14:paraId="3F5769EE">
      <w:pPr>
        <w:spacing w:line="360" w:lineRule="auto"/>
        <w:jc w:val="center"/>
        <w:outlineLvl w:val="2"/>
        <w:rPr>
          <w:rFonts w:hint="eastAsia" w:ascii="宋体" w:hAnsi="宋体" w:eastAsia="宋体" w:cs="宋体"/>
          <w:b/>
          <w:color w:val="auto"/>
          <w:sz w:val="24"/>
          <w:highlight w:val="none"/>
        </w:rPr>
      </w:pPr>
      <w:bookmarkStart w:id="35" w:name="_Toc2403"/>
      <w:bookmarkStart w:id="36" w:name="_Toc27681"/>
      <w:r>
        <w:rPr>
          <w:rFonts w:hint="eastAsia" w:ascii="宋体" w:hAnsi="宋体" w:eastAsia="宋体" w:cs="宋体"/>
          <w:b/>
          <w:bCs/>
          <w:color w:val="auto"/>
          <w:sz w:val="32"/>
          <w:szCs w:val="32"/>
          <w:highlight w:val="none"/>
          <w:lang w:bidi="ar"/>
        </w:rPr>
        <w:t>五、承诺函</w:t>
      </w:r>
    </w:p>
    <w:bookmarkEnd w:id="35"/>
    <w:bookmarkEnd w:id="36"/>
    <w:p w14:paraId="17879DB0">
      <w:pPr>
        <w:adjustRightInd w:val="0"/>
        <w:snapToGrid w:val="0"/>
        <w:jc w:val="center"/>
        <w:rPr>
          <w:rFonts w:hint="eastAsia" w:ascii="宋体" w:hAnsi="宋体" w:eastAsia="宋体" w:cs="宋体"/>
          <w:b/>
          <w:bCs/>
          <w:color w:val="auto"/>
          <w:spacing w:val="4"/>
          <w:sz w:val="24"/>
          <w:highlight w:val="none"/>
        </w:rPr>
      </w:pPr>
    </w:p>
    <w:p w14:paraId="48B934B1">
      <w:pPr>
        <w:adjustRightInd w:val="0"/>
        <w:snapToGrid w:val="0"/>
        <w:jc w:val="center"/>
        <w:rPr>
          <w:rFonts w:hint="eastAsia" w:ascii="宋体" w:hAnsi="宋体" w:eastAsia="宋体" w:cs="宋体"/>
          <w:color w:val="auto"/>
          <w:sz w:val="24"/>
          <w:highlight w:val="none"/>
        </w:rPr>
      </w:pPr>
      <w:r>
        <w:rPr>
          <w:rFonts w:hint="eastAsia" w:ascii="宋体" w:hAnsi="宋体" w:eastAsia="宋体" w:cs="宋体"/>
          <w:b/>
          <w:bCs/>
          <w:color w:val="auto"/>
          <w:spacing w:val="4"/>
          <w:sz w:val="24"/>
          <w:highlight w:val="none"/>
        </w:rPr>
        <w:t>（1）资格条件承诺函</w:t>
      </w:r>
    </w:p>
    <w:p w14:paraId="04273648">
      <w:pPr>
        <w:adjustRightInd w:val="0"/>
        <w:snapToGrid w:val="0"/>
        <w:ind w:firstLine="480" w:firstLineChars="200"/>
        <w:rPr>
          <w:rFonts w:hint="eastAsia" w:ascii="宋体" w:hAnsi="宋体" w:eastAsia="宋体" w:cs="宋体"/>
          <w:color w:val="auto"/>
          <w:sz w:val="24"/>
          <w:highlight w:val="none"/>
        </w:rPr>
      </w:pPr>
    </w:p>
    <w:p w14:paraId="6F5A22AC">
      <w:pPr>
        <w:adjustRightInd w:val="0"/>
        <w:snapToGrid w:val="0"/>
        <w:ind w:firstLine="480" w:firstLineChars="200"/>
        <w:rPr>
          <w:rFonts w:hint="eastAsia" w:ascii="宋体" w:hAnsi="宋体" w:eastAsia="宋体" w:cs="宋体"/>
          <w:color w:val="auto"/>
          <w:sz w:val="24"/>
          <w:highlight w:val="none"/>
        </w:rPr>
      </w:pPr>
    </w:p>
    <w:p w14:paraId="6FF11B5D">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致 ： </w:t>
      </w:r>
      <w:r>
        <w:rPr>
          <w:rFonts w:hint="eastAsia" w:ascii="宋体" w:hAnsi="宋体" w:eastAsia="宋体" w:cs="宋体"/>
          <w:color w:val="auto"/>
          <w:sz w:val="24"/>
          <w:highlight w:val="none"/>
          <w:u w:val="single"/>
        </w:rPr>
        <w:t xml:space="preserve">( 采 购 人 、 采 购 代 理 机 构 )  </w:t>
      </w:r>
      <w:r>
        <w:rPr>
          <w:rFonts w:hint="eastAsia" w:ascii="宋体" w:hAnsi="宋体" w:eastAsia="宋体" w:cs="宋体"/>
          <w:color w:val="auto"/>
          <w:sz w:val="24"/>
          <w:highlight w:val="none"/>
        </w:rPr>
        <w:t xml:space="preserve"> :</w:t>
      </w:r>
    </w:p>
    <w:p w14:paraId="0FB3BACB">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我单位(公司)参与</w:t>
      </w:r>
      <w:r>
        <w:rPr>
          <w:rFonts w:hint="eastAsia" w:ascii="宋体" w:hAnsi="宋体" w:eastAsia="宋体" w:cs="宋体"/>
          <w:color w:val="auto"/>
          <w:sz w:val="24"/>
          <w:highlight w:val="none"/>
          <w:u w:val="single"/>
        </w:rPr>
        <w:t xml:space="preserve">    ( 采购项目名称、项目编号 )</w:t>
      </w:r>
      <w:r>
        <w:rPr>
          <w:rFonts w:hint="eastAsia" w:ascii="宋体" w:hAnsi="宋体" w:eastAsia="宋体" w:cs="宋体"/>
          <w:color w:val="auto"/>
          <w:sz w:val="24"/>
          <w:highlight w:val="none"/>
        </w:rPr>
        <w:t>采购项目的政府采购活动，现承诺如下：</w:t>
      </w:r>
    </w:p>
    <w:p w14:paraId="7D11C8E5">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1. 具有良好的商业信誉和健全的财务会计制度；</w:t>
      </w:r>
    </w:p>
    <w:p w14:paraId="2E550083">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2. 具有依法缴纳税收的良好记录；</w:t>
      </w:r>
    </w:p>
    <w:p w14:paraId="0E017D3B">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3.具有依法缴纳社会保障金的良好记录。</w:t>
      </w:r>
    </w:p>
    <w:p w14:paraId="6A2DF987">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我方在采购项目评审(评标)环节结束后，随时接受采购人、采购代理机构的检查验证，配合提供相关证明材料，证明符合《中华人民共和国政府采购法》规定的供应商基本资格条件。</w:t>
      </w:r>
    </w:p>
    <w:p w14:paraId="00CA999F">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我单位(公司)对上述承诺的真实性负责。如有虚假，将依法承担相应责任。</w:t>
      </w:r>
    </w:p>
    <w:p w14:paraId="7774199D">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特此承诺。</w:t>
      </w:r>
    </w:p>
    <w:p w14:paraId="3C07865C">
      <w:pPr>
        <w:widowControl/>
        <w:topLinePunct/>
        <w:spacing w:line="360" w:lineRule="auto"/>
        <w:ind w:firstLine="480"/>
        <w:rPr>
          <w:rFonts w:hint="eastAsia" w:ascii="宋体" w:hAnsi="宋体" w:eastAsia="宋体" w:cs="宋体"/>
          <w:color w:val="auto"/>
          <w:sz w:val="24"/>
          <w:highlight w:val="none"/>
        </w:rPr>
      </w:pPr>
    </w:p>
    <w:p w14:paraId="07BA5336">
      <w:pPr>
        <w:spacing w:line="480" w:lineRule="auto"/>
        <w:ind w:firstLine="42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u w:val="single"/>
        </w:rPr>
        <w:t xml:space="preserve">                       （公章）</w:t>
      </w:r>
    </w:p>
    <w:p w14:paraId="121705A7">
      <w:pPr>
        <w:spacing w:line="480" w:lineRule="auto"/>
        <w:ind w:firstLine="42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法定代表人或授权代表</w:t>
      </w:r>
      <w:r>
        <w:rPr>
          <w:rFonts w:hint="eastAsia" w:ascii="宋体" w:hAnsi="宋体" w:eastAsia="宋体" w:cs="宋体"/>
          <w:color w:val="auto"/>
          <w:sz w:val="24"/>
          <w:highlight w:val="none"/>
          <w:u w:val="single"/>
        </w:rPr>
        <w:t>：                     （签字）</w:t>
      </w:r>
    </w:p>
    <w:p w14:paraId="184092A4">
      <w:pPr>
        <w:spacing w:line="480" w:lineRule="auto"/>
        <w:ind w:firstLine="420"/>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日期 ：</w:t>
      </w:r>
      <w:r>
        <w:rPr>
          <w:rFonts w:hint="eastAsia" w:ascii="宋体" w:hAnsi="宋体" w:eastAsia="宋体" w:cs="宋体"/>
          <w:color w:val="auto"/>
          <w:sz w:val="24"/>
          <w:highlight w:val="none"/>
          <w:u w:val="single"/>
        </w:rPr>
        <w:t xml:space="preserve">                                            </w:t>
      </w:r>
    </w:p>
    <w:p w14:paraId="00464F2F">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注：不适用信用承诺的情形：</w:t>
      </w:r>
    </w:p>
    <w:p w14:paraId="24587AFE">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1.被列入政府采购不良行为记录名单的，被禁止参加政府采购活动且尚在处罚有效期内的；</w:t>
      </w:r>
    </w:p>
    <w:p w14:paraId="71732F99">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2.被有关部门列入失信被执行人、联合惩戒对象、严重违法失信行为记录等情形的；</w:t>
      </w:r>
    </w:p>
    <w:p w14:paraId="6AF5FA30">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3.其他法律法规规定的不适用于资格条件信用承诺的情。</w:t>
      </w:r>
    </w:p>
    <w:p w14:paraId="798BFC25">
      <w:pPr>
        <w:widowControl/>
        <w:topLinePunct/>
        <w:spacing w:line="360" w:lineRule="auto"/>
        <w:ind w:firstLine="480"/>
        <w:rPr>
          <w:rFonts w:hint="eastAsia" w:ascii="宋体" w:hAnsi="宋体" w:eastAsia="宋体" w:cs="宋体"/>
          <w:color w:val="auto"/>
          <w:sz w:val="24"/>
          <w:highlight w:val="none"/>
        </w:rPr>
      </w:pPr>
      <w:r>
        <w:rPr>
          <w:rFonts w:hint="eastAsia" w:ascii="宋体" w:hAnsi="宋体" w:eastAsia="宋体" w:cs="宋体"/>
          <w:color w:val="auto"/>
          <w:sz w:val="24"/>
          <w:highlight w:val="none"/>
        </w:rPr>
        <w:t>4.不适用于信用承诺的企业应按要求提供其他证明文件，以证明其资格符合招标文件规定。</w:t>
      </w:r>
      <w:bookmarkStart w:id="37" w:name="_Toc29052"/>
    </w:p>
    <w:p w14:paraId="1A829A71">
      <w:pPr>
        <w:widowControl/>
        <w:topLinePunct/>
        <w:spacing w:line="360" w:lineRule="auto"/>
        <w:ind w:firstLine="480"/>
        <w:rPr>
          <w:rFonts w:hint="eastAsia" w:ascii="宋体" w:hAnsi="宋体" w:eastAsia="宋体" w:cs="宋体"/>
          <w:b/>
          <w:color w:val="auto"/>
          <w:sz w:val="24"/>
          <w:highlight w:val="none"/>
        </w:rPr>
        <w:sectPr>
          <w:footerReference r:id="rId4" w:type="default"/>
          <w:pgSz w:w="11849" w:h="16781"/>
          <w:pgMar w:top="1134" w:right="1134" w:bottom="1134" w:left="1417" w:header="850" w:footer="692" w:gutter="0"/>
          <w:cols w:space="720" w:num="1"/>
          <w:titlePg/>
          <w:docGrid w:type="lines" w:linePitch="316" w:charSpace="0"/>
        </w:sectPr>
      </w:pPr>
    </w:p>
    <w:bookmarkEnd w:id="37"/>
    <w:p w14:paraId="7B50FF84">
      <w:pPr>
        <w:widowControl/>
        <w:jc w:val="center"/>
        <w:rPr>
          <w:rFonts w:hint="eastAsia" w:ascii="宋体" w:hAnsi="宋体" w:eastAsia="宋体" w:cs="宋体"/>
          <w:b/>
          <w:bCs/>
          <w:color w:val="auto"/>
          <w:sz w:val="24"/>
          <w:highlight w:val="none"/>
        </w:rPr>
      </w:pPr>
    </w:p>
    <w:p w14:paraId="6D676349">
      <w:pPr>
        <w:widowControl/>
        <w:jc w:val="center"/>
        <w:rPr>
          <w:rFonts w:hint="eastAsia" w:ascii="宋体" w:hAnsi="宋体" w:eastAsia="宋体" w:cs="宋体"/>
          <w:b/>
          <w:bCs/>
          <w:color w:val="auto"/>
          <w:sz w:val="24"/>
          <w:highlight w:val="none"/>
        </w:rPr>
      </w:pPr>
      <w:r>
        <w:rPr>
          <w:rFonts w:hint="eastAsia" w:ascii="宋体" w:hAnsi="宋体" w:eastAsia="宋体" w:cs="宋体"/>
          <w:b/>
          <w:bCs/>
          <w:color w:val="auto"/>
          <w:spacing w:val="4"/>
          <w:sz w:val="24"/>
          <w:highlight w:val="none"/>
        </w:rPr>
        <w:t>（2）</w:t>
      </w:r>
      <w:r>
        <w:rPr>
          <w:rFonts w:hint="eastAsia" w:ascii="宋体" w:hAnsi="宋体" w:eastAsia="宋体" w:cs="宋体"/>
          <w:b/>
          <w:bCs/>
          <w:color w:val="auto"/>
          <w:sz w:val="24"/>
          <w:highlight w:val="none"/>
        </w:rPr>
        <w:t>具有履行合同所必需的设备和专业技术能力</w:t>
      </w:r>
    </w:p>
    <w:p w14:paraId="3258DCEF">
      <w:pPr>
        <w:pStyle w:val="12"/>
        <w:rPr>
          <w:rFonts w:hint="eastAsia" w:ascii="宋体" w:hAnsi="宋体" w:eastAsia="宋体" w:cs="宋体"/>
          <w:b/>
          <w:bCs/>
          <w:color w:val="auto"/>
          <w:sz w:val="21"/>
          <w:szCs w:val="21"/>
          <w:highlight w:val="none"/>
        </w:rPr>
      </w:pPr>
    </w:p>
    <w:p w14:paraId="16208894">
      <w:pPr>
        <w:widowControl/>
        <w:spacing w:line="48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致：</w:t>
      </w:r>
      <w:r>
        <w:rPr>
          <w:rFonts w:hint="eastAsia" w:ascii="宋体" w:hAnsi="宋体" w:eastAsia="宋体" w:cs="宋体"/>
          <w:b/>
          <w:bCs/>
          <w:color w:val="auto"/>
          <w:sz w:val="24"/>
          <w:highlight w:val="none"/>
          <w:u w:val="single"/>
        </w:rPr>
        <w:t>（采购人名称）</w:t>
      </w:r>
    </w:p>
    <w:p w14:paraId="792461BD">
      <w:pPr>
        <w:widowControl/>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我单位郑重声明：我公司</w:t>
      </w:r>
      <w:r>
        <w:rPr>
          <w:rFonts w:hint="eastAsia" w:ascii="宋体" w:hAnsi="宋体" w:eastAsia="宋体" w:cs="宋体"/>
          <w:b/>
          <w:bCs/>
          <w:color w:val="auto"/>
          <w:sz w:val="24"/>
          <w:highlight w:val="none"/>
        </w:rPr>
        <w:t>具有履行合同所必需的设备和专业技术能力</w:t>
      </w:r>
      <w:r>
        <w:rPr>
          <w:rFonts w:hint="eastAsia" w:ascii="宋体" w:hAnsi="宋体" w:eastAsia="宋体" w:cs="宋体"/>
          <w:color w:val="auto"/>
          <w:sz w:val="24"/>
          <w:highlight w:val="none"/>
        </w:rPr>
        <w:t>。</w:t>
      </w:r>
    </w:p>
    <w:p w14:paraId="03C696E9">
      <w:pPr>
        <w:widowControl/>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我单位对上述声明的真实性负责。如有虚假，将依法承担相应责任。</w:t>
      </w:r>
    </w:p>
    <w:p w14:paraId="749816DF">
      <w:pPr>
        <w:widowControl/>
        <w:spacing w:line="480" w:lineRule="auto"/>
        <w:rPr>
          <w:rFonts w:hint="eastAsia" w:ascii="宋体" w:hAnsi="宋体" w:eastAsia="宋体" w:cs="宋体"/>
          <w:color w:val="auto"/>
          <w:sz w:val="24"/>
          <w:highlight w:val="none"/>
        </w:rPr>
      </w:pPr>
    </w:p>
    <w:p w14:paraId="09B26BFD">
      <w:pPr>
        <w:spacing w:line="480" w:lineRule="auto"/>
        <w:rPr>
          <w:rFonts w:hint="eastAsia" w:ascii="宋体" w:hAnsi="宋体" w:eastAsia="宋体" w:cs="宋体"/>
          <w:color w:val="auto"/>
          <w:sz w:val="24"/>
          <w:highlight w:val="none"/>
          <w:u w:val="single"/>
        </w:rPr>
      </w:pPr>
      <w:bookmarkStart w:id="38" w:name="_Toc7968"/>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u w:val="single"/>
        </w:rPr>
        <w:t xml:space="preserve">                       （公章）</w:t>
      </w:r>
    </w:p>
    <w:p w14:paraId="40C147A4">
      <w:pPr>
        <w:spacing w:line="480" w:lineRule="auto"/>
        <w:rPr>
          <w:rFonts w:hint="eastAsia" w:ascii="宋体" w:hAnsi="宋体" w:eastAsia="宋体" w:cs="宋体"/>
          <w:b/>
          <w:color w:val="auto"/>
          <w:szCs w:val="21"/>
          <w:highlight w:val="none"/>
        </w:rPr>
        <w:sectPr>
          <w:pgSz w:w="11849" w:h="16781"/>
          <w:pgMar w:top="1134" w:right="1134" w:bottom="1134" w:left="1417" w:header="850" w:footer="692" w:gutter="0"/>
          <w:cols w:space="720" w:num="1"/>
          <w:titlePg/>
          <w:docGrid w:type="lines" w:linePitch="316" w:charSpace="0"/>
        </w:sectPr>
      </w:pPr>
      <w:r>
        <w:rPr>
          <w:rFonts w:hint="eastAsia" w:ascii="宋体" w:hAnsi="宋体" w:eastAsia="宋体" w:cs="宋体"/>
          <w:color w:val="auto"/>
          <w:sz w:val="24"/>
          <w:highlight w:val="none"/>
        </w:rPr>
        <w:t>日期 ：</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Cs w:val="21"/>
          <w:highlight w:val="none"/>
          <w:u w:val="single"/>
        </w:rPr>
        <w:t xml:space="preserve">  </w:t>
      </w:r>
    </w:p>
    <w:bookmarkEnd w:id="38"/>
    <w:p w14:paraId="2DCD1203">
      <w:pPr>
        <w:widowControl/>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pacing w:val="4"/>
          <w:sz w:val="24"/>
          <w:highlight w:val="none"/>
        </w:rPr>
        <w:t>（3）</w:t>
      </w:r>
      <w:r>
        <w:rPr>
          <w:rFonts w:hint="eastAsia" w:ascii="宋体" w:hAnsi="宋体" w:eastAsia="宋体" w:cs="宋体"/>
          <w:b/>
          <w:bCs/>
          <w:color w:val="auto"/>
          <w:sz w:val="24"/>
          <w:highlight w:val="none"/>
        </w:rPr>
        <w:t>近三年内，投标人在经营活动中没有重大违法记录</w:t>
      </w:r>
    </w:p>
    <w:p w14:paraId="2F38D92E">
      <w:pPr>
        <w:widowControl/>
        <w:spacing w:line="360" w:lineRule="auto"/>
        <w:jc w:val="center"/>
        <w:rPr>
          <w:rFonts w:hint="eastAsia" w:ascii="宋体" w:hAnsi="宋体" w:eastAsia="宋体" w:cs="宋体"/>
          <w:b/>
          <w:bCs/>
          <w:color w:val="auto"/>
          <w:sz w:val="24"/>
          <w:highlight w:val="none"/>
        </w:rPr>
      </w:pPr>
    </w:p>
    <w:p w14:paraId="32F07641">
      <w:pPr>
        <w:widowControl/>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参加本政府采购项目前 3 年内在经营活动中没有重大违法记录的书面声明函（格式）</w:t>
      </w:r>
    </w:p>
    <w:p w14:paraId="4DF56C76">
      <w:pPr>
        <w:widowControl/>
        <w:spacing w:line="48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致：</w:t>
      </w:r>
      <w:r>
        <w:rPr>
          <w:rFonts w:hint="eastAsia" w:ascii="宋体" w:hAnsi="宋体" w:eastAsia="宋体" w:cs="宋体"/>
          <w:b/>
          <w:bCs/>
          <w:color w:val="auto"/>
          <w:sz w:val="24"/>
          <w:highlight w:val="none"/>
          <w:u w:val="single"/>
        </w:rPr>
        <w:t>（采购人名称）</w:t>
      </w:r>
    </w:p>
    <w:p w14:paraId="5B4EC455">
      <w:pPr>
        <w:widowControl/>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我单位郑重声明：在本项目投标截止期前 3 年内，我单位在经营活动中没有重大违法记录（重大违法记录是指投标人因违法经营受到刑事处罚或责令停产停业、吊销许可证或者执照、较大数额罚款等行政处罚）。</w:t>
      </w:r>
    </w:p>
    <w:p w14:paraId="77CEC612">
      <w:pPr>
        <w:widowControl/>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我单位对上述声明的真实性负责。如有虚假，将依法承担相应责任。</w:t>
      </w:r>
    </w:p>
    <w:p w14:paraId="52918E88">
      <w:pPr>
        <w:widowControl/>
        <w:spacing w:line="480" w:lineRule="auto"/>
        <w:rPr>
          <w:rFonts w:hint="eastAsia" w:ascii="宋体" w:hAnsi="宋体" w:eastAsia="宋体" w:cs="宋体"/>
          <w:color w:val="auto"/>
          <w:sz w:val="24"/>
          <w:highlight w:val="none"/>
        </w:rPr>
      </w:pPr>
    </w:p>
    <w:p w14:paraId="3515EA1F">
      <w:pPr>
        <w:spacing w:line="48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u w:val="single"/>
        </w:rPr>
        <w:t xml:space="preserve">                       （公章）</w:t>
      </w:r>
    </w:p>
    <w:p w14:paraId="61D0DC53">
      <w:pPr>
        <w:spacing w:line="480" w:lineRule="auto"/>
        <w:rPr>
          <w:rFonts w:hint="eastAsia" w:ascii="宋体" w:hAnsi="宋体" w:eastAsia="宋体" w:cs="宋体"/>
          <w:b/>
          <w:color w:val="auto"/>
          <w:sz w:val="24"/>
          <w:highlight w:val="none"/>
        </w:rPr>
        <w:sectPr>
          <w:pgSz w:w="11849" w:h="16781"/>
          <w:pgMar w:top="1134" w:right="1134" w:bottom="1134" w:left="1417" w:header="850" w:footer="692" w:gutter="0"/>
          <w:cols w:space="720" w:num="1"/>
          <w:titlePg/>
          <w:docGrid w:type="lines" w:linePitch="316" w:charSpace="0"/>
        </w:sectPr>
      </w:pPr>
      <w:r>
        <w:rPr>
          <w:rFonts w:hint="eastAsia" w:ascii="宋体" w:hAnsi="宋体" w:eastAsia="宋体" w:cs="宋体"/>
          <w:color w:val="auto"/>
          <w:sz w:val="24"/>
          <w:highlight w:val="none"/>
        </w:rPr>
        <w:t>日期 ：</w:t>
      </w:r>
      <w:r>
        <w:rPr>
          <w:rFonts w:hint="eastAsia" w:ascii="宋体" w:hAnsi="宋体" w:eastAsia="宋体" w:cs="宋体"/>
          <w:color w:val="auto"/>
          <w:sz w:val="24"/>
          <w:highlight w:val="none"/>
          <w:u w:val="single"/>
        </w:rPr>
        <w:t xml:space="preserve">                                            </w:t>
      </w:r>
    </w:p>
    <w:p w14:paraId="7BC3AE09">
      <w:pPr>
        <w:widowControl/>
        <w:spacing w:line="360" w:lineRule="auto"/>
        <w:jc w:val="center"/>
        <w:rPr>
          <w:rFonts w:hint="eastAsia" w:ascii="宋体" w:hAnsi="宋体" w:eastAsia="宋体" w:cs="宋体"/>
          <w:b/>
          <w:bCs/>
          <w:color w:val="auto"/>
          <w:sz w:val="24"/>
          <w:highlight w:val="none"/>
        </w:rPr>
      </w:pPr>
      <w:r>
        <w:rPr>
          <w:rFonts w:hint="eastAsia" w:ascii="宋体" w:hAnsi="宋体" w:eastAsia="宋体" w:cs="宋体"/>
          <w:b/>
          <w:bCs/>
          <w:color w:val="auto"/>
          <w:spacing w:val="4"/>
          <w:sz w:val="24"/>
          <w:highlight w:val="none"/>
        </w:rPr>
        <w:t>（4）</w:t>
      </w:r>
      <w:r>
        <w:rPr>
          <w:rFonts w:hint="eastAsia" w:ascii="宋体" w:hAnsi="宋体" w:eastAsia="宋体" w:cs="宋体"/>
          <w:b/>
          <w:bCs/>
          <w:color w:val="auto"/>
          <w:sz w:val="24"/>
          <w:highlight w:val="none"/>
        </w:rPr>
        <w:t>声明函（格式）</w:t>
      </w:r>
    </w:p>
    <w:p w14:paraId="1CF88D27">
      <w:pPr>
        <w:spacing w:line="480" w:lineRule="auto"/>
        <w:rPr>
          <w:rFonts w:hint="eastAsia" w:ascii="宋体" w:hAnsi="宋体" w:eastAsia="宋体" w:cs="宋体"/>
          <w:color w:val="auto"/>
          <w:sz w:val="24"/>
          <w:highlight w:val="none"/>
        </w:rPr>
      </w:pPr>
      <w:r>
        <w:rPr>
          <w:rFonts w:hint="eastAsia" w:ascii="宋体" w:hAnsi="宋体" w:eastAsia="宋体" w:cs="宋体"/>
          <w:b/>
          <w:bCs/>
          <w:color w:val="auto"/>
          <w:sz w:val="24"/>
          <w:highlight w:val="none"/>
        </w:rPr>
        <w:t>致：</w:t>
      </w:r>
      <w:r>
        <w:rPr>
          <w:rFonts w:hint="eastAsia" w:ascii="宋体" w:hAnsi="宋体" w:eastAsia="宋体" w:cs="宋体"/>
          <w:b/>
          <w:bCs/>
          <w:color w:val="auto"/>
          <w:sz w:val="24"/>
          <w:highlight w:val="none"/>
          <w:u w:val="single"/>
        </w:rPr>
        <w:t>（采购人名称）</w:t>
      </w:r>
    </w:p>
    <w:p w14:paraId="064BCAA4">
      <w:pPr>
        <w:spacing w:line="48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我单位郑重声明：与本单位负责人为同一人或者与本单位存在直接控股关系、管理关系的投标人未参与</w:t>
      </w:r>
      <w:r>
        <w:rPr>
          <w:rFonts w:hint="eastAsia" w:ascii="宋体" w:hAnsi="宋体" w:eastAsia="宋体" w:cs="宋体"/>
          <w:b/>
          <w:bCs/>
          <w:color w:val="auto"/>
          <w:sz w:val="24"/>
          <w:highlight w:val="none"/>
          <w:u w:val="single"/>
        </w:rPr>
        <w:t xml:space="preserve">                </w:t>
      </w:r>
      <w:r>
        <w:rPr>
          <w:rFonts w:hint="eastAsia" w:ascii="宋体" w:hAnsi="宋体" w:eastAsia="宋体" w:cs="宋体"/>
          <w:b/>
          <w:bCs/>
          <w:color w:val="auto"/>
          <w:sz w:val="24"/>
          <w:highlight w:val="none"/>
        </w:rPr>
        <w:t>(项目名称)</w:t>
      </w:r>
      <w:r>
        <w:rPr>
          <w:rFonts w:hint="eastAsia" w:ascii="宋体" w:hAnsi="宋体" w:eastAsia="宋体" w:cs="宋体"/>
          <w:color w:val="auto"/>
          <w:sz w:val="24"/>
          <w:highlight w:val="none"/>
        </w:rPr>
        <w:t xml:space="preserve"> 同一合同项下的投标。</w:t>
      </w:r>
    </w:p>
    <w:p w14:paraId="24A9B545">
      <w:pPr>
        <w:spacing w:line="480" w:lineRule="auto"/>
        <w:ind w:firstLine="240" w:firstLineChars="100"/>
        <w:rPr>
          <w:rFonts w:hint="eastAsia" w:ascii="宋体" w:hAnsi="宋体" w:eastAsia="宋体" w:cs="宋体"/>
          <w:color w:val="auto"/>
          <w:sz w:val="24"/>
          <w:highlight w:val="none"/>
        </w:rPr>
      </w:pPr>
      <w:r>
        <w:rPr>
          <w:rFonts w:hint="eastAsia" w:ascii="宋体" w:hAnsi="宋体" w:eastAsia="宋体" w:cs="宋体"/>
          <w:color w:val="auto"/>
          <w:sz w:val="24"/>
          <w:highlight w:val="none"/>
        </w:rPr>
        <w:t>我单位保证上述声明真实、有效、可查。</w:t>
      </w:r>
    </w:p>
    <w:p w14:paraId="1D9BDAAE">
      <w:pPr>
        <w:spacing w:line="48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特此声明。</w:t>
      </w:r>
    </w:p>
    <w:p w14:paraId="7F210B0A">
      <w:pPr>
        <w:spacing w:line="480" w:lineRule="auto"/>
        <w:rPr>
          <w:rFonts w:hint="eastAsia" w:ascii="宋体" w:hAnsi="宋体" w:eastAsia="宋体" w:cs="宋体"/>
          <w:color w:val="auto"/>
          <w:sz w:val="24"/>
          <w:highlight w:val="none"/>
          <w:u w:val="single"/>
        </w:rPr>
      </w:pPr>
    </w:p>
    <w:p w14:paraId="31B189ED">
      <w:pPr>
        <w:spacing w:line="480" w:lineRule="auto"/>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rPr>
        <w:t>投标人名称：</w:t>
      </w:r>
      <w:r>
        <w:rPr>
          <w:rFonts w:hint="eastAsia" w:ascii="宋体" w:hAnsi="宋体" w:eastAsia="宋体" w:cs="宋体"/>
          <w:color w:val="auto"/>
          <w:sz w:val="24"/>
          <w:highlight w:val="none"/>
          <w:u w:val="single"/>
        </w:rPr>
        <w:t xml:space="preserve">                       （公章）</w:t>
      </w:r>
    </w:p>
    <w:p w14:paraId="3C023A17">
      <w:pPr>
        <w:spacing w:line="480" w:lineRule="auto"/>
        <w:rPr>
          <w:rFonts w:hint="eastAsia" w:ascii="宋体" w:hAnsi="宋体" w:eastAsia="宋体" w:cs="宋体"/>
          <w:b/>
          <w:color w:val="auto"/>
          <w:sz w:val="24"/>
          <w:highlight w:val="none"/>
        </w:rPr>
        <w:sectPr>
          <w:pgSz w:w="11849" w:h="16781"/>
          <w:pgMar w:top="1134" w:right="1134" w:bottom="1134" w:left="1417" w:header="850" w:footer="692" w:gutter="0"/>
          <w:cols w:space="720" w:num="1"/>
          <w:titlePg/>
          <w:docGrid w:type="lines" w:linePitch="316" w:charSpace="0"/>
        </w:sectPr>
      </w:pPr>
      <w:r>
        <w:rPr>
          <w:rFonts w:hint="eastAsia" w:ascii="宋体" w:hAnsi="宋体" w:eastAsia="宋体" w:cs="宋体"/>
          <w:color w:val="auto"/>
          <w:sz w:val="24"/>
          <w:highlight w:val="none"/>
        </w:rPr>
        <w:t>日期 ：</w:t>
      </w:r>
      <w:r>
        <w:rPr>
          <w:rFonts w:hint="eastAsia" w:ascii="宋体" w:hAnsi="宋体" w:eastAsia="宋体" w:cs="宋体"/>
          <w:color w:val="auto"/>
          <w:sz w:val="24"/>
          <w:highlight w:val="none"/>
          <w:u w:val="single"/>
        </w:rPr>
        <w:t xml:space="preserve">                                            </w:t>
      </w:r>
    </w:p>
    <w:p w14:paraId="75373895">
      <w:pPr>
        <w:spacing w:line="360" w:lineRule="auto"/>
        <w:jc w:val="center"/>
        <w:outlineLvl w:val="2"/>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 xml:space="preserve">六、*技术需求偏离表 </w:t>
      </w:r>
    </w:p>
    <w:p w14:paraId="6282ADAE">
      <w:pPr>
        <w:widowControl/>
        <w:kinsoku w:val="0"/>
        <w:autoSpaceDE w:val="0"/>
        <w:autoSpaceDN w:val="0"/>
        <w:adjustRightInd w:val="0"/>
        <w:snapToGrid w:val="0"/>
        <w:spacing w:before="48"/>
        <w:jc w:val="center"/>
        <w:textAlignment w:val="baseline"/>
        <w:outlineLvl w:val="0"/>
        <w:rPr>
          <w:rFonts w:hint="eastAsia" w:ascii="宋体" w:hAnsi="宋体" w:eastAsia="宋体" w:cs="宋体"/>
          <w:b/>
          <w:bCs/>
          <w:color w:val="auto"/>
          <w:spacing w:val="8"/>
          <w:kern w:val="0"/>
          <w:sz w:val="24"/>
          <w:highlight w:val="none"/>
          <w:lang w:bidi="ar"/>
        </w:rPr>
      </w:pPr>
      <w:r>
        <w:rPr>
          <w:rFonts w:hint="eastAsia" w:ascii="宋体" w:hAnsi="宋体" w:eastAsia="宋体" w:cs="宋体"/>
          <w:b/>
          <w:bCs/>
          <w:color w:val="auto"/>
          <w:spacing w:val="8"/>
          <w:kern w:val="0"/>
          <w:sz w:val="24"/>
          <w:highlight w:val="none"/>
          <w:lang w:bidi="ar"/>
        </w:rPr>
        <w:t>（1）“*”项技术需求偏离表</w:t>
      </w:r>
    </w:p>
    <w:p w14:paraId="4A4DDF3A">
      <w:pPr>
        <w:widowControl/>
        <w:kinsoku w:val="0"/>
        <w:autoSpaceDE w:val="0"/>
        <w:autoSpaceDN w:val="0"/>
        <w:adjustRightInd w:val="0"/>
        <w:snapToGrid w:val="0"/>
        <w:spacing w:line="101" w:lineRule="exact"/>
        <w:jc w:val="left"/>
        <w:textAlignment w:val="baseline"/>
        <w:rPr>
          <w:rFonts w:hint="eastAsia" w:ascii="宋体" w:hAnsi="宋体" w:eastAsia="宋体" w:cs="宋体"/>
          <w:color w:val="auto"/>
          <w:kern w:val="0"/>
          <w:sz w:val="24"/>
          <w:highlight w:val="none"/>
        </w:rPr>
      </w:pPr>
    </w:p>
    <w:p w14:paraId="47976F0E">
      <w:pPr>
        <w:rPr>
          <w:rFonts w:hint="eastAsia" w:ascii="宋体" w:hAnsi="宋体" w:eastAsia="宋体" w:cs="宋体"/>
          <w:color w:val="auto"/>
          <w:highlight w:val="none"/>
        </w:rPr>
        <w:sectPr>
          <w:pgSz w:w="11906" w:h="16839"/>
          <w:pgMar w:top="1440" w:right="1800" w:bottom="1440" w:left="1800" w:header="1" w:footer="660" w:gutter="1"/>
          <w:cols w:space="425" w:num="1"/>
          <w:docGrid w:type="lines" w:linePitch="312" w:charSpace="0"/>
        </w:sectPr>
      </w:pPr>
    </w:p>
    <w:p w14:paraId="593AA158">
      <w:pPr>
        <w:widowControl/>
        <w:kinsoku w:val="0"/>
        <w:autoSpaceDE w:val="0"/>
        <w:autoSpaceDN w:val="0"/>
        <w:adjustRightInd w:val="0"/>
        <w:snapToGrid w:val="0"/>
        <w:spacing w:before="48"/>
        <w:jc w:val="left"/>
        <w:textAlignment w:val="baseline"/>
        <w:outlineLvl w:val="0"/>
        <w:rPr>
          <w:rFonts w:hint="eastAsia" w:ascii="宋体" w:hAnsi="宋体" w:eastAsia="宋体" w:cs="宋体"/>
          <w:color w:val="auto"/>
          <w:kern w:val="0"/>
          <w:sz w:val="24"/>
          <w:highlight w:val="none"/>
        </w:rPr>
      </w:pPr>
      <w:bookmarkStart w:id="39" w:name="_Toc18838"/>
      <w:bookmarkStart w:id="40" w:name="_Toc3419"/>
      <w:r>
        <w:rPr>
          <w:rFonts w:hint="eastAsia" w:ascii="宋体" w:hAnsi="宋体" w:eastAsia="宋体" w:cs="宋体"/>
          <w:color w:val="auto"/>
          <w:spacing w:val="9"/>
          <w:kern w:val="0"/>
          <w:sz w:val="24"/>
          <w:highlight w:val="none"/>
          <w:lang w:bidi="ar"/>
        </w:rPr>
        <w:t>项</w:t>
      </w:r>
      <w:r>
        <w:rPr>
          <w:rFonts w:hint="eastAsia" w:ascii="宋体" w:hAnsi="宋体" w:eastAsia="宋体" w:cs="宋体"/>
          <w:color w:val="auto"/>
          <w:spacing w:val="8"/>
          <w:kern w:val="0"/>
          <w:sz w:val="24"/>
          <w:highlight w:val="none"/>
          <w:lang w:bidi="ar"/>
        </w:rPr>
        <w:t>目名称：</w:t>
      </w:r>
      <w:bookmarkEnd w:id="39"/>
      <w:bookmarkEnd w:id="40"/>
    </w:p>
    <w:p w14:paraId="394C85F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p w14:paraId="47BCE64B">
      <w:pPr>
        <w:widowControl/>
        <w:kinsoku w:val="0"/>
        <w:autoSpaceDE w:val="0"/>
        <w:autoSpaceDN w:val="0"/>
        <w:adjustRightInd w:val="0"/>
        <w:snapToGrid w:val="0"/>
        <w:spacing w:before="47"/>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sz w:val="24"/>
          <w:highlight w:val="none"/>
          <w:lang w:bidi="ar"/>
        </w:rPr>
        <w:t>项</w:t>
      </w:r>
      <w:r>
        <w:rPr>
          <w:rFonts w:hint="eastAsia" w:ascii="宋体" w:hAnsi="宋体" w:eastAsia="宋体" w:cs="宋体"/>
          <w:color w:val="auto"/>
          <w:spacing w:val="5"/>
          <w:kern w:val="0"/>
          <w:sz w:val="24"/>
          <w:highlight w:val="none"/>
          <w:lang w:bidi="ar"/>
        </w:rPr>
        <w:t>目编号：</w:t>
      </w:r>
    </w:p>
    <w:p w14:paraId="3873D14D">
      <w:pPr>
        <w:rPr>
          <w:rFonts w:hint="eastAsia" w:ascii="宋体" w:hAnsi="宋体" w:eastAsia="宋体" w:cs="宋体"/>
          <w:color w:val="auto"/>
          <w:sz w:val="24"/>
          <w:highlight w:val="none"/>
        </w:rPr>
        <w:sectPr>
          <w:type w:val="continuous"/>
          <w:pgSz w:w="11906" w:h="16839"/>
          <w:pgMar w:top="1440" w:right="1800" w:bottom="1440" w:left="1800" w:header="1" w:footer="660" w:gutter="1"/>
          <w:cols w:space="425" w:num="1"/>
          <w:docGrid w:type="lines" w:linePitch="312" w:charSpace="0"/>
        </w:sectPr>
      </w:pPr>
    </w:p>
    <w:p w14:paraId="6A532369">
      <w:pPr>
        <w:widowControl/>
        <w:kinsoku w:val="0"/>
        <w:autoSpaceDE w:val="0"/>
        <w:autoSpaceDN w:val="0"/>
        <w:adjustRightInd w:val="0"/>
        <w:snapToGrid w:val="0"/>
        <w:spacing w:line="191" w:lineRule="exact"/>
        <w:jc w:val="left"/>
        <w:textAlignment w:val="baseline"/>
        <w:rPr>
          <w:rFonts w:hint="eastAsia" w:ascii="宋体" w:hAnsi="宋体" w:eastAsia="宋体" w:cs="宋体"/>
          <w:color w:val="auto"/>
          <w:kern w:val="0"/>
          <w:sz w:val="24"/>
          <w:highlight w:val="none"/>
        </w:rPr>
      </w:pPr>
    </w:p>
    <w:tbl>
      <w:tblPr>
        <w:tblStyle w:val="24"/>
        <w:tblW w:w="5531" w:type="pct"/>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autofit"/>
        <w:tblCellMar>
          <w:top w:w="0" w:type="dxa"/>
          <w:left w:w="0" w:type="dxa"/>
          <w:bottom w:w="0" w:type="dxa"/>
          <w:right w:w="0" w:type="dxa"/>
        </w:tblCellMar>
      </w:tblPr>
      <w:tblGrid>
        <w:gridCol w:w="759"/>
        <w:gridCol w:w="1106"/>
        <w:gridCol w:w="2425"/>
        <w:gridCol w:w="2426"/>
        <w:gridCol w:w="727"/>
        <w:gridCol w:w="1113"/>
        <w:gridCol w:w="638"/>
      </w:tblGrid>
      <w:tr w14:paraId="658A5DA6">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28" w:hRule="atLeast"/>
        </w:trPr>
        <w:tc>
          <w:tcPr>
            <w:tcW w:w="413" w:type="pct"/>
            <w:tcBorders>
              <w:top w:val="single" w:color="auto" w:sz="2" w:space="0"/>
              <w:left w:val="single" w:color="auto" w:sz="2" w:space="0"/>
              <w:bottom w:val="single" w:color="auto" w:sz="2" w:space="0"/>
              <w:right w:val="single" w:color="auto" w:sz="2" w:space="0"/>
            </w:tcBorders>
            <w:shd w:val="clear" w:color="auto" w:fill="auto"/>
            <w:vAlign w:val="center"/>
          </w:tcPr>
          <w:p w14:paraId="128265A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41" w:name="_Toc3091"/>
            <w:bookmarkStart w:id="42" w:name="_Toc15342"/>
            <w:r>
              <w:rPr>
                <w:rFonts w:hint="eastAsia" w:ascii="宋体" w:hAnsi="宋体" w:eastAsia="宋体" w:cs="宋体"/>
                <w:b/>
                <w:bCs/>
                <w:color w:val="auto"/>
                <w:spacing w:val="6"/>
                <w:kern w:val="0"/>
                <w:sz w:val="24"/>
                <w:highlight w:val="none"/>
                <w:lang w:bidi="ar"/>
              </w:rPr>
              <w:t>序号</w:t>
            </w:r>
            <w:bookmarkEnd w:id="41"/>
            <w:bookmarkEnd w:id="42"/>
          </w:p>
        </w:tc>
        <w:tc>
          <w:tcPr>
            <w:tcW w:w="601" w:type="pct"/>
            <w:tcBorders>
              <w:top w:val="single" w:color="auto" w:sz="2" w:space="0"/>
              <w:left w:val="single" w:color="auto" w:sz="2" w:space="0"/>
              <w:bottom w:val="single" w:color="auto" w:sz="2" w:space="0"/>
              <w:right w:val="single" w:color="auto" w:sz="2" w:space="0"/>
            </w:tcBorders>
            <w:shd w:val="clear" w:color="auto" w:fill="auto"/>
            <w:vAlign w:val="center"/>
          </w:tcPr>
          <w:p w14:paraId="2F81E6AC">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43" w:name="_Toc10769"/>
            <w:bookmarkStart w:id="44" w:name="_Toc11418"/>
            <w:r>
              <w:rPr>
                <w:rFonts w:hint="eastAsia" w:ascii="宋体" w:hAnsi="宋体" w:eastAsia="宋体" w:cs="宋体"/>
                <w:b/>
                <w:bCs/>
                <w:color w:val="auto"/>
                <w:spacing w:val="6"/>
                <w:kern w:val="0"/>
                <w:sz w:val="24"/>
                <w:highlight w:val="none"/>
                <w:lang w:bidi="ar"/>
              </w:rPr>
              <w:t>货物名称</w:t>
            </w:r>
            <w:bookmarkEnd w:id="43"/>
            <w:bookmarkEnd w:id="44"/>
          </w:p>
        </w:tc>
        <w:tc>
          <w:tcPr>
            <w:tcW w:w="1318" w:type="pct"/>
            <w:tcBorders>
              <w:top w:val="single" w:color="auto" w:sz="2" w:space="0"/>
              <w:left w:val="single" w:color="auto" w:sz="2" w:space="0"/>
              <w:bottom w:val="single" w:color="auto" w:sz="2" w:space="0"/>
              <w:right w:val="single" w:color="auto" w:sz="2" w:space="0"/>
            </w:tcBorders>
            <w:shd w:val="clear" w:color="auto" w:fill="auto"/>
            <w:vAlign w:val="center"/>
          </w:tcPr>
          <w:p w14:paraId="257B20C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45" w:name="_Toc25316"/>
            <w:bookmarkStart w:id="46" w:name="_Toc6678"/>
            <w:r>
              <w:rPr>
                <w:rFonts w:hint="eastAsia" w:ascii="宋体" w:hAnsi="宋体" w:eastAsia="宋体" w:cs="宋体"/>
                <w:b/>
                <w:bCs/>
                <w:color w:val="auto"/>
                <w:spacing w:val="6"/>
                <w:kern w:val="0"/>
                <w:sz w:val="24"/>
                <w:highlight w:val="none"/>
                <w:lang w:bidi="ar"/>
              </w:rPr>
              <w:t>招标文件规定的货物需求、技术规格</w:t>
            </w:r>
            <w:bookmarkEnd w:id="45"/>
            <w:bookmarkEnd w:id="46"/>
          </w:p>
        </w:tc>
        <w:tc>
          <w:tcPr>
            <w:tcW w:w="1319" w:type="pct"/>
            <w:tcBorders>
              <w:top w:val="single" w:color="auto" w:sz="2" w:space="0"/>
              <w:left w:val="single" w:color="auto" w:sz="2" w:space="0"/>
              <w:bottom w:val="single" w:color="auto" w:sz="2" w:space="0"/>
              <w:right w:val="single" w:color="auto" w:sz="2" w:space="0"/>
            </w:tcBorders>
            <w:shd w:val="clear" w:color="auto" w:fill="auto"/>
            <w:vAlign w:val="center"/>
          </w:tcPr>
          <w:p w14:paraId="7FA4AF3B">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47" w:name="_Toc30329"/>
            <w:bookmarkStart w:id="48" w:name="_Toc13588"/>
            <w:r>
              <w:rPr>
                <w:rFonts w:hint="eastAsia" w:ascii="宋体" w:hAnsi="宋体" w:eastAsia="宋体" w:cs="宋体"/>
                <w:b/>
                <w:bCs/>
                <w:color w:val="auto"/>
                <w:spacing w:val="6"/>
                <w:kern w:val="0"/>
                <w:sz w:val="24"/>
                <w:highlight w:val="none"/>
                <w:lang w:bidi="ar"/>
              </w:rPr>
              <w:t>投标文件对应的货物情况、技术规格</w:t>
            </w:r>
            <w:bookmarkEnd w:id="47"/>
            <w:bookmarkEnd w:id="48"/>
          </w:p>
        </w:tc>
        <w:tc>
          <w:tcPr>
            <w:tcW w:w="395" w:type="pct"/>
            <w:tcBorders>
              <w:top w:val="single" w:color="auto" w:sz="2" w:space="0"/>
              <w:left w:val="single" w:color="auto" w:sz="2" w:space="0"/>
              <w:bottom w:val="single" w:color="auto" w:sz="2" w:space="0"/>
              <w:right w:val="single" w:color="auto" w:sz="2" w:space="0"/>
            </w:tcBorders>
            <w:shd w:val="clear" w:color="auto" w:fill="auto"/>
            <w:vAlign w:val="center"/>
          </w:tcPr>
          <w:p w14:paraId="6BE354D4">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49" w:name="_Toc24124"/>
            <w:bookmarkStart w:id="50" w:name="_Toc5112"/>
            <w:r>
              <w:rPr>
                <w:rFonts w:hint="eastAsia" w:ascii="宋体" w:hAnsi="宋体" w:eastAsia="宋体" w:cs="宋体"/>
                <w:b/>
                <w:bCs/>
                <w:color w:val="auto"/>
                <w:spacing w:val="6"/>
                <w:kern w:val="0"/>
                <w:sz w:val="24"/>
                <w:highlight w:val="none"/>
                <w:lang w:bidi="ar"/>
              </w:rPr>
              <w:t>是否</w:t>
            </w:r>
            <w:bookmarkEnd w:id="49"/>
            <w:bookmarkEnd w:id="50"/>
            <w:r>
              <w:rPr>
                <w:rFonts w:hint="eastAsia" w:ascii="宋体" w:hAnsi="宋体" w:eastAsia="宋体" w:cs="宋体"/>
                <w:b/>
                <w:bCs/>
                <w:color w:val="auto"/>
                <w:spacing w:val="6"/>
                <w:kern w:val="0"/>
                <w:sz w:val="24"/>
                <w:highlight w:val="none"/>
                <w:lang w:bidi="ar"/>
              </w:rPr>
              <w:t>偏离</w:t>
            </w:r>
          </w:p>
        </w:tc>
        <w:tc>
          <w:tcPr>
            <w:tcW w:w="605" w:type="pct"/>
            <w:tcBorders>
              <w:top w:val="single" w:color="auto" w:sz="2" w:space="0"/>
              <w:left w:val="single" w:color="auto" w:sz="2" w:space="0"/>
              <w:bottom w:val="single" w:color="auto" w:sz="2" w:space="0"/>
              <w:right w:val="single" w:color="auto" w:sz="2" w:space="0"/>
            </w:tcBorders>
            <w:shd w:val="clear" w:color="auto" w:fill="auto"/>
            <w:vAlign w:val="center"/>
          </w:tcPr>
          <w:p w14:paraId="0B3A4686">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51" w:name="_Toc6434"/>
            <w:bookmarkStart w:id="52" w:name="_Toc26974"/>
            <w:r>
              <w:rPr>
                <w:rFonts w:hint="eastAsia" w:ascii="宋体" w:hAnsi="宋体" w:eastAsia="宋体" w:cs="宋体"/>
                <w:b/>
                <w:bCs/>
                <w:color w:val="auto"/>
                <w:spacing w:val="6"/>
                <w:kern w:val="0"/>
                <w:sz w:val="24"/>
                <w:highlight w:val="none"/>
                <w:lang w:bidi="ar"/>
              </w:rPr>
              <w:t>相关证明材料在投标文件中所对应的页码</w:t>
            </w:r>
          </w:p>
        </w:tc>
        <w:tc>
          <w:tcPr>
            <w:tcW w:w="347" w:type="pct"/>
            <w:tcBorders>
              <w:top w:val="single" w:color="auto" w:sz="2" w:space="0"/>
              <w:left w:val="single" w:color="auto" w:sz="2" w:space="0"/>
              <w:bottom w:val="single" w:color="auto" w:sz="2" w:space="0"/>
              <w:right w:val="single" w:color="auto" w:sz="2" w:space="0"/>
            </w:tcBorders>
            <w:shd w:val="clear" w:color="auto" w:fill="auto"/>
            <w:vAlign w:val="center"/>
          </w:tcPr>
          <w:p w14:paraId="55B03FBF">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备注</w:t>
            </w:r>
            <w:bookmarkEnd w:id="51"/>
            <w:bookmarkEnd w:id="52"/>
          </w:p>
        </w:tc>
      </w:tr>
      <w:tr w14:paraId="6CEEC30F">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08378C4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560DA456">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64664C95">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4394EC0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4330E5E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45F16CD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59E979B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064903BB">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1EBDFA0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792DC7D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6C577EA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73A1E14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244CEF5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368772A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0546C039">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129BB506">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3A20D92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19386EB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24FB1986">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500EFD6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6A1B219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2DE4964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35658492">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bl>
    <w:p w14:paraId="7A7C74CD">
      <w:pPr>
        <w:widowControl/>
        <w:kinsoku w:val="0"/>
        <w:autoSpaceDE w:val="0"/>
        <w:autoSpaceDN w:val="0"/>
        <w:adjustRightInd w:val="0"/>
        <w:snapToGrid w:val="0"/>
        <w:spacing w:before="36"/>
        <w:ind w:left="3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3"/>
          <w:kern w:val="0"/>
          <w:sz w:val="24"/>
          <w:highlight w:val="none"/>
          <w:lang w:bidi="ar"/>
        </w:rPr>
        <w:t>说</w:t>
      </w:r>
      <w:r>
        <w:rPr>
          <w:rFonts w:hint="eastAsia" w:ascii="宋体" w:hAnsi="宋体" w:eastAsia="宋体" w:cs="宋体"/>
          <w:color w:val="auto"/>
          <w:spacing w:val="2"/>
          <w:kern w:val="0"/>
          <w:sz w:val="24"/>
          <w:highlight w:val="none"/>
          <w:lang w:bidi="ar"/>
        </w:rPr>
        <w:t>明：</w:t>
      </w:r>
    </w:p>
    <w:p w14:paraId="1399E392">
      <w:pPr>
        <w:autoSpaceDN w:val="0"/>
        <w:spacing w:line="360" w:lineRule="auto"/>
        <w:ind w:firstLine="600" w:firstLineChars="25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1、供应商应对照招标文件技术要求，逐条说明所提供服务技术标准已对招标文件的技术要求做出了实质性的响应，并申明与技术要求条文的偏差和例外。</w:t>
      </w:r>
    </w:p>
    <w:p w14:paraId="11BC1EB3">
      <w:pPr>
        <w:autoSpaceDN w:val="0"/>
        <w:spacing w:line="360" w:lineRule="auto"/>
        <w:ind w:firstLine="600" w:firstLineChars="25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2、表内如果填列不全，可另外附页说明并按规定签字和加盖公章。             </w:t>
      </w:r>
    </w:p>
    <w:p w14:paraId="78F27784">
      <w:pPr>
        <w:autoSpaceDN w:val="0"/>
        <w:spacing w:line="360" w:lineRule="auto"/>
        <w:ind w:firstLine="600" w:firstLineChars="25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3、此表可根据需要自行拉长加宽（或格式自拟）。</w:t>
      </w:r>
    </w:p>
    <w:p w14:paraId="08DFEF87">
      <w:pPr>
        <w:autoSpaceDN w:val="0"/>
        <w:spacing w:line="360" w:lineRule="auto"/>
        <w:ind w:firstLine="703" w:firstLineChars="250"/>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4、需按照货物名称分别制作此表。</w:t>
      </w:r>
    </w:p>
    <w:p w14:paraId="11F4C92A">
      <w:pPr>
        <w:widowControl/>
        <w:kinsoku w:val="0"/>
        <w:autoSpaceDE w:val="0"/>
        <w:autoSpaceDN w:val="0"/>
        <w:adjustRightInd w:val="0"/>
        <w:snapToGrid w:val="0"/>
        <w:spacing w:line="285" w:lineRule="auto"/>
        <w:jc w:val="left"/>
        <w:textAlignment w:val="baseline"/>
        <w:rPr>
          <w:rFonts w:hint="eastAsia" w:ascii="宋体" w:hAnsi="宋体" w:eastAsia="宋体" w:cs="宋体"/>
          <w:color w:val="auto"/>
          <w:kern w:val="0"/>
          <w:sz w:val="24"/>
          <w:highlight w:val="none"/>
        </w:rPr>
      </w:pPr>
    </w:p>
    <w:p w14:paraId="76D60FCB">
      <w:pPr>
        <w:widowControl/>
        <w:kinsoku w:val="0"/>
        <w:autoSpaceDE w:val="0"/>
        <w:autoSpaceDN w:val="0"/>
        <w:adjustRightInd w:val="0"/>
        <w:snapToGrid w:val="0"/>
        <w:spacing w:line="288" w:lineRule="auto"/>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0D28E027">
      <w:pPr>
        <w:widowControl/>
        <w:kinsoku w:val="0"/>
        <w:autoSpaceDE w:val="0"/>
        <w:autoSpaceDN w:val="0"/>
        <w:adjustRightInd w:val="0"/>
        <w:snapToGrid w:val="0"/>
        <w:spacing w:before="75"/>
        <w:ind w:left="51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2"/>
          <w:kern w:val="0"/>
          <w:sz w:val="24"/>
          <w:highlight w:val="none"/>
          <w:lang w:bidi="ar"/>
        </w:rPr>
        <w:t>投标人名称</w:t>
      </w:r>
      <w:r>
        <w:rPr>
          <w:rFonts w:hint="eastAsia" w:ascii="宋体" w:hAnsi="宋体" w:eastAsia="宋体" w:cs="宋体"/>
          <w:color w:val="auto"/>
          <w:spacing w:val="6"/>
          <w:kern w:val="0"/>
          <w:sz w:val="24"/>
          <w:highlight w:val="none"/>
          <w:lang w:bidi="ar"/>
        </w:rPr>
        <w:t xml:space="preserve"> (公章) ：</w:t>
      </w:r>
    </w:p>
    <w:p w14:paraId="742BDFF4">
      <w:pPr>
        <w:widowControl/>
        <w:kinsoku w:val="0"/>
        <w:autoSpaceDE w:val="0"/>
        <w:autoSpaceDN w:val="0"/>
        <w:adjustRightInd w:val="0"/>
        <w:snapToGrid w:val="0"/>
        <w:spacing w:before="183" w:line="468" w:lineRule="exact"/>
        <w:ind w:left="51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position w:val="17"/>
          <w:sz w:val="24"/>
          <w:highlight w:val="none"/>
          <w:lang w:bidi="ar"/>
        </w:rPr>
        <w:t>单</w:t>
      </w:r>
      <w:r>
        <w:rPr>
          <w:rFonts w:hint="eastAsia" w:ascii="宋体" w:hAnsi="宋体" w:eastAsia="宋体" w:cs="宋体"/>
          <w:color w:val="auto"/>
          <w:spacing w:val="13"/>
          <w:kern w:val="0"/>
          <w:position w:val="17"/>
          <w:sz w:val="24"/>
          <w:highlight w:val="none"/>
          <w:lang w:bidi="ar"/>
        </w:rPr>
        <w:t>位</w:t>
      </w:r>
      <w:r>
        <w:rPr>
          <w:rFonts w:hint="eastAsia" w:ascii="宋体" w:hAnsi="宋体" w:eastAsia="宋体" w:cs="宋体"/>
          <w:color w:val="auto"/>
          <w:spacing w:val="7"/>
          <w:kern w:val="0"/>
          <w:position w:val="17"/>
          <w:sz w:val="24"/>
          <w:highlight w:val="none"/>
          <w:lang w:bidi="ar"/>
        </w:rPr>
        <w:t>负责人或授权代理人 (签字) ：</w:t>
      </w:r>
    </w:p>
    <w:p w14:paraId="523B7ECA">
      <w:pPr>
        <w:widowControl/>
        <w:kinsoku w:val="0"/>
        <w:autoSpaceDE w:val="0"/>
        <w:autoSpaceDN w:val="0"/>
        <w:adjustRightInd w:val="0"/>
        <w:snapToGrid w:val="0"/>
        <w:ind w:left="519"/>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时</w:t>
      </w:r>
      <w:r>
        <w:rPr>
          <w:rFonts w:hint="eastAsia" w:ascii="宋体" w:hAnsi="宋体" w:eastAsia="宋体" w:cs="宋体"/>
          <w:color w:val="auto"/>
          <w:spacing w:val="6"/>
          <w:kern w:val="0"/>
          <w:sz w:val="24"/>
          <w:highlight w:val="none"/>
          <w:lang w:bidi="ar"/>
        </w:rPr>
        <w:t>间：年月日</w:t>
      </w:r>
    </w:p>
    <w:p w14:paraId="4F7BDBA1">
      <w:pPr>
        <w:rPr>
          <w:rFonts w:hint="eastAsia" w:ascii="宋体" w:hAnsi="宋体" w:eastAsia="宋体" w:cs="宋体"/>
          <w:color w:val="auto"/>
          <w:sz w:val="24"/>
          <w:highlight w:val="none"/>
        </w:rPr>
      </w:pPr>
      <w:r>
        <w:rPr>
          <w:rFonts w:ascii="宋体" w:hAnsi="宋体" w:eastAsia="宋体" w:cs="宋体"/>
          <w:color w:val="auto"/>
          <w:sz w:val="24"/>
          <w:highlight w:val="none"/>
        </w:rPr>
        <w:br w:type="page"/>
      </w:r>
    </w:p>
    <w:p w14:paraId="5DA59DEE">
      <w:pPr>
        <w:jc w:val="center"/>
        <w:rPr>
          <w:rFonts w:hint="eastAsia" w:ascii="宋体" w:hAnsi="宋体" w:eastAsia="宋体" w:cs="宋体"/>
          <w:b/>
          <w:bCs/>
          <w:color w:val="auto"/>
          <w:spacing w:val="8"/>
          <w:kern w:val="0"/>
          <w:sz w:val="24"/>
          <w:highlight w:val="none"/>
          <w:lang w:bidi="ar"/>
        </w:rPr>
      </w:pPr>
      <w:r>
        <w:rPr>
          <w:rFonts w:hint="eastAsia" w:ascii="宋体" w:hAnsi="宋体" w:eastAsia="宋体" w:cs="宋体"/>
          <w:b/>
          <w:bCs/>
          <w:color w:val="auto"/>
          <w:spacing w:val="8"/>
          <w:kern w:val="0"/>
          <w:sz w:val="24"/>
          <w:highlight w:val="none"/>
          <w:lang w:bidi="ar"/>
        </w:rPr>
        <w:t>（2）“</w:t>
      </w:r>
      <w:r>
        <w:rPr>
          <w:rFonts w:hint="eastAsia" w:ascii="Times New Roman" w:hAnsi="Times New Roman"/>
          <w:b/>
          <w:bCs/>
          <w:color w:val="auto"/>
          <w:sz w:val="24"/>
          <w:highlight w:val="none"/>
        </w:rPr>
        <w:t>☆</w:t>
      </w:r>
      <w:r>
        <w:rPr>
          <w:rFonts w:hint="eastAsia" w:ascii="宋体" w:hAnsi="宋体" w:eastAsia="宋体" w:cs="宋体"/>
          <w:b/>
          <w:bCs/>
          <w:color w:val="auto"/>
          <w:spacing w:val="8"/>
          <w:kern w:val="0"/>
          <w:sz w:val="24"/>
          <w:highlight w:val="none"/>
          <w:lang w:bidi="ar"/>
        </w:rPr>
        <w:t>”项技术需求偏离表</w:t>
      </w:r>
    </w:p>
    <w:p w14:paraId="35A8A9A0">
      <w:pPr>
        <w:widowControl/>
        <w:kinsoku w:val="0"/>
        <w:autoSpaceDE w:val="0"/>
        <w:autoSpaceDN w:val="0"/>
        <w:adjustRightInd w:val="0"/>
        <w:snapToGrid w:val="0"/>
        <w:spacing w:line="101" w:lineRule="exact"/>
        <w:jc w:val="left"/>
        <w:textAlignment w:val="baseline"/>
        <w:rPr>
          <w:rFonts w:hint="eastAsia" w:ascii="宋体" w:hAnsi="宋体" w:eastAsia="宋体" w:cs="宋体"/>
          <w:color w:val="auto"/>
          <w:kern w:val="0"/>
          <w:sz w:val="24"/>
          <w:highlight w:val="none"/>
        </w:rPr>
      </w:pPr>
    </w:p>
    <w:p w14:paraId="0CE39AF4">
      <w:pPr>
        <w:rPr>
          <w:rFonts w:hint="eastAsia" w:ascii="宋体" w:hAnsi="宋体" w:eastAsia="宋体" w:cs="宋体"/>
          <w:color w:val="auto"/>
          <w:highlight w:val="none"/>
        </w:rPr>
        <w:sectPr>
          <w:type w:val="continuous"/>
          <w:pgSz w:w="11906" w:h="16839"/>
          <w:pgMar w:top="1440" w:right="1800" w:bottom="1440" w:left="1800" w:header="1" w:footer="660" w:gutter="1"/>
          <w:cols w:space="425" w:num="1"/>
          <w:docGrid w:type="lines" w:linePitch="312" w:charSpace="0"/>
        </w:sectPr>
      </w:pPr>
    </w:p>
    <w:p w14:paraId="28E8B201">
      <w:pPr>
        <w:widowControl/>
        <w:kinsoku w:val="0"/>
        <w:autoSpaceDE w:val="0"/>
        <w:autoSpaceDN w:val="0"/>
        <w:adjustRightInd w:val="0"/>
        <w:snapToGrid w:val="0"/>
        <w:spacing w:before="48"/>
        <w:jc w:val="left"/>
        <w:textAlignment w:val="baseline"/>
        <w:outlineLvl w:val="0"/>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项</w:t>
      </w:r>
      <w:r>
        <w:rPr>
          <w:rFonts w:hint="eastAsia" w:ascii="宋体" w:hAnsi="宋体" w:eastAsia="宋体" w:cs="宋体"/>
          <w:color w:val="auto"/>
          <w:spacing w:val="8"/>
          <w:kern w:val="0"/>
          <w:sz w:val="24"/>
          <w:highlight w:val="none"/>
          <w:lang w:bidi="ar"/>
        </w:rPr>
        <w:t>目名称：</w:t>
      </w:r>
    </w:p>
    <w:p w14:paraId="020192C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p w14:paraId="1167A70B">
      <w:pPr>
        <w:widowControl/>
        <w:kinsoku w:val="0"/>
        <w:autoSpaceDE w:val="0"/>
        <w:autoSpaceDN w:val="0"/>
        <w:adjustRightInd w:val="0"/>
        <w:snapToGrid w:val="0"/>
        <w:spacing w:before="47"/>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sz w:val="24"/>
          <w:highlight w:val="none"/>
          <w:lang w:bidi="ar"/>
        </w:rPr>
        <w:t>项</w:t>
      </w:r>
      <w:r>
        <w:rPr>
          <w:rFonts w:hint="eastAsia" w:ascii="宋体" w:hAnsi="宋体" w:eastAsia="宋体" w:cs="宋体"/>
          <w:color w:val="auto"/>
          <w:spacing w:val="5"/>
          <w:kern w:val="0"/>
          <w:sz w:val="24"/>
          <w:highlight w:val="none"/>
          <w:lang w:bidi="ar"/>
        </w:rPr>
        <w:t>目编号：</w:t>
      </w:r>
    </w:p>
    <w:p w14:paraId="61CBE4D2">
      <w:pPr>
        <w:rPr>
          <w:rFonts w:hint="eastAsia" w:ascii="宋体" w:hAnsi="宋体" w:eastAsia="宋体" w:cs="宋体"/>
          <w:color w:val="auto"/>
          <w:sz w:val="24"/>
          <w:highlight w:val="none"/>
        </w:rPr>
        <w:sectPr>
          <w:type w:val="continuous"/>
          <w:pgSz w:w="11906" w:h="16839"/>
          <w:pgMar w:top="1440" w:right="1800" w:bottom="1440" w:left="1800" w:header="1" w:footer="660" w:gutter="1"/>
          <w:cols w:space="425" w:num="1"/>
          <w:docGrid w:type="lines" w:linePitch="312" w:charSpace="0"/>
        </w:sectPr>
      </w:pPr>
    </w:p>
    <w:p w14:paraId="5DBC3627">
      <w:pPr>
        <w:widowControl/>
        <w:kinsoku w:val="0"/>
        <w:autoSpaceDE w:val="0"/>
        <w:autoSpaceDN w:val="0"/>
        <w:adjustRightInd w:val="0"/>
        <w:snapToGrid w:val="0"/>
        <w:spacing w:line="191" w:lineRule="exact"/>
        <w:jc w:val="left"/>
        <w:textAlignment w:val="baseline"/>
        <w:rPr>
          <w:rFonts w:hint="eastAsia" w:ascii="宋体" w:hAnsi="宋体" w:eastAsia="宋体" w:cs="宋体"/>
          <w:color w:val="auto"/>
          <w:kern w:val="0"/>
          <w:sz w:val="24"/>
          <w:highlight w:val="none"/>
        </w:rPr>
      </w:pPr>
    </w:p>
    <w:tbl>
      <w:tblPr>
        <w:tblStyle w:val="24"/>
        <w:tblW w:w="5531" w:type="pct"/>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autofit"/>
        <w:tblCellMar>
          <w:top w:w="0" w:type="dxa"/>
          <w:left w:w="0" w:type="dxa"/>
          <w:bottom w:w="0" w:type="dxa"/>
          <w:right w:w="0" w:type="dxa"/>
        </w:tblCellMar>
      </w:tblPr>
      <w:tblGrid>
        <w:gridCol w:w="759"/>
        <w:gridCol w:w="1106"/>
        <w:gridCol w:w="2425"/>
        <w:gridCol w:w="2426"/>
        <w:gridCol w:w="727"/>
        <w:gridCol w:w="1113"/>
        <w:gridCol w:w="638"/>
      </w:tblGrid>
      <w:tr w14:paraId="0B5FF093">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PrEx>
        <w:trPr>
          <w:trHeight w:val="728" w:hRule="atLeast"/>
        </w:trPr>
        <w:tc>
          <w:tcPr>
            <w:tcW w:w="413" w:type="pct"/>
            <w:tcBorders>
              <w:top w:val="single" w:color="auto" w:sz="2" w:space="0"/>
              <w:left w:val="single" w:color="auto" w:sz="2" w:space="0"/>
              <w:bottom w:val="single" w:color="auto" w:sz="2" w:space="0"/>
              <w:right w:val="single" w:color="auto" w:sz="2" w:space="0"/>
            </w:tcBorders>
            <w:shd w:val="clear" w:color="auto" w:fill="auto"/>
            <w:vAlign w:val="center"/>
          </w:tcPr>
          <w:p w14:paraId="187654F4">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序号</w:t>
            </w:r>
          </w:p>
        </w:tc>
        <w:tc>
          <w:tcPr>
            <w:tcW w:w="601" w:type="pct"/>
            <w:tcBorders>
              <w:top w:val="single" w:color="auto" w:sz="2" w:space="0"/>
              <w:left w:val="single" w:color="auto" w:sz="2" w:space="0"/>
              <w:bottom w:val="single" w:color="auto" w:sz="2" w:space="0"/>
              <w:right w:val="single" w:color="auto" w:sz="2" w:space="0"/>
            </w:tcBorders>
            <w:shd w:val="clear" w:color="auto" w:fill="auto"/>
            <w:vAlign w:val="center"/>
          </w:tcPr>
          <w:p w14:paraId="0EA5E5DE">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货物名称</w:t>
            </w:r>
          </w:p>
        </w:tc>
        <w:tc>
          <w:tcPr>
            <w:tcW w:w="1318" w:type="pct"/>
            <w:tcBorders>
              <w:top w:val="single" w:color="auto" w:sz="2" w:space="0"/>
              <w:left w:val="single" w:color="auto" w:sz="2" w:space="0"/>
              <w:bottom w:val="single" w:color="auto" w:sz="2" w:space="0"/>
              <w:right w:val="single" w:color="auto" w:sz="2" w:space="0"/>
            </w:tcBorders>
            <w:shd w:val="clear" w:color="auto" w:fill="auto"/>
            <w:vAlign w:val="center"/>
          </w:tcPr>
          <w:p w14:paraId="0D70253B">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招标文件规定的货物需求、技术规格</w:t>
            </w:r>
          </w:p>
        </w:tc>
        <w:tc>
          <w:tcPr>
            <w:tcW w:w="1319" w:type="pct"/>
            <w:tcBorders>
              <w:top w:val="single" w:color="auto" w:sz="2" w:space="0"/>
              <w:left w:val="single" w:color="auto" w:sz="2" w:space="0"/>
              <w:bottom w:val="single" w:color="auto" w:sz="2" w:space="0"/>
              <w:right w:val="single" w:color="auto" w:sz="2" w:space="0"/>
            </w:tcBorders>
            <w:shd w:val="clear" w:color="auto" w:fill="auto"/>
            <w:vAlign w:val="center"/>
          </w:tcPr>
          <w:p w14:paraId="22510906">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投标文件对应的货物情况、技术规格</w:t>
            </w:r>
          </w:p>
        </w:tc>
        <w:tc>
          <w:tcPr>
            <w:tcW w:w="395" w:type="pct"/>
            <w:tcBorders>
              <w:top w:val="single" w:color="auto" w:sz="2" w:space="0"/>
              <w:left w:val="single" w:color="auto" w:sz="2" w:space="0"/>
              <w:bottom w:val="single" w:color="auto" w:sz="2" w:space="0"/>
              <w:right w:val="single" w:color="auto" w:sz="2" w:space="0"/>
            </w:tcBorders>
            <w:shd w:val="clear" w:color="auto" w:fill="auto"/>
            <w:vAlign w:val="center"/>
          </w:tcPr>
          <w:p w14:paraId="19D3F4B0">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是否偏离</w:t>
            </w:r>
          </w:p>
        </w:tc>
        <w:tc>
          <w:tcPr>
            <w:tcW w:w="605" w:type="pct"/>
            <w:tcBorders>
              <w:top w:val="single" w:color="auto" w:sz="2" w:space="0"/>
              <w:left w:val="single" w:color="auto" w:sz="2" w:space="0"/>
              <w:bottom w:val="single" w:color="auto" w:sz="2" w:space="0"/>
              <w:right w:val="single" w:color="auto" w:sz="2" w:space="0"/>
            </w:tcBorders>
            <w:shd w:val="clear" w:color="auto" w:fill="auto"/>
            <w:vAlign w:val="center"/>
          </w:tcPr>
          <w:p w14:paraId="735EBEAE">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相关证明材料在投标文件中所对应的页码</w:t>
            </w:r>
          </w:p>
        </w:tc>
        <w:tc>
          <w:tcPr>
            <w:tcW w:w="347" w:type="pct"/>
            <w:tcBorders>
              <w:top w:val="single" w:color="auto" w:sz="2" w:space="0"/>
              <w:left w:val="single" w:color="auto" w:sz="2" w:space="0"/>
              <w:bottom w:val="single" w:color="auto" w:sz="2" w:space="0"/>
              <w:right w:val="single" w:color="auto" w:sz="2" w:space="0"/>
            </w:tcBorders>
            <w:shd w:val="clear" w:color="auto" w:fill="auto"/>
            <w:vAlign w:val="center"/>
          </w:tcPr>
          <w:p w14:paraId="14C602A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备注</w:t>
            </w:r>
          </w:p>
        </w:tc>
      </w:tr>
      <w:tr w14:paraId="055EDCFC">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7A9CE435">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6FEBB6E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40D5445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50AB97E5">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61EF014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29121AB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3698220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7B220784">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235072F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6057F34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291DD54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788C95E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445FC23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28A9B4A2">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118374B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1D9915D7">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63874E22">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58CD5FD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59E3A89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0DC81DC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512BECA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1D21CE4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34F45CC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bl>
    <w:p w14:paraId="14E7AC21">
      <w:pPr>
        <w:widowControl/>
        <w:kinsoku w:val="0"/>
        <w:autoSpaceDE w:val="0"/>
        <w:autoSpaceDN w:val="0"/>
        <w:adjustRightInd w:val="0"/>
        <w:snapToGrid w:val="0"/>
        <w:spacing w:before="36"/>
        <w:ind w:left="3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3"/>
          <w:kern w:val="0"/>
          <w:sz w:val="24"/>
          <w:highlight w:val="none"/>
          <w:lang w:bidi="ar"/>
        </w:rPr>
        <w:t>说</w:t>
      </w:r>
      <w:r>
        <w:rPr>
          <w:rFonts w:hint="eastAsia" w:ascii="宋体" w:hAnsi="宋体" w:eastAsia="宋体" w:cs="宋体"/>
          <w:color w:val="auto"/>
          <w:spacing w:val="2"/>
          <w:kern w:val="0"/>
          <w:sz w:val="24"/>
          <w:highlight w:val="none"/>
          <w:lang w:bidi="ar"/>
        </w:rPr>
        <w:t>明：</w:t>
      </w:r>
    </w:p>
    <w:p w14:paraId="16C32B5B">
      <w:pPr>
        <w:numPr>
          <w:ilvl w:val="0"/>
          <w:numId w:val="5"/>
        </w:numPr>
        <w:autoSpaceDN w:val="0"/>
        <w:spacing w:line="360" w:lineRule="auto"/>
        <w:ind w:firstLine="600" w:firstLineChars="25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供应商应对照招标文件技术要求，逐条说明所提供服务技术标准已对招标文件的技术要求做出了实质性的响应，并申明与技术要求条文的偏差和例外。</w:t>
      </w:r>
    </w:p>
    <w:p w14:paraId="586312D5">
      <w:pPr>
        <w:numPr>
          <w:ilvl w:val="0"/>
          <w:numId w:val="5"/>
        </w:numPr>
        <w:autoSpaceDN w:val="0"/>
        <w:spacing w:line="360" w:lineRule="auto"/>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表内如果填列不全，可另外附页说明并按规定签字和加盖公章。             </w:t>
      </w:r>
    </w:p>
    <w:p w14:paraId="6BD647DF">
      <w:pPr>
        <w:autoSpaceDN w:val="0"/>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3、此表可根据需要自行拉长加宽（或格式自拟）。</w:t>
      </w:r>
    </w:p>
    <w:p w14:paraId="169035B1">
      <w:pPr>
        <w:autoSpaceDN w:val="0"/>
        <w:spacing w:line="360" w:lineRule="auto"/>
        <w:ind w:firstLine="703" w:firstLineChars="250"/>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4、需按照货物名称分别制作此表。</w:t>
      </w:r>
    </w:p>
    <w:p w14:paraId="35688E8F">
      <w:pPr>
        <w:widowControl/>
        <w:kinsoku w:val="0"/>
        <w:autoSpaceDE w:val="0"/>
        <w:autoSpaceDN w:val="0"/>
        <w:adjustRightInd w:val="0"/>
        <w:snapToGrid w:val="0"/>
        <w:spacing w:line="285" w:lineRule="auto"/>
        <w:jc w:val="left"/>
        <w:textAlignment w:val="baseline"/>
        <w:rPr>
          <w:rFonts w:hint="eastAsia" w:ascii="宋体" w:hAnsi="宋体" w:eastAsia="宋体" w:cs="宋体"/>
          <w:color w:val="auto"/>
          <w:kern w:val="0"/>
          <w:sz w:val="24"/>
          <w:highlight w:val="none"/>
        </w:rPr>
      </w:pPr>
    </w:p>
    <w:p w14:paraId="0731D3D4">
      <w:pPr>
        <w:widowControl/>
        <w:kinsoku w:val="0"/>
        <w:autoSpaceDE w:val="0"/>
        <w:autoSpaceDN w:val="0"/>
        <w:adjustRightInd w:val="0"/>
        <w:snapToGrid w:val="0"/>
        <w:spacing w:line="288" w:lineRule="auto"/>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1D981142">
      <w:pPr>
        <w:widowControl/>
        <w:kinsoku w:val="0"/>
        <w:autoSpaceDE w:val="0"/>
        <w:autoSpaceDN w:val="0"/>
        <w:adjustRightInd w:val="0"/>
        <w:snapToGrid w:val="0"/>
        <w:spacing w:before="75"/>
        <w:ind w:left="51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2"/>
          <w:kern w:val="0"/>
          <w:sz w:val="24"/>
          <w:highlight w:val="none"/>
          <w:lang w:bidi="ar"/>
        </w:rPr>
        <w:t>投标人名称</w:t>
      </w:r>
      <w:r>
        <w:rPr>
          <w:rFonts w:hint="eastAsia" w:ascii="宋体" w:hAnsi="宋体" w:eastAsia="宋体" w:cs="宋体"/>
          <w:color w:val="auto"/>
          <w:spacing w:val="6"/>
          <w:kern w:val="0"/>
          <w:sz w:val="24"/>
          <w:highlight w:val="none"/>
          <w:lang w:bidi="ar"/>
        </w:rPr>
        <w:t xml:space="preserve"> (公章) ：</w:t>
      </w:r>
    </w:p>
    <w:p w14:paraId="6DDACF04">
      <w:pPr>
        <w:widowControl/>
        <w:kinsoku w:val="0"/>
        <w:autoSpaceDE w:val="0"/>
        <w:autoSpaceDN w:val="0"/>
        <w:adjustRightInd w:val="0"/>
        <w:snapToGrid w:val="0"/>
        <w:spacing w:before="183" w:line="468" w:lineRule="exact"/>
        <w:ind w:left="51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position w:val="17"/>
          <w:sz w:val="24"/>
          <w:highlight w:val="none"/>
          <w:lang w:bidi="ar"/>
        </w:rPr>
        <w:t>单</w:t>
      </w:r>
      <w:r>
        <w:rPr>
          <w:rFonts w:hint="eastAsia" w:ascii="宋体" w:hAnsi="宋体" w:eastAsia="宋体" w:cs="宋体"/>
          <w:color w:val="auto"/>
          <w:spacing w:val="13"/>
          <w:kern w:val="0"/>
          <w:position w:val="17"/>
          <w:sz w:val="24"/>
          <w:highlight w:val="none"/>
          <w:lang w:bidi="ar"/>
        </w:rPr>
        <w:t>位</w:t>
      </w:r>
      <w:r>
        <w:rPr>
          <w:rFonts w:hint="eastAsia" w:ascii="宋体" w:hAnsi="宋体" w:eastAsia="宋体" w:cs="宋体"/>
          <w:color w:val="auto"/>
          <w:spacing w:val="7"/>
          <w:kern w:val="0"/>
          <w:position w:val="17"/>
          <w:sz w:val="24"/>
          <w:highlight w:val="none"/>
          <w:lang w:bidi="ar"/>
        </w:rPr>
        <w:t>负责人或授权代理人 (签字) ：</w:t>
      </w:r>
    </w:p>
    <w:p w14:paraId="7E44B593">
      <w:pPr>
        <w:widowControl/>
        <w:kinsoku w:val="0"/>
        <w:autoSpaceDE w:val="0"/>
        <w:autoSpaceDN w:val="0"/>
        <w:adjustRightInd w:val="0"/>
        <w:snapToGrid w:val="0"/>
        <w:ind w:left="519"/>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时</w:t>
      </w:r>
      <w:r>
        <w:rPr>
          <w:rFonts w:hint="eastAsia" w:ascii="宋体" w:hAnsi="宋体" w:eastAsia="宋体" w:cs="宋体"/>
          <w:color w:val="auto"/>
          <w:spacing w:val="6"/>
          <w:kern w:val="0"/>
          <w:sz w:val="24"/>
          <w:highlight w:val="none"/>
          <w:lang w:bidi="ar"/>
        </w:rPr>
        <w:t>间：年月日</w:t>
      </w:r>
    </w:p>
    <w:p w14:paraId="061D6F9F">
      <w:pPr>
        <w:rPr>
          <w:rFonts w:hint="eastAsia" w:ascii="宋体" w:hAnsi="宋体" w:eastAsia="宋体" w:cs="宋体"/>
          <w:color w:val="auto"/>
          <w:sz w:val="24"/>
          <w:highlight w:val="none"/>
        </w:rPr>
        <w:sectPr>
          <w:type w:val="continuous"/>
          <w:pgSz w:w="11906" w:h="16839"/>
          <w:pgMar w:top="1440" w:right="1800" w:bottom="1440" w:left="1800" w:header="1" w:footer="660" w:gutter="1"/>
          <w:cols w:space="425" w:num="1"/>
          <w:docGrid w:type="lines" w:linePitch="312" w:charSpace="0"/>
        </w:sectPr>
      </w:pPr>
    </w:p>
    <w:p w14:paraId="1194BE68">
      <w:pPr>
        <w:rPr>
          <w:color w:val="auto"/>
          <w:highlight w:val="none"/>
        </w:rPr>
      </w:pPr>
      <w:r>
        <w:rPr>
          <w:color w:val="auto"/>
          <w:highlight w:val="none"/>
        </w:rPr>
        <w:br w:type="page"/>
      </w:r>
    </w:p>
    <w:p w14:paraId="12594632">
      <w:pPr>
        <w:jc w:val="center"/>
        <w:rPr>
          <w:rFonts w:hint="eastAsia" w:ascii="宋体" w:hAnsi="宋体" w:eastAsia="宋体" w:cs="宋体"/>
          <w:b/>
          <w:bCs/>
          <w:color w:val="auto"/>
          <w:spacing w:val="8"/>
          <w:kern w:val="0"/>
          <w:sz w:val="24"/>
          <w:highlight w:val="none"/>
          <w:lang w:bidi="ar"/>
        </w:rPr>
      </w:pPr>
      <w:r>
        <w:rPr>
          <w:rFonts w:hint="eastAsia" w:ascii="宋体" w:hAnsi="宋体" w:eastAsia="宋体" w:cs="宋体"/>
          <w:b/>
          <w:bCs/>
          <w:color w:val="auto"/>
          <w:spacing w:val="8"/>
          <w:kern w:val="0"/>
          <w:sz w:val="24"/>
          <w:highlight w:val="none"/>
          <w:lang w:bidi="ar"/>
        </w:rPr>
        <w:t>（3）“</w:t>
      </w:r>
      <w:r>
        <w:rPr>
          <w:rFonts w:hint="eastAsia" w:ascii="Times New Roman" w:hAnsi="Times New Roman"/>
          <w:b/>
          <w:bCs/>
          <w:color w:val="auto"/>
          <w:sz w:val="24"/>
          <w:highlight w:val="none"/>
        </w:rPr>
        <w:t>#</w:t>
      </w:r>
      <w:r>
        <w:rPr>
          <w:rFonts w:hint="eastAsia" w:ascii="宋体" w:hAnsi="宋体" w:eastAsia="宋体" w:cs="宋体"/>
          <w:b/>
          <w:bCs/>
          <w:color w:val="auto"/>
          <w:spacing w:val="8"/>
          <w:kern w:val="0"/>
          <w:sz w:val="24"/>
          <w:highlight w:val="none"/>
          <w:lang w:bidi="ar"/>
        </w:rPr>
        <w:t>”项技术需求偏离表</w:t>
      </w:r>
    </w:p>
    <w:p w14:paraId="05E6984D">
      <w:pPr>
        <w:widowControl/>
        <w:kinsoku w:val="0"/>
        <w:autoSpaceDE w:val="0"/>
        <w:autoSpaceDN w:val="0"/>
        <w:adjustRightInd w:val="0"/>
        <w:snapToGrid w:val="0"/>
        <w:spacing w:line="101" w:lineRule="exact"/>
        <w:jc w:val="left"/>
        <w:textAlignment w:val="baseline"/>
        <w:rPr>
          <w:rFonts w:hint="eastAsia" w:ascii="宋体" w:hAnsi="宋体" w:eastAsia="宋体" w:cs="宋体"/>
          <w:color w:val="auto"/>
          <w:kern w:val="0"/>
          <w:sz w:val="24"/>
          <w:highlight w:val="none"/>
        </w:rPr>
      </w:pPr>
    </w:p>
    <w:p w14:paraId="07A9A4FA">
      <w:pPr>
        <w:rPr>
          <w:rFonts w:hint="eastAsia" w:ascii="宋体" w:hAnsi="宋体" w:eastAsia="宋体" w:cs="宋体"/>
          <w:color w:val="auto"/>
          <w:highlight w:val="none"/>
        </w:rPr>
        <w:sectPr>
          <w:type w:val="continuous"/>
          <w:pgSz w:w="11906" w:h="16839"/>
          <w:pgMar w:top="1440" w:right="1800" w:bottom="1440" w:left="1800" w:header="1" w:footer="660" w:gutter="1"/>
          <w:cols w:space="425" w:num="1"/>
          <w:docGrid w:type="lines" w:linePitch="312" w:charSpace="0"/>
        </w:sectPr>
      </w:pPr>
    </w:p>
    <w:p w14:paraId="542B6F5B">
      <w:pPr>
        <w:widowControl/>
        <w:kinsoku w:val="0"/>
        <w:autoSpaceDE w:val="0"/>
        <w:autoSpaceDN w:val="0"/>
        <w:adjustRightInd w:val="0"/>
        <w:snapToGrid w:val="0"/>
        <w:spacing w:before="48"/>
        <w:jc w:val="left"/>
        <w:textAlignment w:val="baseline"/>
        <w:outlineLvl w:val="0"/>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项</w:t>
      </w:r>
      <w:r>
        <w:rPr>
          <w:rFonts w:hint="eastAsia" w:ascii="宋体" w:hAnsi="宋体" w:eastAsia="宋体" w:cs="宋体"/>
          <w:color w:val="auto"/>
          <w:spacing w:val="8"/>
          <w:kern w:val="0"/>
          <w:sz w:val="24"/>
          <w:highlight w:val="none"/>
          <w:lang w:bidi="ar"/>
        </w:rPr>
        <w:t>目名称：</w:t>
      </w:r>
    </w:p>
    <w:p w14:paraId="215BC602">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p w14:paraId="58C80D4C">
      <w:pPr>
        <w:widowControl/>
        <w:kinsoku w:val="0"/>
        <w:autoSpaceDE w:val="0"/>
        <w:autoSpaceDN w:val="0"/>
        <w:adjustRightInd w:val="0"/>
        <w:snapToGrid w:val="0"/>
        <w:spacing w:before="47"/>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sz w:val="24"/>
          <w:highlight w:val="none"/>
          <w:lang w:bidi="ar"/>
        </w:rPr>
        <w:t>项</w:t>
      </w:r>
      <w:r>
        <w:rPr>
          <w:rFonts w:hint="eastAsia" w:ascii="宋体" w:hAnsi="宋体" w:eastAsia="宋体" w:cs="宋体"/>
          <w:color w:val="auto"/>
          <w:spacing w:val="5"/>
          <w:kern w:val="0"/>
          <w:sz w:val="24"/>
          <w:highlight w:val="none"/>
          <w:lang w:bidi="ar"/>
        </w:rPr>
        <w:t>目编号：</w:t>
      </w:r>
    </w:p>
    <w:p w14:paraId="7B1671F7">
      <w:pPr>
        <w:rPr>
          <w:rFonts w:hint="eastAsia" w:ascii="宋体" w:hAnsi="宋体" w:eastAsia="宋体" w:cs="宋体"/>
          <w:color w:val="auto"/>
          <w:sz w:val="24"/>
          <w:highlight w:val="none"/>
        </w:rPr>
        <w:sectPr>
          <w:type w:val="continuous"/>
          <w:pgSz w:w="11906" w:h="16839"/>
          <w:pgMar w:top="1440" w:right="1800" w:bottom="1440" w:left="1800" w:header="1" w:footer="660" w:gutter="1"/>
          <w:cols w:space="425" w:num="1"/>
          <w:docGrid w:type="lines" w:linePitch="312" w:charSpace="0"/>
        </w:sectPr>
      </w:pPr>
    </w:p>
    <w:p w14:paraId="269CA054">
      <w:pPr>
        <w:widowControl/>
        <w:kinsoku w:val="0"/>
        <w:autoSpaceDE w:val="0"/>
        <w:autoSpaceDN w:val="0"/>
        <w:adjustRightInd w:val="0"/>
        <w:snapToGrid w:val="0"/>
        <w:spacing w:line="191" w:lineRule="exact"/>
        <w:jc w:val="left"/>
        <w:textAlignment w:val="baseline"/>
        <w:rPr>
          <w:rFonts w:hint="eastAsia" w:ascii="宋体" w:hAnsi="宋体" w:eastAsia="宋体" w:cs="宋体"/>
          <w:color w:val="auto"/>
          <w:kern w:val="0"/>
          <w:sz w:val="24"/>
          <w:highlight w:val="none"/>
        </w:rPr>
      </w:pPr>
    </w:p>
    <w:tbl>
      <w:tblPr>
        <w:tblStyle w:val="24"/>
        <w:tblW w:w="5531" w:type="pct"/>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autofit"/>
        <w:tblCellMar>
          <w:top w:w="0" w:type="dxa"/>
          <w:left w:w="0" w:type="dxa"/>
          <w:bottom w:w="0" w:type="dxa"/>
          <w:right w:w="0" w:type="dxa"/>
        </w:tblCellMar>
      </w:tblPr>
      <w:tblGrid>
        <w:gridCol w:w="759"/>
        <w:gridCol w:w="1106"/>
        <w:gridCol w:w="2425"/>
        <w:gridCol w:w="2426"/>
        <w:gridCol w:w="727"/>
        <w:gridCol w:w="1113"/>
        <w:gridCol w:w="638"/>
      </w:tblGrid>
      <w:tr w14:paraId="36974FCC">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28" w:hRule="atLeast"/>
        </w:trPr>
        <w:tc>
          <w:tcPr>
            <w:tcW w:w="413" w:type="pct"/>
            <w:tcBorders>
              <w:top w:val="single" w:color="auto" w:sz="2" w:space="0"/>
              <w:left w:val="single" w:color="auto" w:sz="2" w:space="0"/>
              <w:bottom w:val="single" w:color="auto" w:sz="2" w:space="0"/>
              <w:right w:val="single" w:color="auto" w:sz="2" w:space="0"/>
            </w:tcBorders>
            <w:shd w:val="clear" w:color="auto" w:fill="auto"/>
            <w:vAlign w:val="center"/>
          </w:tcPr>
          <w:p w14:paraId="61BF86C3">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序号</w:t>
            </w:r>
          </w:p>
        </w:tc>
        <w:tc>
          <w:tcPr>
            <w:tcW w:w="601" w:type="pct"/>
            <w:tcBorders>
              <w:top w:val="single" w:color="auto" w:sz="2" w:space="0"/>
              <w:left w:val="single" w:color="auto" w:sz="2" w:space="0"/>
              <w:bottom w:val="single" w:color="auto" w:sz="2" w:space="0"/>
              <w:right w:val="single" w:color="auto" w:sz="2" w:space="0"/>
            </w:tcBorders>
            <w:shd w:val="clear" w:color="auto" w:fill="auto"/>
            <w:vAlign w:val="center"/>
          </w:tcPr>
          <w:p w14:paraId="0BA1D54A">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货物名称</w:t>
            </w:r>
          </w:p>
        </w:tc>
        <w:tc>
          <w:tcPr>
            <w:tcW w:w="1318" w:type="pct"/>
            <w:tcBorders>
              <w:top w:val="single" w:color="auto" w:sz="2" w:space="0"/>
              <w:left w:val="single" w:color="auto" w:sz="2" w:space="0"/>
              <w:bottom w:val="single" w:color="auto" w:sz="2" w:space="0"/>
              <w:right w:val="single" w:color="auto" w:sz="2" w:space="0"/>
            </w:tcBorders>
            <w:shd w:val="clear" w:color="auto" w:fill="auto"/>
            <w:vAlign w:val="center"/>
          </w:tcPr>
          <w:p w14:paraId="5A802151">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招标文件规定的货物需求、技术规格</w:t>
            </w:r>
          </w:p>
        </w:tc>
        <w:tc>
          <w:tcPr>
            <w:tcW w:w="1319" w:type="pct"/>
            <w:tcBorders>
              <w:top w:val="single" w:color="auto" w:sz="2" w:space="0"/>
              <w:left w:val="single" w:color="auto" w:sz="2" w:space="0"/>
              <w:bottom w:val="single" w:color="auto" w:sz="2" w:space="0"/>
              <w:right w:val="single" w:color="auto" w:sz="2" w:space="0"/>
            </w:tcBorders>
            <w:shd w:val="clear" w:color="auto" w:fill="auto"/>
            <w:vAlign w:val="center"/>
          </w:tcPr>
          <w:p w14:paraId="008B0B6D">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投标文件对应的货物情况、技术规格</w:t>
            </w:r>
          </w:p>
        </w:tc>
        <w:tc>
          <w:tcPr>
            <w:tcW w:w="395" w:type="pct"/>
            <w:tcBorders>
              <w:top w:val="single" w:color="auto" w:sz="2" w:space="0"/>
              <w:left w:val="single" w:color="auto" w:sz="2" w:space="0"/>
              <w:bottom w:val="single" w:color="auto" w:sz="2" w:space="0"/>
              <w:right w:val="single" w:color="auto" w:sz="2" w:space="0"/>
            </w:tcBorders>
            <w:shd w:val="clear" w:color="auto" w:fill="auto"/>
            <w:vAlign w:val="center"/>
          </w:tcPr>
          <w:p w14:paraId="714216C2">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是否偏离</w:t>
            </w:r>
          </w:p>
        </w:tc>
        <w:tc>
          <w:tcPr>
            <w:tcW w:w="605" w:type="pct"/>
            <w:tcBorders>
              <w:top w:val="single" w:color="auto" w:sz="2" w:space="0"/>
              <w:left w:val="single" w:color="auto" w:sz="2" w:space="0"/>
              <w:bottom w:val="single" w:color="auto" w:sz="2" w:space="0"/>
              <w:right w:val="single" w:color="auto" w:sz="2" w:space="0"/>
            </w:tcBorders>
            <w:shd w:val="clear" w:color="auto" w:fill="auto"/>
            <w:vAlign w:val="center"/>
          </w:tcPr>
          <w:p w14:paraId="0F6FF93B">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相关证明材料在投标文件中所对应的页码</w:t>
            </w:r>
          </w:p>
        </w:tc>
        <w:tc>
          <w:tcPr>
            <w:tcW w:w="347" w:type="pct"/>
            <w:tcBorders>
              <w:top w:val="single" w:color="auto" w:sz="2" w:space="0"/>
              <w:left w:val="single" w:color="auto" w:sz="2" w:space="0"/>
              <w:bottom w:val="single" w:color="auto" w:sz="2" w:space="0"/>
              <w:right w:val="single" w:color="auto" w:sz="2" w:space="0"/>
            </w:tcBorders>
            <w:shd w:val="clear" w:color="auto" w:fill="auto"/>
            <w:vAlign w:val="center"/>
          </w:tcPr>
          <w:p w14:paraId="55B908E6">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备注</w:t>
            </w:r>
          </w:p>
        </w:tc>
      </w:tr>
      <w:tr w14:paraId="091DA212">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65DD22B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6F88DB7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7058EF3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1EDD589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2C9B487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5C386B0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7B6FBFC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2E84426D">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50DF3F6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1F90AC29">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0C2974E5">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2D761A0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26D2730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7293117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0F11876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78EFCE0C">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22F5186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2FB6FCB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1A09E0A2">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07FB6CC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53883A5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2C343DE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6B38B11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bl>
    <w:p w14:paraId="22C08FD5">
      <w:pPr>
        <w:widowControl/>
        <w:kinsoku w:val="0"/>
        <w:autoSpaceDE w:val="0"/>
        <w:autoSpaceDN w:val="0"/>
        <w:adjustRightInd w:val="0"/>
        <w:snapToGrid w:val="0"/>
        <w:spacing w:before="36"/>
        <w:ind w:left="3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3"/>
          <w:kern w:val="0"/>
          <w:sz w:val="24"/>
          <w:highlight w:val="none"/>
          <w:lang w:bidi="ar"/>
        </w:rPr>
        <w:t>说</w:t>
      </w:r>
      <w:r>
        <w:rPr>
          <w:rFonts w:hint="eastAsia" w:ascii="宋体" w:hAnsi="宋体" w:eastAsia="宋体" w:cs="宋体"/>
          <w:color w:val="auto"/>
          <w:spacing w:val="2"/>
          <w:kern w:val="0"/>
          <w:sz w:val="24"/>
          <w:highlight w:val="none"/>
          <w:lang w:bidi="ar"/>
        </w:rPr>
        <w:t>明：</w:t>
      </w:r>
    </w:p>
    <w:p w14:paraId="505AA064">
      <w:pPr>
        <w:numPr>
          <w:ilvl w:val="0"/>
          <w:numId w:val="6"/>
        </w:numPr>
        <w:autoSpaceDN w:val="0"/>
        <w:spacing w:line="360" w:lineRule="auto"/>
        <w:ind w:firstLine="600" w:firstLineChars="25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供应商应对照招标文件技术要求，逐条说明所提供服务技术标准已对招标文件的技术要求做出了实质性的响应，并申明与技术要求条文的偏差和例外。</w:t>
      </w:r>
    </w:p>
    <w:p w14:paraId="3FC7F724">
      <w:pPr>
        <w:numPr>
          <w:ilvl w:val="0"/>
          <w:numId w:val="6"/>
        </w:numPr>
        <w:autoSpaceDN w:val="0"/>
        <w:spacing w:line="360" w:lineRule="auto"/>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表内如果填列不全，可另外附页说明并按规定签字和加盖公章。             </w:t>
      </w:r>
    </w:p>
    <w:p w14:paraId="7560FF9C">
      <w:pPr>
        <w:autoSpaceDN w:val="0"/>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3、此表可根据需要自行拉长加宽（或格式自拟）。</w:t>
      </w:r>
    </w:p>
    <w:p w14:paraId="253AF437">
      <w:pPr>
        <w:autoSpaceDN w:val="0"/>
        <w:spacing w:line="360" w:lineRule="auto"/>
        <w:ind w:firstLine="703" w:firstLineChars="250"/>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4、需按照货物名称分别制作此表。</w:t>
      </w:r>
    </w:p>
    <w:p w14:paraId="61B7B539">
      <w:pPr>
        <w:widowControl/>
        <w:kinsoku w:val="0"/>
        <w:autoSpaceDE w:val="0"/>
        <w:autoSpaceDN w:val="0"/>
        <w:adjustRightInd w:val="0"/>
        <w:snapToGrid w:val="0"/>
        <w:spacing w:line="285" w:lineRule="auto"/>
        <w:jc w:val="left"/>
        <w:textAlignment w:val="baseline"/>
        <w:rPr>
          <w:rFonts w:hint="eastAsia" w:ascii="宋体" w:hAnsi="宋体" w:eastAsia="宋体" w:cs="宋体"/>
          <w:color w:val="auto"/>
          <w:kern w:val="0"/>
          <w:sz w:val="24"/>
          <w:highlight w:val="none"/>
        </w:rPr>
      </w:pPr>
    </w:p>
    <w:p w14:paraId="5FB04457">
      <w:pPr>
        <w:widowControl/>
        <w:kinsoku w:val="0"/>
        <w:autoSpaceDE w:val="0"/>
        <w:autoSpaceDN w:val="0"/>
        <w:adjustRightInd w:val="0"/>
        <w:snapToGrid w:val="0"/>
        <w:spacing w:line="288" w:lineRule="auto"/>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083AA862">
      <w:pPr>
        <w:widowControl/>
        <w:kinsoku w:val="0"/>
        <w:autoSpaceDE w:val="0"/>
        <w:autoSpaceDN w:val="0"/>
        <w:adjustRightInd w:val="0"/>
        <w:snapToGrid w:val="0"/>
        <w:spacing w:before="75"/>
        <w:ind w:left="51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2"/>
          <w:kern w:val="0"/>
          <w:sz w:val="24"/>
          <w:highlight w:val="none"/>
          <w:lang w:bidi="ar"/>
        </w:rPr>
        <w:t>投标人名称</w:t>
      </w:r>
      <w:r>
        <w:rPr>
          <w:rFonts w:hint="eastAsia" w:ascii="宋体" w:hAnsi="宋体" w:eastAsia="宋体" w:cs="宋体"/>
          <w:color w:val="auto"/>
          <w:spacing w:val="6"/>
          <w:kern w:val="0"/>
          <w:sz w:val="24"/>
          <w:highlight w:val="none"/>
          <w:lang w:bidi="ar"/>
        </w:rPr>
        <w:t xml:space="preserve"> (公章) ：</w:t>
      </w:r>
    </w:p>
    <w:p w14:paraId="4D5A64DC">
      <w:pPr>
        <w:widowControl/>
        <w:kinsoku w:val="0"/>
        <w:autoSpaceDE w:val="0"/>
        <w:autoSpaceDN w:val="0"/>
        <w:adjustRightInd w:val="0"/>
        <w:snapToGrid w:val="0"/>
        <w:spacing w:before="183" w:line="468" w:lineRule="exact"/>
        <w:ind w:left="51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position w:val="17"/>
          <w:sz w:val="24"/>
          <w:highlight w:val="none"/>
          <w:lang w:bidi="ar"/>
        </w:rPr>
        <w:t>单</w:t>
      </w:r>
      <w:r>
        <w:rPr>
          <w:rFonts w:hint="eastAsia" w:ascii="宋体" w:hAnsi="宋体" w:eastAsia="宋体" w:cs="宋体"/>
          <w:color w:val="auto"/>
          <w:spacing w:val="13"/>
          <w:kern w:val="0"/>
          <w:position w:val="17"/>
          <w:sz w:val="24"/>
          <w:highlight w:val="none"/>
          <w:lang w:bidi="ar"/>
        </w:rPr>
        <w:t>位</w:t>
      </w:r>
      <w:r>
        <w:rPr>
          <w:rFonts w:hint="eastAsia" w:ascii="宋体" w:hAnsi="宋体" w:eastAsia="宋体" w:cs="宋体"/>
          <w:color w:val="auto"/>
          <w:spacing w:val="7"/>
          <w:kern w:val="0"/>
          <w:position w:val="17"/>
          <w:sz w:val="24"/>
          <w:highlight w:val="none"/>
          <w:lang w:bidi="ar"/>
        </w:rPr>
        <w:t>负责人或授权代理人 (签字) ：</w:t>
      </w:r>
    </w:p>
    <w:p w14:paraId="1FDC1AAC">
      <w:pPr>
        <w:widowControl/>
        <w:kinsoku w:val="0"/>
        <w:autoSpaceDE w:val="0"/>
        <w:autoSpaceDN w:val="0"/>
        <w:adjustRightInd w:val="0"/>
        <w:snapToGrid w:val="0"/>
        <w:ind w:left="519"/>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时</w:t>
      </w:r>
      <w:r>
        <w:rPr>
          <w:rFonts w:hint="eastAsia" w:ascii="宋体" w:hAnsi="宋体" w:eastAsia="宋体" w:cs="宋体"/>
          <w:color w:val="auto"/>
          <w:spacing w:val="6"/>
          <w:kern w:val="0"/>
          <w:sz w:val="24"/>
          <w:highlight w:val="none"/>
          <w:lang w:bidi="ar"/>
        </w:rPr>
        <w:t>间：年月日</w:t>
      </w:r>
    </w:p>
    <w:p w14:paraId="61B3B898">
      <w:pPr>
        <w:rPr>
          <w:rFonts w:hint="eastAsia" w:ascii="宋体" w:hAnsi="宋体" w:eastAsia="宋体" w:cs="宋体"/>
          <w:color w:val="auto"/>
          <w:sz w:val="24"/>
          <w:highlight w:val="none"/>
        </w:rPr>
        <w:sectPr>
          <w:type w:val="continuous"/>
          <w:pgSz w:w="11906" w:h="16839"/>
          <w:pgMar w:top="1440" w:right="1800" w:bottom="1440" w:left="1800" w:header="1" w:footer="660" w:gutter="1"/>
          <w:cols w:space="425" w:num="1"/>
          <w:docGrid w:type="lines" w:linePitch="312" w:charSpace="0"/>
        </w:sectPr>
      </w:pPr>
    </w:p>
    <w:p w14:paraId="1C56F22A">
      <w:pPr>
        <w:rPr>
          <w:color w:val="auto"/>
          <w:highlight w:val="none"/>
        </w:rPr>
      </w:pPr>
      <w:r>
        <w:rPr>
          <w:color w:val="auto"/>
          <w:highlight w:val="none"/>
        </w:rPr>
        <w:br w:type="page"/>
      </w:r>
    </w:p>
    <w:p w14:paraId="2246E972">
      <w:pPr>
        <w:pStyle w:val="30"/>
        <w:rPr>
          <w:color w:val="auto"/>
          <w:highlight w:val="none"/>
        </w:rPr>
        <w:sectPr>
          <w:type w:val="continuous"/>
          <w:pgSz w:w="11906" w:h="16839"/>
          <w:pgMar w:top="1440" w:right="1800" w:bottom="1440" w:left="1800" w:header="1" w:footer="660" w:gutter="1"/>
          <w:cols w:space="425" w:num="1"/>
          <w:docGrid w:type="lines" w:linePitch="312" w:charSpace="0"/>
        </w:sectPr>
      </w:pPr>
    </w:p>
    <w:p w14:paraId="43241549">
      <w:pPr>
        <w:jc w:val="center"/>
        <w:rPr>
          <w:rFonts w:hint="eastAsia" w:ascii="宋体" w:hAnsi="宋体" w:eastAsia="宋体" w:cs="宋体"/>
          <w:b/>
          <w:bCs/>
          <w:color w:val="auto"/>
          <w:spacing w:val="8"/>
          <w:kern w:val="0"/>
          <w:sz w:val="24"/>
          <w:highlight w:val="none"/>
          <w:lang w:bidi="ar"/>
        </w:rPr>
      </w:pPr>
      <w:r>
        <w:rPr>
          <w:rFonts w:hint="eastAsia" w:ascii="宋体" w:hAnsi="宋体" w:eastAsia="宋体" w:cs="宋体"/>
          <w:b/>
          <w:bCs/>
          <w:color w:val="auto"/>
          <w:spacing w:val="8"/>
          <w:kern w:val="0"/>
          <w:sz w:val="24"/>
          <w:highlight w:val="none"/>
          <w:lang w:bidi="ar"/>
        </w:rPr>
        <w:t>（4）“</w:t>
      </w:r>
      <w:r>
        <w:rPr>
          <w:rFonts w:hint="eastAsia" w:ascii="Times New Roman" w:hAnsi="Times New Roman"/>
          <w:b/>
          <w:bCs/>
          <w:color w:val="auto"/>
          <w:sz w:val="24"/>
          <w:highlight w:val="none"/>
        </w:rPr>
        <w:t>△</w:t>
      </w:r>
      <w:r>
        <w:rPr>
          <w:rFonts w:hint="eastAsia" w:ascii="宋体" w:hAnsi="宋体" w:eastAsia="宋体" w:cs="宋体"/>
          <w:b/>
          <w:bCs/>
          <w:color w:val="auto"/>
          <w:spacing w:val="8"/>
          <w:kern w:val="0"/>
          <w:sz w:val="24"/>
          <w:highlight w:val="none"/>
          <w:lang w:bidi="ar"/>
        </w:rPr>
        <w:t>”项技术需求偏离表</w:t>
      </w:r>
    </w:p>
    <w:p w14:paraId="5A517061">
      <w:pPr>
        <w:widowControl/>
        <w:kinsoku w:val="0"/>
        <w:autoSpaceDE w:val="0"/>
        <w:autoSpaceDN w:val="0"/>
        <w:adjustRightInd w:val="0"/>
        <w:snapToGrid w:val="0"/>
        <w:spacing w:line="101" w:lineRule="exact"/>
        <w:jc w:val="left"/>
        <w:textAlignment w:val="baseline"/>
        <w:rPr>
          <w:rFonts w:hint="eastAsia" w:ascii="宋体" w:hAnsi="宋体" w:eastAsia="宋体" w:cs="宋体"/>
          <w:color w:val="auto"/>
          <w:kern w:val="0"/>
          <w:sz w:val="24"/>
          <w:highlight w:val="none"/>
        </w:rPr>
      </w:pPr>
    </w:p>
    <w:p w14:paraId="726F6841">
      <w:pPr>
        <w:rPr>
          <w:rFonts w:hint="eastAsia" w:ascii="宋体" w:hAnsi="宋体" w:eastAsia="宋体" w:cs="宋体"/>
          <w:color w:val="auto"/>
          <w:highlight w:val="none"/>
        </w:rPr>
        <w:sectPr>
          <w:type w:val="continuous"/>
          <w:pgSz w:w="11906" w:h="16839"/>
          <w:pgMar w:top="1440" w:right="1800" w:bottom="1440" w:left="1800" w:header="1" w:footer="660" w:gutter="1"/>
          <w:cols w:space="425" w:num="1"/>
          <w:docGrid w:type="lines" w:linePitch="312" w:charSpace="0"/>
        </w:sectPr>
      </w:pPr>
    </w:p>
    <w:p w14:paraId="1E167AC9">
      <w:pPr>
        <w:widowControl/>
        <w:kinsoku w:val="0"/>
        <w:autoSpaceDE w:val="0"/>
        <w:autoSpaceDN w:val="0"/>
        <w:adjustRightInd w:val="0"/>
        <w:snapToGrid w:val="0"/>
        <w:spacing w:before="48"/>
        <w:jc w:val="left"/>
        <w:textAlignment w:val="baseline"/>
        <w:outlineLvl w:val="0"/>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项</w:t>
      </w:r>
      <w:r>
        <w:rPr>
          <w:rFonts w:hint="eastAsia" w:ascii="宋体" w:hAnsi="宋体" w:eastAsia="宋体" w:cs="宋体"/>
          <w:color w:val="auto"/>
          <w:spacing w:val="8"/>
          <w:kern w:val="0"/>
          <w:sz w:val="24"/>
          <w:highlight w:val="none"/>
          <w:lang w:bidi="ar"/>
        </w:rPr>
        <w:t>目名称：</w:t>
      </w:r>
    </w:p>
    <w:p w14:paraId="5F7131F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p w14:paraId="14976209">
      <w:pPr>
        <w:widowControl/>
        <w:kinsoku w:val="0"/>
        <w:autoSpaceDE w:val="0"/>
        <w:autoSpaceDN w:val="0"/>
        <w:adjustRightInd w:val="0"/>
        <w:snapToGrid w:val="0"/>
        <w:spacing w:before="47"/>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sz w:val="24"/>
          <w:highlight w:val="none"/>
          <w:lang w:bidi="ar"/>
        </w:rPr>
        <w:t>项</w:t>
      </w:r>
      <w:r>
        <w:rPr>
          <w:rFonts w:hint="eastAsia" w:ascii="宋体" w:hAnsi="宋体" w:eastAsia="宋体" w:cs="宋体"/>
          <w:color w:val="auto"/>
          <w:spacing w:val="5"/>
          <w:kern w:val="0"/>
          <w:sz w:val="24"/>
          <w:highlight w:val="none"/>
          <w:lang w:bidi="ar"/>
        </w:rPr>
        <w:t>目编号：</w:t>
      </w:r>
    </w:p>
    <w:p w14:paraId="5CE62383">
      <w:pPr>
        <w:rPr>
          <w:rFonts w:hint="eastAsia" w:ascii="宋体" w:hAnsi="宋体" w:eastAsia="宋体" w:cs="宋体"/>
          <w:color w:val="auto"/>
          <w:sz w:val="24"/>
          <w:highlight w:val="none"/>
        </w:rPr>
        <w:sectPr>
          <w:type w:val="continuous"/>
          <w:pgSz w:w="11906" w:h="16839"/>
          <w:pgMar w:top="1440" w:right="1800" w:bottom="1440" w:left="1800" w:header="1" w:footer="660" w:gutter="1"/>
          <w:cols w:space="425" w:num="1"/>
          <w:docGrid w:type="lines" w:linePitch="312" w:charSpace="0"/>
        </w:sectPr>
      </w:pPr>
    </w:p>
    <w:p w14:paraId="11729CDD">
      <w:pPr>
        <w:widowControl/>
        <w:kinsoku w:val="0"/>
        <w:autoSpaceDE w:val="0"/>
        <w:autoSpaceDN w:val="0"/>
        <w:adjustRightInd w:val="0"/>
        <w:snapToGrid w:val="0"/>
        <w:spacing w:line="191" w:lineRule="exact"/>
        <w:jc w:val="left"/>
        <w:textAlignment w:val="baseline"/>
        <w:rPr>
          <w:rFonts w:hint="eastAsia" w:ascii="宋体" w:hAnsi="宋体" w:eastAsia="宋体" w:cs="宋体"/>
          <w:color w:val="auto"/>
          <w:kern w:val="0"/>
          <w:sz w:val="24"/>
          <w:highlight w:val="none"/>
        </w:rPr>
      </w:pPr>
    </w:p>
    <w:tbl>
      <w:tblPr>
        <w:tblStyle w:val="24"/>
        <w:tblW w:w="5531" w:type="pct"/>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autofit"/>
        <w:tblCellMar>
          <w:top w:w="0" w:type="dxa"/>
          <w:left w:w="0" w:type="dxa"/>
          <w:bottom w:w="0" w:type="dxa"/>
          <w:right w:w="0" w:type="dxa"/>
        </w:tblCellMar>
      </w:tblPr>
      <w:tblGrid>
        <w:gridCol w:w="759"/>
        <w:gridCol w:w="1106"/>
        <w:gridCol w:w="2425"/>
        <w:gridCol w:w="2426"/>
        <w:gridCol w:w="727"/>
        <w:gridCol w:w="1113"/>
        <w:gridCol w:w="638"/>
      </w:tblGrid>
      <w:tr w14:paraId="62BDD64B">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28" w:hRule="atLeast"/>
        </w:trPr>
        <w:tc>
          <w:tcPr>
            <w:tcW w:w="413" w:type="pct"/>
            <w:tcBorders>
              <w:top w:val="single" w:color="auto" w:sz="2" w:space="0"/>
              <w:left w:val="single" w:color="auto" w:sz="2" w:space="0"/>
              <w:bottom w:val="single" w:color="auto" w:sz="2" w:space="0"/>
              <w:right w:val="single" w:color="auto" w:sz="2" w:space="0"/>
            </w:tcBorders>
            <w:shd w:val="clear" w:color="auto" w:fill="auto"/>
            <w:vAlign w:val="center"/>
          </w:tcPr>
          <w:p w14:paraId="74F883FA">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序号</w:t>
            </w:r>
          </w:p>
        </w:tc>
        <w:tc>
          <w:tcPr>
            <w:tcW w:w="601" w:type="pct"/>
            <w:tcBorders>
              <w:top w:val="single" w:color="auto" w:sz="2" w:space="0"/>
              <w:left w:val="single" w:color="auto" w:sz="2" w:space="0"/>
              <w:bottom w:val="single" w:color="auto" w:sz="2" w:space="0"/>
              <w:right w:val="single" w:color="auto" w:sz="2" w:space="0"/>
            </w:tcBorders>
            <w:shd w:val="clear" w:color="auto" w:fill="auto"/>
            <w:vAlign w:val="center"/>
          </w:tcPr>
          <w:p w14:paraId="7CEC08C6">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货物名称</w:t>
            </w:r>
          </w:p>
        </w:tc>
        <w:tc>
          <w:tcPr>
            <w:tcW w:w="1318" w:type="pct"/>
            <w:tcBorders>
              <w:top w:val="single" w:color="auto" w:sz="2" w:space="0"/>
              <w:left w:val="single" w:color="auto" w:sz="2" w:space="0"/>
              <w:bottom w:val="single" w:color="auto" w:sz="2" w:space="0"/>
              <w:right w:val="single" w:color="auto" w:sz="2" w:space="0"/>
            </w:tcBorders>
            <w:shd w:val="clear" w:color="auto" w:fill="auto"/>
            <w:vAlign w:val="center"/>
          </w:tcPr>
          <w:p w14:paraId="061996FC">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招标文件规定的货物需求、技术规格</w:t>
            </w:r>
          </w:p>
        </w:tc>
        <w:tc>
          <w:tcPr>
            <w:tcW w:w="1319" w:type="pct"/>
            <w:tcBorders>
              <w:top w:val="single" w:color="auto" w:sz="2" w:space="0"/>
              <w:left w:val="single" w:color="auto" w:sz="2" w:space="0"/>
              <w:bottom w:val="single" w:color="auto" w:sz="2" w:space="0"/>
              <w:right w:val="single" w:color="auto" w:sz="2" w:space="0"/>
            </w:tcBorders>
            <w:shd w:val="clear" w:color="auto" w:fill="auto"/>
            <w:vAlign w:val="center"/>
          </w:tcPr>
          <w:p w14:paraId="1EC1E930">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投标文件对应的货物情况、技术规格</w:t>
            </w:r>
          </w:p>
        </w:tc>
        <w:tc>
          <w:tcPr>
            <w:tcW w:w="395" w:type="pct"/>
            <w:tcBorders>
              <w:top w:val="single" w:color="auto" w:sz="2" w:space="0"/>
              <w:left w:val="single" w:color="auto" w:sz="2" w:space="0"/>
              <w:bottom w:val="single" w:color="auto" w:sz="2" w:space="0"/>
              <w:right w:val="single" w:color="auto" w:sz="2" w:space="0"/>
            </w:tcBorders>
            <w:shd w:val="clear" w:color="auto" w:fill="auto"/>
            <w:vAlign w:val="center"/>
          </w:tcPr>
          <w:p w14:paraId="101B8D4A">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是否偏离</w:t>
            </w:r>
          </w:p>
        </w:tc>
        <w:tc>
          <w:tcPr>
            <w:tcW w:w="605" w:type="pct"/>
            <w:tcBorders>
              <w:top w:val="single" w:color="auto" w:sz="2" w:space="0"/>
              <w:left w:val="single" w:color="auto" w:sz="2" w:space="0"/>
              <w:bottom w:val="single" w:color="auto" w:sz="2" w:space="0"/>
              <w:right w:val="single" w:color="auto" w:sz="2" w:space="0"/>
            </w:tcBorders>
            <w:shd w:val="clear" w:color="auto" w:fill="auto"/>
            <w:vAlign w:val="center"/>
          </w:tcPr>
          <w:p w14:paraId="0C0801DD">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相关证明材料在投标文件中所对应的页码</w:t>
            </w:r>
          </w:p>
        </w:tc>
        <w:tc>
          <w:tcPr>
            <w:tcW w:w="347" w:type="pct"/>
            <w:tcBorders>
              <w:top w:val="single" w:color="auto" w:sz="2" w:space="0"/>
              <w:left w:val="single" w:color="auto" w:sz="2" w:space="0"/>
              <w:bottom w:val="single" w:color="auto" w:sz="2" w:space="0"/>
              <w:right w:val="single" w:color="auto" w:sz="2" w:space="0"/>
            </w:tcBorders>
            <w:shd w:val="clear" w:color="auto" w:fill="auto"/>
            <w:vAlign w:val="center"/>
          </w:tcPr>
          <w:p w14:paraId="2A3C34AF">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r>
              <w:rPr>
                <w:rFonts w:hint="eastAsia" w:ascii="宋体" w:hAnsi="宋体" w:eastAsia="宋体" w:cs="宋体"/>
                <w:b/>
                <w:bCs/>
                <w:color w:val="auto"/>
                <w:spacing w:val="6"/>
                <w:kern w:val="0"/>
                <w:sz w:val="24"/>
                <w:highlight w:val="none"/>
                <w:lang w:bidi="ar"/>
              </w:rPr>
              <w:t>备注</w:t>
            </w:r>
          </w:p>
        </w:tc>
      </w:tr>
      <w:tr w14:paraId="19BA0B73">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27D2E85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61283D6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5FC9670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4C83192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5C68557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29A48D5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28CE9F1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3069F12F">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1"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1156094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2CAFB69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6BFCED7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612DC41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33C7AD0C">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0E467C4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411A7E3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24C05084">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05" w:hRule="atLeast"/>
        </w:trPr>
        <w:tc>
          <w:tcPr>
            <w:tcW w:w="413" w:type="pct"/>
            <w:tcBorders>
              <w:top w:val="single" w:color="auto" w:sz="2" w:space="0"/>
              <w:left w:val="single" w:color="auto" w:sz="2" w:space="0"/>
              <w:bottom w:val="single" w:color="auto" w:sz="2" w:space="0"/>
              <w:right w:val="single" w:color="auto" w:sz="2" w:space="0"/>
            </w:tcBorders>
            <w:shd w:val="clear" w:color="auto" w:fill="auto"/>
          </w:tcPr>
          <w:p w14:paraId="6B5657B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1" w:type="pct"/>
            <w:tcBorders>
              <w:top w:val="single" w:color="auto" w:sz="2" w:space="0"/>
              <w:left w:val="single" w:color="auto" w:sz="2" w:space="0"/>
              <w:bottom w:val="single" w:color="auto" w:sz="2" w:space="0"/>
              <w:right w:val="single" w:color="auto" w:sz="2" w:space="0"/>
            </w:tcBorders>
            <w:shd w:val="clear" w:color="auto" w:fill="auto"/>
          </w:tcPr>
          <w:p w14:paraId="6A6EDCF1">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8" w:type="pct"/>
            <w:tcBorders>
              <w:top w:val="single" w:color="auto" w:sz="2" w:space="0"/>
              <w:left w:val="single" w:color="auto" w:sz="2" w:space="0"/>
              <w:bottom w:val="single" w:color="auto" w:sz="2" w:space="0"/>
              <w:right w:val="single" w:color="auto" w:sz="2" w:space="0"/>
            </w:tcBorders>
            <w:shd w:val="clear" w:color="auto" w:fill="auto"/>
          </w:tcPr>
          <w:p w14:paraId="3A1EF9DE">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319" w:type="pct"/>
            <w:tcBorders>
              <w:top w:val="single" w:color="auto" w:sz="2" w:space="0"/>
              <w:left w:val="single" w:color="auto" w:sz="2" w:space="0"/>
              <w:bottom w:val="single" w:color="auto" w:sz="2" w:space="0"/>
              <w:right w:val="single" w:color="auto" w:sz="2" w:space="0"/>
            </w:tcBorders>
            <w:shd w:val="clear" w:color="auto" w:fill="auto"/>
          </w:tcPr>
          <w:p w14:paraId="51649E34">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95" w:type="pct"/>
            <w:tcBorders>
              <w:top w:val="single" w:color="auto" w:sz="2" w:space="0"/>
              <w:left w:val="single" w:color="auto" w:sz="2" w:space="0"/>
              <w:bottom w:val="single" w:color="auto" w:sz="2" w:space="0"/>
              <w:right w:val="single" w:color="auto" w:sz="2" w:space="0"/>
            </w:tcBorders>
            <w:shd w:val="clear" w:color="auto" w:fill="auto"/>
          </w:tcPr>
          <w:p w14:paraId="1C160197">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605" w:type="pct"/>
            <w:tcBorders>
              <w:top w:val="single" w:color="auto" w:sz="2" w:space="0"/>
              <w:left w:val="single" w:color="auto" w:sz="2" w:space="0"/>
              <w:bottom w:val="single" w:color="auto" w:sz="2" w:space="0"/>
              <w:right w:val="single" w:color="auto" w:sz="2" w:space="0"/>
            </w:tcBorders>
            <w:shd w:val="clear" w:color="auto" w:fill="auto"/>
          </w:tcPr>
          <w:p w14:paraId="1347C96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347" w:type="pct"/>
            <w:tcBorders>
              <w:top w:val="single" w:color="auto" w:sz="2" w:space="0"/>
              <w:left w:val="single" w:color="auto" w:sz="2" w:space="0"/>
              <w:bottom w:val="single" w:color="auto" w:sz="2" w:space="0"/>
              <w:right w:val="single" w:color="auto" w:sz="2" w:space="0"/>
            </w:tcBorders>
            <w:shd w:val="clear" w:color="auto" w:fill="auto"/>
          </w:tcPr>
          <w:p w14:paraId="4405920A">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bl>
    <w:p w14:paraId="00DDAB5A">
      <w:pPr>
        <w:widowControl/>
        <w:kinsoku w:val="0"/>
        <w:autoSpaceDE w:val="0"/>
        <w:autoSpaceDN w:val="0"/>
        <w:adjustRightInd w:val="0"/>
        <w:snapToGrid w:val="0"/>
        <w:spacing w:before="36"/>
        <w:ind w:left="3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3"/>
          <w:kern w:val="0"/>
          <w:sz w:val="24"/>
          <w:highlight w:val="none"/>
          <w:lang w:bidi="ar"/>
        </w:rPr>
        <w:t>说</w:t>
      </w:r>
      <w:r>
        <w:rPr>
          <w:rFonts w:hint="eastAsia" w:ascii="宋体" w:hAnsi="宋体" w:eastAsia="宋体" w:cs="宋体"/>
          <w:color w:val="auto"/>
          <w:spacing w:val="2"/>
          <w:kern w:val="0"/>
          <w:sz w:val="24"/>
          <w:highlight w:val="none"/>
          <w:lang w:bidi="ar"/>
        </w:rPr>
        <w:t>明：</w:t>
      </w:r>
    </w:p>
    <w:p w14:paraId="5303558A">
      <w:pPr>
        <w:numPr>
          <w:ilvl w:val="0"/>
          <w:numId w:val="7"/>
        </w:numPr>
        <w:autoSpaceDN w:val="0"/>
        <w:spacing w:line="360" w:lineRule="auto"/>
        <w:ind w:firstLine="600" w:firstLineChars="25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供应商应对照招标文件技术要求，逐条说明所提供服务技术标准已对招标文件的技术要求做出了实质性的响应，并申明与技术要求条文的偏差和例外。</w:t>
      </w:r>
    </w:p>
    <w:p w14:paraId="41F571AA">
      <w:pPr>
        <w:numPr>
          <w:ilvl w:val="0"/>
          <w:numId w:val="7"/>
        </w:numPr>
        <w:autoSpaceDN w:val="0"/>
        <w:spacing w:line="360" w:lineRule="auto"/>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表内如果填列不全，可另外附页说明并按规定签字和加盖公章。             </w:t>
      </w:r>
    </w:p>
    <w:p w14:paraId="00166698">
      <w:pPr>
        <w:autoSpaceDN w:val="0"/>
        <w:ind w:firstLine="600" w:firstLineChars="25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3、此表可根据需要自行拉长加宽（或格式自拟）。</w:t>
      </w:r>
    </w:p>
    <w:p w14:paraId="766A94E8">
      <w:pPr>
        <w:autoSpaceDN w:val="0"/>
        <w:spacing w:line="360" w:lineRule="auto"/>
        <w:ind w:firstLine="703" w:firstLineChars="250"/>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4、需按照货物名称分别制作此表。</w:t>
      </w:r>
    </w:p>
    <w:p w14:paraId="71DF7141">
      <w:pPr>
        <w:widowControl/>
        <w:kinsoku w:val="0"/>
        <w:autoSpaceDE w:val="0"/>
        <w:autoSpaceDN w:val="0"/>
        <w:adjustRightInd w:val="0"/>
        <w:snapToGrid w:val="0"/>
        <w:spacing w:line="285" w:lineRule="auto"/>
        <w:jc w:val="left"/>
        <w:textAlignment w:val="baseline"/>
        <w:rPr>
          <w:rFonts w:hint="eastAsia" w:ascii="宋体" w:hAnsi="宋体" w:eastAsia="宋体" w:cs="宋体"/>
          <w:color w:val="auto"/>
          <w:kern w:val="0"/>
          <w:sz w:val="24"/>
          <w:highlight w:val="none"/>
        </w:rPr>
      </w:pPr>
    </w:p>
    <w:p w14:paraId="2408C486">
      <w:pPr>
        <w:widowControl/>
        <w:kinsoku w:val="0"/>
        <w:autoSpaceDE w:val="0"/>
        <w:autoSpaceDN w:val="0"/>
        <w:adjustRightInd w:val="0"/>
        <w:snapToGrid w:val="0"/>
        <w:spacing w:line="288" w:lineRule="auto"/>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 xml:space="preserve"> </w:t>
      </w:r>
    </w:p>
    <w:p w14:paraId="7F681088">
      <w:pPr>
        <w:widowControl/>
        <w:kinsoku w:val="0"/>
        <w:autoSpaceDE w:val="0"/>
        <w:autoSpaceDN w:val="0"/>
        <w:adjustRightInd w:val="0"/>
        <w:snapToGrid w:val="0"/>
        <w:spacing w:before="75"/>
        <w:ind w:left="51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2"/>
          <w:kern w:val="0"/>
          <w:sz w:val="24"/>
          <w:highlight w:val="none"/>
          <w:lang w:bidi="ar"/>
        </w:rPr>
        <w:t>投标人名称</w:t>
      </w:r>
      <w:r>
        <w:rPr>
          <w:rFonts w:hint="eastAsia" w:ascii="宋体" w:hAnsi="宋体" w:eastAsia="宋体" w:cs="宋体"/>
          <w:color w:val="auto"/>
          <w:spacing w:val="6"/>
          <w:kern w:val="0"/>
          <w:sz w:val="24"/>
          <w:highlight w:val="none"/>
          <w:lang w:bidi="ar"/>
        </w:rPr>
        <w:t xml:space="preserve"> (公章) ：</w:t>
      </w:r>
    </w:p>
    <w:p w14:paraId="564F3907">
      <w:pPr>
        <w:widowControl/>
        <w:kinsoku w:val="0"/>
        <w:autoSpaceDE w:val="0"/>
        <w:autoSpaceDN w:val="0"/>
        <w:adjustRightInd w:val="0"/>
        <w:snapToGrid w:val="0"/>
        <w:spacing w:before="183" w:line="468" w:lineRule="exact"/>
        <w:ind w:left="51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position w:val="17"/>
          <w:sz w:val="24"/>
          <w:highlight w:val="none"/>
          <w:lang w:bidi="ar"/>
        </w:rPr>
        <w:t>单</w:t>
      </w:r>
      <w:r>
        <w:rPr>
          <w:rFonts w:hint="eastAsia" w:ascii="宋体" w:hAnsi="宋体" w:eastAsia="宋体" w:cs="宋体"/>
          <w:color w:val="auto"/>
          <w:spacing w:val="13"/>
          <w:kern w:val="0"/>
          <w:position w:val="17"/>
          <w:sz w:val="24"/>
          <w:highlight w:val="none"/>
          <w:lang w:bidi="ar"/>
        </w:rPr>
        <w:t>位</w:t>
      </w:r>
      <w:r>
        <w:rPr>
          <w:rFonts w:hint="eastAsia" w:ascii="宋体" w:hAnsi="宋体" w:eastAsia="宋体" w:cs="宋体"/>
          <w:color w:val="auto"/>
          <w:spacing w:val="7"/>
          <w:kern w:val="0"/>
          <w:position w:val="17"/>
          <w:sz w:val="24"/>
          <w:highlight w:val="none"/>
          <w:lang w:bidi="ar"/>
        </w:rPr>
        <w:t>负责人或授权代理人 (签字) ：</w:t>
      </w:r>
    </w:p>
    <w:p w14:paraId="384B92B1">
      <w:pPr>
        <w:widowControl/>
        <w:kinsoku w:val="0"/>
        <w:autoSpaceDE w:val="0"/>
        <w:autoSpaceDN w:val="0"/>
        <w:adjustRightInd w:val="0"/>
        <w:snapToGrid w:val="0"/>
        <w:ind w:left="519"/>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时</w:t>
      </w:r>
      <w:r>
        <w:rPr>
          <w:rFonts w:hint="eastAsia" w:ascii="宋体" w:hAnsi="宋体" w:eastAsia="宋体" w:cs="宋体"/>
          <w:color w:val="auto"/>
          <w:spacing w:val="6"/>
          <w:kern w:val="0"/>
          <w:sz w:val="24"/>
          <w:highlight w:val="none"/>
          <w:lang w:bidi="ar"/>
        </w:rPr>
        <w:t>间：年月日</w:t>
      </w:r>
    </w:p>
    <w:p w14:paraId="59A92F2B">
      <w:pPr>
        <w:rPr>
          <w:rFonts w:hint="eastAsia" w:ascii="宋体" w:hAnsi="宋体" w:eastAsia="宋体" w:cs="宋体"/>
          <w:color w:val="auto"/>
          <w:sz w:val="24"/>
          <w:highlight w:val="none"/>
        </w:rPr>
        <w:sectPr>
          <w:type w:val="continuous"/>
          <w:pgSz w:w="11906" w:h="16839"/>
          <w:pgMar w:top="1440" w:right="1800" w:bottom="1440" w:left="1800" w:header="1" w:footer="660" w:gutter="1"/>
          <w:cols w:space="425" w:num="1"/>
          <w:docGrid w:type="lines" w:linePitch="312" w:charSpace="0"/>
        </w:sectPr>
      </w:pPr>
    </w:p>
    <w:p w14:paraId="0144BD66">
      <w:pPr>
        <w:pStyle w:val="30"/>
        <w:rPr>
          <w:color w:val="auto"/>
          <w:highlight w:val="none"/>
        </w:rPr>
        <w:sectPr>
          <w:type w:val="continuous"/>
          <w:pgSz w:w="11906" w:h="16839"/>
          <w:pgMar w:top="1440" w:right="1800" w:bottom="1440" w:left="1800" w:header="1" w:footer="660" w:gutter="1"/>
          <w:cols w:space="425" w:num="1"/>
          <w:docGrid w:type="lines" w:linePitch="312" w:charSpace="0"/>
        </w:sectPr>
      </w:pPr>
    </w:p>
    <w:p w14:paraId="2C3D7CFF">
      <w:pPr>
        <w:spacing w:line="360" w:lineRule="auto"/>
        <w:jc w:val="center"/>
        <w:outlineLvl w:val="2"/>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七、商务条款偏离表</w:t>
      </w:r>
    </w:p>
    <w:p w14:paraId="4DF100E7">
      <w:pPr>
        <w:widowControl/>
        <w:kinsoku w:val="0"/>
        <w:autoSpaceDE w:val="0"/>
        <w:autoSpaceDN w:val="0"/>
        <w:adjustRightInd w:val="0"/>
        <w:snapToGrid w:val="0"/>
        <w:spacing w:line="256" w:lineRule="auto"/>
        <w:jc w:val="left"/>
        <w:textAlignment w:val="baseline"/>
        <w:rPr>
          <w:rFonts w:hint="eastAsia" w:ascii="宋体" w:hAnsi="宋体" w:eastAsia="宋体" w:cs="宋体"/>
          <w:color w:val="auto"/>
          <w:kern w:val="0"/>
          <w:sz w:val="24"/>
          <w:highlight w:val="none"/>
        </w:rPr>
      </w:pPr>
    </w:p>
    <w:p w14:paraId="31BC7596">
      <w:pPr>
        <w:widowControl/>
        <w:kinsoku w:val="0"/>
        <w:autoSpaceDE w:val="0"/>
        <w:autoSpaceDN w:val="0"/>
        <w:adjustRightInd w:val="0"/>
        <w:snapToGrid w:val="0"/>
        <w:spacing w:line="259" w:lineRule="auto"/>
        <w:jc w:val="left"/>
        <w:textAlignment w:val="baseline"/>
        <w:rPr>
          <w:rFonts w:hint="eastAsia" w:ascii="宋体" w:hAnsi="宋体" w:eastAsia="宋体" w:cs="宋体"/>
          <w:color w:val="auto"/>
          <w:kern w:val="0"/>
          <w:sz w:val="24"/>
          <w:highlight w:val="none"/>
        </w:rPr>
      </w:pPr>
    </w:p>
    <w:p w14:paraId="25F7C2E7">
      <w:pPr>
        <w:widowControl/>
        <w:kinsoku w:val="0"/>
        <w:autoSpaceDE w:val="0"/>
        <w:autoSpaceDN w:val="0"/>
        <w:adjustRightInd w:val="0"/>
        <w:snapToGrid w:val="0"/>
        <w:spacing w:before="75"/>
        <w:ind w:left="481"/>
        <w:jc w:val="left"/>
        <w:textAlignment w:val="baseline"/>
        <w:outlineLvl w:val="0"/>
        <w:rPr>
          <w:rFonts w:hint="eastAsia" w:ascii="宋体" w:hAnsi="宋体" w:eastAsia="宋体" w:cs="宋体"/>
          <w:color w:val="auto"/>
          <w:spacing w:val="-1"/>
          <w:kern w:val="0"/>
          <w:sz w:val="24"/>
          <w:highlight w:val="none"/>
          <w:lang w:bidi="ar"/>
        </w:rPr>
      </w:pPr>
      <w:bookmarkStart w:id="53" w:name="_Toc20430"/>
      <w:bookmarkStart w:id="54" w:name="_Toc17129"/>
      <w:r>
        <w:rPr>
          <w:rFonts w:hint="eastAsia" w:ascii="宋体" w:hAnsi="宋体" w:eastAsia="宋体" w:cs="宋体"/>
          <w:color w:val="auto"/>
          <w:spacing w:val="-2"/>
          <w:kern w:val="0"/>
          <w:sz w:val="24"/>
          <w:highlight w:val="none"/>
          <w:lang w:bidi="ar"/>
        </w:rPr>
        <w:t>项目名称</w:t>
      </w:r>
      <w:r>
        <w:rPr>
          <w:rFonts w:hint="eastAsia" w:ascii="宋体" w:hAnsi="宋体" w:eastAsia="宋体" w:cs="宋体"/>
          <w:color w:val="auto"/>
          <w:spacing w:val="-1"/>
          <w:kern w:val="0"/>
          <w:sz w:val="24"/>
          <w:highlight w:val="none"/>
          <w:lang w:bidi="ar"/>
        </w:rPr>
        <w:t xml:space="preserve">： </w:t>
      </w:r>
    </w:p>
    <w:p w14:paraId="2CFCCF5E">
      <w:pPr>
        <w:widowControl/>
        <w:kinsoku w:val="0"/>
        <w:autoSpaceDE w:val="0"/>
        <w:autoSpaceDN w:val="0"/>
        <w:adjustRightInd w:val="0"/>
        <w:snapToGrid w:val="0"/>
        <w:spacing w:before="75"/>
        <w:ind w:left="481"/>
        <w:jc w:val="left"/>
        <w:textAlignment w:val="baseline"/>
        <w:outlineLvl w:val="0"/>
        <w:rPr>
          <w:rFonts w:hint="eastAsia" w:ascii="宋体" w:hAnsi="宋体" w:eastAsia="宋体" w:cs="宋体"/>
          <w:color w:val="auto"/>
          <w:spacing w:val="-1"/>
          <w:kern w:val="0"/>
          <w:sz w:val="24"/>
          <w:highlight w:val="none"/>
          <w:lang w:bidi="ar"/>
        </w:rPr>
      </w:pPr>
      <w:r>
        <w:rPr>
          <w:rFonts w:hint="eastAsia" w:ascii="宋体" w:hAnsi="宋体" w:eastAsia="宋体" w:cs="宋体"/>
          <w:color w:val="auto"/>
          <w:spacing w:val="-1"/>
          <w:kern w:val="0"/>
          <w:sz w:val="24"/>
          <w:highlight w:val="none"/>
          <w:lang w:bidi="ar"/>
        </w:rPr>
        <w:t xml:space="preserve">                                       </w:t>
      </w:r>
    </w:p>
    <w:p w14:paraId="79AC0C81">
      <w:pPr>
        <w:widowControl/>
        <w:kinsoku w:val="0"/>
        <w:autoSpaceDE w:val="0"/>
        <w:autoSpaceDN w:val="0"/>
        <w:adjustRightInd w:val="0"/>
        <w:snapToGrid w:val="0"/>
        <w:spacing w:before="75"/>
        <w:ind w:firstLine="476" w:firstLineChars="200"/>
        <w:jc w:val="left"/>
        <w:textAlignment w:val="baseline"/>
        <w:outlineLvl w:val="0"/>
        <w:rPr>
          <w:rFonts w:hint="eastAsia" w:ascii="宋体" w:hAnsi="宋体" w:eastAsia="宋体" w:cs="宋体"/>
          <w:color w:val="auto"/>
          <w:kern w:val="0"/>
          <w:sz w:val="24"/>
          <w:highlight w:val="none"/>
        </w:rPr>
      </w:pPr>
      <w:r>
        <w:rPr>
          <w:rFonts w:hint="eastAsia" w:ascii="宋体" w:hAnsi="宋体" w:eastAsia="宋体" w:cs="宋体"/>
          <w:color w:val="auto"/>
          <w:spacing w:val="-1"/>
          <w:kern w:val="0"/>
          <w:sz w:val="24"/>
          <w:highlight w:val="none"/>
          <w:lang w:bidi="ar"/>
        </w:rPr>
        <w:t>项目编号：</w:t>
      </w:r>
      <w:bookmarkEnd w:id="53"/>
      <w:bookmarkEnd w:id="54"/>
    </w:p>
    <w:p w14:paraId="5868BC61">
      <w:pPr>
        <w:widowControl/>
        <w:kinsoku w:val="0"/>
        <w:autoSpaceDE w:val="0"/>
        <w:autoSpaceDN w:val="0"/>
        <w:adjustRightInd w:val="0"/>
        <w:snapToGrid w:val="0"/>
        <w:spacing w:line="147" w:lineRule="exact"/>
        <w:jc w:val="left"/>
        <w:textAlignment w:val="baseline"/>
        <w:rPr>
          <w:rFonts w:hint="eastAsia" w:ascii="宋体" w:hAnsi="宋体" w:eastAsia="宋体" w:cs="宋体"/>
          <w:color w:val="auto"/>
          <w:kern w:val="0"/>
          <w:sz w:val="24"/>
          <w:highlight w:val="none"/>
        </w:rPr>
      </w:pPr>
    </w:p>
    <w:tbl>
      <w:tblPr>
        <w:tblStyle w:val="24"/>
        <w:tblW w:w="4999" w:type="pct"/>
        <w:tblInd w:w="0" w:type="dxa"/>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Layout w:type="autofit"/>
        <w:tblCellMar>
          <w:top w:w="0" w:type="dxa"/>
          <w:left w:w="0" w:type="dxa"/>
          <w:bottom w:w="0" w:type="dxa"/>
          <w:right w:w="0" w:type="dxa"/>
        </w:tblCellMar>
      </w:tblPr>
      <w:tblGrid>
        <w:gridCol w:w="971"/>
        <w:gridCol w:w="2736"/>
        <w:gridCol w:w="2726"/>
        <w:gridCol w:w="1177"/>
        <w:gridCol w:w="699"/>
      </w:tblGrid>
      <w:tr w14:paraId="11C9000B">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742"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450FB778">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55" w:name="_Toc16104"/>
            <w:bookmarkStart w:id="56" w:name="_Toc5691"/>
            <w:r>
              <w:rPr>
                <w:rFonts w:hint="eastAsia" w:ascii="宋体" w:hAnsi="宋体" w:eastAsia="宋体" w:cs="宋体"/>
                <w:b/>
                <w:bCs/>
                <w:color w:val="auto"/>
                <w:spacing w:val="6"/>
                <w:kern w:val="0"/>
                <w:sz w:val="24"/>
                <w:highlight w:val="none"/>
                <w:lang w:bidi="ar"/>
              </w:rPr>
              <w:t>序号</w:t>
            </w:r>
            <w:bookmarkEnd w:id="55"/>
            <w:bookmarkEnd w:id="56"/>
          </w:p>
        </w:tc>
        <w:tc>
          <w:tcPr>
            <w:tcW w:w="1646" w:type="pct"/>
            <w:tcBorders>
              <w:top w:val="single" w:color="auto" w:sz="2" w:space="0"/>
              <w:left w:val="single" w:color="auto" w:sz="2" w:space="0"/>
              <w:bottom w:val="single" w:color="auto" w:sz="2" w:space="0"/>
              <w:right w:val="single" w:color="auto" w:sz="2" w:space="0"/>
            </w:tcBorders>
            <w:shd w:val="clear" w:color="auto" w:fill="auto"/>
          </w:tcPr>
          <w:p w14:paraId="06FE5575">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57" w:name="_Toc1208"/>
            <w:bookmarkStart w:id="58" w:name="_Toc28640"/>
            <w:r>
              <w:rPr>
                <w:rFonts w:hint="eastAsia" w:ascii="宋体" w:hAnsi="宋体" w:eastAsia="宋体" w:cs="宋体"/>
                <w:b/>
                <w:bCs/>
                <w:color w:val="auto"/>
                <w:spacing w:val="6"/>
                <w:kern w:val="0"/>
                <w:sz w:val="24"/>
                <w:highlight w:val="none"/>
                <w:lang w:bidi="ar"/>
              </w:rPr>
              <w:t>招标文件规定的商务条款</w:t>
            </w:r>
            <w:bookmarkEnd w:id="57"/>
            <w:bookmarkEnd w:id="58"/>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66211B54">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59" w:name="_Toc17642"/>
            <w:bookmarkStart w:id="60" w:name="_Toc19153"/>
            <w:r>
              <w:rPr>
                <w:rFonts w:hint="eastAsia" w:ascii="宋体" w:hAnsi="宋体" w:eastAsia="宋体" w:cs="宋体"/>
                <w:b/>
                <w:bCs/>
                <w:color w:val="auto"/>
                <w:spacing w:val="6"/>
                <w:kern w:val="0"/>
                <w:sz w:val="24"/>
                <w:highlight w:val="none"/>
                <w:lang w:bidi="ar"/>
              </w:rPr>
              <w:t>投标文件对应的商务条款</w:t>
            </w:r>
            <w:bookmarkEnd w:id="59"/>
            <w:bookmarkEnd w:id="60"/>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1F225DB4">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61" w:name="_Toc8982"/>
            <w:bookmarkStart w:id="62" w:name="_Toc4904"/>
            <w:r>
              <w:rPr>
                <w:rFonts w:hint="eastAsia" w:ascii="宋体" w:hAnsi="宋体" w:eastAsia="宋体" w:cs="宋体"/>
                <w:b/>
                <w:bCs/>
                <w:color w:val="auto"/>
                <w:spacing w:val="6"/>
                <w:kern w:val="0"/>
                <w:sz w:val="24"/>
                <w:highlight w:val="none"/>
                <w:lang w:bidi="ar"/>
              </w:rPr>
              <w:t>是否偏离</w:t>
            </w:r>
            <w:bookmarkEnd w:id="61"/>
            <w:bookmarkEnd w:id="62"/>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0471835B">
            <w:pPr>
              <w:widowControl/>
              <w:kinsoku w:val="0"/>
              <w:autoSpaceDE w:val="0"/>
              <w:autoSpaceDN w:val="0"/>
              <w:adjustRightInd w:val="0"/>
              <w:snapToGrid w:val="0"/>
              <w:spacing w:before="267"/>
              <w:jc w:val="center"/>
              <w:textAlignment w:val="baseline"/>
              <w:outlineLvl w:val="0"/>
              <w:rPr>
                <w:rFonts w:hint="eastAsia" w:ascii="宋体" w:hAnsi="宋体" w:eastAsia="宋体" w:cs="宋体"/>
                <w:b/>
                <w:bCs/>
                <w:color w:val="auto"/>
                <w:spacing w:val="6"/>
                <w:kern w:val="0"/>
                <w:sz w:val="24"/>
                <w:highlight w:val="none"/>
                <w:lang w:bidi="ar"/>
              </w:rPr>
            </w:pPr>
            <w:bookmarkStart w:id="63" w:name="_Toc10378"/>
            <w:bookmarkStart w:id="64" w:name="_Toc1800"/>
            <w:r>
              <w:rPr>
                <w:rFonts w:hint="eastAsia" w:ascii="宋体" w:hAnsi="宋体" w:eastAsia="宋体" w:cs="宋体"/>
                <w:b/>
                <w:bCs/>
                <w:color w:val="auto"/>
                <w:spacing w:val="6"/>
                <w:kern w:val="0"/>
                <w:sz w:val="24"/>
                <w:highlight w:val="none"/>
                <w:lang w:bidi="ar"/>
              </w:rPr>
              <w:t>备注</w:t>
            </w:r>
            <w:bookmarkEnd w:id="63"/>
            <w:bookmarkEnd w:id="64"/>
          </w:p>
        </w:tc>
      </w:tr>
      <w:tr w14:paraId="6CEA5AAA">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13"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6713727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646" w:type="pct"/>
            <w:tcBorders>
              <w:top w:val="single" w:color="auto" w:sz="2" w:space="0"/>
              <w:left w:val="single" w:color="auto" w:sz="2" w:space="0"/>
              <w:bottom w:val="single" w:color="auto" w:sz="2" w:space="0"/>
              <w:right w:val="single" w:color="auto" w:sz="2" w:space="0"/>
            </w:tcBorders>
            <w:shd w:val="clear" w:color="auto" w:fill="auto"/>
            <w:vAlign w:val="center"/>
          </w:tcPr>
          <w:p w14:paraId="701C5D6E">
            <w:pPr>
              <w:widowControl/>
              <w:kinsoku w:val="0"/>
              <w:autoSpaceDE w:val="0"/>
              <w:autoSpaceDN w:val="0"/>
              <w:adjustRightInd w:val="0"/>
              <w:snapToGrid w:val="0"/>
              <w:spacing w:line="360" w:lineRule="auto"/>
              <w:jc w:val="center"/>
              <w:textAlignment w:val="baseline"/>
              <w:rPr>
                <w:rFonts w:hint="eastAsia" w:ascii="宋体" w:hAnsi="宋体" w:eastAsia="宋体" w:cs="宋体"/>
                <w:bCs/>
                <w:color w:val="auto"/>
                <w:kern w:val="0"/>
                <w:sz w:val="24"/>
                <w:highlight w:val="none"/>
              </w:rPr>
            </w:pPr>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0B39495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2FC026C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799BE69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1F391516">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13"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75A518E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646" w:type="pct"/>
            <w:tcBorders>
              <w:top w:val="single" w:color="auto" w:sz="2" w:space="0"/>
              <w:left w:val="single" w:color="auto" w:sz="2" w:space="0"/>
              <w:bottom w:val="single" w:color="auto" w:sz="2" w:space="0"/>
              <w:right w:val="single" w:color="auto" w:sz="2" w:space="0"/>
            </w:tcBorders>
            <w:shd w:val="clear" w:color="auto" w:fill="auto"/>
            <w:vAlign w:val="center"/>
          </w:tcPr>
          <w:p w14:paraId="59BA2EF6">
            <w:pPr>
              <w:widowControl/>
              <w:kinsoku w:val="0"/>
              <w:autoSpaceDE w:val="0"/>
              <w:autoSpaceDN w:val="0"/>
              <w:adjustRightInd w:val="0"/>
              <w:snapToGrid w:val="0"/>
              <w:spacing w:line="360" w:lineRule="auto"/>
              <w:jc w:val="center"/>
              <w:textAlignment w:val="baseline"/>
              <w:rPr>
                <w:rFonts w:hint="eastAsia" w:ascii="宋体" w:hAnsi="宋体" w:eastAsia="宋体" w:cs="宋体"/>
                <w:bCs/>
                <w:color w:val="auto"/>
                <w:kern w:val="0"/>
                <w:sz w:val="24"/>
                <w:highlight w:val="none"/>
              </w:rPr>
            </w:pPr>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56A87EBD">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1912FDAB">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089A36E8">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r w14:paraId="2C28C68B">
        <w:tblPrEx>
          <w:tblBorders>
            <w:top w:val="single" w:color="auto" w:sz="2" w:space="0"/>
            <w:left w:val="single" w:color="auto" w:sz="2" w:space="0"/>
            <w:bottom w:val="single" w:color="auto" w:sz="2" w:space="0"/>
            <w:right w:val="single" w:color="auto" w:sz="2" w:space="0"/>
            <w:insideH w:val="outset" w:color="auto" w:sz="6" w:space="0"/>
            <w:insideV w:val="outset" w:color="auto" w:sz="6" w:space="0"/>
          </w:tblBorders>
          <w:tblCellMar>
            <w:top w:w="0" w:type="dxa"/>
            <w:left w:w="0" w:type="dxa"/>
            <w:bottom w:w="0" w:type="dxa"/>
            <w:right w:w="0" w:type="dxa"/>
          </w:tblCellMar>
        </w:tblPrEx>
        <w:trPr>
          <w:trHeight w:val="427" w:hRule="atLeast"/>
        </w:trPr>
        <w:tc>
          <w:tcPr>
            <w:tcW w:w="584" w:type="pct"/>
            <w:tcBorders>
              <w:top w:val="single" w:color="auto" w:sz="2" w:space="0"/>
              <w:left w:val="single" w:color="auto" w:sz="2" w:space="0"/>
              <w:bottom w:val="single" w:color="auto" w:sz="2" w:space="0"/>
              <w:right w:val="single" w:color="auto" w:sz="2" w:space="0"/>
            </w:tcBorders>
            <w:shd w:val="clear" w:color="auto" w:fill="auto"/>
          </w:tcPr>
          <w:p w14:paraId="6BEAA64F">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1646" w:type="pct"/>
            <w:tcBorders>
              <w:top w:val="single" w:color="auto" w:sz="2" w:space="0"/>
              <w:left w:val="single" w:color="auto" w:sz="2" w:space="0"/>
              <w:bottom w:val="single" w:color="auto" w:sz="2" w:space="0"/>
              <w:right w:val="single" w:color="auto" w:sz="2" w:space="0"/>
            </w:tcBorders>
            <w:shd w:val="clear" w:color="auto" w:fill="auto"/>
            <w:vAlign w:val="center"/>
          </w:tcPr>
          <w:p w14:paraId="23FB232E">
            <w:pPr>
              <w:widowControl/>
              <w:kinsoku w:val="0"/>
              <w:autoSpaceDE w:val="0"/>
              <w:autoSpaceDN w:val="0"/>
              <w:adjustRightInd w:val="0"/>
              <w:snapToGrid w:val="0"/>
              <w:spacing w:line="360" w:lineRule="auto"/>
              <w:jc w:val="center"/>
              <w:textAlignment w:val="baseline"/>
              <w:rPr>
                <w:rFonts w:hint="eastAsia" w:ascii="宋体" w:hAnsi="宋体" w:eastAsia="宋体" w:cs="宋体"/>
                <w:bCs/>
                <w:color w:val="auto"/>
                <w:kern w:val="0"/>
                <w:sz w:val="24"/>
                <w:highlight w:val="none"/>
              </w:rPr>
            </w:pPr>
          </w:p>
        </w:tc>
        <w:tc>
          <w:tcPr>
            <w:tcW w:w="1640" w:type="pct"/>
            <w:tcBorders>
              <w:top w:val="single" w:color="auto" w:sz="2" w:space="0"/>
              <w:left w:val="single" w:color="auto" w:sz="2" w:space="0"/>
              <w:bottom w:val="single" w:color="auto" w:sz="2" w:space="0"/>
              <w:right w:val="single" w:color="auto" w:sz="2" w:space="0"/>
            </w:tcBorders>
            <w:shd w:val="clear" w:color="auto" w:fill="auto"/>
          </w:tcPr>
          <w:p w14:paraId="74816690">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708" w:type="pct"/>
            <w:tcBorders>
              <w:top w:val="single" w:color="auto" w:sz="2" w:space="0"/>
              <w:left w:val="single" w:color="auto" w:sz="2" w:space="0"/>
              <w:bottom w:val="single" w:color="auto" w:sz="2" w:space="0"/>
              <w:right w:val="single" w:color="auto" w:sz="2" w:space="0"/>
            </w:tcBorders>
            <w:shd w:val="clear" w:color="auto" w:fill="auto"/>
          </w:tcPr>
          <w:p w14:paraId="23488DC3">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c>
          <w:tcPr>
            <w:tcW w:w="420" w:type="pct"/>
            <w:tcBorders>
              <w:top w:val="single" w:color="auto" w:sz="2" w:space="0"/>
              <w:left w:val="single" w:color="auto" w:sz="2" w:space="0"/>
              <w:bottom w:val="single" w:color="auto" w:sz="2" w:space="0"/>
              <w:right w:val="single" w:color="auto" w:sz="2" w:space="0"/>
            </w:tcBorders>
            <w:shd w:val="clear" w:color="auto" w:fill="auto"/>
          </w:tcPr>
          <w:p w14:paraId="31733799">
            <w:pPr>
              <w:widowControl/>
              <w:kinsoku w:val="0"/>
              <w:autoSpaceDE w:val="0"/>
              <w:autoSpaceDN w:val="0"/>
              <w:adjustRightInd w:val="0"/>
              <w:snapToGrid w:val="0"/>
              <w:jc w:val="left"/>
              <w:textAlignment w:val="baseline"/>
              <w:rPr>
                <w:rFonts w:hint="eastAsia" w:ascii="宋体" w:hAnsi="宋体" w:eastAsia="宋体" w:cs="宋体"/>
                <w:color w:val="auto"/>
                <w:kern w:val="0"/>
                <w:sz w:val="24"/>
                <w:highlight w:val="none"/>
              </w:rPr>
            </w:pPr>
          </w:p>
        </w:tc>
      </w:tr>
    </w:tbl>
    <w:p w14:paraId="335593CB">
      <w:pPr>
        <w:widowControl/>
        <w:kinsoku w:val="0"/>
        <w:autoSpaceDE w:val="0"/>
        <w:autoSpaceDN w:val="0"/>
        <w:adjustRightInd w:val="0"/>
        <w:snapToGrid w:val="0"/>
        <w:spacing w:before="34"/>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3"/>
          <w:kern w:val="0"/>
          <w:sz w:val="24"/>
          <w:highlight w:val="none"/>
          <w:lang w:bidi="ar"/>
        </w:rPr>
        <w:t>说</w:t>
      </w:r>
      <w:r>
        <w:rPr>
          <w:rFonts w:hint="eastAsia" w:ascii="宋体" w:hAnsi="宋体" w:eastAsia="宋体" w:cs="宋体"/>
          <w:color w:val="auto"/>
          <w:spacing w:val="2"/>
          <w:kern w:val="0"/>
          <w:sz w:val="24"/>
          <w:highlight w:val="none"/>
          <w:lang w:bidi="ar"/>
        </w:rPr>
        <w:t>明：</w:t>
      </w:r>
    </w:p>
    <w:p w14:paraId="7513AFA7">
      <w:pPr>
        <w:numPr>
          <w:ilvl w:val="0"/>
          <w:numId w:val="8"/>
        </w:numPr>
        <w:autoSpaceDN w:val="0"/>
        <w:spacing w:line="360" w:lineRule="auto"/>
        <w:ind w:firstLine="480" w:firstLineChars="200"/>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供应商应对照招标文件商务要求，逐条说明已对招标文件的商务内容做出了实质性的响应，并申明与招标文件的偏差和例外。</w:t>
      </w:r>
    </w:p>
    <w:p w14:paraId="0F46A2DD">
      <w:pPr>
        <w:numPr>
          <w:ilvl w:val="0"/>
          <w:numId w:val="8"/>
        </w:numPr>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商务条款主要填列付款方式、合同履行期限 、服务地点、售后服务、服务质量保证、违约责任等重要条款方面的偏离情况。</w:t>
      </w:r>
    </w:p>
    <w:p w14:paraId="23E2C23E">
      <w:pPr>
        <w:autoSpaceDN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3、表内如果填列不全，可另外附页说明并按规定签字和加盖公章。             </w:t>
      </w:r>
    </w:p>
    <w:p w14:paraId="4D4282B7">
      <w:pPr>
        <w:widowControl/>
        <w:kinsoku w:val="0"/>
        <w:autoSpaceDE w:val="0"/>
        <w:autoSpaceDN w:val="0"/>
        <w:adjustRightInd w:val="0"/>
        <w:snapToGrid w:val="0"/>
        <w:spacing w:before="157" w:line="311" w:lineRule="exact"/>
        <w:ind w:left="477"/>
        <w:jc w:val="left"/>
        <w:textAlignment w:val="baseline"/>
        <w:outlineLvl w:val="0"/>
        <w:rPr>
          <w:rFonts w:hint="eastAsia" w:ascii="宋体" w:hAnsi="宋体" w:eastAsia="宋体" w:cs="宋体"/>
          <w:color w:val="auto"/>
          <w:kern w:val="0"/>
          <w:sz w:val="24"/>
          <w:highlight w:val="none"/>
        </w:rPr>
      </w:pPr>
      <w:bookmarkStart w:id="65" w:name="_Toc4006"/>
      <w:bookmarkStart w:id="66" w:name="_Toc28547"/>
      <w:r>
        <w:rPr>
          <w:rFonts w:hint="eastAsia" w:ascii="宋体" w:hAnsi="宋体" w:eastAsia="宋体" w:cs="宋体"/>
          <w:color w:val="auto"/>
          <w:sz w:val="24"/>
          <w:highlight w:val="none"/>
          <w:lang w:bidi="ar"/>
        </w:rPr>
        <w:t>4、此表可根据需要自行拉长加宽。</w:t>
      </w:r>
      <w:bookmarkEnd w:id="65"/>
      <w:bookmarkEnd w:id="66"/>
    </w:p>
    <w:p w14:paraId="0B9D772F">
      <w:pPr>
        <w:widowControl/>
        <w:kinsoku w:val="0"/>
        <w:autoSpaceDE w:val="0"/>
        <w:autoSpaceDN w:val="0"/>
        <w:adjustRightInd w:val="0"/>
        <w:snapToGrid w:val="0"/>
        <w:spacing w:before="157" w:line="311" w:lineRule="exact"/>
        <w:ind w:left="477"/>
        <w:jc w:val="left"/>
        <w:textAlignment w:val="baseline"/>
        <w:outlineLvl w:val="0"/>
        <w:rPr>
          <w:rFonts w:hint="eastAsia" w:ascii="宋体" w:hAnsi="宋体" w:eastAsia="宋体" w:cs="宋体"/>
          <w:color w:val="auto"/>
          <w:kern w:val="0"/>
          <w:sz w:val="24"/>
          <w:highlight w:val="none"/>
        </w:rPr>
      </w:pPr>
    </w:p>
    <w:p w14:paraId="32F1EB3D">
      <w:pPr>
        <w:widowControl/>
        <w:kinsoku w:val="0"/>
        <w:autoSpaceDE w:val="0"/>
        <w:autoSpaceDN w:val="0"/>
        <w:adjustRightInd w:val="0"/>
        <w:snapToGrid w:val="0"/>
        <w:spacing w:line="271" w:lineRule="auto"/>
        <w:jc w:val="left"/>
        <w:textAlignment w:val="baseline"/>
        <w:rPr>
          <w:rFonts w:hint="eastAsia" w:ascii="宋体" w:hAnsi="宋体" w:eastAsia="宋体" w:cs="宋体"/>
          <w:color w:val="auto"/>
          <w:kern w:val="0"/>
          <w:sz w:val="24"/>
          <w:highlight w:val="none"/>
        </w:rPr>
      </w:pPr>
    </w:p>
    <w:p w14:paraId="05DA609A">
      <w:pPr>
        <w:widowControl/>
        <w:kinsoku w:val="0"/>
        <w:autoSpaceDE w:val="0"/>
        <w:autoSpaceDN w:val="0"/>
        <w:adjustRightInd w:val="0"/>
        <w:snapToGrid w:val="0"/>
        <w:spacing w:line="271" w:lineRule="auto"/>
        <w:jc w:val="left"/>
        <w:textAlignment w:val="baseline"/>
        <w:rPr>
          <w:rFonts w:hint="eastAsia" w:ascii="宋体" w:hAnsi="宋体" w:eastAsia="宋体" w:cs="宋体"/>
          <w:color w:val="auto"/>
          <w:kern w:val="0"/>
          <w:sz w:val="24"/>
          <w:highlight w:val="none"/>
        </w:rPr>
      </w:pPr>
    </w:p>
    <w:p w14:paraId="25B89477">
      <w:pPr>
        <w:widowControl/>
        <w:kinsoku w:val="0"/>
        <w:autoSpaceDE w:val="0"/>
        <w:autoSpaceDN w:val="0"/>
        <w:adjustRightInd w:val="0"/>
        <w:snapToGrid w:val="0"/>
        <w:spacing w:before="75"/>
        <w:ind w:left="48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z w:val="24"/>
          <w:highlight w:val="none"/>
          <w:lang w:bidi="ar"/>
        </w:rPr>
        <w:t>投标人名称</w:t>
      </w:r>
      <w:r>
        <w:rPr>
          <w:rFonts w:hint="eastAsia" w:ascii="宋体" w:hAnsi="宋体" w:eastAsia="宋体" w:cs="宋体"/>
          <w:color w:val="auto"/>
          <w:spacing w:val="6"/>
          <w:kern w:val="0"/>
          <w:sz w:val="24"/>
          <w:highlight w:val="none"/>
          <w:lang w:bidi="ar"/>
        </w:rPr>
        <w:t xml:space="preserve"> (公章) ：</w:t>
      </w:r>
    </w:p>
    <w:p w14:paraId="35246CA0">
      <w:pPr>
        <w:widowControl/>
        <w:kinsoku w:val="0"/>
        <w:autoSpaceDE w:val="0"/>
        <w:autoSpaceDN w:val="0"/>
        <w:adjustRightInd w:val="0"/>
        <w:snapToGrid w:val="0"/>
        <w:spacing w:before="185" w:line="466" w:lineRule="exact"/>
        <w:ind w:left="480"/>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position w:val="17"/>
          <w:sz w:val="24"/>
          <w:highlight w:val="none"/>
          <w:lang w:bidi="ar"/>
        </w:rPr>
        <w:t>单</w:t>
      </w:r>
      <w:r>
        <w:rPr>
          <w:rFonts w:hint="eastAsia" w:ascii="宋体" w:hAnsi="宋体" w:eastAsia="宋体" w:cs="宋体"/>
          <w:color w:val="auto"/>
          <w:spacing w:val="13"/>
          <w:kern w:val="0"/>
          <w:position w:val="17"/>
          <w:sz w:val="24"/>
          <w:highlight w:val="none"/>
          <w:lang w:bidi="ar"/>
        </w:rPr>
        <w:t>位</w:t>
      </w:r>
      <w:r>
        <w:rPr>
          <w:rFonts w:hint="eastAsia" w:ascii="宋体" w:hAnsi="宋体" w:eastAsia="宋体" w:cs="宋体"/>
          <w:color w:val="auto"/>
          <w:spacing w:val="7"/>
          <w:kern w:val="0"/>
          <w:position w:val="17"/>
          <w:sz w:val="24"/>
          <w:highlight w:val="none"/>
          <w:lang w:bidi="ar"/>
        </w:rPr>
        <w:t>负责人或授权代理人 (签字) ：</w:t>
      </w:r>
    </w:p>
    <w:p w14:paraId="51681655">
      <w:pPr>
        <w:widowControl/>
        <w:kinsoku w:val="0"/>
        <w:autoSpaceDE w:val="0"/>
        <w:autoSpaceDN w:val="0"/>
        <w:adjustRightInd w:val="0"/>
        <w:snapToGrid w:val="0"/>
        <w:ind w:left="489"/>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9"/>
          <w:kern w:val="0"/>
          <w:sz w:val="24"/>
          <w:highlight w:val="none"/>
          <w:lang w:bidi="ar"/>
        </w:rPr>
        <w:t>时</w:t>
      </w:r>
      <w:r>
        <w:rPr>
          <w:rFonts w:hint="eastAsia" w:ascii="宋体" w:hAnsi="宋体" w:eastAsia="宋体" w:cs="宋体"/>
          <w:color w:val="auto"/>
          <w:spacing w:val="6"/>
          <w:kern w:val="0"/>
          <w:sz w:val="24"/>
          <w:highlight w:val="none"/>
          <w:lang w:bidi="ar"/>
        </w:rPr>
        <w:t>间：年月日</w:t>
      </w:r>
    </w:p>
    <w:p w14:paraId="0ED24791">
      <w:pPr>
        <w:rPr>
          <w:rFonts w:hint="eastAsia" w:ascii="宋体" w:hAnsi="宋体" w:eastAsia="宋体" w:cs="宋体"/>
          <w:color w:val="auto"/>
          <w:highlight w:val="none"/>
        </w:rPr>
        <w:sectPr>
          <w:pgSz w:w="11906" w:h="16839"/>
          <w:pgMar w:top="1440" w:right="1800" w:bottom="1440" w:left="1800" w:header="1" w:footer="660" w:gutter="1"/>
          <w:cols w:space="425" w:num="1"/>
          <w:docGrid w:type="lines" w:linePitch="312" w:charSpace="0"/>
        </w:sectPr>
      </w:pPr>
    </w:p>
    <w:p w14:paraId="6DFC9983">
      <w:pPr>
        <w:spacing w:line="360" w:lineRule="auto"/>
        <w:jc w:val="center"/>
        <w:outlineLvl w:val="2"/>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 xml:space="preserve">  八、技术部分内容</w:t>
      </w:r>
    </w:p>
    <w:p w14:paraId="0E9A24AA">
      <w:pPr>
        <w:autoSpaceDN w:val="0"/>
        <w:jc w:val="center"/>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（格式自拟）</w:t>
      </w:r>
    </w:p>
    <w:p w14:paraId="4A7D3ACA">
      <w:pPr>
        <w:spacing w:line="360" w:lineRule="auto"/>
        <w:jc w:val="center"/>
        <w:outlineLvl w:val="2"/>
        <w:rPr>
          <w:rFonts w:hint="eastAsia" w:ascii="宋体" w:hAnsi="宋体" w:eastAsia="宋体" w:cs="宋体"/>
          <w:b/>
          <w:bCs/>
          <w:color w:val="auto"/>
          <w:sz w:val="32"/>
          <w:szCs w:val="32"/>
          <w:highlight w:val="none"/>
          <w:lang w:bidi="ar"/>
        </w:rPr>
      </w:pPr>
      <w:r>
        <w:rPr>
          <w:rFonts w:hint="eastAsia" w:ascii="宋体" w:hAnsi="宋体" w:eastAsia="宋体" w:cs="宋体"/>
          <w:color w:val="auto"/>
          <w:sz w:val="28"/>
          <w:szCs w:val="28"/>
          <w:highlight w:val="none"/>
          <w:lang w:bidi="ar"/>
        </w:rPr>
        <w:br w:type="page"/>
      </w:r>
      <w:r>
        <w:rPr>
          <w:rFonts w:hint="eastAsia" w:ascii="宋体" w:hAnsi="宋体" w:eastAsia="宋体" w:cs="宋体"/>
          <w:b/>
          <w:bCs/>
          <w:color w:val="auto"/>
          <w:sz w:val="32"/>
          <w:szCs w:val="32"/>
          <w:highlight w:val="none"/>
          <w:lang w:bidi="ar"/>
        </w:rPr>
        <w:t>十、资格审查资料</w:t>
      </w:r>
    </w:p>
    <w:p w14:paraId="41453797">
      <w:pPr>
        <w:autoSpaceDN w:val="0"/>
        <w:jc w:val="cente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bidi="ar"/>
        </w:rPr>
        <w:t>（一）供应商情况表</w:t>
      </w:r>
    </w:p>
    <w:tbl>
      <w:tblPr>
        <w:tblStyle w:val="24"/>
        <w:tblW w:w="9108" w:type="dxa"/>
        <w:jc w:val="center"/>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2988"/>
        <w:gridCol w:w="1503"/>
        <w:gridCol w:w="2018"/>
        <w:gridCol w:w="2599"/>
      </w:tblGrid>
      <w:tr w14:paraId="124299D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82"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17727E64">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法定代表人</w:t>
            </w:r>
          </w:p>
        </w:tc>
        <w:tc>
          <w:tcPr>
            <w:tcW w:w="1503" w:type="dxa"/>
            <w:tcBorders>
              <w:top w:val="single" w:color="auto" w:sz="4" w:space="0"/>
              <w:left w:val="nil"/>
              <w:bottom w:val="single" w:color="auto" w:sz="4" w:space="0"/>
              <w:right w:val="single" w:color="auto" w:sz="4" w:space="0"/>
            </w:tcBorders>
            <w:shd w:val="clear" w:color="auto" w:fill="auto"/>
            <w:vAlign w:val="center"/>
          </w:tcPr>
          <w:p w14:paraId="1E677056">
            <w:pPr>
              <w:widowControl/>
              <w:autoSpaceDN w:val="0"/>
              <w:spacing w:line="360" w:lineRule="auto"/>
              <w:rPr>
                <w:rFonts w:hint="eastAsia" w:ascii="宋体" w:hAnsi="宋体" w:eastAsia="宋体" w:cs="宋体"/>
                <w:color w:val="auto"/>
                <w:sz w:val="24"/>
                <w:highlight w:val="none"/>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014D5AF4">
            <w:pPr>
              <w:widowControl/>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成立日期</w:t>
            </w:r>
          </w:p>
        </w:tc>
        <w:tc>
          <w:tcPr>
            <w:tcW w:w="2599" w:type="dxa"/>
            <w:tcBorders>
              <w:top w:val="single" w:color="auto" w:sz="4" w:space="0"/>
              <w:left w:val="nil"/>
              <w:bottom w:val="single" w:color="auto" w:sz="4" w:space="0"/>
              <w:right w:val="single" w:color="auto" w:sz="4" w:space="0"/>
            </w:tcBorders>
            <w:shd w:val="clear" w:color="auto" w:fill="auto"/>
            <w:vAlign w:val="center"/>
          </w:tcPr>
          <w:p w14:paraId="0FA6EF9A">
            <w:pPr>
              <w:widowControl/>
              <w:autoSpaceDN w:val="0"/>
              <w:spacing w:line="360" w:lineRule="auto"/>
              <w:rPr>
                <w:rFonts w:hint="eastAsia" w:ascii="宋体" w:hAnsi="宋体" w:eastAsia="宋体" w:cs="宋体"/>
                <w:color w:val="auto"/>
                <w:sz w:val="24"/>
                <w:highlight w:val="none"/>
              </w:rPr>
            </w:pPr>
          </w:p>
        </w:tc>
      </w:tr>
      <w:tr w14:paraId="4611D6F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73"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2013FF72">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企业地址</w:t>
            </w:r>
          </w:p>
        </w:tc>
        <w:tc>
          <w:tcPr>
            <w:tcW w:w="1503" w:type="dxa"/>
            <w:tcBorders>
              <w:top w:val="single" w:color="auto" w:sz="4" w:space="0"/>
              <w:left w:val="nil"/>
              <w:bottom w:val="single" w:color="auto" w:sz="4" w:space="0"/>
              <w:right w:val="single" w:color="auto" w:sz="4" w:space="0"/>
            </w:tcBorders>
            <w:shd w:val="clear" w:color="auto" w:fill="auto"/>
            <w:vAlign w:val="center"/>
          </w:tcPr>
          <w:p w14:paraId="3A3B74B2">
            <w:pPr>
              <w:widowControl/>
              <w:autoSpaceDN w:val="0"/>
              <w:spacing w:line="360" w:lineRule="auto"/>
              <w:rPr>
                <w:rFonts w:hint="eastAsia" w:ascii="宋体" w:hAnsi="宋体" w:eastAsia="宋体" w:cs="宋体"/>
                <w:color w:val="auto"/>
                <w:sz w:val="24"/>
                <w:highlight w:val="none"/>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15F89C4F">
            <w:pPr>
              <w:widowControl/>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注册资本</w:t>
            </w:r>
          </w:p>
        </w:tc>
        <w:tc>
          <w:tcPr>
            <w:tcW w:w="2599" w:type="dxa"/>
            <w:tcBorders>
              <w:top w:val="single" w:color="auto" w:sz="4" w:space="0"/>
              <w:left w:val="nil"/>
              <w:bottom w:val="single" w:color="auto" w:sz="4" w:space="0"/>
              <w:right w:val="single" w:color="auto" w:sz="4" w:space="0"/>
            </w:tcBorders>
            <w:shd w:val="clear" w:color="auto" w:fill="auto"/>
            <w:vAlign w:val="center"/>
          </w:tcPr>
          <w:p w14:paraId="7D913100">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万元</w:t>
            </w:r>
          </w:p>
        </w:tc>
      </w:tr>
      <w:tr w14:paraId="49BA01D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63"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356FC4D3">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经营范围</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1BDEB45D">
            <w:pPr>
              <w:widowControl/>
              <w:autoSpaceDN w:val="0"/>
              <w:spacing w:line="360" w:lineRule="auto"/>
              <w:rPr>
                <w:rFonts w:hint="eastAsia" w:ascii="宋体" w:hAnsi="宋体" w:eastAsia="宋体" w:cs="宋体"/>
                <w:color w:val="auto"/>
                <w:sz w:val="24"/>
                <w:highlight w:val="none"/>
              </w:rPr>
            </w:pPr>
          </w:p>
        </w:tc>
      </w:tr>
      <w:tr w14:paraId="142972E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7FE67052">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职工人数</w:t>
            </w:r>
          </w:p>
        </w:tc>
        <w:tc>
          <w:tcPr>
            <w:tcW w:w="1503" w:type="dxa"/>
            <w:tcBorders>
              <w:top w:val="single" w:color="auto" w:sz="4" w:space="0"/>
              <w:left w:val="nil"/>
              <w:bottom w:val="single" w:color="auto" w:sz="4" w:space="0"/>
              <w:right w:val="single" w:color="auto" w:sz="4" w:space="0"/>
            </w:tcBorders>
            <w:shd w:val="clear" w:color="auto" w:fill="auto"/>
            <w:vAlign w:val="center"/>
          </w:tcPr>
          <w:p w14:paraId="466FEF5A">
            <w:pPr>
              <w:widowControl/>
              <w:autoSpaceDN w:val="0"/>
              <w:spacing w:line="360" w:lineRule="auto"/>
              <w:rPr>
                <w:rFonts w:hint="eastAsia" w:ascii="宋体" w:hAnsi="宋体" w:eastAsia="宋体" w:cs="宋体"/>
                <w:color w:val="auto"/>
                <w:sz w:val="24"/>
                <w:highlight w:val="none"/>
              </w:rPr>
            </w:pPr>
          </w:p>
        </w:tc>
        <w:tc>
          <w:tcPr>
            <w:tcW w:w="2018" w:type="dxa"/>
            <w:tcBorders>
              <w:top w:val="single" w:color="auto" w:sz="4" w:space="0"/>
              <w:left w:val="nil"/>
              <w:bottom w:val="single" w:color="auto" w:sz="4" w:space="0"/>
              <w:right w:val="single" w:color="auto" w:sz="4" w:space="0"/>
            </w:tcBorders>
            <w:shd w:val="clear" w:color="auto" w:fill="auto"/>
            <w:vAlign w:val="center"/>
          </w:tcPr>
          <w:p w14:paraId="4F3E2962">
            <w:pPr>
              <w:widowControl/>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其中：中高级</w:t>
            </w:r>
          </w:p>
          <w:p w14:paraId="1EC67EB4">
            <w:pPr>
              <w:widowControl/>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以上职称的人数</w:t>
            </w:r>
          </w:p>
        </w:tc>
        <w:tc>
          <w:tcPr>
            <w:tcW w:w="2599" w:type="dxa"/>
            <w:tcBorders>
              <w:top w:val="single" w:color="auto" w:sz="4" w:space="0"/>
              <w:left w:val="nil"/>
              <w:bottom w:val="single" w:color="auto" w:sz="4" w:space="0"/>
              <w:right w:val="single" w:color="auto" w:sz="4" w:space="0"/>
            </w:tcBorders>
            <w:shd w:val="clear" w:color="auto" w:fill="auto"/>
            <w:vAlign w:val="center"/>
          </w:tcPr>
          <w:p w14:paraId="3FF77AA9">
            <w:pPr>
              <w:widowControl/>
              <w:autoSpaceDN w:val="0"/>
              <w:spacing w:line="360" w:lineRule="auto"/>
              <w:rPr>
                <w:rFonts w:hint="eastAsia" w:ascii="宋体" w:hAnsi="宋体" w:eastAsia="宋体" w:cs="宋体"/>
                <w:color w:val="auto"/>
                <w:sz w:val="24"/>
                <w:highlight w:val="none"/>
              </w:rPr>
            </w:pPr>
          </w:p>
        </w:tc>
      </w:tr>
      <w:tr w14:paraId="0E15AFF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97"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1528A7CF">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资产总计</w:t>
            </w:r>
          </w:p>
        </w:tc>
        <w:tc>
          <w:tcPr>
            <w:tcW w:w="1503" w:type="dxa"/>
            <w:tcBorders>
              <w:top w:val="single" w:color="auto" w:sz="4" w:space="0"/>
              <w:left w:val="nil"/>
              <w:bottom w:val="single" w:color="auto" w:sz="4" w:space="0"/>
              <w:right w:val="single" w:color="auto" w:sz="4" w:space="0"/>
            </w:tcBorders>
            <w:shd w:val="clear" w:color="auto" w:fill="auto"/>
            <w:vAlign w:val="center"/>
          </w:tcPr>
          <w:p w14:paraId="53BA7F06">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万元</w:t>
            </w:r>
          </w:p>
        </w:tc>
        <w:tc>
          <w:tcPr>
            <w:tcW w:w="2018" w:type="dxa"/>
            <w:tcBorders>
              <w:top w:val="single" w:color="auto" w:sz="4" w:space="0"/>
              <w:left w:val="nil"/>
              <w:bottom w:val="single" w:color="auto" w:sz="4" w:space="0"/>
              <w:right w:val="single" w:color="auto" w:sz="4" w:space="0"/>
            </w:tcBorders>
            <w:shd w:val="clear" w:color="auto" w:fill="auto"/>
            <w:vAlign w:val="center"/>
          </w:tcPr>
          <w:p w14:paraId="34A7E651">
            <w:pPr>
              <w:widowControl/>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净资产</w:t>
            </w:r>
          </w:p>
        </w:tc>
        <w:tc>
          <w:tcPr>
            <w:tcW w:w="2599" w:type="dxa"/>
            <w:tcBorders>
              <w:top w:val="single" w:color="auto" w:sz="4" w:space="0"/>
              <w:left w:val="nil"/>
              <w:bottom w:val="single" w:color="auto" w:sz="4" w:space="0"/>
              <w:right w:val="single" w:color="auto" w:sz="4" w:space="0"/>
            </w:tcBorders>
            <w:shd w:val="clear" w:color="auto" w:fill="auto"/>
            <w:vAlign w:val="center"/>
          </w:tcPr>
          <w:p w14:paraId="283B82CD">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          万元</w:t>
            </w:r>
          </w:p>
        </w:tc>
      </w:tr>
      <w:tr w14:paraId="1F3C7A7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710D5B9E">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股东权益</w:t>
            </w:r>
          </w:p>
        </w:tc>
        <w:tc>
          <w:tcPr>
            <w:tcW w:w="1503" w:type="dxa"/>
            <w:tcBorders>
              <w:top w:val="single" w:color="auto" w:sz="4" w:space="0"/>
              <w:left w:val="nil"/>
              <w:bottom w:val="single" w:color="auto" w:sz="4" w:space="0"/>
              <w:right w:val="single" w:color="auto" w:sz="4" w:space="0"/>
            </w:tcBorders>
            <w:shd w:val="clear" w:color="auto" w:fill="auto"/>
            <w:vAlign w:val="center"/>
          </w:tcPr>
          <w:p w14:paraId="2880AD04">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万元</w:t>
            </w:r>
          </w:p>
        </w:tc>
        <w:tc>
          <w:tcPr>
            <w:tcW w:w="2018" w:type="dxa"/>
            <w:tcBorders>
              <w:top w:val="single" w:color="auto" w:sz="4" w:space="0"/>
              <w:left w:val="nil"/>
              <w:bottom w:val="single" w:color="auto" w:sz="4" w:space="0"/>
              <w:right w:val="single" w:color="auto" w:sz="4" w:space="0"/>
            </w:tcBorders>
            <w:shd w:val="clear" w:color="auto" w:fill="auto"/>
            <w:vAlign w:val="center"/>
          </w:tcPr>
          <w:p w14:paraId="6B7A4C97">
            <w:pPr>
              <w:widowControl/>
              <w:autoSpaceDN w:val="0"/>
              <w:spacing w:line="360" w:lineRule="auto"/>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收入</w:t>
            </w:r>
          </w:p>
        </w:tc>
        <w:tc>
          <w:tcPr>
            <w:tcW w:w="2599" w:type="dxa"/>
            <w:tcBorders>
              <w:top w:val="single" w:color="auto" w:sz="4" w:space="0"/>
              <w:left w:val="nil"/>
              <w:bottom w:val="single" w:color="auto" w:sz="4" w:space="0"/>
              <w:right w:val="single" w:color="auto" w:sz="4" w:space="0"/>
            </w:tcBorders>
            <w:shd w:val="clear" w:color="auto" w:fill="auto"/>
            <w:vAlign w:val="center"/>
          </w:tcPr>
          <w:p w14:paraId="4DD92A66">
            <w:pPr>
              <w:widowControl/>
              <w:autoSpaceDN w:val="0"/>
              <w:spacing w:line="360" w:lineRule="auto"/>
              <w:ind w:firstLine="1200" w:firstLineChars="50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万元</w:t>
            </w:r>
          </w:p>
        </w:tc>
      </w:tr>
      <w:tr w14:paraId="3C5537F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17"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6E33519D">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实现利润</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41CEF630">
            <w:pPr>
              <w:widowControl/>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20 年     万元    </w:t>
            </w:r>
          </w:p>
          <w:p w14:paraId="3BC7568C">
            <w:pPr>
              <w:widowControl/>
              <w:autoSpaceDN w:val="0"/>
              <w:spacing w:line="360" w:lineRule="auto"/>
              <w:rPr>
                <w:rFonts w:hint="eastAsia" w:ascii="宋体" w:hAnsi="宋体" w:eastAsia="宋体" w:cs="宋体"/>
                <w:color w:val="auto"/>
                <w:sz w:val="24"/>
                <w:highlight w:val="none"/>
                <w:lang w:bidi="ar"/>
              </w:rPr>
            </w:pPr>
            <w:r>
              <w:rPr>
                <w:rFonts w:hint="eastAsia" w:ascii="宋体" w:hAnsi="宋体" w:eastAsia="宋体" w:cs="宋体"/>
                <w:color w:val="auto"/>
                <w:sz w:val="24"/>
                <w:highlight w:val="none"/>
                <w:lang w:bidi="ar"/>
              </w:rPr>
              <w:t xml:space="preserve">20 年     万元     </w:t>
            </w:r>
          </w:p>
          <w:p w14:paraId="694FFACB">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20 年     万元</w:t>
            </w:r>
          </w:p>
        </w:tc>
      </w:tr>
      <w:tr w14:paraId="2F3E789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318"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2C506F4C">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营业面积</w:t>
            </w:r>
          </w:p>
        </w:tc>
        <w:tc>
          <w:tcPr>
            <w:tcW w:w="1503" w:type="dxa"/>
            <w:tcBorders>
              <w:top w:val="single" w:color="auto" w:sz="4" w:space="0"/>
              <w:left w:val="nil"/>
              <w:bottom w:val="single" w:color="auto" w:sz="4" w:space="0"/>
              <w:right w:val="single" w:color="auto" w:sz="4" w:space="0"/>
            </w:tcBorders>
            <w:shd w:val="clear" w:color="auto" w:fill="auto"/>
            <w:vAlign w:val="center"/>
          </w:tcPr>
          <w:p w14:paraId="24CA806A">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平方米</w:t>
            </w:r>
          </w:p>
        </w:tc>
        <w:tc>
          <w:tcPr>
            <w:tcW w:w="2018" w:type="dxa"/>
            <w:tcBorders>
              <w:top w:val="single" w:color="auto" w:sz="4" w:space="0"/>
              <w:left w:val="nil"/>
              <w:bottom w:val="single" w:color="auto" w:sz="4" w:space="0"/>
              <w:right w:val="single" w:color="auto" w:sz="4" w:space="0"/>
            </w:tcBorders>
            <w:shd w:val="clear" w:color="auto" w:fill="auto"/>
            <w:vAlign w:val="center"/>
          </w:tcPr>
          <w:p w14:paraId="07AD3921">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其中：</w:t>
            </w:r>
          </w:p>
        </w:tc>
        <w:tc>
          <w:tcPr>
            <w:tcW w:w="2599" w:type="dxa"/>
            <w:tcBorders>
              <w:top w:val="single" w:color="auto" w:sz="4" w:space="0"/>
              <w:left w:val="nil"/>
              <w:bottom w:val="single" w:color="auto" w:sz="4" w:space="0"/>
              <w:right w:val="single" w:color="auto" w:sz="4" w:space="0"/>
            </w:tcBorders>
            <w:shd w:val="clear" w:color="auto" w:fill="auto"/>
            <w:vAlign w:val="center"/>
          </w:tcPr>
          <w:p w14:paraId="1B755991">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自有面积   平方米</w:t>
            </w:r>
          </w:p>
          <w:p w14:paraId="7FF9DA73">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承租面积   平方米</w:t>
            </w:r>
          </w:p>
        </w:tc>
      </w:tr>
      <w:tr w14:paraId="34CD603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1120"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0AA63592">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单位简历及内设机构及生产设备情况</w:t>
            </w:r>
          </w:p>
        </w:tc>
        <w:tc>
          <w:tcPr>
            <w:tcW w:w="6120" w:type="dxa"/>
            <w:gridSpan w:val="3"/>
            <w:tcBorders>
              <w:top w:val="single" w:color="auto" w:sz="4" w:space="0"/>
              <w:left w:val="nil"/>
              <w:bottom w:val="single" w:color="auto" w:sz="4" w:space="0"/>
              <w:right w:val="single" w:color="auto" w:sz="4" w:space="0"/>
            </w:tcBorders>
            <w:shd w:val="clear" w:color="auto" w:fill="auto"/>
            <w:vAlign w:val="center"/>
          </w:tcPr>
          <w:p w14:paraId="2561D24B">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（代理经销商不需填写生产设备情况）</w:t>
            </w:r>
          </w:p>
        </w:tc>
      </w:tr>
      <w:tr w14:paraId="37978E9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851" w:hRule="atLeast"/>
          <w:jc w:val="center"/>
        </w:trPr>
        <w:tc>
          <w:tcPr>
            <w:tcW w:w="2988" w:type="dxa"/>
            <w:tcBorders>
              <w:top w:val="single" w:color="auto" w:sz="4" w:space="0"/>
              <w:left w:val="single" w:color="auto" w:sz="4" w:space="0"/>
              <w:bottom w:val="single" w:color="auto" w:sz="4" w:space="0"/>
              <w:right w:val="single" w:color="auto" w:sz="4" w:space="0"/>
            </w:tcBorders>
            <w:shd w:val="clear" w:color="auto" w:fill="auto"/>
            <w:vAlign w:val="center"/>
          </w:tcPr>
          <w:p w14:paraId="45EFDC37">
            <w:pPr>
              <w:widowControl/>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其他需要说明的情况</w:t>
            </w:r>
          </w:p>
        </w:tc>
        <w:tc>
          <w:tcPr>
            <w:tcW w:w="6120" w:type="dxa"/>
            <w:gridSpan w:val="3"/>
            <w:tcBorders>
              <w:top w:val="single" w:color="auto" w:sz="4" w:space="0"/>
              <w:left w:val="nil"/>
              <w:bottom w:val="single" w:color="auto" w:sz="4" w:space="0"/>
              <w:right w:val="single" w:color="auto" w:sz="4" w:space="0"/>
            </w:tcBorders>
            <w:shd w:val="clear" w:color="auto" w:fill="auto"/>
          </w:tcPr>
          <w:p w14:paraId="1DE00E76">
            <w:pPr>
              <w:widowControl/>
              <w:autoSpaceDN w:val="0"/>
              <w:spacing w:line="360" w:lineRule="auto"/>
              <w:rPr>
                <w:rFonts w:hint="eastAsia" w:ascii="宋体" w:hAnsi="宋体" w:eastAsia="宋体" w:cs="宋体"/>
                <w:color w:val="auto"/>
                <w:sz w:val="24"/>
                <w:highlight w:val="none"/>
              </w:rPr>
            </w:pPr>
          </w:p>
        </w:tc>
      </w:tr>
    </w:tbl>
    <w:p w14:paraId="4C46533B">
      <w:pPr>
        <w:autoSpaceDN w:val="0"/>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注：如填写不真实，将导致废标；</w:t>
      </w:r>
    </w:p>
    <w:p w14:paraId="40F3DB7F">
      <w:pPr>
        <w:autoSpaceDN w:val="0"/>
        <w:spacing w:line="360" w:lineRule="auto"/>
        <w:rPr>
          <w:rFonts w:hint="eastAsia" w:ascii="宋体" w:hAnsi="宋体" w:eastAsia="宋体" w:cs="宋体"/>
          <w:color w:val="auto"/>
          <w:sz w:val="28"/>
          <w:szCs w:val="28"/>
          <w:highlight w:val="none"/>
        </w:rPr>
      </w:pPr>
      <w:r>
        <w:rPr>
          <w:rFonts w:hint="eastAsia" w:ascii="宋体" w:hAnsi="宋体" w:eastAsia="宋体" w:cs="宋体"/>
          <w:color w:val="auto"/>
          <w:sz w:val="24"/>
          <w:highlight w:val="none"/>
          <w:lang w:bidi="ar"/>
        </w:rPr>
        <w:t xml:space="preserve"> </w:t>
      </w:r>
    </w:p>
    <w:p w14:paraId="6638618A">
      <w:pPr>
        <w:autoSpaceDN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bidi="ar"/>
        </w:rPr>
        <w:br w:type="page"/>
      </w:r>
    </w:p>
    <w:p w14:paraId="1C02D323">
      <w:pPr>
        <w:numPr>
          <w:ilvl w:val="0"/>
          <w:numId w:val="9"/>
        </w:numPr>
        <w:autoSpaceDN w:val="0"/>
        <w:jc w:val="center"/>
        <w:rPr>
          <w:rFonts w:hint="eastAsia" w:ascii="宋体" w:hAnsi="宋体" w:eastAsia="宋体" w:cs="宋体"/>
          <w:color w:val="auto"/>
          <w:sz w:val="28"/>
          <w:szCs w:val="28"/>
          <w:highlight w:val="none"/>
          <w:lang w:bidi="ar"/>
        </w:rPr>
      </w:pPr>
      <w:r>
        <w:rPr>
          <w:rFonts w:hint="eastAsia" w:ascii="宋体" w:hAnsi="宋体" w:eastAsia="宋体" w:cs="宋体"/>
          <w:color w:val="auto"/>
          <w:sz w:val="28"/>
          <w:szCs w:val="28"/>
          <w:highlight w:val="none"/>
          <w:lang w:bidi="ar"/>
        </w:rPr>
        <w:t>信誉承诺书</w:t>
      </w:r>
    </w:p>
    <w:p w14:paraId="336A9DB0">
      <w:pPr>
        <w:autoSpaceDN w:val="0"/>
        <w:jc w:val="center"/>
        <w:rPr>
          <w:rFonts w:hint="eastAsia" w:ascii="宋体" w:hAnsi="宋体" w:eastAsia="宋体" w:cs="宋体"/>
          <w:b/>
          <w:bCs/>
          <w:color w:val="auto"/>
          <w:sz w:val="28"/>
          <w:szCs w:val="28"/>
          <w:highlight w:val="none"/>
        </w:rPr>
      </w:pPr>
      <w:r>
        <w:rPr>
          <w:rFonts w:hint="eastAsia" w:ascii="宋体" w:hAnsi="宋体" w:eastAsia="宋体" w:cs="宋体"/>
          <w:b/>
          <w:bCs/>
          <w:color w:val="auto"/>
          <w:sz w:val="28"/>
          <w:szCs w:val="28"/>
          <w:highlight w:val="none"/>
          <w:lang w:bidi="ar"/>
        </w:rPr>
        <w:t>有关提交资料的承诺书</w:t>
      </w:r>
    </w:p>
    <w:p w14:paraId="1C3036B7">
      <w:pPr>
        <w:autoSpaceDN w:val="0"/>
        <w:spacing w:line="360" w:lineRule="auto"/>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为表我司对本项目的诚意，我司承诺如我单位中标：我单位将配合采购人要求提供投标文件中提及的所有资料（如：业绩等）及资格审查文件中要求的资料（如营业执照等）等原件供采购人核实审查，我公司无企业不良行为记录，不是政府取消投标资格记录期间的企业。能够自觉遵守国家法律法规、执业准则和职业道德，近三年内没有因违法违规受过行政主管部门和行业协会的行政处罚。不是被列入失信被执行人，重大税收违法案件当事人名单、政府采购严重违法失信行为记录名单的供应商。</w:t>
      </w:r>
    </w:p>
    <w:p w14:paraId="00AFD2CA">
      <w:pPr>
        <w:autoSpaceDN w:val="0"/>
        <w:spacing w:line="360" w:lineRule="auto"/>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如发现提供的资料虚假资料的，采购人有权取消我司中标资格，没收投标保证金，由此对采购人造成的一切损失由我司承担。</w:t>
      </w:r>
    </w:p>
    <w:p w14:paraId="74364DB8">
      <w:pPr>
        <w:autoSpaceDN w:val="0"/>
        <w:rPr>
          <w:rFonts w:hint="eastAsia" w:ascii="宋体" w:hAnsi="宋体" w:eastAsia="宋体" w:cs="宋体"/>
          <w:color w:val="auto"/>
          <w:sz w:val="28"/>
          <w:szCs w:val="28"/>
          <w:highlight w:val="none"/>
        </w:rPr>
      </w:pPr>
    </w:p>
    <w:p w14:paraId="625090D7">
      <w:pPr>
        <w:pStyle w:val="3"/>
        <w:rPr>
          <w:rFonts w:hint="eastAsia" w:ascii="宋体" w:hAnsi="宋体" w:eastAsia="宋体" w:cs="宋体"/>
          <w:color w:val="auto"/>
          <w:sz w:val="28"/>
          <w:szCs w:val="28"/>
          <w:highlight w:val="none"/>
        </w:rPr>
      </w:pPr>
    </w:p>
    <w:p w14:paraId="47D17D5E">
      <w:pPr>
        <w:rPr>
          <w:rFonts w:hint="eastAsia" w:ascii="宋体" w:hAnsi="宋体" w:eastAsia="宋体" w:cs="宋体"/>
          <w:color w:val="auto"/>
          <w:highlight w:val="none"/>
        </w:rPr>
      </w:pPr>
    </w:p>
    <w:p w14:paraId="4AC36341">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投标人名称：                                     </w:t>
      </w:r>
    </w:p>
    <w:p w14:paraId="44C381D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法人代表或授权委托人（签字或盖章）：            </w:t>
      </w:r>
    </w:p>
    <w:p w14:paraId="1B59DF8B">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                             日期：      年    月    日</w:t>
      </w:r>
    </w:p>
    <w:p w14:paraId="61E18C52">
      <w:pPr>
        <w:autoSpaceDN w:val="0"/>
        <w:rPr>
          <w:rFonts w:hint="eastAsia" w:ascii="宋体" w:hAnsi="宋体" w:eastAsia="宋体" w:cs="宋体"/>
          <w:color w:val="auto"/>
          <w:sz w:val="28"/>
          <w:szCs w:val="28"/>
          <w:highlight w:val="none"/>
        </w:rPr>
      </w:pPr>
    </w:p>
    <w:p w14:paraId="24D101CE">
      <w:pPr>
        <w:autoSpaceDN w:val="0"/>
        <w:rPr>
          <w:rFonts w:hint="eastAsia" w:ascii="宋体" w:hAnsi="宋体" w:eastAsia="宋体" w:cs="宋体"/>
          <w:color w:val="auto"/>
          <w:sz w:val="28"/>
          <w:szCs w:val="28"/>
          <w:highlight w:val="none"/>
        </w:rPr>
      </w:pPr>
    </w:p>
    <w:p w14:paraId="013EF16A">
      <w:pPr>
        <w:autoSpaceDN w:val="0"/>
        <w:rPr>
          <w:rFonts w:hint="eastAsia" w:ascii="宋体" w:hAnsi="宋体" w:eastAsia="宋体" w:cs="宋体"/>
          <w:color w:val="auto"/>
          <w:sz w:val="28"/>
          <w:szCs w:val="28"/>
          <w:highlight w:val="none"/>
        </w:rPr>
      </w:pPr>
    </w:p>
    <w:p w14:paraId="088D60C5">
      <w:pPr>
        <w:autoSpaceDN w:val="0"/>
        <w:jc w:val="center"/>
        <w:rPr>
          <w:rFonts w:hint="eastAsia" w:ascii="宋体" w:hAnsi="宋体" w:eastAsia="宋体" w:cs="宋体"/>
          <w:b/>
          <w:bCs/>
          <w:color w:val="auto"/>
          <w:sz w:val="28"/>
          <w:szCs w:val="28"/>
          <w:highlight w:val="none"/>
          <w:lang w:bidi="ar"/>
        </w:rPr>
        <w:sectPr>
          <w:pgSz w:w="11906" w:h="16838"/>
          <w:pgMar w:top="1440" w:right="1800" w:bottom="1440" w:left="1800" w:header="851" w:footer="992" w:gutter="0"/>
          <w:cols w:space="425" w:num="1"/>
          <w:docGrid w:type="lines" w:linePitch="312" w:charSpace="0"/>
        </w:sectPr>
      </w:pPr>
    </w:p>
    <w:p w14:paraId="735017A0">
      <w:pPr>
        <w:autoSpaceDN w:val="0"/>
        <w:jc w:val="center"/>
        <w:rPr>
          <w:rFonts w:hint="eastAsia" w:ascii="宋体" w:hAnsi="宋体" w:eastAsia="宋体" w:cs="宋体"/>
          <w:b/>
          <w:bCs/>
          <w:color w:val="auto"/>
          <w:sz w:val="28"/>
          <w:szCs w:val="28"/>
          <w:highlight w:val="none"/>
          <w:lang w:bidi="ar"/>
        </w:rPr>
      </w:pPr>
      <w:r>
        <w:rPr>
          <w:rFonts w:hint="eastAsia" w:ascii="宋体" w:hAnsi="宋体" w:eastAsia="宋体" w:cs="宋体"/>
          <w:b/>
          <w:bCs/>
          <w:color w:val="auto"/>
          <w:sz w:val="28"/>
          <w:szCs w:val="28"/>
          <w:highlight w:val="none"/>
          <w:lang w:bidi="ar"/>
        </w:rPr>
        <w:t>有关相应技术需求承诺书</w:t>
      </w:r>
    </w:p>
    <w:p w14:paraId="62A7394D">
      <w:pPr>
        <w:autoSpaceDN w:val="0"/>
        <w:spacing w:line="360" w:lineRule="auto"/>
        <w:ind w:firstLine="42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我司承诺我单位编制的投标文件必须严格响应技术需求中的技术参数、功能等要求，如经采购人或评标专家发现投标文件没有完全响应招标文件及技术需求要求的，评委可对我单位的投标文件作废标处理。</w:t>
      </w:r>
    </w:p>
    <w:p w14:paraId="444E39A1">
      <w:pPr>
        <w:autoSpaceDN w:val="0"/>
        <w:rPr>
          <w:rFonts w:hint="eastAsia" w:ascii="宋体" w:hAnsi="宋体" w:eastAsia="宋体" w:cs="宋体"/>
          <w:color w:val="auto"/>
          <w:sz w:val="28"/>
          <w:szCs w:val="28"/>
          <w:highlight w:val="none"/>
        </w:rPr>
      </w:pPr>
    </w:p>
    <w:p w14:paraId="0805BC98">
      <w:pPr>
        <w:autoSpaceDN w:val="0"/>
        <w:rPr>
          <w:rFonts w:hint="eastAsia" w:ascii="宋体" w:hAnsi="宋体" w:eastAsia="宋体" w:cs="宋体"/>
          <w:color w:val="auto"/>
          <w:sz w:val="28"/>
          <w:szCs w:val="28"/>
          <w:highlight w:val="none"/>
        </w:rPr>
      </w:pPr>
    </w:p>
    <w:p w14:paraId="5F20C44C">
      <w:pPr>
        <w:autoSpaceDN w:val="0"/>
        <w:rPr>
          <w:rFonts w:hint="eastAsia" w:ascii="宋体" w:hAnsi="宋体" w:eastAsia="宋体" w:cs="宋体"/>
          <w:color w:val="auto"/>
          <w:sz w:val="28"/>
          <w:szCs w:val="28"/>
          <w:highlight w:val="none"/>
        </w:rPr>
      </w:pPr>
    </w:p>
    <w:p w14:paraId="0717707A">
      <w:pPr>
        <w:autoSpaceDN w:val="0"/>
        <w:rPr>
          <w:rFonts w:hint="eastAsia" w:ascii="宋体" w:hAnsi="宋体" w:eastAsia="宋体" w:cs="宋体"/>
          <w:color w:val="auto"/>
          <w:sz w:val="28"/>
          <w:szCs w:val="28"/>
          <w:highlight w:val="none"/>
        </w:rPr>
      </w:pPr>
    </w:p>
    <w:p w14:paraId="2942BC22">
      <w:pPr>
        <w:pStyle w:val="3"/>
        <w:rPr>
          <w:rFonts w:hint="eastAsia" w:ascii="宋体" w:hAnsi="宋体" w:eastAsia="宋体" w:cs="宋体"/>
          <w:color w:val="auto"/>
          <w:sz w:val="28"/>
          <w:szCs w:val="28"/>
          <w:highlight w:val="none"/>
        </w:rPr>
      </w:pPr>
    </w:p>
    <w:p w14:paraId="00382698">
      <w:pPr>
        <w:rPr>
          <w:rFonts w:hint="eastAsia" w:ascii="宋体" w:hAnsi="宋体" w:eastAsia="宋体" w:cs="宋体"/>
          <w:color w:val="auto"/>
          <w:sz w:val="28"/>
          <w:szCs w:val="28"/>
          <w:highlight w:val="none"/>
        </w:rPr>
      </w:pPr>
    </w:p>
    <w:p w14:paraId="052D3837">
      <w:pPr>
        <w:pStyle w:val="3"/>
        <w:rPr>
          <w:rFonts w:hint="eastAsia" w:ascii="宋体" w:hAnsi="宋体" w:eastAsia="宋体" w:cs="宋体"/>
          <w:color w:val="auto"/>
          <w:highlight w:val="none"/>
        </w:rPr>
      </w:pPr>
    </w:p>
    <w:p w14:paraId="32D242CA">
      <w:pPr>
        <w:autoSpaceDN w:val="0"/>
        <w:rPr>
          <w:rFonts w:hint="eastAsia" w:ascii="宋体" w:hAnsi="宋体" w:eastAsia="宋体" w:cs="宋体"/>
          <w:color w:val="auto"/>
          <w:sz w:val="24"/>
          <w:highlight w:val="none"/>
        </w:rPr>
      </w:pPr>
    </w:p>
    <w:p w14:paraId="4759190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投标人名称：                                       </w:t>
      </w:r>
    </w:p>
    <w:p w14:paraId="402327A8">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法人代表或授权委托人（签字或盖章）：              </w:t>
      </w:r>
    </w:p>
    <w:p w14:paraId="1FB53A0A">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                         日期：    年    月    日</w:t>
      </w:r>
    </w:p>
    <w:p w14:paraId="06805B97">
      <w:pPr>
        <w:autoSpaceDN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bidi="ar"/>
        </w:rPr>
        <w:br w:type="page"/>
      </w:r>
      <w:r>
        <w:rPr>
          <w:rFonts w:hint="eastAsia" w:ascii="宋体" w:hAnsi="宋体" w:eastAsia="宋体" w:cs="宋体"/>
          <w:color w:val="auto"/>
          <w:sz w:val="28"/>
          <w:szCs w:val="28"/>
          <w:highlight w:val="none"/>
          <w:lang w:bidi="ar"/>
        </w:rPr>
        <w:t>（九）类似项目经验（汇总表）</w:t>
      </w:r>
    </w:p>
    <w:p w14:paraId="05466E0D">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附表1-1</w:t>
      </w:r>
    </w:p>
    <w:p w14:paraId="79F8930E">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投标人名称：                           </w:t>
      </w:r>
    </w:p>
    <w:tbl>
      <w:tblPr>
        <w:tblStyle w:val="24"/>
        <w:tblW w:w="0" w:type="auto"/>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301"/>
        <w:gridCol w:w="7645"/>
      </w:tblGrid>
      <w:tr w14:paraId="01BAE7D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502E71FA">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序号</w:t>
            </w:r>
          </w:p>
        </w:tc>
        <w:tc>
          <w:tcPr>
            <w:tcW w:w="7645" w:type="dxa"/>
            <w:tcBorders>
              <w:top w:val="single" w:color="auto" w:sz="4" w:space="0"/>
              <w:left w:val="nil"/>
              <w:bottom w:val="single" w:color="auto" w:sz="4" w:space="0"/>
              <w:right w:val="single" w:color="auto" w:sz="4" w:space="0"/>
            </w:tcBorders>
            <w:shd w:val="clear" w:color="auto" w:fill="auto"/>
            <w:vAlign w:val="center"/>
          </w:tcPr>
          <w:p w14:paraId="20D76142">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项目名称</w:t>
            </w:r>
          </w:p>
        </w:tc>
      </w:tr>
      <w:tr w14:paraId="369F3D76">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7A5DB650">
            <w:pPr>
              <w:widowControl/>
              <w:autoSpaceDN w:val="0"/>
              <w:rPr>
                <w:rFonts w:hint="eastAsia" w:ascii="宋体" w:hAnsi="宋体" w:eastAsia="宋体" w:cs="宋体"/>
                <w:color w:val="auto"/>
                <w:sz w:val="24"/>
                <w:highlight w:val="none"/>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782821A2">
            <w:pPr>
              <w:widowControl/>
              <w:autoSpaceDN w:val="0"/>
              <w:rPr>
                <w:rFonts w:hint="eastAsia" w:ascii="宋体" w:hAnsi="宋体" w:eastAsia="宋体" w:cs="宋体"/>
                <w:color w:val="auto"/>
                <w:sz w:val="24"/>
                <w:highlight w:val="none"/>
              </w:rPr>
            </w:pPr>
          </w:p>
        </w:tc>
      </w:tr>
      <w:tr w14:paraId="600957E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1605AA37">
            <w:pPr>
              <w:widowControl/>
              <w:autoSpaceDN w:val="0"/>
              <w:rPr>
                <w:rFonts w:hint="eastAsia" w:ascii="宋体" w:hAnsi="宋体" w:eastAsia="宋体" w:cs="宋体"/>
                <w:color w:val="auto"/>
                <w:sz w:val="24"/>
                <w:highlight w:val="none"/>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725FCB5B">
            <w:pPr>
              <w:widowControl/>
              <w:autoSpaceDN w:val="0"/>
              <w:rPr>
                <w:rFonts w:hint="eastAsia" w:ascii="宋体" w:hAnsi="宋体" w:eastAsia="宋体" w:cs="宋体"/>
                <w:color w:val="auto"/>
                <w:sz w:val="24"/>
                <w:highlight w:val="none"/>
              </w:rPr>
            </w:pPr>
          </w:p>
        </w:tc>
      </w:tr>
      <w:tr w14:paraId="537CACD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617EC7EF">
            <w:pPr>
              <w:widowControl/>
              <w:autoSpaceDN w:val="0"/>
              <w:rPr>
                <w:rFonts w:hint="eastAsia" w:ascii="宋体" w:hAnsi="宋体" w:eastAsia="宋体" w:cs="宋体"/>
                <w:color w:val="auto"/>
                <w:sz w:val="24"/>
                <w:highlight w:val="none"/>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57C8F570">
            <w:pPr>
              <w:widowControl/>
              <w:autoSpaceDN w:val="0"/>
              <w:rPr>
                <w:rFonts w:hint="eastAsia" w:ascii="宋体" w:hAnsi="宋体" w:eastAsia="宋体" w:cs="宋体"/>
                <w:color w:val="auto"/>
                <w:sz w:val="24"/>
                <w:highlight w:val="none"/>
              </w:rPr>
            </w:pPr>
          </w:p>
        </w:tc>
      </w:tr>
      <w:tr w14:paraId="0C99BE75">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70FEB3AD">
            <w:pPr>
              <w:widowControl/>
              <w:autoSpaceDN w:val="0"/>
              <w:rPr>
                <w:rFonts w:hint="eastAsia" w:ascii="宋体" w:hAnsi="宋体" w:eastAsia="宋体" w:cs="宋体"/>
                <w:color w:val="auto"/>
                <w:sz w:val="24"/>
                <w:highlight w:val="none"/>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763FE74F">
            <w:pPr>
              <w:widowControl/>
              <w:autoSpaceDN w:val="0"/>
              <w:rPr>
                <w:rFonts w:hint="eastAsia" w:ascii="宋体" w:hAnsi="宋体" w:eastAsia="宋体" w:cs="宋体"/>
                <w:color w:val="auto"/>
                <w:sz w:val="24"/>
                <w:highlight w:val="none"/>
              </w:rPr>
            </w:pPr>
          </w:p>
        </w:tc>
      </w:tr>
      <w:tr w14:paraId="309F7DAD">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80" w:hRule="atLeast"/>
        </w:trPr>
        <w:tc>
          <w:tcPr>
            <w:tcW w:w="1301" w:type="dxa"/>
            <w:tcBorders>
              <w:top w:val="single" w:color="auto" w:sz="4" w:space="0"/>
              <w:left w:val="single" w:color="auto" w:sz="4" w:space="0"/>
              <w:bottom w:val="single" w:color="auto" w:sz="4" w:space="0"/>
              <w:right w:val="single" w:color="auto" w:sz="4" w:space="0"/>
            </w:tcBorders>
            <w:shd w:val="clear" w:color="auto" w:fill="auto"/>
            <w:vAlign w:val="center"/>
          </w:tcPr>
          <w:p w14:paraId="012C529E">
            <w:pPr>
              <w:widowControl/>
              <w:autoSpaceDN w:val="0"/>
              <w:rPr>
                <w:rFonts w:hint="eastAsia" w:ascii="宋体" w:hAnsi="宋体" w:eastAsia="宋体" w:cs="宋体"/>
                <w:color w:val="auto"/>
                <w:sz w:val="24"/>
                <w:highlight w:val="none"/>
              </w:rPr>
            </w:pPr>
          </w:p>
        </w:tc>
        <w:tc>
          <w:tcPr>
            <w:tcW w:w="7645" w:type="dxa"/>
            <w:tcBorders>
              <w:top w:val="single" w:color="auto" w:sz="4" w:space="0"/>
              <w:left w:val="nil"/>
              <w:bottom w:val="single" w:color="auto" w:sz="4" w:space="0"/>
              <w:right w:val="single" w:color="auto" w:sz="4" w:space="0"/>
            </w:tcBorders>
            <w:shd w:val="clear" w:color="auto" w:fill="auto"/>
            <w:vAlign w:val="center"/>
          </w:tcPr>
          <w:p w14:paraId="1C6A2F26">
            <w:pPr>
              <w:widowControl/>
              <w:autoSpaceDN w:val="0"/>
              <w:rPr>
                <w:rFonts w:hint="eastAsia" w:ascii="宋体" w:hAnsi="宋体" w:eastAsia="宋体" w:cs="宋体"/>
                <w:color w:val="auto"/>
                <w:sz w:val="24"/>
                <w:highlight w:val="none"/>
              </w:rPr>
            </w:pPr>
          </w:p>
        </w:tc>
      </w:tr>
    </w:tbl>
    <w:p w14:paraId="71A53604">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注：在本汇总表中所填列的工程项目须另外单独填写附表1-2，并按要求附相关的业绩证明资料。</w:t>
      </w:r>
    </w:p>
    <w:p w14:paraId="6A1629AE">
      <w:pPr>
        <w:autoSpaceDN w:val="0"/>
        <w:rPr>
          <w:rFonts w:hint="eastAsia" w:ascii="宋体" w:hAnsi="宋体" w:eastAsia="宋体" w:cs="宋体"/>
          <w:color w:val="auto"/>
          <w:sz w:val="28"/>
          <w:szCs w:val="28"/>
          <w:highlight w:val="none"/>
        </w:rPr>
      </w:pPr>
      <w:r>
        <w:rPr>
          <w:rFonts w:hint="eastAsia" w:ascii="宋体" w:hAnsi="宋体" w:eastAsia="宋体" w:cs="宋体"/>
          <w:color w:val="auto"/>
          <w:sz w:val="24"/>
          <w:highlight w:val="none"/>
          <w:lang w:bidi="ar"/>
        </w:rPr>
        <w:br w:type="page"/>
      </w:r>
      <w:r>
        <w:rPr>
          <w:rFonts w:hint="eastAsia" w:ascii="宋体" w:hAnsi="宋体" w:eastAsia="宋体" w:cs="宋体"/>
          <w:color w:val="auto"/>
          <w:sz w:val="28"/>
          <w:szCs w:val="28"/>
          <w:highlight w:val="none"/>
          <w:lang w:bidi="ar"/>
        </w:rPr>
        <w:t>附表1-2  类似项目经验</w:t>
      </w:r>
    </w:p>
    <w:p w14:paraId="6F49E1EF">
      <w:pPr>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 xml:space="preserve">投标人名称：                           </w:t>
      </w:r>
    </w:p>
    <w:tbl>
      <w:tblPr>
        <w:tblStyle w:val="24"/>
        <w:tblW w:w="8946" w:type="dxa"/>
        <w:tblInd w:w="0" w:type="dxa"/>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Layout w:type="fixed"/>
        <w:tblCellMar>
          <w:top w:w="0" w:type="dxa"/>
          <w:left w:w="108" w:type="dxa"/>
          <w:bottom w:w="0" w:type="dxa"/>
          <w:right w:w="108" w:type="dxa"/>
        </w:tblCellMar>
      </w:tblPr>
      <w:tblGrid>
        <w:gridCol w:w="1109"/>
        <w:gridCol w:w="3742"/>
        <w:gridCol w:w="4095"/>
      </w:tblGrid>
      <w:tr w14:paraId="08FB3FD3">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440"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006D72FB">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序号</w:t>
            </w:r>
          </w:p>
        </w:tc>
        <w:tc>
          <w:tcPr>
            <w:tcW w:w="3742" w:type="dxa"/>
            <w:tcBorders>
              <w:top w:val="single" w:color="auto" w:sz="4" w:space="0"/>
              <w:left w:val="nil"/>
              <w:bottom w:val="single" w:color="auto" w:sz="4" w:space="0"/>
              <w:right w:val="single" w:color="auto" w:sz="4" w:space="0"/>
            </w:tcBorders>
            <w:shd w:val="clear" w:color="auto" w:fill="auto"/>
            <w:vAlign w:val="center"/>
          </w:tcPr>
          <w:p w14:paraId="01E0C30E">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条款</w:t>
            </w:r>
          </w:p>
        </w:tc>
        <w:tc>
          <w:tcPr>
            <w:tcW w:w="4095" w:type="dxa"/>
            <w:tcBorders>
              <w:top w:val="single" w:color="auto" w:sz="4" w:space="0"/>
              <w:left w:val="nil"/>
              <w:bottom w:val="single" w:color="auto" w:sz="4" w:space="0"/>
              <w:right w:val="single" w:color="auto" w:sz="4" w:space="0"/>
            </w:tcBorders>
            <w:shd w:val="clear" w:color="auto" w:fill="auto"/>
            <w:vAlign w:val="center"/>
          </w:tcPr>
          <w:p w14:paraId="26A7A896">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项目</w:t>
            </w:r>
          </w:p>
        </w:tc>
      </w:tr>
      <w:tr w14:paraId="763C98F0">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24" w:hRule="atLeast"/>
        </w:trPr>
        <w:tc>
          <w:tcPr>
            <w:tcW w:w="1109" w:type="dxa"/>
            <w:vMerge w:val="restart"/>
            <w:tcBorders>
              <w:top w:val="nil"/>
              <w:left w:val="single" w:color="auto" w:sz="4" w:space="0"/>
              <w:bottom w:val="single" w:color="auto" w:sz="4" w:space="0"/>
              <w:right w:val="single" w:color="auto" w:sz="4" w:space="0"/>
            </w:tcBorders>
            <w:shd w:val="clear" w:color="auto" w:fill="auto"/>
            <w:vAlign w:val="center"/>
          </w:tcPr>
          <w:p w14:paraId="29CC24C2">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1</w:t>
            </w:r>
          </w:p>
        </w:tc>
        <w:tc>
          <w:tcPr>
            <w:tcW w:w="3742" w:type="dxa"/>
            <w:tcBorders>
              <w:top w:val="single" w:color="auto" w:sz="4" w:space="0"/>
              <w:left w:val="nil"/>
              <w:bottom w:val="single" w:color="auto" w:sz="4" w:space="0"/>
              <w:right w:val="single" w:color="auto" w:sz="4" w:space="0"/>
            </w:tcBorders>
            <w:shd w:val="clear" w:color="auto" w:fill="auto"/>
            <w:vAlign w:val="center"/>
          </w:tcPr>
          <w:p w14:paraId="17AAF0EC">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合同号</w:t>
            </w:r>
          </w:p>
        </w:tc>
        <w:tc>
          <w:tcPr>
            <w:tcW w:w="4095" w:type="dxa"/>
            <w:tcBorders>
              <w:top w:val="single" w:color="auto" w:sz="4" w:space="0"/>
              <w:left w:val="nil"/>
              <w:bottom w:val="single" w:color="auto" w:sz="4" w:space="0"/>
              <w:right w:val="single" w:color="auto" w:sz="4" w:space="0"/>
            </w:tcBorders>
            <w:shd w:val="clear" w:color="auto" w:fill="auto"/>
            <w:vAlign w:val="center"/>
          </w:tcPr>
          <w:p w14:paraId="13E93FAD">
            <w:pPr>
              <w:widowControl/>
              <w:autoSpaceDN w:val="0"/>
              <w:rPr>
                <w:rFonts w:hint="eastAsia" w:ascii="宋体" w:hAnsi="宋体" w:eastAsia="宋体" w:cs="宋体"/>
                <w:color w:val="auto"/>
                <w:sz w:val="24"/>
                <w:highlight w:val="none"/>
              </w:rPr>
            </w:pPr>
          </w:p>
        </w:tc>
      </w:tr>
      <w:tr w14:paraId="7A1E3F3F">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24" w:hRule="atLeast"/>
        </w:trPr>
        <w:tc>
          <w:tcPr>
            <w:tcW w:w="1109" w:type="dxa"/>
            <w:vMerge w:val="continue"/>
            <w:tcBorders>
              <w:top w:val="nil"/>
              <w:left w:val="single" w:color="auto" w:sz="4" w:space="0"/>
              <w:bottom w:val="single" w:color="auto" w:sz="4" w:space="0"/>
              <w:right w:val="single" w:color="auto" w:sz="4" w:space="0"/>
            </w:tcBorders>
            <w:shd w:val="clear" w:color="auto" w:fill="auto"/>
            <w:vAlign w:val="center"/>
          </w:tcPr>
          <w:p w14:paraId="0DC42384">
            <w:pPr>
              <w:jc w:val="center"/>
              <w:rPr>
                <w:rFonts w:hint="eastAsia" w:ascii="宋体" w:hAnsi="宋体" w:eastAsia="宋体" w:cs="宋体"/>
                <w:color w:val="auto"/>
                <w:sz w:val="24"/>
                <w:highlight w:val="none"/>
              </w:rPr>
            </w:pPr>
          </w:p>
        </w:tc>
        <w:tc>
          <w:tcPr>
            <w:tcW w:w="3742" w:type="dxa"/>
            <w:tcBorders>
              <w:top w:val="single" w:color="auto" w:sz="4" w:space="0"/>
              <w:left w:val="nil"/>
              <w:bottom w:val="single" w:color="auto" w:sz="4" w:space="0"/>
              <w:right w:val="single" w:color="auto" w:sz="4" w:space="0"/>
            </w:tcBorders>
            <w:shd w:val="clear" w:color="auto" w:fill="auto"/>
            <w:vAlign w:val="center"/>
          </w:tcPr>
          <w:p w14:paraId="3893459C">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合同名称</w:t>
            </w:r>
          </w:p>
        </w:tc>
        <w:tc>
          <w:tcPr>
            <w:tcW w:w="4095" w:type="dxa"/>
            <w:tcBorders>
              <w:top w:val="single" w:color="auto" w:sz="4" w:space="0"/>
              <w:left w:val="nil"/>
              <w:bottom w:val="single" w:color="auto" w:sz="4" w:space="0"/>
              <w:right w:val="single" w:color="auto" w:sz="4" w:space="0"/>
            </w:tcBorders>
            <w:shd w:val="clear" w:color="auto" w:fill="auto"/>
            <w:vAlign w:val="center"/>
          </w:tcPr>
          <w:p w14:paraId="04E25687">
            <w:pPr>
              <w:widowControl/>
              <w:autoSpaceDN w:val="0"/>
              <w:rPr>
                <w:rFonts w:hint="eastAsia" w:ascii="宋体" w:hAnsi="宋体" w:eastAsia="宋体" w:cs="宋体"/>
                <w:color w:val="auto"/>
                <w:sz w:val="24"/>
                <w:highlight w:val="none"/>
              </w:rPr>
            </w:pPr>
          </w:p>
        </w:tc>
      </w:tr>
      <w:tr w14:paraId="3B155C7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cantSplit/>
          <w:trHeight w:val="624" w:hRule="atLeast"/>
        </w:trPr>
        <w:tc>
          <w:tcPr>
            <w:tcW w:w="1109" w:type="dxa"/>
            <w:vMerge w:val="continue"/>
            <w:tcBorders>
              <w:top w:val="nil"/>
              <w:left w:val="single" w:color="auto" w:sz="4" w:space="0"/>
              <w:bottom w:val="single" w:color="auto" w:sz="4" w:space="0"/>
              <w:right w:val="single" w:color="auto" w:sz="4" w:space="0"/>
            </w:tcBorders>
            <w:shd w:val="clear" w:color="auto" w:fill="auto"/>
            <w:vAlign w:val="center"/>
          </w:tcPr>
          <w:p w14:paraId="756D5BA7">
            <w:pPr>
              <w:jc w:val="center"/>
              <w:rPr>
                <w:rFonts w:hint="eastAsia" w:ascii="宋体" w:hAnsi="宋体" w:eastAsia="宋体" w:cs="宋体"/>
                <w:color w:val="auto"/>
                <w:sz w:val="24"/>
                <w:highlight w:val="none"/>
              </w:rPr>
            </w:pPr>
          </w:p>
        </w:tc>
        <w:tc>
          <w:tcPr>
            <w:tcW w:w="3742" w:type="dxa"/>
            <w:tcBorders>
              <w:top w:val="single" w:color="auto" w:sz="4" w:space="0"/>
              <w:left w:val="nil"/>
              <w:bottom w:val="single" w:color="auto" w:sz="4" w:space="0"/>
              <w:right w:val="single" w:color="auto" w:sz="4" w:space="0"/>
            </w:tcBorders>
            <w:shd w:val="clear" w:color="auto" w:fill="auto"/>
            <w:vAlign w:val="center"/>
          </w:tcPr>
          <w:p w14:paraId="7F621AF6">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项目地址</w:t>
            </w:r>
          </w:p>
        </w:tc>
        <w:tc>
          <w:tcPr>
            <w:tcW w:w="4095" w:type="dxa"/>
            <w:tcBorders>
              <w:top w:val="single" w:color="auto" w:sz="4" w:space="0"/>
              <w:left w:val="nil"/>
              <w:bottom w:val="single" w:color="auto" w:sz="4" w:space="0"/>
              <w:right w:val="single" w:color="auto" w:sz="4" w:space="0"/>
            </w:tcBorders>
            <w:shd w:val="clear" w:color="auto" w:fill="auto"/>
            <w:vAlign w:val="center"/>
          </w:tcPr>
          <w:p w14:paraId="71B154F6">
            <w:pPr>
              <w:widowControl/>
              <w:autoSpaceDN w:val="0"/>
              <w:rPr>
                <w:rFonts w:hint="eastAsia" w:ascii="宋体" w:hAnsi="宋体" w:eastAsia="宋体" w:cs="宋体"/>
                <w:color w:val="auto"/>
                <w:sz w:val="24"/>
                <w:highlight w:val="none"/>
              </w:rPr>
            </w:pPr>
          </w:p>
        </w:tc>
      </w:tr>
      <w:tr w14:paraId="62DDD001">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3D897895">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2</w:t>
            </w:r>
          </w:p>
        </w:tc>
        <w:tc>
          <w:tcPr>
            <w:tcW w:w="3742" w:type="dxa"/>
            <w:tcBorders>
              <w:top w:val="single" w:color="auto" w:sz="4" w:space="0"/>
              <w:left w:val="nil"/>
              <w:bottom w:val="single" w:color="auto" w:sz="4" w:space="0"/>
              <w:right w:val="single" w:color="auto" w:sz="4" w:space="0"/>
            </w:tcBorders>
            <w:shd w:val="clear" w:color="auto" w:fill="auto"/>
            <w:vAlign w:val="center"/>
          </w:tcPr>
          <w:p w14:paraId="5DE3B1D0">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业主名称</w:t>
            </w:r>
          </w:p>
        </w:tc>
        <w:tc>
          <w:tcPr>
            <w:tcW w:w="4095" w:type="dxa"/>
            <w:tcBorders>
              <w:top w:val="single" w:color="auto" w:sz="4" w:space="0"/>
              <w:left w:val="nil"/>
              <w:bottom w:val="single" w:color="auto" w:sz="4" w:space="0"/>
              <w:right w:val="single" w:color="auto" w:sz="4" w:space="0"/>
            </w:tcBorders>
            <w:shd w:val="clear" w:color="auto" w:fill="auto"/>
            <w:vAlign w:val="center"/>
          </w:tcPr>
          <w:p w14:paraId="03294F8F">
            <w:pPr>
              <w:widowControl/>
              <w:autoSpaceDN w:val="0"/>
              <w:rPr>
                <w:rFonts w:hint="eastAsia" w:ascii="宋体" w:hAnsi="宋体" w:eastAsia="宋体" w:cs="宋体"/>
                <w:color w:val="auto"/>
                <w:sz w:val="24"/>
                <w:highlight w:val="none"/>
              </w:rPr>
            </w:pPr>
          </w:p>
        </w:tc>
      </w:tr>
      <w:tr w14:paraId="4B68D04B">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753"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728192E6">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3</w:t>
            </w:r>
          </w:p>
        </w:tc>
        <w:tc>
          <w:tcPr>
            <w:tcW w:w="3742" w:type="dxa"/>
            <w:tcBorders>
              <w:top w:val="single" w:color="auto" w:sz="4" w:space="0"/>
              <w:left w:val="nil"/>
              <w:bottom w:val="single" w:color="auto" w:sz="4" w:space="0"/>
              <w:right w:val="single" w:color="auto" w:sz="4" w:space="0"/>
            </w:tcBorders>
            <w:shd w:val="clear" w:color="auto" w:fill="auto"/>
            <w:vAlign w:val="center"/>
          </w:tcPr>
          <w:p w14:paraId="6FED7EE8">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业主负责人姓名及联系电话</w:t>
            </w:r>
          </w:p>
        </w:tc>
        <w:tc>
          <w:tcPr>
            <w:tcW w:w="4095" w:type="dxa"/>
            <w:tcBorders>
              <w:top w:val="single" w:color="auto" w:sz="4" w:space="0"/>
              <w:left w:val="nil"/>
              <w:bottom w:val="single" w:color="auto" w:sz="4" w:space="0"/>
              <w:right w:val="single" w:color="auto" w:sz="4" w:space="0"/>
            </w:tcBorders>
            <w:shd w:val="clear" w:color="auto" w:fill="auto"/>
            <w:vAlign w:val="center"/>
          </w:tcPr>
          <w:p w14:paraId="052A8624">
            <w:pPr>
              <w:widowControl/>
              <w:autoSpaceDN w:val="0"/>
              <w:rPr>
                <w:rFonts w:hint="eastAsia" w:ascii="宋体" w:hAnsi="宋体" w:eastAsia="宋体" w:cs="宋体"/>
                <w:color w:val="auto"/>
                <w:sz w:val="24"/>
                <w:highlight w:val="none"/>
              </w:rPr>
            </w:pPr>
          </w:p>
        </w:tc>
      </w:tr>
      <w:tr w14:paraId="1F2EE899">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0F0BB673">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4</w:t>
            </w:r>
          </w:p>
        </w:tc>
        <w:tc>
          <w:tcPr>
            <w:tcW w:w="3742" w:type="dxa"/>
            <w:tcBorders>
              <w:top w:val="single" w:color="auto" w:sz="4" w:space="0"/>
              <w:left w:val="nil"/>
              <w:bottom w:val="single" w:color="auto" w:sz="4" w:space="0"/>
              <w:right w:val="single" w:color="auto" w:sz="4" w:space="0"/>
            </w:tcBorders>
            <w:shd w:val="clear" w:color="auto" w:fill="auto"/>
            <w:vAlign w:val="center"/>
          </w:tcPr>
          <w:p w14:paraId="4F630E27">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与投标申请人所申请的合同相类似的性质和特点</w:t>
            </w:r>
          </w:p>
        </w:tc>
        <w:tc>
          <w:tcPr>
            <w:tcW w:w="4095" w:type="dxa"/>
            <w:tcBorders>
              <w:top w:val="single" w:color="auto" w:sz="4" w:space="0"/>
              <w:left w:val="nil"/>
              <w:bottom w:val="single" w:color="auto" w:sz="4" w:space="0"/>
              <w:right w:val="single" w:color="auto" w:sz="4" w:space="0"/>
            </w:tcBorders>
            <w:shd w:val="clear" w:color="auto" w:fill="auto"/>
            <w:vAlign w:val="center"/>
          </w:tcPr>
          <w:p w14:paraId="2622C6BC">
            <w:pPr>
              <w:widowControl/>
              <w:autoSpaceDN w:val="0"/>
              <w:rPr>
                <w:rFonts w:hint="eastAsia" w:ascii="宋体" w:hAnsi="宋体" w:eastAsia="宋体" w:cs="宋体"/>
                <w:color w:val="auto"/>
                <w:sz w:val="24"/>
                <w:highlight w:val="none"/>
              </w:rPr>
            </w:pPr>
          </w:p>
        </w:tc>
      </w:tr>
      <w:tr w14:paraId="7C692D8E">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930"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659E084D">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5</w:t>
            </w:r>
          </w:p>
        </w:tc>
        <w:tc>
          <w:tcPr>
            <w:tcW w:w="3742" w:type="dxa"/>
            <w:tcBorders>
              <w:top w:val="single" w:color="auto" w:sz="4" w:space="0"/>
              <w:left w:val="nil"/>
              <w:bottom w:val="single" w:color="auto" w:sz="4" w:space="0"/>
              <w:right w:val="single" w:color="auto" w:sz="4" w:space="0"/>
            </w:tcBorders>
            <w:shd w:val="clear" w:color="auto" w:fill="auto"/>
            <w:vAlign w:val="center"/>
          </w:tcPr>
          <w:p w14:paraId="7AB16030">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合同身份（注明其中之一）</w:t>
            </w:r>
          </w:p>
          <w:p w14:paraId="01C41910">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□独立承包人  □分包人 □联合体成员</w:t>
            </w:r>
          </w:p>
        </w:tc>
        <w:tc>
          <w:tcPr>
            <w:tcW w:w="4095" w:type="dxa"/>
            <w:tcBorders>
              <w:top w:val="single" w:color="auto" w:sz="4" w:space="0"/>
              <w:left w:val="nil"/>
              <w:bottom w:val="single" w:color="auto" w:sz="4" w:space="0"/>
              <w:right w:val="single" w:color="auto" w:sz="4" w:space="0"/>
            </w:tcBorders>
            <w:shd w:val="clear" w:color="auto" w:fill="auto"/>
            <w:vAlign w:val="center"/>
          </w:tcPr>
          <w:p w14:paraId="5B022598">
            <w:pPr>
              <w:widowControl/>
              <w:autoSpaceDN w:val="0"/>
              <w:rPr>
                <w:rFonts w:hint="eastAsia" w:ascii="宋体" w:hAnsi="宋体" w:eastAsia="宋体" w:cs="宋体"/>
                <w:color w:val="auto"/>
                <w:sz w:val="24"/>
                <w:highlight w:val="none"/>
              </w:rPr>
            </w:pPr>
          </w:p>
        </w:tc>
      </w:tr>
      <w:tr w14:paraId="1ED904C4">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6A05A2A9">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6</w:t>
            </w:r>
          </w:p>
        </w:tc>
        <w:tc>
          <w:tcPr>
            <w:tcW w:w="3742" w:type="dxa"/>
            <w:tcBorders>
              <w:top w:val="single" w:color="auto" w:sz="4" w:space="0"/>
              <w:left w:val="nil"/>
              <w:bottom w:val="single" w:color="auto" w:sz="4" w:space="0"/>
              <w:right w:val="single" w:color="auto" w:sz="4" w:space="0"/>
            </w:tcBorders>
            <w:shd w:val="clear" w:color="auto" w:fill="auto"/>
            <w:vAlign w:val="center"/>
          </w:tcPr>
          <w:p w14:paraId="753E13D2">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合同总价</w:t>
            </w:r>
          </w:p>
        </w:tc>
        <w:tc>
          <w:tcPr>
            <w:tcW w:w="4095" w:type="dxa"/>
            <w:tcBorders>
              <w:top w:val="single" w:color="auto" w:sz="4" w:space="0"/>
              <w:left w:val="nil"/>
              <w:bottom w:val="single" w:color="auto" w:sz="4" w:space="0"/>
              <w:right w:val="single" w:color="auto" w:sz="4" w:space="0"/>
            </w:tcBorders>
            <w:shd w:val="clear" w:color="auto" w:fill="auto"/>
            <w:vAlign w:val="center"/>
          </w:tcPr>
          <w:p w14:paraId="698B44BD">
            <w:pPr>
              <w:widowControl/>
              <w:autoSpaceDN w:val="0"/>
              <w:rPr>
                <w:rFonts w:hint="eastAsia" w:ascii="宋体" w:hAnsi="宋体" w:eastAsia="宋体" w:cs="宋体"/>
                <w:color w:val="auto"/>
                <w:sz w:val="24"/>
                <w:highlight w:val="none"/>
              </w:rPr>
            </w:pPr>
          </w:p>
        </w:tc>
      </w:tr>
      <w:tr w14:paraId="69CE45CA">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0698A195">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7</w:t>
            </w:r>
          </w:p>
        </w:tc>
        <w:tc>
          <w:tcPr>
            <w:tcW w:w="3742" w:type="dxa"/>
            <w:tcBorders>
              <w:top w:val="single" w:color="auto" w:sz="4" w:space="0"/>
              <w:left w:val="nil"/>
              <w:bottom w:val="single" w:color="auto" w:sz="4" w:space="0"/>
              <w:right w:val="single" w:color="auto" w:sz="4" w:space="0"/>
            </w:tcBorders>
            <w:shd w:val="clear" w:color="auto" w:fill="auto"/>
            <w:vAlign w:val="center"/>
          </w:tcPr>
          <w:p w14:paraId="287B8475">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合同授予时间</w:t>
            </w:r>
          </w:p>
        </w:tc>
        <w:tc>
          <w:tcPr>
            <w:tcW w:w="4095" w:type="dxa"/>
            <w:tcBorders>
              <w:top w:val="single" w:color="auto" w:sz="4" w:space="0"/>
              <w:left w:val="nil"/>
              <w:bottom w:val="single" w:color="auto" w:sz="4" w:space="0"/>
              <w:right w:val="single" w:color="auto" w:sz="4" w:space="0"/>
            </w:tcBorders>
            <w:shd w:val="clear" w:color="auto" w:fill="auto"/>
            <w:vAlign w:val="center"/>
          </w:tcPr>
          <w:p w14:paraId="2595403E">
            <w:pPr>
              <w:widowControl/>
              <w:autoSpaceDN w:val="0"/>
              <w:rPr>
                <w:rFonts w:hint="eastAsia" w:ascii="宋体" w:hAnsi="宋体" w:eastAsia="宋体" w:cs="宋体"/>
                <w:color w:val="auto"/>
                <w:sz w:val="24"/>
                <w:highlight w:val="none"/>
              </w:rPr>
            </w:pPr>
          </w:p>
        </w:tc>
      </w:tr>
      <w:tr w14:paraId="6DFE6B12">
        <w:tblPrEx>
          <w:tblBorders>
            <w:top w:val="single" w:color="auto" w:sz="4" w:space="0"/>
            <w:left w:val="single" w:color="auto" w:sz="4" w:space="0"/>
            <w:bottom w:val="single" w:color="auto" w:sz="4" w:space="0"/>
            <w:right w:val="single" w:color="auto" w:sz="4" w:space="0"/>
            <w:insideH w:val="outset" w:color="auto" w:sz="6" w:space="0"/>
            <w:insideV w:val="outset" w:color="auto" w:sz="6" w:space="0"/>
          </w:tblBorders>
          <w:tblCellMar>
            <w:top w:w="0" w:type="dxa"/>
            <w:left w:w="108" w:type="dxa"/>
            <w:bottom w:w="0" w:type="dxa"/>
            <w:right w:w="108" w:type="dxa"/>
          </w:tblCellMar>
        </w:tblPrEx>
        <w:trPr>
          <w:trHeight w:val="624" w:hRule="atLeast"/>
        </w:trPr>
        <w:tc>
          <w:tcPr>
            <w:tcW w:w="1109" w:type="dxa"/>
            <w:tcBorders>
              <w:top w:val="single" w:color="auto" w:sz="4" w:space="0"/>
              <w:left w:val="single" w:color="auto" w:sz="4" w:space="0"/>
              <w:bottom w:val="single" w:color="auto" w:sz="4" w:space="0"/>
              <w:right w:val="single" w:color="auto" w:sz="4" w:space="0"/>
            </w:tcBorders>
            <w:shd w:val="clear" w:color="auto" w:fill="auto"/>
            <w:vAlign w:val="center"/>
          </w:tcPr>
          <w:p w14:paraId="29584A39">
            <w:pPr>
              <w:widowControl/>
              <w:autoSpaceDN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8</w:t>
            </w:r>
          </w:p>
        </w:tc>
        <w:tc>
          <w:tcPr>
            <w:tcW w:w="3742" w:type="dxa"/>
            <w:tcBorders>
              <w:top w:val="single" w:color="auto" w:sz="4" w:space="0"/>
              <w:left w:val="nil"/>
              <w:bottom w:val="single" w:color="auto" w:sz="4" w:space="0"/>
              <w:right w:val="single" w:color="auto" w:sz="4" w:space="0"/>
            </w:tcBorders>
            <w:shd w:val="clear" w:color="auto" w:fill="auto"/>
            <w:vAlign w:val="center"/>
          </w:tcPr>
          <w:p w14:paraId="3B243F81">
            <w:pPr>
              <w:widowControl/>
              <w:autoSpaceDN w:val="0"/>
              <w:rPr>
                <w:rFonts w:hint="eastAsia" w:ascii="宋体" w:hAnsi="宋体" w:eastAsia="宋体" w:cs="宋体"/>
                <w:color w:val="auto"/>
                <w:sz w:val="24"/>
                <w:highlight w:val="none"/>
              </w:rPr>
            </w:pPr>
            <w:r>
              <w:rPr>
                <w:rFonts w:hint="eastAsia" w:ascii="宋体" w:hAnsi="宋体" w:eastAsia="宋体" w:cs="宋体"/>
                <w:color w:val="auto"/>
                <w:sz w:val="24"/>
                <w:highlight w:val="none"/>
                <w:lang w:bidi="ar"/>
              </w:rPr>
              <w:t>完成时间</w:t>
            </w:r>
          </w:p>
        </w:tc>
        <w:tc>
          <w:tcPr>
            <w:tcW w:w="4095" w:type="dxa"/>
            <w:tcBorders>
              <w:top w:val="single" w:color="auto" w:sz="4" w:space="0"/>
              <w:left w:val="nil"/>
              <w:bottom w:val="single" w:color="auto" w:sz="4" w:space="0"/>
              <w:right w:val="single" w:color="auto" w:sz="4" w:space="0"/>
            </w:tcBorders>
            <w:shd w:val="clear" w:color="auto" w:fill="auto"/>
            <w:vAlign w:val="center"/>
          </w:tcPr>
          <w:p w14:paraId="78A506AF">
            <w:pPr>
              <w:widowControl/>
              <w:autoSpaceDN w:val="0"/>
              <w:rPr>
                <w:rFonts w:hint="eastAsia" w:ascii="宋体" w:hAnsi="宋体" w:eastAsia="宋体" w:cs="宋体"/>
                <w:color w:val="auto"/>
                <w:sz w:val="24"/>
                <w:highlight w:val="none"/>
              </w:rPr>
            </w:pPr>
          </w:p>
        </w:tc>
      </w:tr>
    </w:tbl>
    <w:p w14:paraId="545E8959">
      <w:pPr>
        <w:autoSpaceDN w:val="0"/>
        <w:rPr>
          <w:rFonts w:hint="eastAsia" w:ascii="宋体" w:hAnsi="宋体" w:eastAsia="宋体" w:cs="宋体"/>
          <w:color w:val="auto"/>
          <w:sz w:val="28"/>
          <w:szCs w:val="28"/>
          <w:highlight w:val="none"/>
        </w:rPr>
      </w:pPr>
      <w:r>
        <w:rPr>
          <w:rFonts w:hint="eastAsia" w:ascii="宋体" w:hAnsi="宋体" w:eastAsia="宋体" w:cs="宋体"/>
          <w:color w:val="auto"/>
          <w:sz w:val="24"/>
          <w:highlight w:val="none"/>
          <w:lang w:bidi="ar"/>
        </w:rPr>
        <w:t>注：1.如供应商提供了虚假的证明材料，一经查实，除没收投标保证金外，还将依法追究相应的责任；若在中标之后查出有虚假，还应取消供应商的中标资格。</w:t>
      </w:r>
    </w:p>
    <w:p w14:paraId="49C80641">
      <w:pPr>
        <w:autoSpaceDN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bidi="ar"/>
        </w:rPr>
        <w:br w:type="page"/>
      </w:r>
    </w:p>
    <w:p w14:paraId="19A4CD2C">
      <w:pPr>
        <w:autoSpaceDN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lang w:bidi="ar"/>
        </w:rPr>
        <w:t>（三）供应商资格证明文件</w:t>
      </w:r>
    </w:p>
    <w:p w14:paraId="625FD77D">
      <w:pPr>
        <w:autoSpaceDN w:val="0"/>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招标文件要求提交的其他证明文件</w:t>
      </w:r>
    </w:p>
    <w:p w14:paraId="11DAD3B2">
      <w:pPr>
        <w:autoSpaceDN w:val="0"/>
        <w:rPr>
          <w:rFonts w:hint="eastAsia" w:ascii="宋体" w:hAnsi="宋体" w:eastAsia="宋体" w:cs="宋体"/>
          <w:color w:val="auto"/>
          <w:sz w:val="28"/>
          <w:szCs w:val="28"/>
          <w:highlight w:val="none"/>
        </w:rPr>
      </w:pPr>
    </w:p>
    <w:p w14:paraId="12F7FBC1">
      <w:pPr>
        <w:autoSpaceDN w:val="0"/>
        <w:rPr>
          <w:rFonts w:hint="eastAsia" w:ascii="宋体" w:hAnsi="宋体" w:eastAsia="宋体" w:cs="宋体"/>
          <w:color w:val="auto"/>
          <w:sz w:val="28"/>
          <w:szCs w:val="28"/>
          <w:highlight w:val="none"/>
        </w:rPr>
      </w:pPr>
    </w:p>
    <w:p w14:paraId="4E81D568">
      <w:pPr>
        <w:autoSpaceDN w:val="0"/>
        <w:rPr>
          <w:rFonts w:hint="eastAsia" w:ascii="宋体" w:hAnsi="宋体" w:eastAsia="宋体" w:cs="宋体"/>
          <w:color w:val="auto"/>
          <w:sz w:val="28"/>
          <w:szCs w:val="28"/>
          <w:highlight w:val="none"/>
        </w:rPr>
      </w:pPr>
    </w:p>
    <w:p w14:paraId="65E4DCC2">
      <w:pPr>
        <w:autoSpaceDN w:val="0"/>
        <w:rPr>
          <w:rFonts w:hint="eastAsia" w:ascii="宋体" w:hAnsi="宋体" w:eastAsia="宋体" w:cs="宋体"/>
          <w:color w:val="auto"/>
          <w:sz w:val="28"/>
          <w:szCs w:val="28"/>
          <w:highlight w:val="none"/>
        </w:rPr>
      </w:pPr>
    </w:p>
    <w:p w14:paraId="17F5E07C">
      <w:pPr>
        <w:autoSpaceDN w:val="0"/>
        <w:rPr>
          <w:rFonts w:hint="eastAsia" w:ascii="宋体" w:hAnsi="宋体" w:eastAsia="宋体" w:cs="宋体"/>
          <w:color w:val="auto"/>
          <w:sz w:val="28"/>
          <w:szCs w:val="28"/>
          <w:highlight w:val="none"/>
        </w:rPr>
      </w:pPr>
    </w:p>
    <w:p w14:paraId="4EB1BF00">
      <w:pPr>
        <w:autoSpaceDN w:val="0"/>
        <w:rPr>
          <w:rFonts w:hint="eastAsia" w:ascii="宋体" w:hAnsi="宋体" w:eastAsia="宋体" w:cs="宋体"/>
          <w:color w:val="auto"/>
          <w:sz w:val="28"/>
          <w:szCs w:val="28"/>
          <w:highlight w:val="none"/>
        </w:rPr>
      </w:pPr>
    </w:p>
    <w:p w14:paraId="13F9478F">
      <w:pPr>
        <w:autoSpaceDN w:val="0"/>
        <w:rPr>
          <w:rFonts w:hint="eastAsia" w:ascii="宋体" w:hAnsi="宋体" w:eastAsia="宋体" w:cs="宋体"/>
          <w:color w:val="auto"/>
          <w:sz w:val="28"/>
          <w:szCs w:val="28"/>
          <w:highlight w:val="none"/>
        </w:rPr>
      </w:pPr>
    </w:p>
    <w:p w14:paraId="5D3AE348">
      <w:pPr>
        <w:autoSpaceDN w:val="0"/>
        <w:rPr>
          <w:rFonts w:hint="eastAsia" w:ascii="宋体" w:hAnsi="宋体" w:eastAsia="宋体" w:cs="宋体"/>
          <w:color w:val="auto"/>
          <w:sz w:val="28"/>
          <w:szCs w:val="28"/>
          <w:highlight w:val="none"/>
        </w:rPr>
      </w:pPr>
    </w:p>
    <w:p w14:paraId="372E330C">
      <w:pPr>
        <w:autoSpaceDN w:val="0"/>
        <w:rPr>
          <w:rFonts w:hint="eastAsia" w:ascii="宋体" w:hAnsi="宋体" w:eastAsia="宋体" w:cs="宋体"/>
          <w:color w:val="auto"/>
          <w:sz w:val="28"/>
          <w:szCs w:val="28"/>
          <w:highlight w:val="none"/>
        </w:rPr>
      </w:pPr>
    </w:p>
    <w:p w14:paraId="026930CD">
      <w:pPr>
        <w:autoSpaceDN w:val="0"/>
        <w:rPr>
          <w:rFonts w:hint="eastAsia" w:ascii="宋体" w:hAnsi="宋体" w:eastAsia="宋体" w:cs="宋体"/>
          <w:color w:val="auto"/>
          <w:sz w:val="28"/>
          <w:szCs w:val="28"/>
          <w:highlight w:val="none"/>
        </w:rPr>
      </w:pPr>
    </w:p>
    <w:p w14:paraId="1881C8FF">
      <w:pPr>
        <w:autoSpaceDN w:val="0"/>
        <w:rPr>
          <w:rFonts w:hint="eastAsia" w:ascii="宋体" w:hAnsi="宋体" w:eastAsia="宋体" w:cs="宋体"/>
          <w:color w:val="auto"/>
          <w:sz w:val="28"/>
          <w:szCs w:val="28"/>
          <w:highlight w:val="none"/>
        </w:rPr>
      </w:pPr>
    </w:p>
    <w:p w14:paraId="46088BAC">
      <w:pPr>
        <w:autoSpaceDN w:val="0"/>
        <w:rPr>
          <w:rFonts w:hint="eastAsia" w:ascii="宋体" w:hAnsi="宋体" w:eastAsia="宋体" w:cs="宋体"/>
          <w:color w:val="auto"/>
          <w:sz w:val="28"/>
          <w:szCs w:val="28"/>
          <w:highlight w:val="none"/>
        </w:rPr>
      </w:pPr>
    </w:p>
    <w:p w14:paraId="50E31655">
      <w:pPr>
        <w:autoSpaceDN w:val="0"/>
        <w:rPr>
          <w:rFonts w:hint="eastAsia" w:ascii="宋体" w:hAnsi="宋体" w:eastAsia="宋体" w:cs="宋体"/>
          <w:color w:val="auto"/>
          <w:sz w:val="28"/>
          <w:szCs w:val="28"/>
          <w:highlight w:val="none"/>
        </w:rPr>
      </w:pPr>
    </w:p>
    <w:p w14:paraId="32DC9458">
      <w:pPr>
        <w:autoSpaceDN w:val="0"/>
        <w:rPr>
          <w:rFonts w:hint="eastAsia" w:ascii="宋体" w:hAnsi="宋体" w:eastAsia="宋体" w:cs="宋体"/>
          <w:color w:val="auto"/>
          <w:sz w:val="28"/>
          <w:szCs w:val="28"/>
          <w:highlight w:val="none"/>
        </w:rPr>
      </w:pPr>
    </w:p>
    <w:p w14:paraId="513E0E47">
      <w:pPr>
        <w:autoSpaceDN w:val="0"/>
        <w:rPr>
          <w:rFonts w:hint="eastAsia" w:ascii="宋体" w:hAnsi="宋体" w:eastAsia="宋体" w:cs="宋体"/>
          <w:b/>
          <w:bCs/>
          <w:color w:val="auto"/>
          <w:sz w:val="44"/>
          <w:szCs w:val="44"/>
          <w:highlight w:val="none"/>
          <w:lang w:bidi="ar"/>
        </w:rPr>
        <w:sectPr>
          <w:pgSz w:w="11906" w:h="16838"/>
          <w:pgMar w:top="1440" w:right="1800" w:bottom="1440" w:left="1800" w:header="851" w:footer="992" w:gutter="0"/>
          <w:cols w:space="425" w:num="1"/>
          <w:docGrid w:type="lines" w:linePitch="312" w:charSpace="0"/>
        </w:sectPr>
      </w:pPr>
      <w:r>
        <w:rPr>
          <w:rFonts w:hint="eastAsia" w:ascii="宋体" w:hAnsi="宋体" w:eastAsia="宋体" w:cs="宋体"/>
          <w:color w:val="auto"/>
          <w:sz w:val="28"/>
          <w:szCs w:val="28"/>
          <w:highlight w:val="none"/>
          <w:lang w:bidi="ar"/>
        </w:rPr>
        <w:br w:type="page"/>
      </w:r>
      <w:bookmarkEnd w:id="1"/>
      <w:bookmarkEnd w:id="2"/>
      <w:bookmarkEnd w:id="3"/>
    </w:p>
    <w:p w14:paraId="04B917E5">
      <w:pPr>
        <w:spacing w:line="360" w:lineRule="auto"/>
        <w:jc w:val="center"/>
        <w:outlineLvl w:val="2"/>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十一、其它</w:t>
      </w:r>
    </w:p>
    <w:p w14:paraId="4BD6522E">
      <w:pPr>
        <w:textAlignment w:val="baseline"/>
        <w:rPr>
          <w:rFonts w:hint="eastAsia" w:ascii="宋体" w:hAnsi="宋体" w:eastAsia="宋体" w:cs="宋体"/>
          <w:b/>
          <w:bCs/>
          <w:color w:val="auto"/>
          <w:sz w:val="32"/>
          <w:szCs w:val="32"/>
          <w:highlight w:val="none"/>
        </w:rPr>
      </w:pPr>
      <w:r>
        <w:rPr>
          <w:rFonts w:hint="eastAsia" w:ascii="宋体" w:hAnsi="宋体" w:eastAsia="宋体" w:cs="宋体"/>
          <w:color w:val="auto"/>
          <w:highlight w:val="none"/>
        </w:rPr>
        <w:t>附件1中小企业声明函</w:t>
      </w:r>
    </w:p>
    <w:p w14:paraId="781B8C12">
      <w:pPr>
        <w:rPr>
          <w:rFonts w:hint="eastAsia" w:ascii="宋体" w:hAnsi="宋体" w:eastAsia="宋体" w:cs="宋体"/>
          <w:color w:val="auto"/>
          <w:highlight w:val="none"/>
        </w:rPr>
      </w:pPr>
    </w:p>
    <w:p w14:paraId="53D974D1">
      <w:pPr>
        <w:jc w:val="center"/>
        <w:textAlignment w:val="baseline"/>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中小企业声明函</w:t>
      </w:r>
    </w:p>
    <w:p w14:paraId="58634D84">
      <w:pPr>
        <w:pStyle w:val="10"/>
        <w:spacing w:line="360" w:lineRule="auto"/>
        <w:ind w:firstLine="420" w:firstLineChars="200"/>
        <w:textAlignment w:val="baseline"/>
        <w:rPr>
          <w:rFonts w:hint="eastAsia" w:ascii="宋体" w:hAnsi="宋体" w:cs="宋体"/>
          <w:color w:val="auto"/>
          <w:highlight w:val="none"/>
        </w:rPr>
      </w:pPr>
    </w:p>
    <w:p w14:paraId="74A1A7C0">
      <w:pPr>
        <w:widowControl/>
        <w:kinsoku w:val="0"/>
        <w:autoSpaceDE w:val="0"/>
        <w:autoSpaceDN w:val="0"/>
        <w:adjustRightInd w:val="0"/>
        <w:snapToGrid w:val="0"/>
        <w:spacing w:before="74"/>
        <w:ind w:left="48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sz w:val="24"/>
          <w:highlight w:val="none"/>
          <w:lang w:bidi="ar"/>
        </w:rPr>
        <w:t>本公司 (联合体) 郑重声明，根据《政府采购促进中小企业发展管理办法》 (财</w:t>
      </w:r>
      <w:r>
        <w:rPr>
          <w:rFonts w:hint="eastAsia" w:ascii="宋体" w:hAnsi="宋体" w:eastAsia="宋体" w:cs="宋体"/>
          <w:color w:val="auto"/>
          <w:kern w:val="0"/>
          <w:sz w:val="24"/>
          <w:highlight w:val="none"/>
          <w:lang w:bidi="ar"/>
        </w:rPr>
        <w:t>库</w:t>
      </w:r>
    </w:p>
    <w:p w14:paraId="78AD790B">
      <w:pPr>
        <w:widowControl/>
        <w:kinsoku w:val="0"/>
        <w:autoSpaceDE w:val="0"/>
        <w:autoSpaceDN w:val="0"/>
        <w:adjustRightInd w:val="0"/>
        <w:snapToGrid w:val="0"/>
        <w:spacing w:before="186" w:line="372" w:lineRule="auto"/>
        <w:ind w:left="1" w:right="56" w:firstLine="74"/>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4"/>
          <w:kern w:val="0"/>
          <w:sz w:val="24"/>
          <w:highlight w:val="none"/>
          <w:lang w:bidi="ar"/>
        </w:rPr>
        <w:t>﹝ 2020 ﹞ 46 号) 的规定，本公司 (联合体) 参加 (单位名称) 的 (项目名称) 采购活动，</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12"/>
          <w:kern w:val="0"/>
          <w:sz w:val="24"/>
          <w:highlight w:val="none"/>
          <w:lang w:bidi="ar"/>
        </w:rPr>
        <w:t>提供的</w:t>
      </w:r>
      <w:r>
        <w:rPr>
          <w:rFonts w:hint="eastAsia" w:ascii="宋体" w:hAnsi="宋体" w:eastAsia="宋体" w:cs="宋体"/>
          <w:color w:val="auto"/>
          <w:spacing w:val="7"/>
          <w:kern w:val="0"/>
          <w:sz w:val="24"/>
          <w:highlight w:val="none"/>
          <w:lang w:bidi="ar"/>
        </w:rPr>
        <w:t>货</w:t>
      </w:r>
      <w:r>
        <w:rPr>
          <w:rFonts w:hint="eastAsia" w:ascii="宋体" w:hAnsi="宋体" w:eastAsia="宋体" w:cs="宋体"/>
          <w:color w:val="auto"/>
          <w:spacing w:val="6"/>
          <w:kern w:val="0"/>
          <w:sz w:val="24"/>
          <w:highlight w:val="none"/>
          <w:lang w:bidi="ar"/>
        </w:rPr>
        <w:t>物全部由符合政策要求的中小企业制造。相关企业 (含联合体中的中小企业、签</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16"/>
          <w:kern w:val="0"/>
          <w:sz w:val="24"/>
          <w:highlight w:val="none"/>
          <w:lang w:bidi="ar"/>
        </w:rPr>
        <w:t>订</w:t>
      </w:r>
      <w:r>
        <w:rPr>
          <w:rFonts w:hint="eastAsia" w:ascii="宋体" w:hAnsi="宋体" w:eastAsia="宋体" w:cs="宋体"/>
          <w:color w:val="auto"/>
          <w:spacing w:val="13"/>
          <w:kern w:val="0"/>
          <w:sz w:val="24"/>
          <w:highlight w:val="none"/>
          <w:lang w:bidi="ar"/>
        </w:rPr>
        <w:t>分</w:t>
      </w:r>
      <w:r>
        <w:rPr>
          <w:rFonts w:hint="eastAsia" w:ascii="宋体" w:hAnsi="宋体" w:eastAsia="宋体" w:cs="宋体"/>
          <w:color w:val="auto"/>
          <w:spacing w:val="8"/>
          <w:kern w:val="0"/>
          <w:sz w:val="24"/>
          <w:highlight w:val="none"/>
          <w:lang w:bidi="ar"/>
        </w:rPr>
        <w:t>包意向协议的中小企业) 的具体情况如下：</w:t>
      </w:r>
    </w:p>
    <w:p w14:paraId="3209846C">
      <w:pPr>
        <w:widowControl/>
        <w:kinsoku w:val="0"/>
        <w:autoSpaceDE w:val="0"/>
        <w:autoSpaceDN w:val="0"/>
        <w:adjustRightInd w:val="0"/>
        <w:snapToGrid w:val="0"/>
        <w:spacing w:before="2" w:line="324" w:lineRule="auto"/>
        <w:ind w:right="119" w:firstLine="18"/>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8"/>
          <w:kern w:val="0"/>
          <w:sz w:val="24"/>
          <w:highlight w:val="none"/>
          <w:lang w:bidi="ar"/>
        </w:rPr>
        <w:t xml:space="preserve">1. </w:t>
      </w:r>
      <w:r>
        <w:rPr>
          <w:rFonts w:hint="eastAsia" w:ascii="宋体" w:hAnsi="宋体" w:eastAsia="宋体" w:cs="宋体"/>
          <w:color w:val="auto"/>
          <w:spacing w:val="8"/>
          <w:kern w:val="0"/>
          <w:sz w:val="24"/>
          <w:highlight w:val="none"/>
          <w:u w:val="single"/>
          <w:lang w:bidi="ar"/>
        </w:rPr>
        <w:t xml:space="preserve">    (标</w:t>
      </w:r>
      <w:r>
        <w:rPr>
          <w:rFonts w:hint="eastAsia" w:ascii="宋体" w:hAnsi="宋体" w:eastAsia="宋体" w:cs="宋体"/>
          <w:color w:val="auto"/>
          <w:spacing w:val="6"/>
          <w:kern w:val="0"/>
          <w:sz w:val="24"/>
          <w:highlight w:val="none"/>
          <w:u w:val="single"/>
          <w:lang w:bidi="ar"/>
        </w:rPr>
        <w:t>的</w:t>
      </w:r>
      <w:r>
        <w:rPr>
          <w:rFonts w:hint="eastAsia" w:ascii="宋体" w:hAnsi="宋体" w:eastAsia="宋体" w:cs="宋体"/>
          <w:color w:val="auto"/>
          <w:spacing w:val="4"/>
          <w:kern w:val="0"/>
          <w:sz w:val="24"/>
          <w:highlight w:val="none"/>
          <w:u w:val="single"/>
          <w:lang w:bidi="ar"/>
        </w:rPr>
        <w:t xml:space="preserve">名称) </w:t>
      </w:r>
      <w:r>
        <w:rPr>
          <w:rFonts w:hint="eastAsia" w:ascii="宋体" w:hAnsi="宋体" w:eastAsia="宋体" w:cs="宋体"/>
          <w:color w:val="auto"/>
          <w:spacing w:val="4"/>
          <w:kern w:val="0"/>
          <w:sz w:val="24"/>
          <w:highlight w:val="none"/>
          <w:lang w:bidi="ar"/>
        </w:rPr>
        <w:t>，属于</w:t>
      </w:r>
      <w:r>
        <w:rPr>
          <w:rFonts w:hint="eastAsia" w:ascii="宋体" w:hAnsi="宋体" w:eastAsia="宋体" w:cs="宋体"/>
          <w:color w:val="auto"/>
          <w:spacing w:val="4"/>
          <w:kern w:val="0"/>
          <w:sz w:val="24"/>
          <w:highlight w:val="none"/>
          <w:u w:val="single"/>
          <w:lang w:bidi="ar"/>
        </w:rPr>
        <w:t xml:space="preserve">    (采购文件中明确的所属行业) </w:t>
      </w:r>
      <w:r>
        <w:rPr>
          <w:rFonts w:hint="eastAsia" w:ascii="宋体" w:hAnsi="宋体" w:eastAsia="宋体" w:cs="宋体"/>
          <w:color w:val="auto"/>
          <w:spacing w:val="4"/>
          <w:kern w:val="0"/>
          <w:sz w:val="24"/>
          <w:highlight w:val="none"/>
          <w:lang w:bidi="ar"/>
        </w:rPr>
        <w:t xml:space="preserve">行业；制造商为 </w:t>
      </w:r>
      <w:r>
        <w:rPr>
          <w:rFonts w:hint="eastAsia" w:ascii="宋体" w:hAnsi="宋体" w:eastAsia="宋体" w:cs="宋体"/>
          <w:color w:val="auto"/>
          <w:spacing w:val="4"/>
          <w:kern w:val="0"/>
          <w:sz w:val="24"/>
          <w:highlight w:val="none"/>
          <w:u w:val="single"/>
          <w:lang w:bidi="ar"/>
        </w:rPr>
        <w:t xml:space="preserve">  (企</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16"/>
          <w:kern w:val="0"/>
          <w:sz w:val="24"/>
          <w:highlight w:val="none"/>
          <w:u w:val="single"/>
          <w:lang w:bidi="ar"/>
        </w:rPr>
        <w:t>业</w:t>
      </w:r>
      <w:r>
        <w:rPr>
          <w:rFonts w:hint="eastAsia" w:ascii="宋体" w:hAnsi="宋体" w:eastAsia="宋体" w:cs="宋体"/>
          <w:color w:val="auto"/>
          <w:spacing w:val="8"/>
          <w:kern w:val="0"/>
          <w:sz w:val="24"/>
          <w:highlight w:val="none"/>
          <w:u w:val="single"/>
          <w:lang w:bidi="ar"/>
        </w:rPr>
        <w:t xml:space="preserve">名称) </w:t>
      </w:r>
      <w:r>
        <w:rPr>
          <w:rFonts w:hint="eastAsia" w:ascii="宋体" w:hAnsi="宋体" w:eastAsia="宋体" w:cs="宋体"/>
          <w:color w:val="auto"/>
          <w:spacing w:val="8"/>
          <w:kern w:val="0"/>
          <w:sz w:val="24"/>
          <w:highlight w:val="none"/>
          <w:lang w:bidi="ar"/>
        </w:rPr>
        <w:t>，从业人员</w:t>
      </w:r>
      <w:r>
        <w:rPr>
          <w:rFonts w:hint="eastAsia" w:ascii="宋体" w:hAnsi="宋体" w:eastAsia="宋体" w:cs="宋体"/>
          <w:color w:val="auto"/>
          <w:spacing w:val="8"/>
          <w:kern w:val="0"/>
          <w:sz w:val="24"/>
          <w:highlight w:val="none"/>
          <w:u w:val="single"/>
          <w:lang w:bidi="ar"/>
        </w:rPr>
        <w:t xml:space="preserve">   人</w:t>
      </w:r>
      <w:r>
        <w:rPr>
          <w:rFonts w:hint="eastAsia" w:ascii="宋体" w:hAnsi="宋体" w:eastAsia="宋体" w:cs="宋体"/>
          <w:color w:val="auto"/>
          <w:spacing w:val="8"/>
          <w:kern w:val="0"/>
          <w:sz w:val="24"/>
          <w:highlight w:val="none"/>
          <w:lang w:bidi="ar"/>
        </w:rPr>
        <w:t>，营业收入为</w:t>
      </w:r>
      <w:r>
        <w:rPr>
          <w:rFonts w:hint="eastAsia" w:ascii="宋体" w:hAnsi="宋体" w:eastAsia="宋体" w:cs="宋体"/>
          <w:color w:val="auto"/>
          <w:spacing w:val="8"/>
          <w:kern w:val="0"/>
          <w:sz w:val="24"/>
          <w:highlight w:val="none"/>
          <w:u w:val="single"/>
          <w:lang w:bidi="ar"/>
        </w:rPr>
        <w:t xml:space="preserve">    万元</w:t>
      </w:r>
      <w:r>
        <w:rPr>
          <w:rFonts w:hint="eastAsia" w:ascii="宋体" w:hAnsi="宋体" w:eastAsia="宋体" w:cs="宋体"/>
          <w:color w:val="auto"/>
          <w:spacing w:val="8"/>
          <w:kern w:val="0"/>
          <w:sz w:val="24"/>
          <w:highlight w:val="none"/>
          <w:lang w:bidi="ar"/>
        </w:rPr>
        <w:t>，资产总额为</w:t>
      </w:r>
      <w:r>
        <w:rPr>
          <w:rFonts w:hint="eastAsia" w:ascii="宋体" w:hAnsi="宋体" w:eastAsia="宋体" w:cs="宋体"/>
          <w:color w:val="auto"/>
          <w:spacing w:val="8"/>
          <w:kern w:val="0"/>
          <w:sz w:val="24"/>
          <w:highlight w:val="none"/>
          <w:u w:val="single"/>
          <w:lang w:bidi="ar"/>
        </w:rPr>
        <w:t xml:space="preserve">    万元</w:t>
      </w:r>
      <w:r>
        <w:rPr>
          <w:rFonts w:hint="eastAsia" w:ascii="宋体" w:hAnsi="宋体" w:eastAsia="宋体" w:cs="宋体"/>
          <w:color w:val="auto"/>
          <w:spacing w:val="8"/>
          <w:kern w:val="0"/>
          <w:sz w:val="24"/>
          <w:highlight w:val="none"/>
          <w:lang w:bidi="ar"/>
        </w:rPr>
        <w:t>，属于</w:t>
      </w:r>
      <w:r>
        <w:rPr>
          <w:rFonts w:hint="eastAsia" w:ascii="宋体" w:hAnsi="宋体" w:eastAsia="宋体" w:cs="宋体"/>
          <w:color w:val="auto"/>
          <w:spacing w:val="8"/>
          <w:kern w:val="0"/>
          <w:sz w:val="24"/>
          <w:highlight w:val="none"/>
          <w:u w:val="single"/>
          <w:lang w:bidi="ar"/>
        </w:rPr>
        <w:t xml:space="preserve"> (中型企</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8"/>
          <w:kern w:val="0"/>
          <w:sz w:val="24"/>
          <w:highlight w:val="none"/>
          <w:u w:val="single"/>
          <w:lang w:bidi="ar"/>
        </w:rPr>
        <w:t>业、小型企业、微型企业</w:t>
      </w:r>
      <w:r>
        <w:rPr>
          <w:rFonts w:hint="eastAsia" w:ascii="宋体" w:hAnsi="宋体" w:eastAsia="宋体" w:cs="宋体"/>
          <w:color w:val="auto"/>
          <w:spacing w:val="8"/>
          <w:kern w:val="0"/>
          <w:sz w:val="24"/>
          <w:highlight w:val="none"/>
          <w:lang w:bidi="ar"/>
        </w:rPr>
        <w:t>) ；</w:t>
      </w:r>
    </w:p>
    <w:p w14:paraId="3229EC97">
      <w:pPr>
        <w:widowControl/>
        <w:kinsoku w:val="0"/>
        <w:autoSpaceDE w:val="0"/>
        <w:autoSpaceDN w:val="0"/>
        <w:adjustRightInd w:val="0"/>
        <w:snapToGrid w:val="0"/>
        <w:spacing w:before="179" w:line="326" w:lineRule="auto"/>
        <w:ind w:right="119" w:firstLine="3"/>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7"/>
          <w:kern w:val="0"/>
          <w:sz w:val="24"/>
          <w:highlight w:val="none"/>
          <w:lang w:bidi="ar"/>
        </w:rPr>
        <w:t>2</w:t>
      </w:r>
      <w:r>
        <w:rPr>
          <w:rFonts w:hint="eastAsia" w:ascii="宋体" w:hAnsi="宋体" w:eastAsia="宋体" w:cs="宋体"/>
          <w:color w:val="auto"/>
          <w:spacing w:val="5"/>
          <w:kern w:val="0"/>
          <w:sz w:val="24"/>
          <w:highlight w:val="none"/>
          <w:lang w:bidi="ar"/>
        </w:rPr>
        <w:t xml:space="preserve">. </w:t>
      </w:r>
      <w:r>
        <w:rPr>
          <w:rFonts w:hint="eastAsia" w:ascii="宋体" w:hAnsi="宋体" w:eastAsia="宋体" w:cs="宋体"/>
          <w:color w:val="auto"/>
          <w:spacing w:val="5"/>
          <w:kern w:val="0"/>
          <w:sz w:val="24"/>
          <w:highlight w:val="none"/>
          <w:u w:val="single"/>
          <w:lang w:bidi="ar"/>
        </w:rPr>
        <w:t xml:space="preserve">   (标的名称) </w:t>
      </w:r>
      <w:r>
        <w:rPr>
          <w:rFonts w:hint="eastAsia" w:ascii="宋体" w:hAnsi="宋体" w:eastAsia="宋体" w:cs="宋体"/>
          <w:color w:val="auto"/>
          <w:spacing w:val="5"/>
          <w:kern w:val="0"/>
          <w:sz w:val="24"/>
          <w:highlight w:val="none"/>
          <w:lang w:bidi="ar"/>
        </w:rPr>
        <w:t xml:space="preserve">，属于 </w:t>
      </w:r>
      <w:r>
        <w:rPr>
          <w:rFonts w:hint="eastAsia" w:ascii="宋体" w:hAnsi="宋体" w:eastAsia="宋体" w:cs="宋体"/>
          <w:color w:val="auto"/>
          <w:spacing w:val="5"/>
          <w:kern w:val="0"/>
          <w:sz w:val="24"/>
          <w:highlight w:val="none"/>
          <w:u w:val="single"/>
          <w:lang w:bidi="ar"/>
        </w:rPr>
        <w:t xml:space="preserve">     (采购文件中明确的所属行业) </w:t>
      </w:r>
      <w:r>
        <w:rPr>
          <w:rFonts w:hint="eastAsia" w:ascii="宋体" w:hAnsi="宋体" w:eastAsia="宋体" w:cs="宋体"/>
          <w:color w:val="auto"/>
          <w:spacing w:val="5"/>
          <w:kern w:val="0"/>
          <w:sz w:val="24"/>
          <w:highlight w:val="none"/>
          <w:lang w:bidi="ar"/>
        </w:rPr>
        <w:t>行业；制造商为</w:t>
      </w:r>
      <w:r>
        <w:rPr>
          <w:rFonts w:hint="eastAsia" w:ascii="宋体" w:hAnsi="宋体" w:eastAsia="宋体" w:cs="宋体"/>
          <w:color w:val="auto"/>
          <w:spacing w:val="5"/>
          <w:kern w:val="0"/>
          <w:sz w:val="24"/>
          <w:highlight w:val="none"/>
          <w:u w:val="single"/>
          <w:lang w:bidi="ar"/>
        </w:rPr>
        <w:t xml:space="preserve">     (企</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8"/>
          <w:kern w:val="0"/>
          <w:sz w:val="24"/>
          <w:highlight w:val="none"/>
          <w:u w:val="single"/>
          <w:lang w:bidi="ar"/>
        </w:rPr>
        <w:t xml:space="preserve">业名称) </w:t>
      </w:r>
      <w:r>
        <w:rPr>
          <w:rFonts w:hint="eastAsia" w:ascii="宋体" w:hAnsi="宋体" w:eastAsia="宋体" w:cs="宋体"/>
          <w:color w:val="auto"/>
          <w:spacing w:val="8"/>
          <w:kern w:val="0"/>
          <w:sz w:val="24"/>
          <w:highlight w:val="none"/>
          <w:lang w:bidi="ar"/>
        </w:rPr>
        <w:t>，从业人员</w:t>
      </w:r>
      <w:r>
        <w:rPr>
          <w:rFonts w:hint="eastAsia" w:ascii="宋体" w:hAnsi="宋体" w:eastAsia="宋体" w:cs="宋体"/>
          <w:color w:val="auto"/>
          <w:spacing w:val="8"/>
          <w:kern w:val="0"/>
          <w:sz w:val="24"/>
          <w:highlight w:val="none"/>
          <w:u w:val="single"/>
          <w:lang w:bidi="ar"/>
        </w:rPr>
        <w:t xml:space="preserve">    人</w:t>
      </w:r>
      <w:r>
        <w:rPr>
          <w:rFonts w:hint="eastAsia" w:ascii="宋体" w:hAnsi="宋体" w:eastAsia="宋体" w:cs="宋体"/>
          <w:color w:val="auto"/>
          <w:spacing w:val="8"/>
          <w:kern w:val="0"/>
          <w:sz w:val="24"/>
          <w:highlight w:val="none"/>
          <w:lang w:bidi="ar"/>
        </w:rPr>
        <w:t>，营业收入为</w:t>
      </w:r>
      <w:r>
        <w:rPr>
          <w:rFonts w:hint="eastAsia" w:ascii="宋体" w:hAnsi="宋体" w:eastAsia="宋体" w:cs="宋体"/>
          <w:color w:val="auto"/>
          <w:spacing w:val="8"/>
          <w:kern w:val="0"/>
          <w:sz w:val="24"/>
          <w:highlight w:val="none"/>
          <w:u w:val="single"/>
          <w:lang w:bidi="ar"/>
        </w:rPr>
        <w:t xml:space="preserve">   万元</w:t>
      </w:r>
      <w:r>
        <w:rPr>
          <w:rFonts w:hint="eastAsia" w:ascii="宋体" w:hAnsi="宋体" w:eastAsia="宋体" w:cs="宋体"/>
          <w:color w:val="auto"/>
          <w:spacing w:val="8"/>
          <w:kern w:val="0"/>
          <w:sz w:val="24"/>
          <w:highlight w:val="none"/>
          <w:lang w:bidi="ar"/>
        </w:rPr>
        <w:t xml:space="preserve">，资产总额为 </w:t>
      </w:r>
      <w:r>
        <w:rPr>
          <w:rFonts w:hint="eastAsia" w:ascii="宋体" w:hAnsi="宋体" w:eastAsia="宋体" w:cs="宋体"/>
          <w:color w:val="auto"/>
          <w:spacing w:val="8"/>
          <w:kern w:val="0"/>
          <w:sz w:val="24"/>
          <w:highlight w:val="none"/>
          <w:u w:val="single"/>
          <w:lang w:bidi="ar"/>
        </w:rPr>
        <w:t xml:space="preserve">  万元</w:t>
      </w:r>
      <w:r>
        <w:rPr>
          <w:rFonts w:hint="eastAsia" w:ascii="宋体" w:hAnsi="宋体" w:eastAsia="宋体" w:cs="宋体"/>
          <w:color w:val="auto"/>
          <w:spacing w:val="8"/>
          <w:kern w:val="0"/>
          <w:sz w:val="24"/>
          <w:highlight w:val="none"/>
          <w:lang w:bidi="ar"/>
        </w:rPr>
        <w:t>，属于</w:t>
      </w:r>
      <w:r>
        <w:rPr>
          <w:rFonts w:hint="eastAsia" w:ascii="宋体" w:hAnsi="宋体" w:eastAsia="宋体" w:cs="宋体"/>
          <w:color w:val="auto"/>
          <w:spacing w:val="8"/>
          <w:kern w:val="0"/>
          <w:sz w:val="24"/>
          <w:highlight w:val="none"/>
          <w:u w:val="single"/>
          <w:lang w:bidi="ar"/>
        </w:rPr>
        <w:t xml:space="preserve">    (中型</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10"/>
          <w:kern w:val="0"/>
          <w:sz w:val="24"/>
          <w:highlight w:val="none"/>
          <w:u w:val="single"/>
          <w:lang w:bidi="ar"/>
        </w:rPr>
        <w:t>企</w:t>
      </w:r>
      <w:r>
        <w:rPr>
          <w:rFonts w:hint="eastAsia" w:ascii="宋体" w:hAnsi="宋体" w:eastAsia="宋体" w:cs="宋体"/>
          <w:color w:val="auto"/>
          <w:spacing w:val="8"/>
          <w:kern w:val="0"/>
          <w:sz w:val="24"/>
          <w:highlight w:val="none"/>
          <w:u w:val="single"/>
          <w:lang w:bidi="ar"/>
        </w:rPr>
        <w:t xml:space="preserve">业、小型企业、微型企业) </w:t>
      </w:r>
      <w:r>
        <w:rPr>
          <w:rFonts w:hint="eastAsia" w:ascii="宋体" w:hAnsi="宋体" w:eastAsia="宋体" w:cs="宋体"/>
          <w:color w:val="auto"/>
          <w:spacing w:val="8"/>
          <w:kern w:val="0"/>
          <w:sz w:val="24"/>
          <w:highlight w:val="none"/>
          <w:lang w:bidi="ar"/>
        </w:rPr>
        <w:t>；</w:t>
      </w:r>
    </w:p>
    <w:p w14:paraId="0D663007">
      <w:pPr>
        <w:widowControl/>
        <w:kinsoku w:val="0"/>
        <w:autoSpaceDE w:val="0"/>
        <w:autoSpaceDN w:val="0"/>
        <w:adjustRightInd w:val="0"/>
        <w:snapToGrid w:val="0"/>
        <w:spacing w:before="179" w:line="371" w:lineRule="exact"/>
        <w:ind w:left="3136"/>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5"/>
          <w:kern w:val="0"/>
          <w:position w:val="3"/>
          <w:sz w:val="24"/>
          <w:highlight w:val="none"/>
          <w:lang w:bidi="ar"/>
        </w:rPr>
        <w:t>……</w:t>
      </w:r>
    </w:p>
    <w:p w14:paraId="244D47D9">
      <w:pPr>
        <w:widowControl/>
        <w:kinsoku w:val="0"/>
        <w:autoSpaceDE w:val="0"/>
        <w:autoSpaceDN w:val="0"/>
        <w:adjustRightInd w:val="0"/>
        <w:snapToGrid w:val="0"/>
        <w:spacing w:before="96" w:line="372" w:lineRule="auto"/>
        <w:ind w:right="119" w:firstLine="28"/>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6"/>
          <w:kern w:val="0"/>
          <w:sz w:val="24"/>
          <w:highlight w:val="none"/>
          <w:lang w:bidi="ar"/>
        </w:rPr>
        <w:t>以上企业，不属于大企业的分支机构，不存在控股股东为大企业的情形，也不存在与大</w:t>
      </w:r>
      <w:r>
        <w:rPr>
          <w:rFonts w:hint="eastAsia" w:ascii="宋体" w:hAnsi="宋体" w:eastAsia="宋体" w:cs="宋体"/>
          <w:color w:val="auto"/>
          <w:spacing w:val="5"/>
          <w:kern w:val="0"/>
          <w:sz w:val="24"/>
          <w:highlight w:val="none"/>
          <w:lang w:bidi="ar"/>
        </w:rPr>
        <w:t>企</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15"/>
          <w:kern w:val="0"/>
          <w:sz w:val="24"/>
          <w:highlight w:val="none"/>
          <w:lang w:bidi="ar"/>
        </w:rPr>
        <w:t>业</w:t>
      </w:r>
      <w:r>
        <w:rPr>
          <w:rFonts w:hint="eastAsia" w:ascii="宋体" w:hAnsi="宋体" w:eastAsia="宋体" w:cs="宋体"/>
          <w:color w:val="auto"/>
          <w:spacing w:val="8"/>
          <w:kern w:val="0"/>
          <w:sz w:val="24"/>
          <w:highlight w:val="none"/>
          <w:lang w:bidi="ar"/>
        </w:rPr>
        <w:t>的负责人为同一人的情形。</w:t>
      </w:r>
    </w:p>
    <w:p w14:paraId="43CA185D">
      <w:pPr>
        <w:widowControl/>
        <w:kinsoku w:val="0"/>
        <w:autoSpaceDE w:val="0"/>
        <w:autoSpaceDN w:val="0"/>
        <w:adjustRightInd w:val="0"/>
        <w:snapToGrid w:val="0"/>
        <w:spacing w:before="1"/>
        <w:ind w:left="1"/>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8"/>
          <w:kern w:val="0"/>
          <w:sz w:val="24"/>
          <w:highlight w:val="none"/>
          <w:lang w:bidi="ar"/>
        </w:rPr>
        <w:t>本</w:t>
      </w:r>
      <w:r>
        <w:rPr>
          <w:rFonts w:hint="eastAsia" w:ascii="宋体" w:hAnsi="宋体" w:eastAsia="宋体" w:cs="宋体"/>
          <w:color w:val="auto"/>
          <w:spacing w:val="11"/>
          <w:kern w:val="0"/>
          <w:sz w:val="24"/>
          <w:highlight w:val="none"/>
          <w:lang w:bidi="ar"/>
        </w:rPr>
        <w:t>企</w:t>
      </w:r>
      <w:r>
        <w:rPr>
          <w:rFonts w:hint="eastAsia" w:ascii="宋体" w:hAnsi="宋体" w:eastAsia="宋体" w:cs="宋体"/>
          <w:color w:val="auto"/>
          <w:spacing w:val="9"/>
          <w:kern w:val="0"/>
          <w:sz w:val="24"/>
          <w:highlight w:val="none"/>
          <w:lang w:bidi="ar"/>
        </w:rPr>
        <w:t>业对上述声明内容的真实性负责。如有虚假，将依法承担相应责任。</w:t>
      </w:r>
    </w:p>
    <w:p w14:paraId="3B157B08">
      <w:pPr>
        <w:widowControl/>
        <w:kinsoku w:val="0"/>
        <w:autoSpaceDE w:val="0"/>
        <w:autoSpaceDN w:val="0"/>
        <w:adjustRightInd w:val="0"/>
        <w:snapToGrid w:val="0"/>
        <w:spacing w:line="285" w:lineRule="auto"/>
        <w:jc w:val="left"/>
        <w:textAlignment w:val="baseline"/>
        <w:rPr>
          <w:rFonts w:hint="eastAsia" w:ascii="宋体" w:hAnsi="宋体" w:eastAsia="宋体" w:cs="宋体"/>
          <w:color w:val="auto"/>
          <w:kern w:val="0"/>
          <w:sz w:val="24"/>
          <w:highlight w:val="none"/>
        </w:rPr>
      </w:pPr>
    </w:p>
    <w:p w14:paraId="421DB42D">
      <w:pPr>
        <w:widowControl/>
        <w:kinsoku w:val="0"/>
        <w:autoSpaceDE w:val="0"/>
        <w:autoSpaceDN w:val="0"/>
        <w:adjustRightInd w:val="0"/>
        <w:snapToGrid w:val="0"/>
        <w:spacing w:line="285" w:lineRule="auto"/>
        <w:jc w:val="left"/>
        <w:textAlignment w:val="baseline"/>
        <w:rPr>
          <w:rFonts w:hint="eastAsia" w:ascii="宋体" w:hAnsi="宋体" w:eastAsia="宋体" w:cs="宋体"/>
          <w:color w:val="auto"/>
          <w:kern w:val="0"/>
          <w:sz w:val="24"/>
          <w:highlight w:val="none"/>
        </w:rPr>
      </w:pPr>
    </w:p>
    <w:p w14:paraId="08960D20">
      <w:pPr>
        <w:widowControl/>
        <w:kinsoku w:val="0"/>
        <w:autoSpaceDE w:val="0"/>
        <w:autoSpaceDN w:val="0"/>
        <w:adjustRightInd w:val="0"/>
        <w:snapToGrid w:val="0"/>
        <w:spacing w:before="75" w:line="381" w:lineRule="auto"/>
        <w:ind w:left="5680" w:right="1620" w:hanging="37"/>
        <w:jc w:val="left"/>
        <w:textAlignment w:val="baseline"/>
        <w:rPr>
          <w:rFonts w:hint="eastAsia" w:ascii="宋体" w:hAnsi="宋体" w:eastAsia="宋体" w:cs="宋体"/>
          <w:color w:val="auto"/>
          <w:kern w:val="0"/>
          <w:sz w:val="24"/>
          <w:highlight w:val="none"/>
          <w:lang w:bidi="ar"/>
        </w:rPr>
      </w:pPr>
      <w:r>
        <w:rPr>
          <w:rFonts w:hint="eastAsia" w:ascii="宋体" w:hAnsi="宋体" w:eastAsia="宋体" w:cs="宋体"/>
          <w:color w:val="auto"/>
          <w:spacing w:val="2"/>
          <w:kern w:val="0"/>
          <w:sz w:val="24"/>
          <w:highlight w:val="none"/>
          <w:lang w:bidi="ar"/>
        </w:rPr>
        <w:t xml:space="preserve">企业名称 </w:t>
      </w:r>
      <w:r>
        <w:rPr>
          <w:rFonts w:hint="eastAsia" w:ascii="宋体" w:hAnsi="宋体" w:eastAsia="宋体" w:cs="宋体"/>
          <w:color w:val="auto"/>
          <w:spacing w:val="1"/>
          <w:kern w:val="0"/>
          <w:sz w:val="24"/>
          <w:highlight w:val="none"/>
          <w:lang w:bidi="ar"/>
        </w:rPr>
        <w:t>(盖章) ：</w:t>
      </w:r>
      <w:r>
        <w:rPr>
          <w:rFonts w:hint="eastAsia" w:ascii="宋体" w:hAnsi="宋体" w:eastAsia="宋体" w:cs="宋体"/>
          <w:color w:val="auto"/>
          <w:kern w:val="0"/>
          <w:sz w:val="24"/>
          <w:highlight w:val="none"/>
          <w:lang w:bidi="ar"/>
        </w:rPr>
        <w:t xml:space="preserve"> </w:t>
      </w:r>
    </w:p>
    <w:p w14:paraId="7F8231E1">
      <w:pPr>
        <w:widowControl/>
        <w:kinsoku w:val="0"/>
        <w:autoSpaceDE w:val="0"/>
        <w:autoSpaceDN w:val="0"/>
        <w:adjustRightInd w:val="0"/>
        <w:snapToGrid w:val="0"/>
        <w:spacing w:before="75" w:line="381" w:lineRule="auto"/>
        <w:ind w:left="5680" w:right="1620" w:hanging="37"/>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1"/>
          <w:kern w:val="0"/>
          <w:sz w:val="24"/>
          <w:highlight w:val="none"/>
          <w:lang w:bidi="ar"/>
        </w:rPr>
        <w:t>日</w:t>
      </w:r>
      <w:r>
        <w:rPr>
          <w:rFonts w:hint="eastAsia" w:ascii="宋体" w:hAnsi="宋体" w:eastAsia="宋体" w:cs="宋体"/>
          <w:color w:val="auto"/>
          <w:spacing w:val="-10"/>
          <w:kern w:val="0"/>
          <w:sz w:val="24"/>
          <w:highlight w:val="none"/>
          <w:lang w:bidi="ar"/>
        </w:rPr>
        <w:t>期：</w:t>
      </w:r>
    </w:p>
    <w:p w14:paraId="40C079DA">
      <w:pPr>
        <w:widowControl/>
        <w:kinsoku w:val="0"/>
        <w:autoSpaceDE w:val="0"/>
        <w:autoSpaceDN w:val="0"/>
        <w:adjustRightInd w:val="0"/>
        <w:snapToGrid w:val="0"/>
        <w:spacing w:before="75"/>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lang w:bidi="ar"/>
        </w:rPr>
        <w:t>注：</w:t>
      </w:r>
    </w:p>
    <w:p w14:paraId="330F7670">
      <w:pPr>
        <w:widowControl/>
        <w:kinsoku w:val="0"/>
        <w:autoSpaceDE w:val="0"/>
        <w:autoSpaceDN w:val="0"/>
        <w:adjustRightInd w:val="0"/>
        <w:snapToGrid w:val="0"/>
        <w:spacing w:before="182" w:line="297" w:lineRule="auto"/>
        <w:ind w:left="4" w:right="167" w:firstLine="13"/>
        <w:jc w:val="left"/>
        <w:textAlignment w:val="baseline"/>
        <w:rPr>
          <w:rFonts w:hint="eastAsia" w:ascii="宋体" w:hAnsi="宋体" w:eastAsia="宋体" w:cs="宋体"/>
          <w:color w:val="auto"/>
          <w:kern w:val="0"/>
          <w:sz w:val="24"/>
          <w:highlight w:val="none"/>
        </w:rPr>
      </w:pPr>
      <w:r>
        <w:rPr>
          <w:rFonts w:hint="eastAsia" w:ascii="宋体" w:hAnsi="宋体" w:eastAsia="宋体" w:cs="宋体"/>
          <w:color w:val="auto"/>
          <w:spacing w:val="14"/>
          <w:kern w:val="0"/>
          <w:sz w:val="24"/>
          <w:highlight w:val="none"/>
          <w:lang w:bidi="ar"/>
        </w:rPr>
        <w:t>1. 从</w:t>
      </w:r>
      <w:r>
        <w:rPr>
          <w:rFonts w:hint="eastAsia" w:ascii="宋体" w:hAnsi="宋体" w:eastAsia="宋体" w:cs="宋体"/>
          <w:color w:val="auto"/>
          <w:spacing w:val="8"/>
          <w:kern w:val="0"/>
          <w:sz w:val="24"/>
          <w:highlight w:val="none"/>
          <w:lang w:bidi="ar"/>
        </w:rPr>
        <w:t>业</w:t>
      </w:r>
      <w:r>
        <w:rPr>
          <w:rFonts w:hint="eastAsia" w:ascii="宋体" w:hAnsi="宋体" w:eastAsia="宋体" w:cs="宋体"/>
          <w:color w:val="auto"/>
          <w:spacing w:val="7"/>
          <w:kern w:val="0"/>
          <w:sz w:val="24"/>
          <w:highlight w:val="none"/>
          <w:lang w:bidi="ar"/>
        </w:rPr>
        <w:t>人员、营业收入、资产总额填报上一年度数据，无上一年度数据的新成立企业可</w:t>
      </w:r>
      <w:r>
        <w:rPr>
          <w:rFonts w:hint="eastAsia" w:ascii="宋体" w:hAnsi="宋体" w:eastAsia="宋体" w:cs="宋体"/>
          <w:color w:val="auto"/>
          <w:kern w:val="0"/>
          <w:sz w:val="24"/>
          <w:highlight w:val="none"/>
          <w:lang w:bidi="ar"/>
        </w:rPr>
        <w:t xml:space="preserve"> </w:t>
      </w:r>
      <w:r>
        <w:rPr>
          <w:rFonts w:hint="eastAsia" w:ascii="宋体" w:hAnsi="宋体" w:eastAsia="宋体" w:cs="宋体"/>
          <w:color w:val="auto"/>
          <w:spacing w:val="4"/>
          <w:kern w:val="0"/>
          <w:sz w:val="24"/>
          <w:highlight w:val="none"/>
          <w:lang w:bidi="ar"/>
        </w:rPr>
        <w:t>不填报。</w:t>
      </w:r>
    </w:p>
    <w:p w14:paraId="733F8325">
      <w:pPr>
        <w:pStyle w:val="10"/>
        <w:snapToGrid w:val="0"/>
        <w:spacing w:line="480" w:lineRule="auto"/>
        <w:ind w:firstLine="422" w:firstLineChars="200"/>
        <w:textAlignment w:val="baseline"/>
        <w:rPr>
          <w:rFonts w:hint="eastAsia" w:ascii="宋体" w:hAnsi="宋体" w:cs="宋体"/>
          <w:b/>
          <w:color w:val="auto"/>
          <w:szCs w:val="21"/>
          <w:highlight w:val="none"/>
        </w:rPr>
      </w:pPr>
      <w:r>
        <w:rPr>
          <w:rFonts w:hint="eastAsia" w:ascii="宋体" w:hAnsi="宋体" w:cs="宋体"/>
          <w:b/>
          <w:color w:val="auto"/>
          <w:szCs w:val="21"/>
          <w:highlight w:val="none"/>
        </w:rPr>
        <w:t>注：1、本次采购项目采购标的对应的中小企业划分标准所属行业为</w:t>
      </w:r>
      <w:r>
        <w:rPr>
          <w:rFonts w:hint="eastAsia" w:ascii="宋体" w:hAnsi="宋体" w:cs="宋体"/>
          <w:b/>
          <w:bCs/>
          <w:color w:val="auto"/>
          <w:kern w:val="0"/>
          <w:szCs w:val="21"/>
          <w:highlight w:val="none"/>
          <w:u w:val="single"/>
        </w:rPr>
        <w:t>工业</w:t>
      </w:r>
      <w:r>
        <w:rPr>
          <w:rFonts w:hint="eastAsia" w:ascii="宋体" w:hAnsi="宋体" w:cs="宋体"/>
          <w:b/>
          <w:color w:val="auto"/>
          <w:szCs w:val="21"/>
          <w:highlight w:val="none"/>
        </w:rPr>
        <w:t>。</w:t>
      </w:r>
    </w:p>
    <w:p w14:paraId="66972830">
      <w:pPr>
        <w:pStyle w:val="10"/>
        <w:snapToGrid w:val="0"/>
        <w:spacing w:line="480" w:lineRule="auto"/>
        <w:ind w:firstLine="422" w:firstLineChars="200"/>
        <w:textAlignment w:val="baseline"/>
        <w:rPr>
          <w:rFonts w:hint="eastAsia" w:ascii="宋体" w:hAnsi="宋体" w:cs="宋体"/>
          <w:b/>
          <w:color w:val="auto"/>
          <w:szCs w:val="21"/>
          <w:highlight w:val="none"/>
        </w:rPr>
      </w:pPr>
      <w:r>
        <w:rPr>
          <w:rFonts w:hint="eastAsia" w:ascii="宋体" w:hAnsi="宋体" w:cs="宋体"/>
          <w:b/>
          <w:color w:val="auto"/>
          <w:szCs w:val="21"/>
          <w:highlight w:val="none"/>
        </w:rPr>
        <w:t>2、从业人员、营业收入、资产总额填报上一年度数据，无上一年度数据的新成立企业可不填报。</w:t>
      </w:r>
    </w:p>
    <w:p w14:paraId="4FED9C1E">
      <w:pPr>
        <w:adjustRightInd w:val="0"/>
        <w:snapToGrid w:val="0"/>
        <w:spacing w:line="360" w:lineRule="auto"/>
        <w:ind w:firstLine="420" w:firstLineChars="200"/>
        <w:rPr>
          <w:rFonts w:hint="eastAsia" w:ascii="宋体" w:hAnsi="宋体" w:eastAsia="宋体" w:cs="宋体"/>
          <w:bCs/>
          <w:color w:val="auto"/>
          <w:szCs w:val="21"/>
          <w:highlight w:val="none"/>
        </w:rPr>
      </w:pPr>
    </w:p>
    <w:p w14:paraId="38E08ACF">
      <w:pPr>
        <w:autoSpaceDE w:val="0"/>
        <w:autoSpaceDN w:val="0"/>
        <w:adjustRightInd w:val="0"/>
        <w:spacing w:line="600" w:lineRule="exact"/>
        <w:rPr>
          <w:rFonts w:hint="eastAsia" w:ascii="宋体" w:hAnsi="宋体" w:eastAsia="宋体" w:cs="宋体"/>
          <w:b/>
          <w:bCs/>
          <w:color w:val="auto"/>
          <w:szCs w:val="21"/>
          <w:highlight w:val="none"/>
        </w:rPr>
        <w:sectPr>
          <w:pgSz w:w="11850" w:h="16783"/>
          <w:pgMar w:top="1440" w:right="1080" w:bottom="1440" w:left="1080" w:header="720" w:footer="720" w:gutter="0"/>
          <w:cols w:space="720" w:num="1"/>
        </w:sectPr>
      </w:pPr>
    </w:p>
    <w:p w14:paraId="168669B9">
      <w:pPr>
        <w:pStyle w:val="23"/>
        <w:ind w:left="0" w:leftChars="0" w:firstLine="0" w:firstLineChars="0"/>
        <w:outlineLvl w:val="3"/>
        <w:rPr>
          <w:rFonts w:hint="eastAsia" w:ascii="宋体" w:hAnsi="宋体" w:cs="宋体"/>
          <w:color w:val="auto"/>
          <w:highlight w:val="none"/>
        </w:rPr>
      </w:pPr>
      <w:r>
        <w:rPr>
          <w:rFonts w:hint="eastAsia" w:ascii="宋体" w:hAnsi="宋体" w:cs="宋体"/>
          <w:color w:val="auto"/>
          <w:highlight w:val="none"/>
        </w:rPr>
        <w:t>附2 残疾人福利性单位声明</w:t>
      </w:r>
    </w:p>
    <w:p w14:paraId="3D928BEA">
      <w:pPr>
        <w:spacing w:line="588" w:lineRule="exact"/>
        <w:jc w:val="center"/>
        <w:rPr>
          <w:rFonts w:hint="eastAsia" w:ascii="宋体" w:hAnsi="宋体" w:eastAsia="宋体" w:cs="宋体"/>
          <w:b/>
          <w:color w:val="auto"/>
          <w:spacing w:val="6"/>
          <w:sz w:val="32"/>
          <w:szCs w:val="32"/>
          <w:highlight w:val="none"/>
        </w:rPr>
      </w:pPr>
      <w:bookmarkStart w:id="67" w:name="OLE_LINK13"/>
      <w:bookmarkStart w:id="68" w:name="OLE_LINK14"/>
      <w:r>
        <w:rPr>
          <w:rFonts w:hint="eastAsia" w:ascii="宋体" w:hAnsi="宋体" w:eastAsia="宋体" w:cs="宋体"/>
          <w:b/>
          <w:color w:val="auto"/>
          <w:spacing w:val="6"/>
          <w:sz w:val="32"/>
          <w:szCs w:val="32"/>
          <w:highlight w:val="none"/>
        </w:rPr>
        <w:t>残疾人福利性单位声明函</w:t>
      </w:r>
    </w:p>
    <w:bookmarkEnd w:id="67"/>
    <w:bookmarkEnd w:id="68"/>
    <w:p w14:paraId="3A0E6234">
      <w:pPr>
        <w:jc w:val="center"/>
        <w:rPr>
          <w:rFonts w:hint="eastAsia" w:ascii="宋体" w:hAnsi="宋体" w:eastAsia="宋体" w:cs="宋体"/>
          <w:color w:val="auto"/>
          <w:szCs w:val="21"/>
          <w:highlight w:val="none"/>
          <w:u w:val="single"/>
        </w:rPr>
      </w:pPr>
    </w:p>
    <w:p w14:paraId="54DA48B2">
      <w:pPr>
        <w:jc w:val="center"/>
        <w:rPr>
          <w:rFonts w:hint="eastAsia" w:ascii="宋体" w:hAnsi="宋体" w:eastAsia="宋体" w:cs="宋体"/>
          <w:color w:val="auto"/>
          <w:szCs w:val="21"/>
          <w:highlight w:val="none"/>
          <w:u w:val="single"/>
        </w:rPr>
      </w:pPr>
      <w:r>
        <w:rPr>
          <w:rFonts w:hint="eastAsia" w:ascii="宋体" w:hAnsi="宋体" w:eastAsia="宋体" w:cs="宋体"/>
          <w:color w:val="auto"/>
          <w:szCs w:val="21"/>
          <w:highlight w:val="none"/>
          <w:u w:val="single"/>
        </w:rPr>
        <w:t>【不属于残疾人福利性单位的无需填写】</w:t>
      </w:r>
    </w:p>
    <w:p w14:paraId="5523AC67">
      <w:pPr>
        <w:spacing w:line="588" w:lineRule="exact"/>
        <w:rPr>
          <w:rFonts w:hint="eastAsia" w:ascii="宋体" w:hAnsi="宋体" w:eastAsia="宋体" w:cs="宋体"/>
          <w:b/>
          <w:color w:val="auto"/>
          <w:spacing w:val="6"/>
          <w:sz w:val="30"/>
          <w:szCs w:val="30"/>
          <w:highlight w:val="none"/>
        </w:rPr>
      </w:pPr>
    </w:p>
    <w:p w14:paraId="5499E028">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本单位郑重声明，根据《财政部 民政部 中国残疾人联合会关于促进残疾人就业政府采购政策的通知》（财库</w:t>
      </w:r>
      <w:r>
        <w:rPr>
          <w:rFonts w:hint="eastAsia" w:ascii="宋体" w:hAnsi="宋体" w:eastAsia="宋体" w:cs="宋体"/>
          <w:color w:val="auto"/>
          <w:sz w:val="24"/>
          <w:highlight w:val="none"/>
        </w:rPr>
        <w:t>〔2017〕 141</w:t>
      </w:r>
      <w:r>
        <w:rPr>
          <w:rFonts w:hint="eastAsia" w:ascii="宋体" w:hAnsi="宋体" w:eastAsia="宋体" w:cs="宋体"/>
          <w:color w:val="auto"/>
          <w:spacing w:val="6"/>
          <w:sz w:val="24"/>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E393839">
      <w:pPr>
        <w:spacing w:line="588" w:lineRule="exact"/>
        <w:ind w:firstLine="504" w:firstLineChars="200"/>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本单位对上述声明的真实性负责。如有虚假，将依法承担相应责任。</w:t>
      </w:r>
    </w:p>
    <w:p w14:paraId="642EA671">
      <w:pPr>
        <w:spacing w:line="588" w:lineRule="exact"/>
        <w:ind w:firstLine="504" w:firstLineChars="200"/>
        <w:rPr>
          <w:rFonts w:hint="eastAsia" w:ascii="宋体" w:hAnsi="宋体" w:eastAsia="宋体" w:cs="宋体"/>
          <w:color w:val="auto"/>
          <w:spacing w:val="6"/>
          <w:sz w:val="24"/>
          <w:highlight w:val="none"/>
        </w:rPr>
      </w:pPr>
    </w:p>
    <w:p w14:paraId="6CB41EAE">
      <w:pPr>
        <w:spacing w:line="588" w:lineRule="exact"/>
        <w:ind w:firstLine="504" w:firstLineChars="200"/>
        <w:rPr>
          <w:rFonts w:hint="eastAsia" w:ascii="宋体" w:hAnsi="宋体" w:eastAsia="宋体" w:cs="宋体"/>
          <w:color w:val="auto"/>
          <w:spacing w:val="6"/>
          <w:sz w:val="24"/>
          <w:highlight w:val="none"/>
        </w:rPr>
      </w:pPr>
    </w:p>
    <w:p w14:paraId="5509ED0D">
      <w:pPr>
        <w:tabs>
          <w:tab w:val="left" w:pos="4860"/>
        </w:tabs>
        <w:spacing w:line="588" w:lineRule="exact"/>
        <w:ind w:right="1560" w:firstLine="504" w:firstLineChars="200"/>
        <w:jc w:val="center"/>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 xml:space="preserve">               </w:t>
      </w:r>
      <w:bookmarkStart w:id="69" w:name="_Toc16061_WPSOffice_Level1"/>
      <w:r>
        <w:rPr>
          <w:rFonts w:hint="eastAsia" w:ascii="宋体" w:hAnsi="宋体" w:eastAsia="宋体" w:cs="宋体"/>
          <w:color w:val="auto"/>
          <w:spacing w:val="6"/>
          <w:sz w:val="24"/>
          <w:highlight w:val="none"/>
        </w:rPr>
        <w:t>单位名称（盖章）：</w:t>
      </w:r>
      <w:bookmarkEnd w:id="69"/>
    </w:p>
    <w:p w14:paraId="78D7DEAA">
      <w:pPr>
        <w:tabs>
          <w:tab w:val="left" w:pos="4860"/>
        </w:tabs>
        <w:spacing w:line="588" w:lineRule="exact"/>
        <w:ind w:right="1560" w:firstLine="504" w:firstLineChars="200"/>
        <w:jc w:val="center"/>
        <w:rPr>
          <w:rFonts w:hint="eastAsia" w:ascii="宋体" w:hAnsi="宋体" w:eastAsia="宋体" w:cs="宋体"/>
          <w:color w:val="auto"/>
          <w:spacing w:val="6"/>
          <w:sz w:val="24"/>
          <w:highlight w:val="none"/>
        </w:rPr>
      </w:pPr>
      <w:r>
        <w:rPr>
          <w:rFonts w:hint="eastAsia" w:ascii="宋体" w:hAnsi="宋体" w:eastAsia="宋体" w:cs="宋体"/>
          <w:color w:val="auto"/>
          <w:spacing w:val="6"/>
          <w:sz w:val="24"/>
          <w:highlight w:val="none"/>
        </w:rPr>
        <w:t xml:space="preserve">       </w:t>
      </w:r>
      <w:bookmarkStart w:id="70" w:name="_Toc32569_WPSOffice_Level1"/>
      <w:r>
        <w:rPr>
          <w:rFonts w:hint="eastAsia" w:ascii="宋体" w:hAnsi="宋体" w:eastAsia="宋体" w:cs="宋体"/>
          <w:color w:val="auto"/>
          <w:spacing w:val="6"/>
          <w:sz w:val="24"/>
          <w:highlight w:val="none"/>
        </w:rPr>
        <w:t>日  期：</w:t>
      </w:r>
      <w:bookmarkEnd w:id="70"/>
    </w:p>
    <w:p w14:paraId="1B724A79">
      <w:pPr>
        <w:pStyle w:val="3"/>
        <w:rPr>
          <w:rFonts w:hint="eastAsia" w:ascii="宋体" w:hAnsi="宋体" w:eastAsia="宋体" w:cs="宋体"/>
          <w:color w:val="auto"/>
          <w:sz w:val="24"/>
          <w:highlight w:val="none"/>
        </w:rPr>
        <w:sectPr>
          <w:pgSz w:w="11850" w:h="16783"/>
          <w:pgMar w:top="1440" w:right="1080" w:bottom="1440" w:left="1080" w:header="720" w:footer="720" w:gutter="0"/>
          <w:cols w:space="720" w:num="1"/>
        </w:sectPr>
      </w:pPr>
    </w:p>
    <w:p w14:paraId="10F50D26">
      <w:pPr>
        <w:pStyle w:val="23"/>
        <w:ind w:left="0" w:leftChars="0" w:firstLine="0" w:firstLineChars="0"/>
        <w:outlineLvl w:val="3"/>
        <w:rPr>
          <w:rFonts w:hint="eastAsia" w:ascii="宋体" w:hAnsi="宋体" w:cs="宋体"/>
          <w:color w:val="auto"/>
          <w:highlight w:val="none"/>
        </w:rPr>
      </w:pPr>
      <w:r>
        <w:rPr>
          <w:rFonts w:hint="eastAsia" w:ascii="宋体" w:hAnsi="宋体" w:cs="宋体"/>
          <w:color w:val="auto"/>
          <w:highlight w:val="none"/>
        </w:rPr>
        <w:t>附3 监狱企业的证明文件</w:t>
      </w:r>
    </w:p>
    <w:p w14:paraId="24062480">
      <w:pPr>
        <w:textAlignment w:val="baseline"/>
        <w:rPr>
          <w:rFonts w:hint="eastAsia" w:ascii="宋体" w:hAnsi="宋体" w:eastAsia="宋体" w:cs="宋体"/>
          <w:color w:val="auto"/>
          <w:sz w:val="20"/>
          <w:highlight w:val="none"/>
        </w:rPr>
      </w:pPr>
    </w:p>
    <w:p w14:paraId="1AB31719">
      <w:pPr>
        <w:spacing w:before="312" w:after="312" w:line="360" w:lineRule="auto"/>
        <w:jc w:val="center"/>
        <w:textAlignment w:val="baseline"/>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t>（如适用填写，不适用无须填写，只填写不适用即可）</w:t>
      </w:r>
    </w:p>
    <w:p w14:paraId="6389D054">
      <w:pPr>
        <w:spacing w:before="312" w:after="312" w:line="360" w:lineRule="auto"/>
        <w:jc w:val="center"/>
        <w:textAlignment w:val="baseline"/>
        <w:rPr>
          <w:rFonts w:hint="eastAsia" w:ascii="宋体" w:hAnsi="宋体" w:eastAsia="宋体" w:cs="宋体"/>
          <w:b/>
          <w:color w:val="auto"/>
          <w:spacing w:val="20"/>
          <w:sz w:val="30"/>
          <w:szCs w:val="30"/>
          <w:highlight w:val="none"/>
        </w:rPr>
      </w:pPr>
      <w:r>
        <w:rPr>
          <w:rFonts w:hint="eastAsia" w:ascii="宋体" w:hAnsi="宋体" w:eastAsia="宋体" w:cs="宋体"/>
          <w:b/>
          <w:color w:val="auto"/>
          <w:spacing w:val="20"/>
          <w:sz w:val="30"/>
          <w:szCs w:val="30"/>
          <w:highlight w:val="none"/>
        </w:rPr>
        <w:t>监狱企业的证明文件</w:t>
      </w:r>
    </w:p>
    <w:p w14:paraId="390A13D6">
      <w:pPr>
        <w:pStyle w:val="3"/>
        <w:rPr>
          <w:rFonts w:hint="eastAsia" w:ascii="宋体" w:hAnsi="宋体" w:eastAsia="宋体" w:cs="宋体"/>
          <w:color w:val="auto"/>
          <w:spacing w:val="20"/>
          <w:sz w:val="30"/>
          <w:szCs w:val="30"/>
          <w:highlight w:val="none"/>
        </w:rPr>
      </w:pPr>
    </w:p>
    <w:p w14:paraId="52A7D31B">
      <w:pPr>
        <w:rPr>
          <w:rFonts w:hint="eastAsia" w:ascii="宋体" w:hAnsi="宋体" w:eastAsia="宋体" w:cs="宋体"/>
          <w:b/>
          <w:color w:val="auto"/>
          <w:spacing w:val="20"/>
          <w:sz w:val="30"/>
          <w:szCs w:val="30"/>
          <w:highlight w:val="none"/>
        </w:rPr>
      </w:pPr>
    </w:p>
    <w:p w14:paraId="0B5A8EE6">
      <w:pPr>
        <w:pStyle w:val="3"/>
        <w:rPr>
          <w:rFonts w:hint="eastAsia" w:ascii="宋体" w:hAnsi="宋体" w:eastAsia="宋体" w:cs="宋体"/>
          <w:color w:val="auto"/>
          <w:spacing w:val="20"/>
          <w:sz w:val="30"/>
          <w:szCs w:val="30"/>
          <w:highlight w:val="none"/>
        </w:rPr>
      </w:pPr>
    </w:p>
    <w:p w14:paraId="2C28CA19">
      <w:pPr>
        <w:rPr>
          <w:rFonts w:hint="eastAsia" w:ascii="宋体" w:hAnsi="宋体" w:eastAsia="宋体" w:cs="宋体"/>
          <w:b/>
          <w:color w:val="auto"/>
          <w:spacing w:val="20"/>
          <w:sz w:val="30"/>
          <w:szCs w:val="30"/>
          <w:highlight w:val="none"/>
        </w:rPr>
      </w:pPr>
    </w:p>
    <w:p w14:paraId="33DDF1EE">
      <w:pPr>
        <w:pStyle w:val="3"/>
        <w:rPr>
          <w:rFonts w:hint="eastAsia" w:ascii="宋体" w:hAnsi="宋体" w:eastAsia="宋体" w:cs="宋体"/>
          <w:color w:val="auto"/>
          <w:highlight w:val="none"/>
        </w:rPr>
      </w:pPr>
    </w:p>
    <w:p w14:paraId="649710EC">
      <w:pPr>
        <w:spacing w:line="440" w:lineRule="exact"/>
        <w:textAlignment w:val="baseline"/>
        <w:rPr>
          <w:rFonts w:hint="eastAsia" w:ascii="宋体" w:hAnsi="宋体" w:eastAsia="宋体" w:cs="宋体"/>
          <w:color w:val="auto"/>
          <w:sz w:val="24"/>
          <w:highlight w:val="none"/>
        </w:rPr>
      </w:pPr>
      <w:r>
        <w:rPr>
          <w:rFonts w:hint="eastAsia" w:ascii="宋体" w:hAnsi="宋体" w:eastAsia="宋体" w:cs="宋体"/>
          <w:color w:val="auto"/>
          <w:sz w:val="24"/>
          <w:highlight w:val="none"/>
        </w:rPr>
        <w:t>说明：监狱企业参加政府采购活动时，应当提供由省级以上监狱管理局、戒毒管理局（含新疆生产建设兵团）出具的属于监狱企业的证明文件并加盖单位公章。</w:t>
      </w:r>
    </w:p>
    <w:p w14:paraId="0E5CB6DD">
      <w:pPr>
        <w:rPr>
          <w:rFonts w:hint="eastAsia" w:ascii="宋体" w:hAnsi="宋体" w:eastAsia="宋体" w:cs="宋体"/>
          <w:color w:val="auto"/>
          <w:sz w:val="24"/>
          <w:highlight w:val="none"/>
        </w:rPr>
        <w:sectPr>
          <w:pgSz w:w="11850" w:h="16783"/>
          <w:pgMar w:top="1440" w:right="1080" w:bottom="1440" w:left="1080" w:header="720" w:footer="720" w:gutter="0"/>
          <w:cols w:space="720" w:num="1"/>
        </w:sectPr>
      </w:pPr>
    </w:p>
    <w:p w14:paraId="1A49E9E1">
      <w:pPr>
        <w:spacing w:line="360" w:lineRule="auto"/>
        <w:rPr>
          <w:rFonts w:hint="eastAsia" w:ascii="宋体" w:hAnsi="宋体" w:eastAsia="宋体" w:cs="宋体"/>
          <w:color w:val="auto"/>
          <w:szCs w:val="21"/>
          <w:highlight w:val="none"/>
          <w:lang w:bidi="ar"/>
        </w:rPr>
      </w:pPr>
      <w:bookmarkStart w:id="71" w:name="_Toc4208"/>
      <w:bookmarkStart w:id="72" w:name="_Toc684"/>
      <w:r>
        <w:rPr>
          <w:rFonts w:hint="eastAsia" w:ascii="宋体" w:hAnsi="宋体" w:eastAsia="宋体" w:cs="宋体"/>
          <w:color w:val="auto"/>
          <w:szCs w:val="21"/>
          <w:highlight w:val="none"/>
          <w:lang w:bidi="ar"/>
        </w:rPr>
        <w:t>附件4</w:t>
      </w:r>
    </w:p>
    <w:p w14:paraId="209E2918">
      <w:pPr>
        <w:spacing w:line="360" w:lineRule="auto"/>
        <w:rPr>
          <w:rFonts w:hint="eastAsia" w:ascii="宋体" w:hAnsi="宋体" w:eastAsia="宋体" w:cs="宋体"/>
          <w:color w:val="auto"/>
          <w:szCs w:val="21"/>
          <w:highlight w:val="none"/>
          <w:lang w:bidi="ar"/>
        </w:rPr>
      </w:pPr>
      <w:r>
        <w:rPr>
          <w:rFonts w:hint="eastAsia" w:ascii="宋体" w:hAnsi="宋体" w:eastAsia="宋体" w:cs="宋体"/>
          <w:color w:val="auto"/>
          <w:szCs w:val="21"/>
          <w:highlight w:val="none"/>
          <w:lang w:bidi="ar"/>
        </w:rPr>
        <w:t>招标文件中要求的其他文件或投标人认为对自己有利的其他资料</w:t>
      </w:r>
      <w:bookmarkEnd w:id="71"/>
      <w:bookmarkEnd w:id="72"/>
    </w:p>
    <w:p w14:paraId="6E9B34B7">
      <w:pPr>
        <w:autoSpaceDN w:val="0"/>
        <w:rPr>
          <w:rFonts w:hint="eastAsia" w:ascii="宋体" w:hAnsi="宋体" w:eastAsia="宋体" w:cs="宋体"/>
          <w:color w:val="auto"/>
          <w:sz w:val="28"/>
          <w:szCs w:val="28"/>
          <w:highlight w:val="none"/>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34B63">
    <w:pPr>
      <w:pStyle w:val="15"/>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3D75CA">
                          <w:pPr>
                            <w:pStyle w:val="15"/>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A3D75CA">
                    <w:pPr>
                      <w:pStyle w:val="15"/>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E0E851">
    <w:pPr>
      <w:spacing w:line="183" w:lineRule="auto"/>
      <w:rPr>
        <w:sz w:val="27"/>
        <w:szCs w:val="27"/>
      </w:rPr>
    </w:pPr>
    <w:r>
      <w:rPr>
        <w:sz w:val="27"/>
      </w:rP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773E002">
                          <w:pPr>
                            <w:pStyle w:val="15"/>
                          </w:pPr>
                          <w:r>
                            <w:fldChar w:fldCharType="begin"/>
                          </w:r>
                          <w:r>
                            <w:instrText xml:space="preserve"> PAGE  \* MERGEFORMAT </w:instrText>
                          </w:r>
                          <w:r>
                            <w:fldChar w:fldCharType="separate"/>
                          </w:r>
                          <w:r>
                            <w:t>67</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VhjD8rAgAAVQ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FYYw/KwIAAFUEAAAOAAAAAAAAAAEAIAAAAB8BAABkcnMvZTJvRG9jLnhtbFBLBQYAAAAABgAG&#10;AFkBAAC8BQAAAAA=&#10;">
              <v:fill on="f" focussize="0,0"/>
              <v:stroke on="f" weight="0.5pt"/>
              <v:imagedata o:title=""/>
              <o:lock v:ext="edit" aspectratio="f"/>
              <v:textbox inset="0mm,0mm,0mm,0mm" style="mso-fit-shape-to-text:t;">
                <w:txbxContent>
                  <w:p w14:paraId="0773E002">
                    <w:pPr>
                      <w:pStyle w:val="15"/>
                    </w:pPr>
                    <w:r>
                      <w:fldChar w:fldCharType="begin"/>
                    </w:r>
                    <w:r>
                      <w:instrText xml:space="preserve"> PAGE  \* MERGEFORMAT </w:instrText>
                    </w:r>
                    <w:r>
                      <w:fldChar w:fldCharType="separate"/>
                    </w:r>
                    <w:r>
                      <w:t>67</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5AA2678"/>
    <w:multiLevelType w:val="singleLevel"/>
    <w:tmpl w:val="C5AA2678"/>
    <w:lvl w:ilvl="0" w:tentative="0">
      <w:start w:val="2"/>
      <w:numFmt w:val="chineseCounting"/>
      <w:suff w:val="nothing"/>
      <w:lvlText w:val="（%1）"/>
      <w:lvlJc w:val="left"/>
      <w:rPr>
        <w:rFonts w:hint="eastAsia"/>
      </w:rPr>
    </w:lvl>
  </w:abstractNum>
  <w:abstractNum w:abstractNumId="1">
    <w:nsid w:val="C6CD1446"/>
    <w:multiLevelType w:val="singleLevel"/>
    <w:tmpl w:val="C6CD1446"/>
    <w:lvl w:ilvl="0" w:tentative="0">
      <w:start w:val="1"/>
      <w:numFmt w:val="decimal"/>
      <w:suff w:val="nothing"/>
      <w:lvlText w:val="%1、"/>
      <w:lvlJc w:val="left"/>
    </w:lvl>
  </w:abstractNum>
  <w:abstractNum w:abstractNumId="2">
    <w:nsid w:val="E140F11F"/>
    <w:multiLevelType w:val="singleLevel"/>
    <w:tmpl w:val="E140F11F"/>
    <w:lvl w:ilvl="0" w:tentative="0">
      <w:start w:val="1"/>
      <w:numFmt w:val="decimal"/>
      <w:suff w:val="nothing"/>
      <w:lvlText w:val="%1、"/>
      <w:lvlJc w:val="left"/>
    </w:lvl>
  </w:abstractNum>
  <w:abstractNum w:abstractNumId="3">
    <w:nsid w:val="E7D77E86"/>
    <w:multiLevelType w:val="singleLevel"/>
    <w:tmpl w:val="E7D77E86"/>
    <w:lvl w:ilvl="0" w:tentative="0">
      <w:start w:val="1"/>
      <w:numFmt w:val="decimal"/>
      <w:suff w:val="nothing"/>
      <w:lvlText w:val="%1、"/>
      <w:lvlJc w:val="left"/>
    </w:lvl>
  </w:abstractNum>
  <w:abstractNum w:abstractNumId="4">
    <w:nsid w:val="EECDF7DC"/>
    <w:multiLevelType w:val="singleLevel"/>
    <w:tmpl w:val="EECDF7DC"/>
    <w:lvl w:ilvl="0" w:tentative="0">
      <w:start w:val="1"/>
      <w:numFmt w:val="decimal"/>
      <w:suff w:val="nothing"/>
      <w:lvlText w:val="%1、"/>
      <w:lvlJc w:val="left"/>
    </w:lvl>
  </w:abstractNum>
  <w:abstractNum w:abstractNumId="5">
    <w:nsid w:val="084A85FC"/>
    <w:multiLevelType w:val="singleLevel"/>
    <w:tmpl w:val="084A85FC"/>
    <w:lvl w:ilvl="0" w:tentative="0">
      <w:start w:val="4"/>
      <w:numFmt w:val="chineseCounting"/>
      <w:suff w:val="space"/>
      <w:lvlText w:val="第%1部分"/>
      <w:lvlJc w:val="left"/>
      <w:rPr>
        <w:rFonts w:hint="eastAsia"/>
      </w:rPr>
    </w:lvl>
  </w:abstractNum>
  <w:abstractNum w:abstractNumId="6">
    <w:nsid w:val="13C24B25"/>
    <w:multiLevelType w:val="singleLevel"/>
    <w:tmpl w:val="13C24B25"/>
    <w:lvl w:ilvl="0" w:tentative="0">
      <w:start w:val="1"/>
      <w:numFmt w:val="chineseCounting"/>
      <w:suff w:val="nothing"/>
      <w:lvlText w:val="（%1）"/>
      <w:lvlJc w:val="left"/>
      <w:rPr>
        <w:rFonts w:hint="eastAsia"/>
      </w:rPr>
    </w:lvl>
  </w:abstractNum>
  <w:abstractNum w:abstractNumId="7">
    <w:nsid w:val="22A9DDE2"/>
    <w:multiLevelType w:val="singleLevel"/>
    <w:tmpl w:val="22A9DDE2"/>
    <w:lvl w:ilvl="0" w:tentative="0">
      <w:start w:val="1"/>
      <w:numFmt w:val="decimal"/>
      <w:suff w:val="space"/>
      <w:lvlText w:val="%1、"/>
      <w:lvlJc w:val="left"/>
    </w:lvl>
  </w:abstractNum>
  <w:abstractNum w:abstractNumId="8">
    <w:nsid w:val="349D8517"/>
    <w:multiLevelType w:val="singleLevel"/>
    <w:tmpl w:val="349D8517"/>
    <w:lvl w:ilvl="0" w:tentative="0">
      <w:start w:val="1"/>
      <w:numFmt w:val="decimal"/>
      <w:suff w:val="nothing"/>
      <w:lvlText w:val="%1、"/>
      <w:lvlJc w:val="left"/>
    </w:lvl>
  </w:abstractNum>
  <w:num w:numId="1">
    <w:abstractNumId w:val="8"/>
  </w:num>
  <w:num w:numId="2">
    <w:abstractNumId w:val="1"/>
  </w:num>
  <w:num w:numId="3">
    <w:abstractNumId w:val="5"/>
  </w:num>
  <w:num w:numId="4">
    <w:abstractNumId w:val="6"/>
  </w:num>
  <w:num w:numId="5">
    <w:abstractNumId w:val="4"/>
  </w:num>
  <w:num w:numId="6">
    <w:abstractNumId w:val="3"/>
  </w:num>
  <w:num w:numId="7">
    <w:abstractNumId w:val="2"/>
  </w:num>
  <w:num w:numId="8">
    <w:abstractNumId w:val="7"/>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43"/>
  <w:embedSystemFonts/>
  <w:documentProtection w:enforcement="0"/>
  <w:defaultTabStop w:val="420"/>
  <w:drawingGridVerticalSpacing w:val="159"/>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g1NmJjMjFiNTQ1OTkyZmQxZWRhNmFjMmJmZjRlMDYifQ=="/>
  </w:docVars>
  <w:rsids>
    <w:rsidRoot w:val="003F6967"/>
    <w:rsid w:val="0009075B"/>
    <w:rsid w:val="0011143A"/>
    <w:rsid w:val="0014058D"/>
    <w:rsid w:val="00284D1E"/>
    <w:rsid w:val="002B1BDB"/>
    <w:rsid w:val="003D40AB"/>
    <w:rsid w:val="003F6967"/>
    <w:rsid w:val="004C0719"/>
    <w:rsid w:val="004E43D1"/>
    <w:rsid w:val="00507071"/>
    <w:rsid w:val="00623453"/>
    <w:rsid w:val="007F1012"/>
    <w:rsid w:val="008C24DE"/>
    <w:rsid w:val="00950484"/>
    <w:rsid w:val="00E65916"/>
    <w:rsid w:val="011007BC"/>
    <w:rsid w:val="016C2D4F"/>
    <w:rsid w:val="01A54BC7"/>
    <w:rsid w:val="01D7394B"/>
    <w:rsid w:val="01F62F61"/>
    <w:rsid w:val="0230135D"/>
    <w:rsid w:val="02B01361"/>
    <w:rsid w:val="02B96468"/>
    <w:rsid w:val="03BE185C"/>
    <w:rsid w:val="042C27F9"/>
    <w:rsid w:val="04FF037E"/>
    <w:rsid w:val="051627BB"/>
    <w:rsid w:val="0523406D"/>
    <w:rsid w:val="0550081D"/>
    <w:rsid w:val="05537173"/>
    <w:rsid w:val="056B1EC6"/>
    <w:rsid w:val="05C80770"/>
    <w:rsid w:val="05F94D9A"/>
    <w:rsid w:val="06185872"/>
    <w:rsid w:val="062A3016"/>
    <w:rsid w:val="065B7836"/>
    <w:rsid w:val="066D64E2"/>
    <w:rsid w:val="06B01218"/>
    <w:rsid w:val="06B01930"/>
    <w:rsid w:val="06FA20FA"/>
    <w:rsid w:val="07373455"/>
    <w:rsid w:val="07442078"/>
    <w:rsid w:val="07B15B08"/>
    <w:rsid w:val="07D941F0"/>
    <w:rsid w:val="07DD2F19"/>
    <w:rsid w:val="08057A5A"/>
    <w:rsid w:val="083E2F6B"/>
    <w:rsid w:val="08732C15"/>
    <w:rsid w:val="08BD778E"/>
    <w:rsid w:val="08FA1588"/>
    <w:rsid w:val="0922698B"/>
    <w:rsid w:val="093B710C"/>
    <w:rsid w:val="097E7326"/>
    <w:rsid w:val="09AE0CE4"/>
    <w:rsid w:val="09C01DFB"/>
    <w:rsid w:val="09DF47A4"/>
    <w:rsid w:val="09E412C5"/>
    <w:rsid w:val="0AA75785"/>
    <w:rsid w:val="0AE771CF"/>
    <w:rsid w:val="0B293767"/>
    <w:rsid w:val="0B302F90"/>
    <w:rsid w:val="0B460AB5"/>
    <w:rsid w:val="0B8B471A"/>
    <w:rsid w:val="0BA37CB5"/>
    <w:rsid w:val="0BC67500"/>
    <w:rsid w:val="0BD85AA5"/>
    <w:rsid w:val="0C37664F"/>
    <w:rsid w:val="0C4F1BEB"/>
    <w:rsid w:val="0C6F05D6"/>
    <w:rsid w:val="0C801DA5"/>
    <w:rsid w:val="0C8B1DD4"/>
    <w:rsid w:val="0C9D2956"/>
    <w:rsid w:val="0CA009E9"/>
    <w:rsid w:val="0CAD06C0"/>
    <w:rsid w:val="0D1A5D55"/>
    <w:rsid w:val="0D3C20CB"/>
    <w:rsid w:val="0E574D87"/>
    <w:rsid w:val="0EB44933"/>
    <w:rsid w:val="0F386966"/>
    <w:rsid w:val="0F3C0B05"/>
    <w:rsid w:val="0F547FC2"/>
    <w:rsid w:val="0F704352"/>
    <w:rsid w:val="1028470E"/>
    <w:rsid w:val="103B113B"/>
    <w:rsid w:val="108F486E"/>
    <w:rsid w:val="10A44D54"/>
    <w:rsid w:val="10D40911"/>
    <w:rsid w:val="11194576"/>
    <w:rsid w:val="111B52EE"/>
    <w:rsid w:val="112C046B"/>
    <w:rsid w:val="11537BC2"/>
    <w:rsid w:val="115D26B4"/>
    <w:rsid w:val="11B30526"/>
    <w:rsid w:val="11DF3D09"/>
    <w:rsid w:val="11F33019"/>
    <w:rsid w:val="122F18D1"/>
    <w:rsid w:val="123B5045"/>
    <w:rsid w:val="123F000C"/>
    <w:rsid w:val="1249339E"/>
    <w:rsid w:val="125A3098"/>
    <w:rsid w:val="12B72298"/>
    <w:rsid w:val="12D44BF8"/>
    <w:rsid w:val="13161AB9"/>
    <w:rsid w:val="134254FC"/>
    <w:rsid w:val="134B4DF7"/>
    <w:rsid w:val="13AE369B"/>
    <w:rsid w:val="14074B59"/>
    <w:rsid w:val="14496F20"/>
    <w:rsid w:val="14830684"/>
    <w:rsid w:val="14A95C11"/>
    <w:rsid w:val="14C0309A"/>
    <w:rsid w:val="14D1683F"/>
    <w:rsid w:val="14E76E65"/>
    <w:rsid w:val="150A062C"/>
    <w:rsid w:val="153C6A85"/>
    <w:rsid w:val="15541D23"/>
    <w:rsid w:val="1557566D"/>
    <w:rsid w:val="155838BF"/>
    <w:rsid w:val="157D50D3"/>
    <w:rsid w:val="15C01464"/>
    <w:rsid w:val="15E05662"/>
    <w:rsid w:val="15F1786F"/>
    <w:rsid w:val="17313342"/>
    <w:rsid w:val="176522C3"/>
    <w:rsid w:val="17680005"/>
    <w:rsid w:val="17EF6030"/>
    <w:rsid w:val="188837D6"/>
    <w:rsid w:val="18E11E1D"/>
    <w:rsid w:val="19057D4B"/>
    <w:rsid w:val="1953139B"/>
    <w:rsid w:val="196A44ED"/>
    <w:rsid w:val="199D3F96"/>
    <w:rsid w:val="1A0674FC"/>
    <w:rsid w:val="1A5C3CAF"/>
    <w:rsid w:val="1A6E5932"/>
    <w:rsid w:val="1A756CC1"/>
    <w:rsid w:val="1ABC654B"/>
    <w:rsid w:val="1AC437A4"/>
    <w:rsid w:val="1AE259D8"/>
    <w:rsid w:val="1B917B2A"/>
    <w:rsid w:val="1BE22134"/>
    <w:rsid w:val="1C0625CD"/>
    <w:rsid w:val="1CD51653"/>
    <w:rsid w:val="1CFD32DC"/>
    <w:rsid w:val="1D0D31E0"/>
    <w:rsid w:val="1D1C78C7"/>
    <w:rsid w:val="1D2642A2"/>
    <w:rsid w:val="1D2E13A9"/>
    <w:rsid w:val="1D385D84"/>
    <w:rsid w:val="1D774AFE"/>
    <w:rsid w:val="1DAB089D"/>
    <w:rsid w:val="1E1B7B7F"/>
    <w:rsid w:val="1E82375A"/>
    <w:rsid w:val="1EAC6A29"/>
    <w:rsid w:val="1ED8781E"/>
    <w:rsid w:val="1EE00481"/>
    <w:rsid w:val="1EEB7549"/>
    <w:rsid w:val="1F4E5D32"/>
    <w:rsid w:val="1F503858"/>
    <w:rsid w:val="1F6E3CDF"/>
    <w:rsid w:val="1FAE52E0"/>
    <w:rsid w:val="1FB7220A"/>
    <w:rsid w:val="1FCD30FB"/>
    <w:rsid w:val="1FE65664"/>
    <w:rsid w:val="20256A93"/>
    <w:rsid w:val="202C2BB3"/>
    <w:rsid w:val="20E406FC"/>
    <w:rsid w:val="21034CBE"/>
    <w:rsid w:val="21AE2AB8"/>
    <w:rsid w:val="228850B7"/>
    <w:rsid w:val="229200CA"/>
    <w:rsid w:val="22DE117B"/>
    <w:rsid w:val="22FD5AA5"/>
    <w:rsid w:val="2329689A"/>
    <w:rsid w:val="233F29B8"/>
    <w:rsid w:val="237D7345"/>
    <w:rsid w:val="23DC1B5F"/>
    <w:rsid w:val="24023415"/>
    <w:rsid w:val="2428459B"/>
    <w:rsid w:val="248E2668"/>
    <w:rsid w:val="24AB5AC1"/>
    <w:rsid w:val="24FA69B6"/>
    <w:rsid w:val="252512E3"/>
    <w:rsid w:val="258D5538"/>
    <w:rsid w:val="259D2BCF"/>
    <w:rsid w:val="25BC1C48"/>
    <w:rsid w:val="261314BA"/>
    <w:rsid w:val="26296BB1"/>
    <w:rsid w:val="263907AA"/>
    <w:rsid w:val="265279E5"/>
    <w:rsid w:val="26AD240F"/>
    <w:rsid w:val="26D60AE7"/>
    <w:rsid w:val="26F0188E"/>
    <w:rsid w:val="27681344"/>
    <w:rsid w:val="278E13C2"/>
    <w:rsid w:val="28221B0A"/>
    <w:rsid w:val="28823561"/>
    <w:rsid w:val="289B15C9"/>
    <w:rsid w:val="28A80261"/>
    <w:rsid w:val="28BC12D3"/>
    <w:rsid w:val="28F752F8"/>
    <w:rsid w:val="295B24AB"/>
    <w:rsid w:val="296E14AB"/>
    <w:rsid w:val="29AC1FD3"/>
    <w:rsid w:val="29AE6CFA"/>
    <w:rsid w:val="2A17569E"/>
    <w:rsid w:val="2A924D25"/>
    <w:rsid w:val="2A9419D0"/>
    <w:rsid w:val="2AEE793F"/>
    <w:rsid w:val="2B0507DE"/>
    <w:rsid w:val="2B267384"/>
    <w:rsid w:val="2B65243A"/>
    <w:rsid w:val="2C6F23E9"/>
    <w:rsid w:val="2C834947"/>
    <w:rsid w:val="2CA74E1A"/>
    <w:rsid w:val="2CC66986"/>
    <w:rsid w:val="2CCD37BC"/>
    <w:rsid w:val="2CFA3055"/>
    <w:rsid w:val="2D031FB1"/>
    <w:rsid w:val="2D3F6F7F"/>
    <w:rsid w:val="2D5B4FFC"/>
    <w:rsid w:val="2DBD655D"/>
    <w:rsid w:val="2DBD7993"/>
    <w:rsid w:val="2DD438A6"/>
    <w:rsid w:val="2E107C96"/>
    <w:rsid w:val="2E8350FA"/>
    <w:rsid w:val="2F132EBB"/>
    <w:rsid w:val="2F6B1FE9"/>
    <w:rsid w:val="2FD66FEA"/>
    <w:rsid w:val="30547BA5"/>
    <w:rsid w:val="30A9101A"/>
    <w:rsid w:val="30C05D77"/>
    <w:rsid w:val="314D409C"/>
    <w:rsid w:val="319E66A5"/>
    <w:rsid w:val="31F6203D"/>
    <w:rsid w:val="31FD60F7"/>
    <w:rsid w:val="32103526"/>
    <w:rsid w:val="325750CB"/>
    <w:rsid w:val="32A47CEB"/>
    <w:rsid w:val="32C453D4"/>
    <w:rsid w:val="32E91BA2"/>
    <w:rsid w:val="331E697D"/>
    <w:rsid w:val="339C09C3"/>
    <w:rsid w:val="33D44600"/>
    <w:rsid w:val="34120156"/>
    <w:rsid w:val="343F6B5B"/>
    <w:rsid w:val="34B90F53"/>
    <w:rsid w:val="351C0E9A"/>
    <w:rsid w:val="35FC3AC2"/>
    <w:rsid w:val="35FF348B"/>
    <w:rsid w:val="367D2D2D"/>
    <w:rsid w:val="36977049"/>
    <w:rsid w:val="36F823B4"/>
    <w:rsid w:val="37016D1F"/>
    <w:rsid w:val="3703070A"/>
    <w:rsid w:val="375B1811"/>
    <w:rsid w:val="37695060"/>
    <w:rsid w:val="377F4883"/>
    <w:rsid w:val="38593326"/>
    <w:rsid w:val="38C033A5"/>
    <w:rsid w:val="38C32995"/>
    <w:rsid w:val="38CD7870"/>
    <w:rsid w:val="38ED3A6E"/>
    <w:rsid w:val="390F3783"/>
    <w:rsid w:val="39A86313"/>
    <w:rsid w:val="39D930BA"/>
    <w:rsid w:val="3A090748"/>
    <w:rsid w:val="3A1A4D37"/>
    <w:rsid w:val="3A445910"/>
    <w:rsid w:val="3A4F49E1"/>
    <w:rsid w:val="3A8521B0"/>
    <w:rsid w:val="3AA60379"/>
    <w:rsid w:val="3AC058DE"/>
    <w:rsid w:val="3B0E664A"/>
    <w:rsid w:val="3B292616"/>
    <w:rsid w:val="3B2D45F6"/>
    <w:rsid w:val="3B331C0C"/>
    <w:rsid w:val="3B8E7126"/>
    <w:rsid w:val="3BAF1081"/>
    <w:rsid w:val="3BC415DE"/>
    <w:rsid w:val="3BE52565"/>
    <w:rsid w:val="3BF21AC7"/>
    <w:rsid w:val="3C463BC1"/>
    <w:rsid w:val="3C6B7ACC"/>
    <w:rsid w:val="3C7544A7"/>
    <w:rsid w:val="3CF6476A"/>
    <w:rsid w:val="3D08531B"/>
    <w:rsid w:val="3D39304F"/>
    <w:rsid w:val="3D552379"/>
    <w:rsid w:val="3D874491"/>
    <w:rsid w:val="3E4A678D"/>
    <w:rsid w:val="3F277CDA"/>
    <w:rsid w:val="3FB928FC"/>
    <w:rsid w:val="402B37FA"/>
    <w:rsid w:val="406D5354"/>
    <w:rsid w:val="40B3559D"/>
    <w:rsid w:val="40F97454"/>
    <w:rsid w:val="41153FB8"/>
    <w:rsid w:val="411D00F2"/>
    <w:rsid w:val="414A7CB0"/>
    <w:rsid w:val="419557DD"/>
    <w:rsid w:val="425007FB"/>
    <w:rsid w:val="425206D8"/>
    <w:rsid w:val="426D572A"/>
    <w:rsid w:val="42821601"/>
    <w:rsid w:val="42DE2DA6"/>
    <w:rsid w:val="430976F7"/>
    <w:rsid w:val="43736556"/>
    <w:rsid w:val="43A35D9D"/>
    <w:rsid w:val="440920A4"/>
    <w:rsid w:val="44123DA4"/>
    <w:rsid w:val="449000D0"/>
    <w:rsid w:val="45596D73"/>
    <w:rsid w:val="456A6AE6"/>
    <w:rsid w:val="45A32084"/>
    <w:rsid w:val="45A33D90"/>
    <w:rsid w:val="46121DB4"/>
    <w:rsid w:val="463E3B5B"/>
    <w:rsid w:val="4689127A"/>
    <w:rsid w:val="468E063F"/>
    <w:rsid w:val="47213261"/>
    <w:rsid w:val="47887784"/>
    <w:rsid w:val="47E744AA"/>
    <w:rsid w:val="47FA747C"/>
    <w:rsid w:val="47FC782A"/>
    <w:rsid w:val="480C0B2A"/>
    <w:rsid w:val="481717EA"/>
    <w:rsid w:val="481D7ECC"/>
    <w:rsid w:val="48384D06"/>
    <w:rsid w:val="48530A18"/>
    <w:rsid w:val="485350A5"/>
    <w:rsid w:val="48931F3C"/>
    <w:rsid w:val="48A27DF5"/>
    <w:rsid w:val="48A6482D"/>
    <w:rsid w:val="492E7EB7"/>
    <w:rsid w:val="49746FF4"/>
    <w:rsid w:val="49AD7933"/>
    <w:rsid w:val="4A143551"/>
    <w:rsid w:val="4A241865"/>
    <w:rsid w:val="4A5C2802"/>
    <w:rsid w:val="4A7C48CD"/>
    <w:rsid w:val="4ABD5996"/>
    <w:rsid w:val="4ADE3E57"/>
    <w:rsid w:val="4B840262"/>
    <w:rsid w:val="4B8615C9"/>
    <w:rsid w:val="4B9C15B8"/>
    <w:rsid w:val="4BD74836"/>
    <w:rsid w:val="4BF45A95"/>
    <w:rsid w:val="4BF90C50"/>
    <w:rsid w:val="4C1A4723"/>
    <w:rsid w:val="4C3457E4"/>
    <w:rsid w:val="4C7057FC"/>
    <w:rsid w:val="4D0258E3"/>
    <w:rsid w:val="4D2B4E39"/>
    <w:rsid w:val="4D3F1184"/>
    <w:rsid w:val="4D471771"/>
    <w:rsid w:val="4D5076E6"/>
    <w:rsid w:val="4DCE1B26"/>
    <w:rsid w:val="4DE82D2A"/>
    <w:rsid w:val="4DFC67D6"/>
    <w:rsid w:val="4E343767"/>
    <w:rsid w:val="4E656129"/>
    <w:rsid w:val="4EB53C0C"/>
    <w:rsid w:val="4EDE50B2"/>
    <w:rsid w:val="4EE23C1E"/>
    <w:rsid w:val="4F622668"/>
    <w:rsid w:val="4FB31116"/>
    <w:rsid w:val="4FD537C0"/>
    <w:rsid w:val="501612A1"/>
    <w:rsid w:val="5020671E"/>
    <w:rsid w:val="50722D7F"/>
    <w:rsid w:val="50D17AA6"/>
    <w:rsid w:val="50EA0B67"/>
    <w:rsid w:val="512255C4"/>
    <w:rsid w:val="51656440"/>
    <w:rsid w:val="51907961"/>
    <w:rsid w:val="519D6907"/>
    <w:rsid w:val="51DD6195"/>
    <w:rsid w:val="52C378C2"/>
    <w:rsid w:val="530E01E3"/>
    <w:rsid w:val="533F163E"/>
    <w:rsid w:val="53430A03"/>
    <w:rsid w:val="53B918C9"/>
    <w:rsid w:val="541D4164"/>
    <w:rsid w:val="5474705F"/>
    <w:rsid w:val="5492579E"/>
    <w:rsid w:val="549F610D"/>
    <w:rsid w:val="55191A1B"/>
    <w:rsid w:val="55197C6D"/>
    <w:rsid w:val="5521354E"/>
    <w:rsid w:val="55256612"/>
    <w:rsid w:val="5528700F"/>
    <w:rsid w:val="559519EA"/>
    <w:rsid w:val="55B17EA6"/>
    <w:rsid w:val="55C43A6D"/>
    <w:rsid w:val="56535F51"/>
    <w:rsid w:val="565F3782"/>
    <w:rsid w:val="56E76E89"/>
    <w:rsid w:val="56F95FA8"/>
    <w:rsid w:val="57415259"/>
    <w:rsid w:val="57706690"/>
    <w:rsid w:val="57DB397E"/>
    <w:rsid w:val="57E74F09"/>
    <w:rsid w:val="57E75E01"/>
    <w:rsid w:val="586B6A32"/>
    <w:rsid w:val="58C46142"/>
    <w:rsid w:val="59053EBF"/>
    <w:rsid w:val="593C44D4"/>
    <w:rsid w:val="59411541"/>
    <w:rsid w:val="59747B68"/>
    <w:rsid w:val="59D41E68"/>
    <w:rsid w:val="59FB0972"/>
    <w:rsid w:val="5AA1498D"/>
    <w:rsid w:val="5AA7606A"/>
    <w:rsid w:val="5B527A35"/>
    <w:rsid w:val="5B6D0D13"/>
    <w:rsid w:val="5B8A5266"/>
    <w:rsid w:val="5C0E6052"/>
    <w:rsid w:val="5C186ED1"/>
    <w:rsid w:val="5C797F0A"/>
    <w:rsid w:val="5C814A76"/>
    <w:rsid w:val="5C8355D1"/>
    <w:rsid w:val="5CB309A7"/>
    <w:rsid w:val="5CC20BEA"/>
    <w:rsid w:val="5CD1707F"/>
    <w:rsid w:val="5CF214D0"/>
    <w:rsid w:val="5D1B0F08"/>
    <w:rsid w:val="5D5850AB"/>
    <w:rsid w:val="5DF95502"/>
    <w:rsid w:val="5E2A4C99"/>
    <w:rsid w:val="5E766130"/>
    <w:rsid w:val="5EDB7BE5"/>
    <w:rsid w:val="5EF552A7"/>
    <w:rsid w:val="5F1F40D2"/>
    <w:rsid w:val="5F2142EE"/>
    <w:rsid w:val="5F3F6C61"/>
    <w:rsid w:val="5F462B37"/>
    <w:rsid w:val="5FBA204D"/>
    <w:rsid w:val="5FC5111D"/>
    <w:rsid w:val="5FEA6FBF"/>
    <w:rsid w:val="5FF740FF"/>
    <w:rsid w:val="601259E5"/>
    <w:rsid w:val="603D527B"/>
    <w:rsid w:val="60A752A8"/>
    <w:rsid w:val="61350D6D"/>
    <w:rsid w:val="615D761B"/>
    <w:rsid w:val="616E1341"/>
    <w:rsid w:val="61792FB5"/>
    <w:rsid w:val="61F803E1"/>
    <w:rsid w:val="621E2D67"/>
    <w:rsid w:val="62314848"/>
    <w:rsid w:val="62614A02"/>
    <w:rsid w:val="62826A58"/>
    <w:rsid w:val="62842E61"/>
    <w:rsid w:val="62DF18ED"/>
    <w:rsid w:val="63715118"/>
    <w:rsid w:val="63BA6ABF"/>
    <w:rsid w:val="63BF5E84"/>
    <w:rsid w:val="63C70247"/>
    <w:rsid w:val="640A35A3"/>
    <w:rsid w:val="64155AA4"/>
    <w:rsid w:val="64D15E6F"/>
    <w:rsid w:val="64E35BA2"/>
    <w:rsid w:val="64E536C8"/>
    <w:rsid w:val="65125FE7"/>
    <w:rsid w:val="652C7549"/>
    <w:rsid w:val="65393A14"/>
    <w:rsid w:val="656F2EB5"/>
    <w:rsid w:val="65905281"/>
    <w:rsid w:val="665B6338"/>
    <w:rsid w:val="6686712D"/>
    <w:rsid w:val="669730E8"/>
    <w:rsid w:val="66A82BFF"/>
    <w:rsid w:val="6855357E"/>
    <w:rsid w:val="68CF6B69"/>
    <w:rsid w:val="695A0B28"/>
    <w:rsid w:val="69EF634D"/>
    <w:rsid w:val="6A2856D7"/>
    <w:rsid w:val="6A437B6F"/>
    <w:rsid w:val="6A460CA7"/>
    <w:rsid w:val="6A753740"/>
    <w:rsid w:val="6AA47B81"/>
    <w:rsid w:val="6B024AB2"/>
    <w:rsid w:val="6B060C3A"/>
    <w:rsid w:val="6B2849C4"/>
    <w:rsid w:val="6B6535FA"/>
    <w:rsid w:val="6BA954BC"/>
    <w:rsid w:val="6C386DFC"/>
    <w:rsid w:val="6D7C3506"/>
    <w:rsid w:val="6D8048A5"/>
    <w:rsid w:val="6DC142E0"/>
    <w:rsid w:val="6E1A15A7"/>
    <w:rsid w:val="6E7F69EA"/>
    <w:rsid w:val="6E917A12"/>
    <w:rsid w:val="6EB160B4"/>
    <w:rsid w:val="6F1057E5"/>
    <w:rsid w:val="6F6A1399"/>
    <w:rsid w:val="6F7F20AF"/>
    <w:rsid w:val="6FBB098B"/>
    <w:rsid w:val="6FDD7DBD"/>
    <w:rsid w:val="704C0A9F"/>
    <w:rsid w:val="7105004B"/>
    <w:rsid w:val="71092E34"/>
    <w:rsid w:val="711D41EA"/>
    <w:rsid w:val="711E068D"/>
    <w:rsid w:val="71866DCF"/>
    <w:rsid w:val="71A5490B"/>
    <w:rsid w:val="71C31235"/>
    <w:rsid w:val="720A7302"/>
    <w:rsid w:val="724954D0"/>
    <w:rsid w:val="724F0D1A"/>
    <w:rsid w:val="725146E0"/>
    <w:rsid w:val="725B146D"/>
    <w:rsid w:val="727367B7"/>
    <w:rsid w:val="72B03544"/>
    <w:rsid w:val="73400A87"/>
    <w:rsid w:val="7370719A"/>
    <w:rsid w:val="73CA68AB"/>
    <w:rsid w:val="740A1C05"/>
    <w:rsid w:val="741555D7"/>
    <w:rsid w:val="744523D5"/>
    <w:rsid w:val="74B66486"/>
    <w:rsid w:val="74DD260E"/>
    <w:rsid w:val="755747BE"/>
    <w:rsid w:val="759C6025"/>
    <w:rsid w:val="75E4177A"/>
    <w:rsid w:val="76312C11"/>
    <w:rsid w:val="766C4792"/>
    <w:rsid w:val="76971E09"/>
    <w:rsid w:val="76EE0B02"/>
    <w:rsid w:val="76F53C3E"/>
    <w:rsid w:val="770E389B"/>
    <w:rsid w:val="772067E2"/>
    <w:rsid w:val="77362E69"/>
    <w:rsid w:val="777A2459"/>
    <w:rsid w:val="777B4F84"/>
    <w:rsid w:val="77AA075E"/>
    <w:rsid w:val="77AF3E74"/>
    <w:rsid w:val="77E500C2"/>
    <w:rsid w:val="77F04406"/>
    <w:rsid w:val="78200914"/>
    <w:rsid w:val="783B1B25"/>
    <w:rsid w:val="788259A6"/>
    <w:rsid w:val="78945CCC"/>
    <w:rsid w:val="78C665B9"/>
    <w:rsid w:val="78D855C6"/>
    <w:rsid w:val="78EA6239"/>
    <w:rsid w:val="79BD2A0E"/>
    <w:rsid w:val="79E263BE"/>
    <w:rsid w:val="7A557D7A"/>
    <w:rsid w:val="7A5F5873"/>
    <w:rsid w:val="7A991BDF"/>
    <w:rsid w:val="7AAF4E57"/>
    <w:rsid w:val="7B18439F"/>
    <w:rsid w:val="7B391059"/>
    <w:rsid w:val="7B6E0ADB"/>
    <w:rsid w:val="7B95779E"/>
    <w:rsid w:val="7C0B5733"/>
    <w:rsid w:val="7C3D3992"/>
    <w:rsid w:val="7C55517F"/>
    <w:rsid w:val="7CC04CEF"/>
    <w:rsid w:val="7CC657D6"/>
    <w:rsid w:val="7CF63139"/>
    <w:rsid w:val="7D1172F8"/>
    <w:rsid w:val="7D7721BD"/>
    <w:rsid w:val="7D787377"/>
    <w:rsid w:val="7D8E0949"/>
    <w:rsid w:val="7D906F42"/>
    <w:rsid w:val="7DAE0FEB"/>
    <w:rsid w:val="7E0E1A8A"/>
    <w:rsid w:val="7ED92098"/>
    <w:rsid w:val="7EDC7492"/>
    <w:rsid w:val="7F052B36"/>
    <w:rsid w:val="7F46795F"/>
    <w:rsid w:val="7F741DC0"/>
    <w:rsid w:val="7FD308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qFormat="1" w:unhideWhenUsed="0" w:uiPriority="0" w:semiHidden="0" w:name="index 6"/>
    <w:lsdException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iPriority="39"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link w:val="31"/>
    <w:autoRedefine/>
    <w:qFormat/>
    <w:uiPriority w:val="0"/>
    <w:pPr>
      <w:keepNext/>
      <w:keepLines/>
      <w:spacing w:before="340" w:after="330" w:line="576" w:lineRule="auto"/>
      <w:outlineLvl w:val="0"/>
    </w:pPr>
    <w:rPr>
      <w:rFonts w:ascii="Times New Roman" w:hAnsi="Times New Roman" w:eastAsia="宋体" w:cs="Times New Roman"/>
      <w:b/>
      <w:bCs/>
      <w:kern w:val="44"/>
      <w:sz w:val="44"/>
      <w:szCs w:val="44"/>
    </w:rPr>
  </w:style>
  <w:style w:type="paragraph" w:styleId="3">
    <w:name w:val="heading 2"/>
    <w:basedOn w:val="1"/>
    <w:next w:val="1"/>
    <w:autoRedefine/>
    <w:qFormat/>
    <w:uiPriority w:val="0"/>
    <w:pPr>
      <w:keepNext/>
      <w:keepLines/>
      <w:spacing w:before="260" w:after="260" w:line="415" w:lineRule="auto"/>
      <w:outlineLvl w:val="1"/>
    </w:pPr>
    <w:rPr>
      <w:rFonts w:ascii="Arial" w:hAnsi="Arial" w:eastAsia="黑体"/>
      <w:b/>
      <w:sz w:val="32"/>
    </w:rPr>
  </w:style>
  <w:style w:type="paragraph" w:styleId="4">
    <w:name w:val="heading 4"/>
    <w:basedOn w:val="1"/>
    <w:next w:val="1"/>
    <w:autoRedefine/>
    <w:qFormat/>
    <w:uiPriority w:val="0"/>
    <w:pPr>
      <w:keepNext/>
      <w:keepLines/>
      <w:spacing w:line="240" w:lineRule="exact"/>
      <w:outlineLvl w:val="3"/>
    </w:pPr>
    <w:rPr>
      <w:rFonts w:ascii="Arial" w:hAnsi="Arial" w:eastAsia="仿宋_GB2312"/>
      <w:b/>
      <w:sz w:val="18"/>
      <w:szCs w:val="32"/>
    </w:rPr>
  </w:style>
  <w:style w:type="character" w:default="1" w:styleId="26">
    <w:name w:val="Default Paragraph Font"/>
    <w:unhideWhenUsed/>
    <w:qFormat/>
    <w:uiPriority w:val="1"/>
  </w:style>
  <w:style w:type="table" w:default="1" w:styleId="24">
    <w:name w:val="Normal Table"/>
    <w:semiHidden/>
    <w:unhideWhenUsed/>
    <w:qFormat/>
    <w:uiPriority w:val="99"/>
    <w:tblPr>
      <w:tblCellMar>
        <w:top w:w="0" w:type="dxa"/>
        <w:left w:w="108" w:type="dxa"/>
        <w:bottom w:w="0" w:type="dxa"/>
        <w:right w:w="108" w:type="dxa"/>
      </w:tblCellMar>
    </w:tblPr>
  </w:style>
  <w:style w:type="paragraph" w:styleId="5">
    <w:name w:val="index 8"/>
    <w:basedOn w:val="1"/>
    <w:next w:val="1"/>
    <w:autoRedefine/>
    <w:qFormat/>
    <w:uiPriority w:val="0"/>
    <w:pPr>
      <w:ind w:left="1400" w:leftChars="1400"/>
    </w:pPr>
  </w:style>
  <w:style w:type="paragraph" w:styleId="6">
    <w:name w:val="index 5"/>
    <w:basedOn w:val="1"/>
    <w:next w:val="1"/>
    <w:autoRedefine/>
    <w:qFormat/>
    <w:uiPriority w:val="0"/>
    <w:pPr>
      <w:ind w:left="800" w:leftChars="800"/>
    </w:pPr>
  </w:style>
  <w:style w:type="paragraph" w:styleId="7">
    <w:name w:val="annotation text"/>
    <w:basedOn w:val="1"/>
    <w:autoRedefine/>
    <w:qFormat/>
    <w:uiPriority w:val="99"/>
    <w:pPr>
      <w:jc w:val="left"/>
    </w:pPr>
  </w:style>
  <w:style w:type="paragraph" w:styleId="8">
    <w:name w:val="index 6"/>
    <w:basedOn w:val="1"/>
    <w:next w:val="1"/>
    <w:autoRedefine/>
    <w:qFormat/>
    <w:uiPriority w:val="0"/>
    <w:pPr>
      <w:ind w:left="1000" w:leftChars="1000"/>
    </w:pPr>
  </w:style>
  <w:style w:type="paragraph" w:styleId="9">
    <w:name w:val="Body Text 3"/>
    <w:basedOn w:val="1"/>
    <w:autoRedefine/>
    <w:qFormat/>
    <w:uiPriority w:val="0"/>
    <w:pPr>
      <w:spacing w:line="80" w:lineRule="atLeast"/>
    </w:pPr>
    <w:rPr>
      <w:rFonts w:ascii="楷体_GB2312" w:eastAsia="楷体_GB2312"/>
      <w:sz w:val="28"/>
    </w:rPr>
  </w:style>
  <w:style w:type="paragraph" w:styleId="10">
    <w:name w:val="Body Text"/>
    <w:basedOn w:val="1"/>
    <w:next w:val="1"/>
    <w:autoRedefine/>
    <w:qFormat/>
    <w:uiPriority w:val="0"/>
    <w:pPr>
      <w:spacing w:after="120"/>
    </w:pPr>
    <w:rPr>
      <w:rFonts w:ascii="Times New Roman" w:hAnsi="Times New Roman" w:eastAsia="宋体" w:cs="Times New Roman"/>
    </w:rPr>
  </w:style>
  <w:style w:type="paragraph" w:styleId="11">
    <w:name w:val="Body Text Indent"/>
    <w:basedOn w:val="1"/>
    <w:autoRedefine/>
    <w:qFormat/>
    <w:uiPriority w:val="0"/>
    <w:pPr>
      <w:spacing w:beforeAutospacing="1" w:after="120"/>
      <w:ind w:left="420" w:leftChars="200"/>
    </w:pPr>
    <w:rPr>
      <w:rFonts w:ascii="Calibri" w:hAnsi="Calibri" w:eastAsia="宋体" w:cs="Times New Roman"/>
      <w:szCs w:val="21"/>
    </w:rPr>
  </w:style>
  <w:style w:type="paragraph" w:styleId="12">
    <w:name w:val="List 2"/>
    <w:basedOn w:val="1"/>
    <w:autoRedefine/>
    <w:qFormat/>
    <w:uiPriority w:val="0"/>
    <w:pPr>
      <w:adjustRightInd w:val="0"/>
      <w:spacing w:line="360" w:lineRule="auto"/>
      <w:textAlignment w:val="baseline"/>
    </w:pPr>
    <w:rPr>
      <w:sz w:val="24"/>
    </w:rPr>
  </w:style>
  <w:style w:type="paragraph" w:styleId="13">
    <w:name w:val="Date"/>
    <w:basedOn w:val="1"/>
    <w:next w:val="1"/>
    <w:autoRedefine/>
    <w:qFormat/>
    <w:uiPriority w:val="0"/>
    <w:rPr>
      <w:sz w:val="24"/>
      <w:szCs w:val="20"/>
    </w:rPr>
  </w:style>
  <w:style w:type="paragraph" w:styleId="14">
    <w:name w:val="Body Text Indent 2"/>
    <w:basedOn w:val="1"/>
    <w:next w:val="5"/>
    <w:autoRedefine/>
    <w:qFormat/>
    <w:uiPriority w:val="0"/>
    <w:pPr>
      <w:spacing w:beforeAutospacing="1" w:line="480" w:lineRule="auto"/>
      <w:ind w:left="420" w:leftChars="200"/>
    </w:pPr>
    <w:rPr>
      <w:rFonts w:ascii="Calibri" w:hAnsi="Calibri" w:eastAsia="宋体" w:cs="Times New Roman"/>
      <w:szCs w:val="21"/>
    </w:rPr>
  </w:style>
  <w:style w:type="paragraph" w:styleId="15">
    <w:name w:val="footer"/>
    <w:basedOn w:val="1"/>
    <w:autoRedefine/>
    <w:qFormat/>
    <w:uiPriority w:val="0"/>
    <w:pPr>
      <w:tabs>
        <w:tab w:val="center" w:pos="4153"/>
        <w:tab w:val="right" w:pos="8306"/>
      </w:tabs>
      <w:snapToGrid w:val="0"/>
      <w:jc w:val="left"/>
    </w:pPr>
    <w:rPr>
      <w:sz w:val="18"/>
    </w:rPr>
  </w:style>
  <w:style w:type="paragraph" w:styleId="16">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toc 1"/>
    <w:basedOn w:val="1"/>
    <w:next w:val="1"/>
    <w:autoRedefine/>
    <w:qFormat/>
    <w:uiPriority w:val="0"/>
    <w:pPr>
      <w:spacing w:before="120" w:after="120"/>
      <w:jc w:val="left"/>
    </w:pPr>
    <w:rPr>
      <w:rFonts w:ascii="Times New Roman" w:hAnsi="Times New Roman" w:eastAsia="宋体" w:cs="Times New Roman"/>
      <w:b/>
      <w:bCs/>
      <w:caps/>
      <w:sz w:val="20"/>
      <w:szCs w:val="20"/>
    </w:rPr>
  </w:style>
  <w:style w:type="paragraph" w:styleId="18">
    <w:name w:val="index 9"/>
    <w:basedOn w:val="1"/>
    <w:next w:val="1"/>
    <w:autoRedefine/>
    <w:qFormat/>
    <w:uiPriority w:val="0"/>
    <w:pPr>
      <w:ind w:left="1600" w:leftChars="1600"/>
    </w:pPr>
  </w:style>
  <w:style w:type="paragraph" w:styleId="19">
    <w:name w:val="toc 2"/>
    <w:basedOn w:val="1"/>
    <w:next w:val="1"/>
    <w:autoRedefine/>
    <w:semiHidden/>
    <w:unhideWhenUsed/>
    <w:qFormat/>
    <w:uiPriority w:val="39"/>
    <w:pPr>
      <w:ind w:left="420" w:leftChars="200"/>
    </w:pPr>
  </w:style>
  <w:style w:type="paragraph" w:styleId="20">
    <w:name w:val="Normal (Web)"/>
    <w:basedOn w:val="1"/>
    <w:autoRedefine/>
    <w:qFormat/>
    <w:uiPriority w:val="0"/>
    <w:pPr>
      <w:widowControl/>
      <w:spacing w:beforeAutospacing="1" w:afterAutospacing="1"/>
      <w:jc w:val="left"/>
    </w:pPr>
    <w:rPr>
      <w:rFonts w:ascii="??" w:hAnsi="??" w:eastAsia="宋体" w:cs="Times New Roman"/>
      <w:kern w:val="0"/>
      <w:sz w:val="24"/>
    </w:rPr>
  </w:style>
  <w:style w:type="paragraph" w:styleId="21">
    <w:name w:val="Title"/>
    <w:basedOn w:val="1"/>
    <w:next w:val="1"/>
    <w:autoRedefine/>
    <w:qFormat/>
    <w:uiPriority w:val="0"/>
    <w:pPr>
      <w:spacing w:before="240" w:after="60"/>
      <w:jc w:val="center"/>
      <w:outlineLvl w:val="0"/>
    </w:pPr>
    <w:rPr>
      <w:rFonts w:ascii="Cambria" w:hAnsi="Cambria" w:cs="Times New Roman"/>
      <w:b/>
      <w:sz w:val="32"/>
      <w:szCs w:val="20"/>
    </w:rPr>
  </w:style>
  <w:style w:type="paragraph" w:styleId="22">
    <w:name w:val="Body Text First Indent"/>
    <w:basedOn w:val="10"/>
    <w:next w:val="23"/>
    <w:autoRedefine/>
    <w:qFormat/>
    <w:uiPriority w:val="0"/>
    <w:pPr>
      <w:spacing w:line="312" w:lineRule="auto"/>
      <w:ind w:firstLine="420"/>
    </w:pPr>
  </w:style>
  <w:style w:type="paragraph" w:styleId="23">
    <w:name w:val="Body Text First Indent 2"/>
    <w:basedOn w:val="11"/>
    <w:autoRedefine/>
    <w:qFormat/>
    <w:uiPriority w:val="0"/>
    <w:pPr>
      <w:ind w:firstLine="420" w:firstLineChars="200"/>
    </w:pPr>
  </w:style>
  <w:style w:type="table" w:styleId="25">
    <w:name w:val="Table Grid"/>
    <w:basedOn w:val="24"/>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7">
    <w:name w:val="Strong"/>
    <w:basedOn w:val="26"/>
    <w:autoRedefine/>
    <w:qFormat/>
    <w:uiPriority w:val="0"/>
  </w:style>
  <w:style w:type="character" w:styleId="28">
    <w:name w:val="Hyperlink"/>
    <w:basedOn w:val="26"/>
    <w:autoRedefine/>
    <w:qFormat/>
    <w:uiPriority w:val="0"/>
    <w:rPr>
      <w:color w:val="0000FF"/>
      <w:u w:val="single"/>
    </w:rPr>
  </w:style>
  <w:style w:type="paragraph" w:customStyle="1" w:styleId="29">
    <w:name w:val="BodyText"/>
    <w:basedOn w:val="1"/>
    <w:qFormat/>
    <w:uiPriority w:val="0"/>
    <w:pPr>
      <w:spacing w:after="120"/>
    </w:pPr>
  </w:style>
  <w:style w:type="paragraph" w:customStyle="1" w:styleId="30">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31">
    <w:name w:val="标题 1 字符"/>
    <w:link w:val="2"/>
    <w:autoRedefine/>
    <w:qFormat/>
    <w:uiPriority w:val="0"/>
    <w:rPr>
      <w:rFonts w:hint="default" w:ascii="Times New Roman" w:hAnsi="Times New Roman" w:eastAsia="宋体" w:cs="Times New Roman"/>
      <w:b/>
      <w:bCs/>
      <w:kern w:val="44"/>
      <w:sz w:val="44"/>
      <w:szCs w:val="44"/>
      <w:lang w:val="en-US" w:eastAsia="zh-CN" w:bidi="ar"/>
    </w:rPr>
  </w:style>
  <w:style w:type="paragraph" w:customStyle="1" w:styleId="32">
    <w:name w:val="Normal_718"/>
    <w:basedOn w:val="1"/>
    <w:autoRedefine/>
    <w:qFormat/>
    <w:uiPriority w:val="0"/>
    <w:rPr>
      <w:rFonts w:ascii="Times New Roman" w:hAnsi="Times New Roman" w:eastAsia="宋体" w:cs="Times New Roman"/>
      <w:szCs w:val="21"/>
    </w:rPr>
  </w:style>
  <w:style w:type="paragraph" w:customStyle="1" w:styleId="33">
    <w:name w:val="Table Paragraph"/>
    <w:basedOn w:val="1"/>
    <w:autoRedefine/>
    <w:qFormat/>
    <w:uiPriority w:val="0"/>
    <w:rPr>
      <w:rFonts w:ascii="Calibri" w:hAnsi="Calibri" w:eastAsia="宋体" w:cs="Times New Roman"/>
      <w:szCs w:val="21"/>
    </w:rPr>
  </w:style>
  <w:style w:type="character" w:customStyle="1" w:styleId="34">
    <w:name w:val="font81"/>
    <w:basedOn w:val="26"/>
    <w:autoRedefine/>
    <w:qFormat/>
    <w:uiPriority w:val="0"/>
    <w:rPr>
      <w:rFonts w:hint="eastAsia" w:ascii="宋体" w:hAnsi="宋体" w:eastAsia="宋体" w:cs="宋体"/>
      <w:b/>
      <w:bCs/>
      <w:color w:val="000000"/>
      <w:sz w:val="18"/>
      <w:szCs w:val="18"/>
      <w:u w:val="none"/>
    </w:rPr>
  </w:style>
  <w:style w:type="character" w:customStyle="1" w:styleId="35">
    <w:name w:val="font71"/>
    <w:basedOn w:val="26"/>
    <w:autoRedefine/>
    <w:qFormat/>
    <w:uiPriority w:val="0"/>
    <w:rPr>
      <w:rFonts w:hint="eastAsia" w:ascii="宋体" w:hAnsi="宋体" w:eastAsia="宋体" w:cs="宋体"/>
      <w:color w:val="000000"/>
      <w:sz w:val="18"/>
      <w:szCs w:val="18"/>
      <w:u w:val="none"/>
    </w:rPr>
  </w:style>
  <w:style w:type="character" w:customStyle="1" w:styleId="36">
    <w:name w:val="font41"/>
    <w:basedOn w:val="26"/>
    <w:autoRedefine/>
    <w:qFormat/>
    <w:uiPriority w:val="0"/>
    <w:rPr>
      <w:rFonts w:hint="eastAsia" w:ascii="宋体" w:hAnsi="宋体" w:eastAsia="宋体" w:cs="宋体"/>
      <w:color w:val="000000"/>
      <w:sz w:val="18"/>
      <w:szCs w:val="18"/>
      <w:u w:val="none"/>
    </w:rPr>
  </w:style>
  <w:style w:type="character" w:customStyle="1" w:styleId="37">
    <w:name w:val="font51"/>
    <w:basedOn w:val="26"/>
    <w:autoRedefine/>
    <w:qFormat/>
    <w:uiPriority w:val="0"/>
    <w:rPr>
      <w:rFonts w:hint="eastAsia" w:ascii="宋体" w:hAnsi="宋体" w:eastAsia="宋体" w:cs="宋体"/>
      <w:b/>
      <w:bCs/>
      <w:color w:val="000000"/>
      <w:sz w:val="18"/>
      <w:szCs w:val="18"/>
      <w:u w:val="none"/>
    </w:rPr>
  </w:style>
  <w:style w:type="character" w:customStyle="1" w:styleId="38">
    <w:name w:val="font21"/>
    <w:basedOn w:val="26"/>
    <w:autoRedefine/>
    <w:qFormat/>
    <w:uiPriority w:val="0"/>
    <w:rPr>
      <w:rFonts w:hint="eastAsia" w:ascii="宋体" w:hAnsi="宋体" w:eastAsia="宋体" w:cs="宋体"/>
      <w:color w:val="000000"/>
      <w:sz w:val="18"/>
      <w:szCs w:val="18"/>
      <w:u w:val="none"/>
    </w:rPr>
  </w:style>
  <w:style w:type="character" w:customStyle="1" w:styleId="39">
    <w:name w:val="font61"/>
    <w:basedOn w:val="26"/>
    <w:autoRedefine/>
    <w:qFormat/>
    <w:uiPriority w:val="0"/>
    <w:rPr>
      <w:rFonts w:hint="eastAsia" w:ascii="宋体" w:hAnsi="宋体" w:eastAsia="宋体" w:cs="宋体"/>
      <w:color w:val="000000"/>
      <w:sz w:val="18"/>
      <w:szCs w:val="18"/>
      <w:u w:val="none"/>
    </w:rPr>
  </w:style>
  <w:style w:type="character" w:customStyle="1" w:styleId="40">
    <w:name w:val="font31"/>
    <w:basedOn w:val="26"/>
    <w:autoRedefine/>
    <w:qFormat/>
    <w:uiPriority w:val="0"/>
    <w:rPr>
      <w:rFonts w:hint="eastAsia" w:ascii="宋体" w:hAnsi="宋体" w:eastAsia="宋体" w:cs="宋体"/>
      <w:b/>
      <w:bCs/>
      <w:color w:val="000000"/>
      <w:sz w:val="18"/>
      <w:szCs w:val="18"/>
      <w:u w:val="none"/>
    </w:rPr>
  </w:style>
  <w:style w:type="character" w:customStyle="1" w:styleId="41">
    <w:name w:val="font101"/>
    <w:basedOn w:val="26"/>
    <w:autoRedefine/>
    <w:qFormat/>
    <w:uiPriority w:val="0"/>
    <w:rPr>
      <w:rFonts w:hint="eastAsia" w:ascii="宋体" w:hAnsi="宋体" w:eastAsia="宋体" w:cs="宋体"/>
      <w:color w:val="000000"/>
      <w:sz w:val="18"/>
      <w:szCs w:val="18"/>
      <w:u w:val="none"/>
    </w:rPr>
  </w:style>
  <w:style w:type="character" w:customStyle="1" w:styleId="42">
    <w:name w:val="font01"/>
    <w:basedOn w:val="26"/>
    <w:autoRedefine/>
    <w:qFormat/>
    <w:uiPriority w:val="0"/>
    <w:rPr>
      <w:rFonts w:hint="eastAsia" w:ascii="宋体" w:hAnsi="宋体" w:eastAsia="宋体" w:cs="宋体"/>
      <w:color w:val="000000"/>
      <w:sz w:val="18"/>
      <w:szCs w:val="18"/>
      <w:u w:val="none"/>
    </w:rPr>
  </w:style>
  <w:style w:type="paragraph" w:styleId="43">
    <w:name w:val="List Paragraph"/>
    <w:basedOn w:val="1"/>
    <w:autoRedefine/>
    <w:qFormat/>
    <w:uiPriority w:val="1"/>
    <w:pPr>
      <w:ind w:left="698" w:firstLine="420"/>
    </w:pPr>
    <w:rPr>
      <w:rFonts w:ascii="宋体" w:hAnsi="宋体" w:eastAsia="宋体" w:cs="宋体"/>
      <w:lang w:val="zh-CN" w:bidi="zh-CN"/>
    </w:rPr>
  </w:style>
  <w:style w:type="table" w:customStyle="1" w:styleId="44">
    <w:name w:val="Table Normal"/>
    <w:autoRedefine/>
    <w:semiHidden/>
    <w:unhideWhenUsed/>
    <w:qFormat/>
    <w:uiPriority w:val="0"/>
    <w:tblPr>
      <w:tblCellMar>
        <w:top w:w="0" w:type="dxa"/>
        <w:left w:w="0" w:type="dxa"/>
        <w:bottom w:w="0" w:type="dxa"/>
        <w:right w:w="0" w:type="dxa"/>
      </w:tblCellMar>
    </w:tblPr>
  </w:style>
  <w:style w:type="paragraph" w:customStyle="1" w:styleId="45">
    <w:name w:val="正文缩进2"/>
    <w:basedOn w:val="1"/>
    <w:qFormat/>
    <w:uiPriority w:val="0"/>
    <w:pPr>
      <w:suppressAutoHyphens/>
      <w:autoSpaceDE w:val="0"/>
      <w:autoSpaceDN w:val="0"/>
      <w:ind w:firstLine="420"/>
      <w:textAlignment w:val="baseline"/>
    </w:pPr>
    <w:rPr>
      <w:rFonts w:ascii="Arial" w:hAnsi="Arial" w:eastAsia="Arial"/>
      <w:kern w:val="0"/>
      <w:sz w:val="24"/>
    </w:rPr>
  </w:style>
  <w:style w:type="paragraph" w:customStyle="1" w:styleId="46">
    <w:name w:val="列出段落1"/>
    <w:basedOn w:val="1"/>
    <w:qFormat/>
    <w:uiPriority w:val="34"/>
    <w:pPr>
      <w:ind w:left="720"/>
      <w:contextualSpacing/>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3EE5C15-0A4A-4924-A960-05BDA0F59A5A}">
  <ds:schemaRefs/>
</ds:datastoreItem>
</file>

<file path=docProps/app.xml><?xml version="1.0" encoding="utf-8"?>
<Properties xmlns="http://schemas.openxmlformats.org/officeDocument/2006/extended-properties" xmlns:vt="http://schemas.openxmlformats.org/officeDocument/2006/docPropsVTypes">
  <Template>Normal</Template>
  <Pages>90</Pages>
  <Words>16910</Words>
  <Characters>17985</Characters>
  <Lines>439</Lines>
  <Paragraphs>123</Paragraphs>
  <TotalTime>2</TotalTime>
  <ScaleCrop>false</ScaleCrop>
  <LinksUpToDate>false</LinksUpToDate>
  <CharactersWithSpaces>18186</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2022-11-04T01:10:00Z</dcterms:created>
  <dc:creator>Administrator</dc:creator>
  <cp:lastModifiedBy>小卡曼</cp:lastModifiedBy>
  <dcterms:modified xsi:type="dcterms:W3CDTF">2025-03-06T01:22:37Z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FDBB5B132A4947CEBCC59AEC12B4D7AA_13</vt:lpwstr>
  </property>
  <property fmtid="{D5CDD505-2E9C-101B-9397-08002B2CF9AE}" pid="4" name="KSOTemplateDocerSaveRecord">
    <vt:lpwstr>eyJoZGlkIjoiNDA3NzQ2YzUyN2FkZWRkYmI4YjNkOTRmNzk0ZWU0MzgiLCJ1c2VySWQiOiI0MzUzNjgxODMifQ==</vt:lpwstr>
  </property>
</Properties>
</file>