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789D5CF">
      <w:pPr>
        <w:widowControl/>
        <w:spacing w:line="400" w:lineRule="exact"/>
        <w:rPr>
          <w:rFonts w:ascii="宋体" w:hAnsi="宋体" w:cs="宋体"/>
          <w:b/>
          <w:bCs/>
          <w:color w:val="auto"/>
          <w:kern w:val="0"/>
          <w:sz w:val="72"/>
          <w:szCs w:val="72"/>
          <w:highlight w:val="none"/>
        </w:rPr>
      </w:pPr>
    </w:p>
    <w:p w14:paraId="6B0968A7">
      <w:pPr>
        <w:widowControl/>
        <w:spacing w:line="360" w:lineRule="auto"/>
        <w:jc w:val="center"/>
        <w:outlineLvl w:val="0"/>
        <w:rPr>
          <w:rFonts w:hint="eastAsia" w:ascii="宋体" w:hAnsi="宋体" w:eastAsia="宋体"/>
          <w:color w:val="auto"/>
          <w:kern w:val="0"/>
          <w:sz w:val="44"/>
          <w:szCs w:val="44"/>
          <w:highlight w:val="none"/>
          <w:lang w:val="en-US" w:eastAsia="zh-CN"/>
        </w:rPr>
      </w:pPr>
      <w:r>
        <w:rPr>
          <w:rFonts w:hint="eastAsia" w:ascii="宋体" w:hAnsi="宋体"/>
          <w:b/>
          <w:bCs/>
          <w:color w:val="auto"/>
          <w:kern w:val="0"/>
          <w:sz w:val="56"/>
          <w:szCs w:val="56"/>
          <w:highlight w:val="none"/>
          <w:lang w:val="en-US" w:eastAsia="zh-CN"/>
        </w:rPr>
        <w:t>农安县饮马河堤防水毁修复工程</w:t>
      </w:r>
    </w:p>
    <w:p w14:paraId="08206B98">
      <w:pPr>
        <w:widowControl/>
        <w:spacing w:line="360" w:lineRule="auto"/>
        <w:rPr>
          <w:rFonts w:ascii="宋体" w:hAnsi="宋体"/>
          <w:color w:val="auto"/>
          <w:kern w:val="0"/>
          <w:sz w:val="44"/>
          <w:szCs w:val="44"/>
          <w:highlight w:val="none"/>
        </w:rPr>
      </w:pPr>
    </w:p>
    <w:p w14:paraId="7577EE2D">
      <w:pPr>
        <w:widowControl/>
        <w:spacing w:line="360" w:lineRule="auto"/>
        <w:rPr>
          <w:rFonts w:ascii="宋体" w:hAnsi="宋体"/>
          <w:color w:val="auto"/>
          <w:kern w:val="0"/>
          <w:sz w:val="44"/>
          <w:szCs w:val="44"/>
          <w:highlight w:val="none"/>
        </w:rPr>
      </w:pPr>
    </w:p>
    <w:p w14:paraId="2C428560">
      <w:pPr>
        <w:widowControl/>
        <w:spacing w:line="360" w:lineRule="auto"/>
        <w:rPr>
          <w:rFonts w:ascii="宋体" w:hAnsi="宋体"/>
          <w:color w:val="auto"/>
          <w:kern w:val="0"/>
          <w:sz w:val="44"/>
          <w:szCs w:val="44"/>
          <w:highlight w:val="none"/>
        </w:rPr>
      </w:pPr>
    </w:p>
    <w:p w14:paraId="79A607AF">
      <w:pPr>
        <w:widowControl/>
        <w:spacing w:line="360" w:lineRule="auto"/>
        <w:jc w:val="center"/>
        <w:rPr>
          <w:rFonts w:ascii="宋体" w:hAnsi="宋体"/>
          <w:b/>
          <w:bCs/>
          <w:color w:val="auto"/>
          <w:kern w:val="0"/>
          <w:sz w:val="84"/>
          <w:szCs w:val="84"/>
          <w:highlight w:val="none"/>
        </w:rPr>
      </w:pPr>
      <w:r>
        <w:rPr>
          <w:rFonts w:hint="eastAsia" w:ascii="宋体" w:hAnsi="宋体"/>
          <w:b/>
          <w:bCs/>
          <w:color w:val="auto"/>
          <w:kern w:val="0"/>
          <w:sz w:val="84"/>
          <w:szCs w:val="84"/>
          <w:highlight w:val="none"/>
          <w:lang w:val="en-US" w:eastAsia="zh-CN"/>
        </w:rPr>
        <w:t>磋 商</w:t>
      </w:r>
      <w:r>
        <w:rPr>
          <w:rFonts w:hint="eastAsia" w:ascii="宋体" w:hAnsi="宋体"/>
          <w:b/>
          <w:bCs/>
          <w:color w:val="auto"/>
          <w:kern w:val="0"/>
          <w:sz w:val="84"/>
          <w:szCs w:val="84"/>
          <w:highlight w:val="none"/>
        </w:rPr>
        <w:t xml:space="preserve"> 文 件</w:t>
      </w:r>
    </w:p>
    <w:p w14:paraId="3ECE0D42">
      <w:pPr>
        <w:widowControl/>
        <w:spacing w:line="360" w:lineRule="auto"/>
        <w:jc w:val="center"/>
        <w:outlineLvl w:val="0"/>
        <w:rPr>
          <w:rFonts w:hint="default" w:ascii="宋体" w:hAnsi="宋体" w:eastAsia="宋体" w:cs="Arial"/>
          <w:b/>
          <w:bCs/>
          <w:color w:val="auto"/>
          <w:kern w:val="0"/>
          <w:sz w:val="32"/>
          <w:szCs w:val="32"/>
          <w:highlight w:val="none"/>
          <w:lang w:val="en-US" w:eastAsia="zh-CN"/>
        </w:rPr>
      </w:pPr>
      <w:bookmarkStart w:id="0" w:name="_Toc504479633"/>
      <w:bookmarkStart w:id="1" w:name="_Toc504654671"/>
      <w:bookmarkStart w:id="2" w:name="_Toc5820"/>
      <w:r>
        <w:rPr>
          <w:rFonts w:hint="eastAsia" w:ascii="宋体" w:hAnsi="宋体" w:cs="Arial"/>
          <w:b/>
          <w:bCs/>
          <w:color w:val="auto"/>
          <w:kern w:val="0"/>
          <w:sz w:val="32"/>
          <w:szCs w:val="32"/>
          <w:highlight w:val="none"/>
          <w:lang w:val="en-US" w:eastAsia="zh-CN"/>
        </w:rPr>
        <w:t>项目编号</w:t>
      </w:r>
      <w:r>
        <w:rPr>
          <w:rFonts w:hint="eastAsia" w:ascii="宋体" w:hAnsi="宋体" w:cs="Arial"/>
          <w:b/>
          <w:bCs/>
          <w:color w:val="auto"/>
          <w:kern w:val="0"/>
          <w:sz w:val="32"/>
          <w:szCs w:val="32"/>
          <w:highlight w:val="none"/>
        </w:rPr>
        <w:t>：</w:t>
      </w:r>
      <w:bookmarkEnd w:id="0"/>
      <w:bookmarkEnd w:id="1"/>
      <w:bookmarkEnd w:id="2"/>
      <w:r>
        <w:rPr>
          <w:rFonts w:hint="eastAsia" w:ascii="宋体" w:hAnsi="宋体" w:cs="Arial"/>
          <w:b/>
          <w:bCs/>
          <w:color w:val="auto"/>
          <w:kern w:val="0"/>
          <w:sz w:val="32"/>
          <w:szCs w:val="32"/>
          <w:highlight w:val="none"/>
          <w:lang w:val="en-US" w:eastAsia="zh-CN"/>
        </w:rPr>
        <w:t>JLSM-2025-002</w:t>
      </w:r>
    </w:p>
    <w:p w14:paraId="3E46EE1F">
      <w:pPr>
        <w:widowControl/>
        <w:spacing w:line="360" w:lineRule="auto"/>
        <w:jc w:val="center"/>
        <w:outlineLvl w:val="0"/>
        <w:rPr>
          <w:rFonts w:ascii="宋体" w:hAnsi="宋体"/>
          <w:b/>
          <w:bCs/>
          <w:color w:val="auto"/>
          <w:kern w:val="0"/>
          <w:sz w:val="32"/>
          <w:szCs w:val="32"/>
          <w:highlight w:val="none"/>
        </w:rPr>
      </w:pPr>
      <w:bookmarkStart w:id="3" w:name="_Toc13624"/>
      <w:r>
        <w:rPr>
          <w:rFonts w:hint="eastAsia" w:ascii="宋体" w:hAnsi="宋体"/>
          <w:b/>
          <w:bCs/>
          <w:color w:val="auto"/>
          <w:kern w:val="0"/>
          <w:sz w:val="32"/>
          <w:szCs w:val="32"/>
          <w:highlight w:val="none"/>
        </w:rPr>
        <w:t>（</w:t>
      </w:r>
      <w:r>
        <w:rPr>
          <w:rFonts w:hint="eastAsia" w:ascii="宋体" w:hAnsi="宋体"/>
          <w:b/>
          <w:bCs/>
          <w:color w:val="auto"/>
          <w:kern w:val="0"/>
          <w:sz w:val="32"/>
          <w:szCs w:val="32"/>
          <w:highlight w:val="none"/>
          <w:lang w:val="en-US" w:eastAsia="zh-CN"/>
        </w:rPr>
        <w:t>竞争性磋商</w:t>
      </w:r>
      <w:r>
        <w:rPr>
          <w:rFonts w:hint="eastAsia" w:ascii="宋体" w:hAnsi="宋体"/>
          <w:b/>
          <w:bCs/>
          <w:color w:val="auto"/>
          <w:kern w:val="0"/>
          <w:sz w:val="32"/>
          <w:szCs w:val="32"/>
          <w:highlight w:val="none"/>
        </w:rPr>
        <w:t>）</w:t>
      </w:r>
      <w:bookmarkEnd w:id="3"/>
    </w:p>
    <w:p w14:paraId="6F4CF83E">
      <w:pPr>
        <w:widowControl/>
        <w:spacing w:line="360" w:lineRule="auto"/>
        <w:jc w:val="center"/>
        <w:rPr>
          <w:rFonts w:hint="eastAsia" w:ascii="宋体" w:hAnsi="宋体" w:cs="Arial"/>
          <w:b/>
          <w:bCs/>
          <w:color w:val="auto"/>
          <w:kern w:val="0"/>
          <w:sz w:val="32"/>
          <w:szCs w:val="32"/>
          <w:highlight w:val="none"/>
        </w:rPr>
      </w:pPr>
    </w:p>
    <w:p w14:paraId="6D8A9E23">
      <w:pPr>
        <w:widowControl/>
        <w:spacing w:line="360" w:lineRule="auto"/>
        <w:rPr>
          <w:rFonts w:hint="eastAsia" w:ascii="宋体" w:hAnsi="宋体"/>
          <w:color w:val="auto"/>
          <w:kern w:val="0"/>
          <w:sz w:val="52"/>
          <w:szCs w:val="52"/>
          <w:highlight w:val="none"/>
        </w:rPr>
      </w:pPr>
    </w:p>
    <w:p w14:paraId="5F2ED488">
      <w:pPr>
        <w:widowControl/>
        <w:spacing w:line="360" w:lineRule="auto"/>
        <w:rPr>
          <w:rFonts w:ascii="宋体" w:hAnsi="宋体"/>
          <w:color w:val="auto"/>
          <w:kern w:val="0"/>
          <w:sz w:val="52"/>
          <w:szCs w:val="52"/>
          <w:highlight w:val="none"/>
        </w:rPr>
      </w:pPr>
    </w:p>
    <w:p w14:paraId="7655C7AF">
      <w:pPr>
        <w:widowControl/>
        <w:spacing w:line="360" w:lineRule="auto"/>
        <w:ind w:firstLine="964" w:firstLineChars="300"/>
        <w:outlineLvl w:val="0"/>
        <w:rPr>
          <w:rFonts w:hint="eastAsia" w:ascii="宋体" w:hAnsi="宋体" w:eastAsia="宋体"/>
          <w:color w:val="auto"/>
          <w:kern w:val="0"/>
          <w:sz w:val="32"/>
          <w:szCs w:val="32"/>
          <w:highlight w:val="none"/>
          <w:lang w:eastAsia="zh-CN"/>
        </w:rPr>
      </w:pPr>
      <w:bookmarkStart w:id="4" w:name="_Toc17769"/>
      <w:r>
        <w:rPr>
          <w:rFonts w:hint="eastAsia" w:ascii="宋体" w:hAnsi="宋体"/>
          <w:b/>
          <w:bCs/>
          <w:color w:val="auto"/>
          <w:kern w:val="0"/>
          <w:sz w:val="32"/>
          <w:szCs w:val="32"/>
          <w:highlight w:val="none"/>
          <w:lang w:eastAsia="zh-CN"/>
        </w:rPr>
        <w:t>采</w:t>
      </w:r>
      <w:r>
        <w:rPr>
          <w:rFonts w:hint="eastAsia" w:ascii="宋体" w:hAnsi="宋体"/>
          <w:b/>
          <w:bCs/>
          <w:color w:val="auto"/>
          <w:kern w:val="0"/>
          <w:sz w:val="32"/>
          <w:szCs w:val="32"/>
          <w:highlight w:val="none"/>
        </w:rPr>
        <w:t xml:space="preserve">   </w:t>
      </w:r>
      <w:r>
        <w:rPr>
          <w:rFonts w:hint="eastAsia" w:ascii="宋体" w:hAnsi="宋体"/>
          <w:b/>
          <w:bCs/>
          <w:color w:val="auto"/>
          <w:kern w:val="0"/>
          <w:sz w:val="32"/>
          <w:szCs w:val="32"/>
          <w:highlight w:val="none"/>
          <w:lang w:eastAsia="zh-CN"/>
        </w:rPr>
        <w:t>购</w:t>
      </w:r>
      <w:r>
        <w:rPr>
          <w:rFonts w:hint="eastAsia" w:ascii="宋体" w:hAnsi="宋体"/>
          <w:b/>
          <w:bCs/>
          <w:color w:val="auto"/>
          <w:kern w:val="0"/>
          <w:sz w:val="32"/>
          <w:szCs w:val="32"/>
          <w:highlight w:val="none"/>
        </w:rPr>
        <w:t xml:space="preserve">   人</w:t>
      </w:r>
      <w:r>
        <w:rPr>
          <w:rFonts w:hint="eastAsia" w:ascii="宋体" w:hAnsi="宋体"/>
          <w:b/>
          <w:bCs/>
          <w:color w:val="auto"/>
          <w:kern w:val="0"/>
          <w:sz w:val="32"/>
          <w:szCs w:val="32"/>
          <w:highlight w:val="none"/>
          <w:lang w:eastAsia="zh-CN"/>
        </w:rPr>
        <w:t>：</w:t>
      </w:r>
      <w:bookmarkEnd w:id="4"/>
      <w:r>
        <w:rPr>
          <w:rFonts w:hint="eastAsia" w:ascii="宋体" w:hAnsi="宋体"/>
          <w:b/>
          <w:bCs/>
          <w:color w:val="auto"/>
          <w:kern w:val="0"/>
          <w:sz w:val="32"/>
          <w:szCs w:val="32"/>
          <w:highlight w:val="none"/>
          <w:lang w:eastAsia="zh-CN"/>
        </w:rPr>
        <w:t>农安县河道堤防管理站</w:t>
      </w:r>
    </w:p>
    <w:p w14:paraId="4E65B160">
      <w:pPr>
        <w:widowControl/>
        <w:spacing w:line="360" w:lineRule="auto"/>
        <w:ind w:firstLine="964" w:firstLineChars="300"/>
        <w:rPr>
          <w:rFonts w:hint="eastAsia" w:ascii="宋体" w:hAnsi="宋体" w:eastAsia="宋体"/>
          <w:b/>
          <w:bCs/>
          <w:color w:val="auto"/>
          <w:kern w:val="0"/>
          <w:sz w:val="32"/>
          <w:szCs w:val="32"/>
          <w:highlight w:val="none"/>
          <w:lang w:eastAsia="zh-CN"/>
        </w:rPr>
      </w:pPr>
      <w:r>
        <w:rPr>
          <w:rFonts w:hint="eastAsia" w:ascii="宋体" w:hAnsi="宋体"/>
          <w:b/>
          <w:bCs/>
          <w:color w:val="auto"/>
          <w:kern w:val="0"/>
          <w:sz w:val="32"/>
          <w:szCs w:val="32"/>
          <w:highlight w:val="none"/>
          <w:lang w:eastAsia="zh-CN"/>
        </w:rPr>
        <w:t>采购</w:t>
      </w:r>
      <w:r>
        <w:rPr>
          <w:rFonts w:hint="eastAsia" w:ascii="宋体" w:hAnsi="宋体"/>
          <w:b/>
          <w:bCs/>
          <w:color w:val="auto"/>
          <w:kern w:val="0"/>
          <w:sz w:val="32"/>
          <w:szCs w:val="32"/>
          <w:highlight w:val="none"/>
        </w:rPr>
        <w:t>代理机构</w:t>
      </w:r>
      <w:r>
        <w:rPr>
          <w:rFonts w:hint="eastAsia" w:ascii="宋体" w:hAnsi="宋体"/>
          <w:b/>
          <w:bCs/>
          <w:color w:val="auto"/>
          <w:kern w:val="0"/>
          <w:sz w:val="32"/>
          <w:szCs w:val="32"/>
          <w:highlight w:val="none"/>
          <w:lang w:eastAsia="zh-CN"/>
        </w:rPr>
        <w:t>：吉林省森茂项目管理有限公司</w:t>
      </w:r>
    </w:p>
    <w:p w14:paraId="58BF9A2B">
      <w:pPr>
        <w:widowControl/>
        <w:spacing w:line="360" w:lineRule="auto"/>
        <w:jc w:val="center"/>
        <w:rPr>
          <w:rFonts w:ascii="宋体" w:hAnsi="宋体"/>
          <w:b/>
          <w:bCs/>
          <w:color w:val="auto"/>
          <w:kern w:val="0"/>
          <w:sz w:val="32"/>
          <w:szCs w:val="32"/>
          <w:highlight w:val="none"/>
        </w:rPr>
      </w:pPr>
    </w:p>
    <w:p w14:paraId="4BC38A45">
      <w:pPr>
        <w:widowControl/>
        <w:spacing w:line="360" w:lineRule="auto"/>
        <w:jc w:val="center"/>
        <w:rPr>
          <w:rFonts w:ascii="宋体" w:hAnsi="宋体"/>
          <w:b/>
          <w:bCs/>
          <w:color w:val="auto"/>
          <w:kern w:val="0"/>
          <w:sz w:val="32"/>
          <w:szCs w:val="32"/>
          <w:highlight w:val="none"/>
        </w:rPr>
      </w:pPr>
      <w:r>
        <w:rPr>
          <w:rFonts w:hint="eastAsia" w:ascii="宋体" w:hAnsi="宋体"/>
          <w:b/>
          <w:bCs/>
          <w:color w:val="auto"/>
          <w:kern w:val="0"/>
          <w:sz w:val="32"/>
          <w:szCs w:val="32"/>
          <w:highlight w:val="none"/>
        </w:rPr>
        <w:t>二〇二</w:t>
      </w:r>
      <w:r>
        <w:rPr>
          <w:rFonts w:hint="eastAsia" w:ascii="宋体" w:hAnsi="宋体"/>
          <w:b/>
          <w:bCs/>
          <w:color w:val="auto"/>
          <w:kern w:val="0"/>
          <w:sz w:val="32"/>
          <w:szCs w:val="32"/>
          <w:highlight w:val="none"/>
          <w:lang w:val="en-US" w:eastAsia="zh-CN"/>
        </w:rPr>
        <w:t>五</w:t>
      </w:r>
      <w:r>
        <w:rPr>
          <w:rFonts w:hint="eastAsia" w:ascii="宋体" w:hAnsi="宋体"/>
          <w:b/>
          <w:bCs/>
          <w:color w:val="auto"/>
          <w:kern w:val="0"/>
          <w:sz w:val="32"/>
          <w:szCs w:val="32"/>
          <w:highlight w:val="none"/>
        </w:rPr>
        <w:t>年</w:t>
      </w:r>
      <w:r>
        <w:rPr>
          <w:rFonts w:hint="eastAsia" w:ascii="宋体" w:hAnsi="宋体"/>
          <w:b/>
          <w:bCs/>
          <w:color w:val="auto"/>
          <w:kern w:val="0"/>
          <w:sz w:val="32"/>
          <w:szCs w:val="32"/>
          <w:highlight w:val="none"/>
          <w:lang w:val="en-US" w:eastAsia="zh-CN"/>
        </w:rPr>
        <w:t>四</w:t>
      </w:r>
      <w:r>
        <w:rPr>
          <w:rFonts w:hint="eastAsia" w:ascii="宋体" w:hAnsi="宋体"/>
          <w:b/>
          <w:bCs/>
          <w:color w:val="auto"/>
          <w:kern w:val="0"/>
          <w:sz w:val="32"/>
          <w:szCs w:val="32"/>
          <w:highlight w:val="none"/>
        </w:rPr>
        <w:t>月</w:t>
      </w:r>
    </w:p>
    <w:p w14:paraId="7975C0A4">
      <w:pPr>
        <w:rPr>
          <w:color w:val="auto"/>
          <w:highlight w:val="none"/>
        </w:rPr>
      </w:pPr>
    </w:p>
    <w:p w14:paraId="1CF33877">
      <w:pPr>
        <w:widowControl/>
        <w:spacing w:line="360" w:lineRule="auto"/>
        <w:jc w:val="center"/>
        <w:rPr>
          <w:rFonts w:hint="eastAsia" w:ascii="宋体" w:hAnsi="宋体"/>
          <w:b/>
          <w:bCs/>
          <w:color w:val="auto"/>
          <w:sz w:val="40"/>
          <w:szCs w:val="40"/>
          <w:highlight w:val="none"/>
        </w:rPr>
        <w:sectPr>
          <w:headerReference r:id="rId3" w:type="default"/>
          <w:pgSz w:w="11907" w:h="16840"/>
          <w:pgMar w:top="1247" w:right="1247" w:bottom="1247" w:left="1020" w:header="851" w:footer="992" w:gutter="397"/>
          <w:cols w:space="720" w:num="1"/>
          <w:docGrid w:linePitch="435" w:charSpace="0"/>
        </w:sectPr>
      </w:pPr>
    </w:p>
    <w:p w14:paraId="602E55AC">
      <w:pPr>
        <w:widowControl/>
        <w:spacing w:line="360" w:lineRule="auto"/>
        <w:jc w:val="center"/>
        <w:rPr>
          <w:rFonts w:hint="eastAsia" w:ascii="宋体" w:hAnsi="宋体"/>
          <w:b/>
          <w:bCs/>
          <w:color w:val="auto"/>
          <w:sz w:val="40"/>
          <w:szCs w:val="40"/>
          <w:highlight w:val="none"/>
        </w:rPr>
      </w:pPr>
      <w:r>
        <w:rPr>
          <w:rFonts w:hint="eastAsia" w:ascii="宋体" w:hAnsi="宋体"/>
          <w:b/>
          <w:bCs/>
          <w:color w:val="auto"/>
          <w:sz w:val="40"/>
          <w:szCs w:val="40"/>
          <w:highlight w:val="none"/>
        </w:rPr>
        <w:t>目</w:t>
      </w:r>
      <w:r>
        <w:rPr>
          <w:rFonts w:ascii="宋体" w:hAnsi="宋体"/>
          <w:b/>
          <w:bCs/>
          <w:color w:val="auto"/>
          <w:sz w:val="40"/>
          <w:szCs w:val="40"/>
          <w:highlight w:val="none"/>
        </w:rPr>
        <w:t xml:space="preserve">      </w:t>
      </w:r>
      <w:r>
        <w:rPr>
          <w:rFonts w:hint="eastAsia" w:ascii="宋体" w:hAnsi="宋体"/>
          <w:b/>
          <w:bCs/>
          <w:color w:val="auto"/>
          <w:sz w:val="40"/>
          <w:szCs w:val="40"/>
          <w:highlight w:val="none"/>
        </w:rPr>
        <w:t>录</w:t>
      </w:r>
    </w:p>
    <w:p w14:paraId="25735BB3">
      <w:pPr>
        <w:pStyle w:val="432"/>
        <w:keepNext w:val="0"/>
        <w:keepLines w:val="0"/>
        <w:pageBreakBefore w:val="0"/>
        <w:widowControl/>
        <w:tabs>
          <w:tab w:val="right" w:leader="dot" w:pos="9243"/>
        </w:tabs>
        <w:kinsoku/>
        <w:wordWrap/>
        <w:overflowPunct/>
        <w:topLinePunct w:val="0"/>
        <w:autoSpaceDE/>
        <w:autoSpaceDN/>
        <w:bidi w:val="0"/>
        <w:adjustRightInd/>
        <w:snapToGrid/>
        <w:spacing w:line="480" w:lineRule="auto"/>
        <w:textAlignment w:val="auto"/>
        <w:rPr>
          <w:color w:val="auto"/>
          <w:sz w:val="28"/>
          <w:szCs w:val="28"/>
          <w:highlight w:val="none"/>
        </w:rPr>
      </w:pPr>
      <w:r>
        <w:rPr>
          <w:color w:val="auto"/>
          <w:sz w:val="28"/>
          <w:szCs w:val="28"/>
          <w:highlight w:val="none"/>
        </w:rPr>
        <w:fldChar w:fldCharType="begin"/>
      </w:r>
      <w:r>
        <w:rPr>
          <w:color w:val="auto"/>
          <w:sz w:val="28"/>
          <w:szCs w:val="28"/>
          <w:highlight w:val="none"/>
        </w:rPr>
        <w:instrText xml:space="preserve">TOC \o "1-3" \h \u </w:instrText>
      </w:r>
      <w:r>
        <w:rPr>
          <w:color w:val="auto"/>
          <w:sz w:val="28"/>
          <w:szCs w:val="28"/>
          <w:highlight w:val="none"/>
        </w:rPr>
        <w:fldChar w:fldCharType="separate"/>
      </w:r>
    </w:p>
    <w:p w14:paraId="171B9BC2">
      <w:pPr>
        <w:pStyle w:val="432"/>
        <w:keepNext w:val="0"/>
        <w:keepLines w:val="0"/>
        <w:pageBreakBefore w:val="0"/>
        <w:widowControl/>
        <w:tabs>
          <w:tab w:val="right" w:leader="dot" w:pos="9243"/>
        </w:tabs>
        <w:kinsoku/>
        <w:wordWrap/>
        <w:overflowPunct/>
        <w:topLinePunct w:val="0"/>
        <w:autoSpaceDE/>
        <w:autoSpaceDN/>
        <w:bidi w:val="0"/>
        <w:adjustRightInd/>
        <w:snapToGrid/>
        <w:spacing w:line="480" w:lineRule="auto"/>
        <w:textAlignment w:val="auto"/>
        <w:rPr>
          <w:color w:val="auto"/>
          <w:sz w:val="28"/>
          <w:szCs w:val="28"/>
          <w:highlight w:val="none"/>
        </w:rPr>
      </w:pPr>
      <w:r>
        <w:rPr>
          <w:color w:val="auto"/>
          <w:sz w:val="28"/>
          <w:szCs w:val="28"/>
          <w:highlight w:val="none"/>
        </w:rPr>
        <w:fldChar w:fldCharType="begin"/>
      </w:r>
      <w:r>
        <w:rPr>
          <w:color w:val="auto"/>
          <w:sz w:val="28"/>
          <w:szCs w:val="28"/>
          <w:highlight w:val="none"/>
        </w:rPr>
        <w:instrText xml:space="preserve"> HYPERLINK \l _Toc13018 </w:instrText>
      </w:r>
      <w:r>
        <w:rPr>
          <w:color w:val="auto"/>
          <w:sz w:val="28"/>
          <w:szCs w:val="28"/>
          <w:highlight w:val="none"/>
        </w:rPr>
        <w:fldChar w:fldCharType="separate"/>
      </w:r>
      <w:r>
        <w:rPr>
          <w:rFonts w:hint="eastAsia"/>
          <w:color w:val="auto"/>
          <w:kern w:val="44"/>
          <w:sz w:val="28"/>
          <w:szCs w:val="72"/>
          <w:highlight w:val="none"/>
          <w:lang w:val="zh-CN"/>
        </w:rPr>
        <w:t xml:space="preserve">第一章 </w:t>
      </w:r>
      <w:r>
        <w:rPr>
          <w:rFonts w:hint="eastAsia"/>
          <w:color w:val="auto"/>
          <w:kern w:val="44"/>
          <w:sz w:val="28"/>
          <w:szCs w:val="72"/>
          <w:highlight w:val="none"/>
          <w:lang w:val="zh-CN" w:eastAsia="zh-CN"/>
        </w:rPr>
        <w:t>竞争性磋商公告</w:t>
      </w:r>
      <w:r>
        <w:rPr>
          <w:color w:val="auto"/>
          <w:sz w:val="28"/>
          <w:szCs w:val="28"/>
          <w:highlight w:val="none"/>
        </w:rPr>
        <w:tab/>
      </w:r>
      <w:r>
        <w:rPr>
          <w:rFonts w:hint="eastAsia"/>
          <w:color w:val="auto"/>
          <w:sz w:val="28"/>
          <w:szCs w:val="28"/>
          <w:highlight w:val="none"/>
          <w:lang w:val="en-US" w:eastAsia="zh-CN"/>
        </w:rPr>
        <w:t>1</w:t>
      </w:r>
      <w:r>
        <w:rPr>
          <w:color w:val="auto"/>
          <w:sz w:val="28"/>
          <w:szCs w:val="28"/>
          <w:highlight w:val="none"/>
        </w:rPr>
        <w:fldChar w:fldCharType="end"/>
      </w:r>
    </w:p>
    <w:p w14:paraId="64E3A4B2">
      <w:pPr>
        <w:pStyle w:val="432"/>
        <w:keepNext w:val="0"/>
        <w:keepLines w:val="0"/>
        <w:pageBreakBefore w:val="0"/>
        <w:widowControl/>
        <w:tabs>
          <w:tab w:val="right" w:leader="dot" w:pos="9243"/>
        </w:tabs>
        <w:kinsoku/>
        <w:wordWrap/>
        <w:overflowPunct/>
        <w:topLinePunct w:val="0"/>
        <w:autoSpaceDE/>
        <w:autoSpaceDN/>
        <w:bidi w:val="0"/>
        <w:adjustRightInd/>
        <w:snapToGrid/>
        <w:spacing w:line="480" w:lineRule="auto"/>
        <w:textAlignment w:val="auto"/>
        <w:rPr>
          <w:color w:val="auto"/>
          <w:sz w:val="28"/>
          <w:szCs w:val="28"/>
          <w:highlight w:val="none"/>
        </w:rPr>
      </w:pPr>
      <w:r>
        <w:rPr>
          <w:color w:val="auto"/>
          <w:sz w:val="28"/>
          <w:szCs w:val="28"/>
          <w:highlight w:val="none"/>
        </w:rPr>
        <w:fldChar w:fldCharType="begin"/>
      </w:r>
      <w:r>
        <w:rPr>
          <w:color w:val="auto"/>
          <w:sz w:val="28"/>
          <w:szCs w:val="28"/>
          <w:highlight w:val="none"/>
        </w:rPr>
        <w:instrText xml:space="preserve"> HYPERLINK \l _Toc4739 </w:instrText>
      </w:r>
      <w:r>
        <w:rPr>
          <w:color w:val="auto"/>
          <w:sz w:val="28"/>
          <w:szCs w:val="28"/>
          <w:highlight w:val="none"/>
        </w:rPr>
        <w:fldChar w:fldCharType="separate"/>
      </w:r>
      <w:r>
        <w:rPr>
          <w:rFonts w:hint="eastAsia" w:ascii="宋体" w:hAnsi="宋体"/>
          <w:bCs w:val="0"/>
          <w:color w:val="auto"/>
          <w:kern w:val="2"/>
          <w:sz w:val="28"/>
          <w:szCs w:val="52"/>
          <w:highlight w:val="none"/>
        </w:rPr>
        <w:t xml:space="preserve">第二章 </w:t>
      </w:r>
      <w:r>
        <w:rPr>
          <w:rFonts w:hint="eastAsia" w:ascii="宋体" w:hAnsi="宋体"/>
          <w:bCs w:val="0"/>
          <w:color w:val="auto"/>
          <w:kern w:val="2"/>
          <w:sz w:val="28"/>
          <w:szCs w:val="52"/>
          <w:highlight w:val="none"/>
          <w:lang w:eastAsia="zh-CN"/>
        </w:rPr>
        <w:t>供应商</w:t>
      </w:r>
      <w:r>
        <w:rPr>
          <w:rFonts w:hint="eastAsia" w:ascii="宋体" w:hAnsi="宋体"/>
          <w:bCs w:val="0"/>
          <w:color w:val="auto"/>
          <w:kern w:val="2"/>
          <w:sz w:val="28"/>
          <w:szCs w:val="52"/>
          <w:highlight w:val="none"/>
        </w:rPr>
        <w:t>须知</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_Toc4739 \h </w:instrText>
      </w:r>
      <w:r>
        <w:rPr>
          <w:color w:val="auto"/>
          <w:sz w:val="28"/>
          <w:szCs w:val="28"/>
          <w:highlight w:val="none"/>
        </w:rPr>
        <w:fldChar w:fldCharType="separate"/>
      </w:r>
      <w:r>
        <w:rPr>
          <w:color w:val="auto"/>
          <w:sz w:val="28"/>
          <w:szCs w:val="28"/>
          <w:highlight w:val="none"/>
        </w:rPr>
        <w:t>5</w:t>
      </w:r>
      <w:r>
        <w:rPr>
          <w:color w:val="auto"/>
          <w:sz w:val="28"/>
          <w:szCs w:val="28"/>
          <w:highlight w:val="none"/>
        </w:rPr>
        <w:fldChar w:fldCharType="end"/>
      </w:r>
      <w:r>
        <w:rPr>
          <w:color w:val="auto"/>
          <w:sz w:val="28"/>
          <w:szCs w:val="28"/>
          <w:highlight w:val="none"/>
        </w:rPr>
        <w:fldChar w:fldCharType="end"/>
      </w:r>
    </w:p>
    <w:p w14:paraId="5BCBC818">
      <w:pPr>
        <w:pStyle w:val="432"/>
        <w:keepNext w:val="0"/>
        <w:keepLines w:val="0"/>
        <w:pageBreakBefore w:val="0"/>
        <w:widowControl/>
        <w:tabs>
          <w:tab w:val="right" w:leader="dot" w:pos="9243"/>
        </w:tabs>
        <w:kinsoku/>
        <w:wordWrap/>
        <w:overflowPunct/>
        <w:topLinePunct w:val="0"/>
        <w:autoSpaceDE/>
        <w:autoSpaceDN/>
        <w:bidi w:val="0"/>
        <w:adjustRightInd/>
        <w:snapToGrid/>
        <w:spacing w:line="480" w:lineRule="auto"/>
        <w:textAlignment w:val="auto"/>
        <w:rPr>
          <w:color w:val="auto"/>
          <w:sz w:val="28"/>
          <w:szCs w:val="28"/>
          <w:highlight w:val="none"/>
        </w:rPr>
      </w:pPr>
      <w:r>
        <w:rPr>
          <w:color w:val="auto"/>
          <w:sz w:val="28"/>
          <w:szCs w:val="28"/>
          <w:highlight w:val="none"/>
        </w:rPr>
        <w:fldChar w:fldCharType="begin"/>
      </w:r>
      <w:r>
        <w:rPr>
          <w:color w:val="auto"/>
          <w:sz w:val="28"/>
          <w:szCs w:val="28"/>
          <w:highlight w:val="none"/>
        </w:rPr>
        <w:instrText xml:space="preserve"> HYPERLINK \l _Toc6388 </w:instrText>
      </w:r>
      <w:r>
        <w:rPr>
          <w:color w:val="auto"/>
          <w:sz w:val="28"/>
          <w:szCs w:val="28"/>
          <w:highlight w:val="none"/>
        </w:rPr>
        <w:fldChar w:fldCharType="separate"/>
      </w:r>
      <w:r>
        <w:rPr>
          <w:rFonts w:hint="eastAsia"/>
          <w:color w:val="auto"/>
          <w:sz w:val="28"/>
          <w:szCs w:val="28"/>
          <w:highlight w:val="none"/>
        </w:rPr>
        <w:t xml:space="preserve">第三章 </w:t>
      </w:r>
      <w:r>
        <w:rPr>
          <w:rFonts w:hint="eastAsia"/>
          <w:color w:val="auto"/>
          <w:sz w:val="28"/>
          <w:szCs w:val="28"/>
          <w:highlight w:val="none"/>
          <w:lang w:eastAsia="zh-CN"/>
        </w:rPr>
        <w:t>评审</w:t>
      </w:r>
      <w:r>
        <w:rPr>
          <w:rFonts w:hint="eastAsia"/>
          <w:color w:val="auto"/>
          <w:sz w:val="28"/>
          <w:szCs w:val="28"/>
          <w:highlight w:val="none"/>
        </w:rPr>
        <w:t>办法</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_Toc6388 \h </w:instrText>
      </w:r>
      <w:r>
        <w:rPr>
          <w:color w:val="auto"/>
          <w:sz w:val="28"/>
          <w:szCs w:val="28"/>
          <w:highlight w:val="none"/>
        </w:rPr>
        <w:fldChar w:fldCharType="separate"/>
      </w:r>
      <w:r>
        <w:rPr>
          <w:color w:val="auto"/>
          <w:sz w:val="28"/>
          <w:szCs w:val="28"/>
          <w:highlight w:val="none"/>
        </w:rPr>
        <w:t>20</w:t>
      </w:r>
      <w:r>
        <w:rPr>
          <w:color w:val="auto"/>
          <w:sz w:val="28"/>
          <w:szCs w:val="28"/>
          <w:highlight w:val="none"/>
        </w:rPr>
        <w:fldChar w:fldCharType="end"/>
      </w:r>
      <w:r>
        <w:rPr>
          <w:color w:val="auto"/>
          <w:sz w:val="28"/>
          <w:szCs w:val="28"/>
          <w:highlight w:val="none"/>
        </w:rPr>
        <w:fldChar w:fldCharType="end"/>
      </w:r>
    </w:p>
    <w:p w14:paraId="72A43DC6">
      <w:pPr>
        <w:pStyle w:val="432"/>
        <w:keepNext w:val="0"/>
        <w:keepLines w:val="0"/>
        <w:pageBreakBefore w:val="0"/>
        <w:widowControl/>
        <w:tabs>
          <w:tab w:val="right" w:leader="dot" w:pos="9243"/>
        </w:tabs>
        <w:kinsoku/>
        <w:wordWrap/>
        <w:overflowPunct/>
        <w:topLinePunct w:val="0"/>
        <w:autoSpaceDE/>
        <w:autoSpaceDN/>
        <w:bidi w:val="0"/>
        <w:adjustRightInd/>
        <w:snapToGrid/>
        <w:spacing w:line="480" w:lineRule="auto"/>
        <w:textAlignment w:val="auto"/>
        <w:rPr>
          <w:color w:val="auto"/>
          <w:sz w:val="28"/>
          <w:szCs w:val="28"/>
          <w:highlight w:val="none"/>
        </w:rPr>
      </w:pPr>
      <w:r>
        <w:rPr>
          <w:color w:val="auto"/>
          <w:sz w:val="28"/>
          <w:szCs w:val="28"/>
          <w:highlight w:val="none"/>
        </w:rPr>
        <w:fldChar w:fldCharType="begin"/>
      </w:r>
      <w:r>
        <w:rPr>
          <w:color w:val="auto"/>
          <w:sz w:val="28"/>
          <w:szCs w:val="28"/>
          <w:highlight w:val="none"/>
        </w:rPr>
        <w:instrText xml:space="preserve"> HYPERLINK \l _Toc25878 </w:instrText>
      </w:r>
      <w:r>
        <w:rPr>
          <w:color w:val="auto"/>
          <w:sz w:val="28"/>
          <w:szCs w:val="28"/>
          <w:highlight w:val="none"/>
        </w:rPr>
        <w:fldChar w:fldCharType="separate"/>
      </w:r>
      <w:r>
        <w:rPr>
          <w:rFonts w:hint="eastAsia"/>
          <w:color w:val="auto"/>
          <w:sz w:val="28"/>
          <w:szCs w:val="28"/>
          <w:highlight w:val="none"/>
        </w:rPr>
        <w:t>第四章</w:t>
      </w:r>
      <w:r>
        <w:rPr>
          <w:color w:val="auto"/>
          <w:sz w:val="28"/>
          <w:szCs w:val="28"/>
          <w:highlight w:val="none"/>
        </w:rPr>
        <w:t xml:space="preserve"> </w:t>
      </w:r>
      <w:r>
        <w:rPr>
          <w:rFonts w:hint="eastAsia"/>
          <w:color w:val="auto"/>
          <w:sz w:val="28"/>
          <w:szCs w:val="28"/>
          <w:highlight w:val="none"/>
        </w:rPr>
        <w:t>合同条款及格式</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_Toc25878 \h </w:instrText>
      </w:r>
      <w:r>
        <w:rPr>
          <w:color w:val="auto"/>
          <w:sz w:val="28"/>
          <w:szCs w:val="28"/>
          <w:highlight w:val="none"/>
        </w:rPr>
        <w:fldChar w:fldCharType="separate"/>
      </w:r>
      <w:r>
        <w:rPr>
          <w:color w:val="auto"/>
          <w:sz w:val="28"/>
          <w:szCs w:val="28"/>
          <w:highlight w:val="none"/>
        </w:rPr>
        <w:t>26</w:t>
      </w:r>
      <w:r>
        <w:rPr>
          <w:color w:val="auto"/>
          <w:sz w:val="28"/>
          <w:szCs w:val="28"/>
          <w:highlight w:val="none"/>
        </w:rPr>
        <w:fldChar w:fldCharType="end"/>
      </w:r>
      <w:r>
        <w:rPr>
          <w:color w:val="auto"/>
          <w:sz w:val="28"/>
          <w:szCs w:val="28"/>
          <w:highlight w:val="none"/>
        </w:rPr>
        <w:fldChar w:fldCharType="end"/>
      </w:r>
    </w:p>
    <w:p w14:paraId="60F7B462">
      <w:pPr>
        <w:pStyle w:val="432"/>
        <w:keepNext w:val="0"/>
        <w:keepLines w:val="0"/>
        <w:pageBreakBefore w:val="0"/>
        <w:widowControl/>
        <w:tabs>
          <w:tab w:val="right" w:leader="dot" w:pos="9243"/>
        </w:tabs>
        <w:kinsoku/>
        <w:wordWrap/>
        <w:overflowPunct/>
        <w:topLinePunct w:val="0"/>
        <w:autoSpaceDE/>
        <w:autoSpaceDN/>
        <w:bidi w:val="0"/>
        <w:adjustRightInd/>
        <w:snapToGrid/>
        <w:spacing w:line="480" w:lineRule="auto"/>
        <w:textAlignment w:val="auto"/>
        <w:rPr>
          <w:color w:val="auto"/>
          <w:sz w:val="28"/>
          <w:szCs w:val="28"/>
          <w:highlight w:val="none"/>
        </w:rPr>
      </w:pPr>
      <w:r>
        <w:rPr>
          <w:color w:val="auto"/>
          <w:sz w:val="28"/>
          <w:szCs w:val="28"/>
          <w:highlight w:val="none"/>
        </w:rPr>
        <w:fldChar w:fldCharType="begin"/>
      </w:r>
      <w:r>
        <w:rPr>
          <w:color w:val="auto"/>
          <w:sz w:val="28"/>
          <w:szCs w:val="28"/>
          <w:highlight w:val="none"/>
        </w:rPr>
        <w:instrText xml:space="preserve"> HYPERLINK \l _Toc2231 </w:instrText>
      </w:r>
      <w:r>
        <w:rPr>
          <w:color w:val="auto"/>
          <w:sz w:val="28"/>
          <w:szCs w:val="28"/>
          <w:highlight w:val="none"/>
        </w:rPr>
        <w:fldChar w:fldCharType="separate"/>
      </w:r>
      <w:r>
        <w:rPr>
          <w:color w:val="auto"/>
          <w:sz w:val="28"/>
          <w:szCs w:val="28"/>
          <w:highlight w:val="none"/>
        </w:rPr>
        <w:t xml:space="preserve">第五章 </w:t>
      </w:r>
      <w:r>
        <w:rPr>
          <w:rFonts w:hint="eastAsia"/>
          <w:color w:val="auto"/>
          <w:sz w:val="28"/>
          <w:szCs w:val="28"/>
          <w:highlight w:val="none"/>
          <w:lang w:val="zh-CN"/>
        </w:rPr>
        <w:t>工程量</w:t>
      </w:r>
      <w:r>
        <w:rPr>
          <w:rFonts w:hint="eastAsia"/>
          <w:color w:val="auto"/>
          <w:sz w:val="28"/>
          <w:szCs w:val="28"/>
          <w:highlight w:val="none"/>
        </w:rPr>
        <w:t>清单</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_Toc2231 \h </w:instrText>
      </w:r>
      <w:r>
        <w:rPr>
          <w:color w:val="auto"/>
          <w:sz w:val="28"/>
          <w:szCs w:val="28"/>
          <w:highlight w:val="none"/>
        </w:rPr>
        <w:fldChar w:fldCharType="separate"/>
      </w:r>
      <w:r>
        <w:rPr>
          <w:color w:val="auto"/>
          <w:sz w:val="28"/>
          <w:szCs w:val="28"/>
          <w:highlight w:val="none"/>
        </w:rPr>
        <w:t>76</w:t>
      </w:r>
      <w:r>
        <w:rPr>
          <w:color w:val="auto"/>
          <w:sz w:val="28"/>
          <w:szCs w:val="28"/>
          <w:highlight w:val="none"/>
        </w:rPr>
        <w:fldChar w:fldCharType="end"/>
      </w:r>
      <w:r>
        <w:rPr>
          <w:color w:val="auto"/>
          <w:sz w:val="28"/>
          <w:szCs w:val="28"/>
          <w:highlight w:val="none"/>
        </w:rPr>
        <w:fldChar w:fldCharType="end"/>
      </w:r>
    </w:p>
    <w:p w14:paraId="709AA8D1">
      <w:pPr>
        <w:pStyle w:val="432"/>
        <w:keepNext w:val="0"/>
        <w:keepLines w:val="0"/>
        <w:pageBreakBefore w:val="0"/>
        <w:widowControl/>
        <w:tabs>
          <w:tab w:val="right" w:leader="dot" w:pos="9243"/>
        </w:tabs>
        <w:kinsoku/>
        <w:wordWrap/>
        <w:overflowPunct/>
        <w:topLinePunct w:val="0"/>
        <w:autoSpaceDE/>
        <w:autoSpaceDN/>
        <w:bidi w:val="0"/>
        <w:adjustRightInd/>
        <w:snapToGrid/>
        <w:spacing w:line="480" w:lineRule="auto"/>
        <w:textAlignment w:val="auto"/>
        <w:rPr>
          <w:color w:val="auto"/>
          <w:sz w:val="28"/>
          <w:szCs w:val="28"/>
          <w:highlight w:val="none"/>
        </w:rPr>
      </w:pPr>
      <w:r>
        <w:rPr>
          <w:color w:val="auto"/>
          <w:sz w:val="28"/>
          <w:szCs w:val="28"/>
          <w:highlight w:val="none"/>
        </w:rPr>
        <w:fldChar w:fldCharType="begin"/>
      </w:r>
      <w:r>
        <w:rPr>
          <w:color w:val="auto"/>
          <w:sz w:val="28"/>
          <w:szCs w:val="28"/>
          <w:highlight w:val="none"/>
        </w:rPr>
        <w:instrText xml:space="preserve"> HYPERLINK \l _Toc31332 </w:instrText>
      </w:r>
      <w:r>
        <w:rPr>
          <w:color w:val="auto"/>
          <w:sz w:val="28"/>
          <w:szCs w:val="28"/>
          <w:highlight w:val="none"/>
        </w:rPr>
        <w:fldChar w:fldCharType="separate"/>
      </w:r>
      <w:r>
        <w:rPr>
          <w:rFonts w:hint="eastAsia"/>
          <w:color w:val="auto"/>
          <w:sz w:val="28"/>
          <w:szCs w:val="28"/>
          <w:highlight w:val="none"/>
        </w:rPr>
        <w:t>第六章 图  纸</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_Toc31332 \h </w:instrText>
      </w:r>
      <w:r>
        <w:rPr>
          <w:color w:val="auto"/>
          <w:sz w:val="28"/>
          <w:szCs w:val="28"/>
          <w:highlight w:val="none"/>
        </w:rPr>
        <w:fldChar w:fldCharType="separate"/>
      </w:r>
      <w:r>
        <w:rPr>
          <w:color w:val="auto"/>
          <w:sz w:val="28"/>
          <w:szCs w:val="28"/>
          <w:highlight w:val="none"/>
        </w:rPr>
        <w:t>77</w:t>
      </w:r>
      <w:r>
        <w:rPr>
          <w:color w:val="auto"/>
          <w:sz w:val="28"/>
          <w:szCs w:val="28"/>
          <w:highlight w:val="none"/>
        </w:rPr>
        <w:fldChar w:fldCharType="end"/>
      </w:r>
      <w:r>
        <w:rPr>
          <w:color w:val="auto"/>
          <w:sz w:val="28"/>
          <w:szCs w:val="28"/>
          <w:highlight w:val="none"/>
        </w:rPr>
        <w:fldChar w:fldCharType="end"/>
      </w:r>
    </w:p>
    <w:p w14:paraId="32245634">
      <w:pPr>
        <w:pStyle w:val="432"/>
        <w:keepNext w:val="0"/>
        <w:keepLines w:val="0"/>
        <w:pageBreakBefore w:val="0"/>
        <w:widowControl/>
        <w:tabs>
          <w:tab w:val="right" w:leader="dot" w:pos="9243"/>
        </w:tabs>
        <w:kinsoku/>
        <w:wordWrap/>
        <w:overflowPunct/>
        <w:topLinePunct w:val="0"/>
        <w:autoSpaceDE/>
        <w:autoSpaceDN/>
        <w:bidi w:val="0"/>
        <w:adjustRightInd/>
        <w:snapToGrid/>
        <w:spacing w:line="480" w:lineRule="auto"/>
        <w:textAlignment w:val="auto"/>
        <w:rPr>
          <w:color w:val="auto"/>
          <w:sz w:val="28"/>
          <w:szCs w:val="28"/>
          <w:highlight w:val="none"/>
        </w:rPr>
      </w:pPr>
      <w:r>
        <w:rPr>
          <w:color w:val="auto"/>
          <w:sz w:val="28"/>
          <w:szCs w:val="28"/>
          <w:highlight w:val="none"/>
        </w:rPr>
        <w:fldChar w:fldCharType="begin"/>
      </w:r>
      <w:r>
        <w:rPr>
          <w:color w:val="auto"/>
          <w:sz w:val="28"/>
          <w:szCs w:val="28"/>
          <w:highlight w:val="none"/>
        </w:rPr>
        <w:instrText xml:space="preserve"> HYPERLINK \l _Toc21626 </w:instrText>
      </w:r>
      <w:r>
        <w:rPr>
          <w:color w:val="auto"/>
          <w:sz w:val="28"/>
          <w:szCs w:val="28"/>
          <w:highlight w:val="none"/>
        </w:rPr>
        <w:fldChar w:fldCharType="separate"/>
      </w:r>
      <w:r>
        <w:rPr>
          <w:rFonts w:hint="eastAsia" w:ascii="宋体" w:hAnsi="宋体"/>
          <w:color w:val="auto"/>
          <w:sz w:val="28"/>
          <w:szCs w:val="28"/>
          <w:highlight w:val="none"/>
        </w:rPr>
        <w:t>第七章 技术标准和要求</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_Toc21626 \h </w:instrText>
      </w:r>
      <w:r>
        <w:rPr>
          <w:color w:val="auto"/>
          <w:sz w:val="28"/>
          <w:szCs w:val="28"/>
          <w:highlight w:val="none"/>
        </w:rPr>
        <w:fldChar w:fldCharType="separate"/>
      </w:r>
      <w:r>
        <w:rPr>
          <w:color w:val="auto"/>
          <w:sz w:val="28"/>
          <w:szCs w:val="28"/>
          <w:highlight w:val="none"/>
        </w:rPr>
        <w:t>78</w:t>
      </w:r>
      <w:r>
        <w:rPr>
          <w:color w:val="auto"/>
          <w:sz w:val="28"/>
          <w:szCs w:val="28"/>
          <w:highlight w:val="none"/>
        </w:rPr>
        <w:fldChar w:fldCharType="end"/>
      </w:r>
      <w:r>
        <w:rPr>
          <w:color w:val="auto"/>
          <w:sz w:val="28"/>
          <w:szCs w:val="28"/>
          <w:highlight w:val="none"/>
        </w:rPr>
        <w:fldChar w:fldCharType="end"/>
      </w:r>
    </w:p>
    <w:p w14:paraId="64193FAF">
      <w:pPr>
        <w:pStyle w:val="432"/>
        <w:keepNext w:val="0"/>
        <w:keepLines w:val="0"/>
        <w:pageBreakBefore w:val="0"/>
        <w:widowControl/>
        <w:tabs>
          <w:tab w:val="right" w:leader="dot" w:pos="9243"/>
        </w:tabs>
        <w:kinsoku/>
        <w:wordWrap/>
        <w:overflowPunct/>
        <w:topLinePunct w:val="0"/>
        <w:autoSpaceDE/>
        <w:autoSpaceDN/>
        <w:bidi w:val="0"/>
        <w:adjustRightInd/>
        <w:snapToGrid/>
        <w:spacing w:line="480" w:lineRule="auto"/>
        <w:textAlignment w:val="auto"/>
        <w:rPr>
          <w:color w:val="auto"/>
          <w:sz w:val="28"/>
          <w:szCs w:val="28"/>
          <w:highlight w:val="none"/>
        </w:rPr>
      </w:pPr>
      <w:r>
        <w:rPr>
          <w:color w:val="auto"/>
          <w:sz w:val="28"/>
          <w:szCs w:val="28"/>
          <w:highlight w:val="none"/>
        </w:rPr>
        <w:fldChar w:fldCharType="begin"/>
      </w:r>
      <w:r>
        <w:rPr>
          <w:color w:val="auto"/>
          <w:sz w:val="28"/>
          <w:szCs w:val="28"/>
          <w:highlight w:val="none"/>
        </w:rPr>
        <w:instrText xml:space="preserve"> HYPERLINK \l _Toc15832 </w:instrText>
      </w:r>
      <w:r>
        <w:rPr>
          <w:color w:val="auto"/>
          <w:sz w:val="28"/>
          <w:szCs w:val="28"/>
          <w:highlight w:val="none"/>
        </w:rPr>
        <w:fldChar w:fldCharType="separate"/>
      </w:r>
      <w:r>
        <w:rPr>
          <w:rFonts w:hint="eastAsia"/>
          <w:color w:val="auto"/>
          <w:sz w:val="28"/>
          <w:szCs w:val="28"/>
          <w:highlight w:val="none"/>
        </w:rPr>
        <w:t xml:space="preserve">第八章 </w:t>
      </w:r>
      <w:r>
        <w:rPr>
          <w:rFonts w:hint="eastAsia"/>
          <w:color w:val="auto"/>
          <w:sz w:val="28"/>
          <w:szCs w:val="28"/>
          <w:highlight w:val="none"/>
          <w:lang w:eastAsia="zh-CN"/>
        </w:rPr>
        <w:t>响应文件</w:t>
      </w:r>
      <w:r>
        <w:rPr>
          <w:rFonts w:hint="eastAsia"/>
          <w:color w:val="auto"/>
          <w:sz w:val="28"/>
          <w:szCs w:val="28"/>
          <w:highlight w:val="none"/>
        </w:rPr>
        <w:t>格式</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_Toc15832 \h </w:instrText>
      </w:r>
      <w:r>
        <w:rPr>
          <w:color w:val="auto"/>
          <w:sz w:val="28"/>
          <w:szCs w:val="28"/>
          <w:highlight w:val="none"/>
        </w:rPr>
        <w:fldChar w:fldCharType="separate"/>
      </w:r>
      <w:r>
        <w:rPr>
          <w:color w:val="auto"/>
          <w:sz w:val="28"/>
          <w:szCs w:val="28"/>
          <w:highlight w:val="none"/>
        </w:rPr>
        <w:t>79</w:t>
      </w:r>
      <w:r>
        <w:rPr>
          <w:color w:val="auto"/>
          <w:sz w:val="28"/>
          <w:szCs w:val="28"/>
          <w:highlight w:val="none"/>
        </w:rPr>
        <w:fldChar w:fldCharType="end"/>
      </w:r>
      <w:r>
        <w:rPr>
          <w:color w:val="auto"/>
          <w:sz w:val="28"/>
          <w:szCs w:val="28"/>
          <w:highlight w:val="none"/>
        </w:rPr>
        <w:fldChar w:fldCharType="end"/>
      </w:r>
    </w:p>
    <w:p w14:paraId="650CA161">
      <w:pPr>
        <w:pStyle w:val="432"/>
        <w:keepNext w:val="0"/>
        <w:keepLines w:val="0"/>
        <w:pageBreakBefore w:val="0"/>
        <w:widowControl/>
        <w:tabs>
          <w:tab w:val="right" w:leader="dot" w:pos="9243"/>
        </w:tabs>
        <w:kinsoku/>
        <w:wordWrap/>
        <w:overflowPunct/>
        <w:topLinePunct w:val="0"/>
        <w:autoSpaceDE/>
        <w:autoSpaceDN/>
        <w:bidi w:val="0"/>
        <w:adjustRightInd/>
        <w:snapToGrid/>
        <w:spacing w:line="480" w:lineRule="auto"/>
        <w:textAlignment w:val="auto"/>
        <w:rPr>
          <w:color w:val="auto"/>
          <w:sz w:val="28"/>
          <w:szCs w:val="28"/>
          <w:highlight w:val="none"/>
        </w:rPr>
      </w:pPr>
    </w:p>
    <w:p w14:paraId="7BF59F1A">
      <w:pPr>
        <w:keepNext w:val="0"/>
        <w:keepLines w:val="0"/>
        <w:pageBreakBefore w:val="0"/>
        <w:widowControl/>
        <w:kinsoku/>
        <w:wordWrap/>
        <w:overflowPunct/>
        <w:topLinePunct w:val="0"/>
        <w:autoSpaceDE/>
        <w:autoSpaceDN/>
        <w:bidi w:val="0"/>
        <w:adjustRightInd/>
        <w:snapToGrid/>
        <w:spacing w:line="480" w:lineRule="auto"/>
        <w:textAlignment w:val="auto"/>
        <w:rPr>
          <w:color w:val="auto"/>
          <w:sz w:val="28"/>
          <w:szCs w:val="28"/>
          <w:highlight w:val="none"/>
        </w:rPr>
      </w:pPr>
      <w:r>
        <w:rPr>
          <w:color w:val="auto"/>
          <w:sz w:val="28"/>
          <w:szCs w:val="28"/>
          <w:highlight w:val="none"/>
        </w:rPr>
        <w:fldChar w:fldCharType="end"/>
      </w:r>
    </w:p>
    <w:p w14:paraId="4153CBA8">
      <w:pPr>
        <w:pStyle w:val="33"/>
        <w:tabs>
          <w:tab w:val="right" w:leader="dot" w:pos="9629"/>
        </w:tabs>
        <w:spacing w:line="360" w:lineRule="auto"/>
        <w:rPr>
          <w:rFonts w:ascii="宋体" w:hAnsi="宋体" w:cs="宋体"/>
          <w:b w:val="0"/>
          <w:bCs w:val="0"/>
          <w:caps w:val="0"/>
          <w:color w:val="auto"/>
          <w:kern w:val="2"/>
          <w:sz w:val="24"/>
          <w:highlight w:val="none"/>
          <w:lang w:val="en-US"/>
        </w:rPr>
      </w:pPr>
    </w:p>
    <w:p w14:paraId="4EBE8B39">
      <w:pPr>
        <w:widowControl/>
        <w:spacing w:line="480" w:lineRule="exact"/>
        <w:jc w:val="center"/>
        <w:rPr>
          <w:rFonts w:ascii="宋体" w:hAnsi="宋体" w:cs="宋体"/>
          <w:color w:val="auto"/>
          <w:kern w:val="0"/>
          <w:sz w:val="22"/>
          <w:szCs w:val="22"/>
          <w:highlight w:val="none"/>
        </w:rPr>
      </w:pPr>
    </w:p>
    <w:p w14:paraId="1696CD29">
      <w:pPr>
        <w:widowControl/>
        <w:spacing w:line="480" w:lineRule="exact"/>
        <w:jc w:val="center"/>
        <w:rPr>
          <w:rFonts w:ascii="宋体" w:hAnsi="宋体"/>
          <w:b/>
          <w:color w:val="auto"/>
          <w:sz w:val="36"/>
          <w:szCs w:val="20"/>
          <w:highlight w:val="none"/>
        </w:rPr>
        <w:sectPr>
          <w:footerReference r:id="rId4" w:type="default"/>
          <w:pgSz w:w="11907" w:h="16840"/>
          <w:pgMar w:top="1247" w:right="1247" w:bottom="1247" w:left="1020" w:header="851" w:footer="992" w:gutter="397"/>
          <w:pgNumType w:fmt="decimal" w:start="1"/>
          <w:cols w:space="720" w:num="1"/>
          <w:docGrid w:linePitch="435" w:charSpace="0"/>
        </w:sectPr>
      </w:pPr>
    </w:p>
    <w:p w14:paraId="4213C9CE">
      <w:pPr>
        <w:spacing w:line="360" w:lineRule="auto"/>
        <w:jc w:val="center"/>
        <w:rPr>
          <w:rFonts w:ascii="宋体" w:hAnsi="宋体" w:cs="宋体"/>
          <w:b/>
          <w:bCs w:val="0"/>
          <w:color w:val="auto"/>
          <w:sz w:val="36"/>
          <w:szCs w:val="36"/>
          <w:highlight w:val="none"/>
        </w:rPr>
      </w:pPr>
      <w:r>
        <w:rPr>
          <w:rFonts w:hint="eastAsia"/>
          <w:b/>
          <w:color w:val="auto"/>
          <w:kern w:val="44"/>
          <w:sz w:val="36"/>
          <w:szCs w:val="44"/>
          <w:highlight w:val="none"/>
          <w:lang w:val="zh-CN"/>
        </w:rPr>
        <w:t xml:space="preserve"> </w:t>
      </w:r>
      <w:bookmarkStart w:id="5" w:name="_Toc504654673"/>
      <w:r>
        <w:rPr>
          <w:rFonts w:hint="eastAsia" w:ascii="宋体" w:hAnsi="宋体" w:cs="宋体"/>
          <w:b/>
          <w:bCs/>
          <w:color w:val="auto"/>
          <w:sz w:val="36"/>
          <w:szCs w:val="36"/>
          <w:highlight w:val="none"/>
          <w:lang w:val="zh-CN"/>
        </w:rPr>
        <w:t>第一章</w:t>
      </w:r>
      <w:r>
        <w:rPr>
          <w:rFonts w:hint="eastAsia" w:ascii="宋体" w:hAnsi="宋体" w:cs="宋体"/>
          <w:b/>
          <w:bCs/>
          <w:color w:val="auto"/>
          <w:sz w:val="36"/>
          <w:szCs w:val="36"/>
          <w:highlight w:val="none"/>
        </w:rPr>
        <w:t xml:space="preserve"> </w:t>
      </w:r>
      <w:r>
        <w:rPr>
          <w:rFonts w:hint="eastAsia" w:ascii="宋体" w:hAnsi="宋体" w:cs="宋体"/>
          <w:b/>
          <w:bCs/>
          <w:color w:val="auto"/>
          <w:sz w:val="36"/>
          <w:szCs w:val="36"/>
          <w:highlight w:val="none"/>
          <w:lang w:val="en-US" w:eastAsia="zh-CN"/>
        </w:rPr>
        <w:t xml:space="preserve"> </w:t>
      </w:r>
      <w:r>
        <w:rPr>
          <w:rFonts w:hint="eastAsia" w:ascii="宋体" w:hAnsi="宋体" w:cs="宋体"/>
          <w:b/>
          <w:bCs w:val="0"/>
          <w:color w:val="auto"/>
          <w:sz w:val="36"/>
          <w:szCs w:val="36"/>
          <w:highlight w:val="none"/>
          <w:lang w:eastAsia="zh-CN"/>
        </w:rPr>
        <w:t>竞争性磋商公告</w:t>
      </w:r>
    </w:p>
    <w:p w14:paraId="1285CD5A">
      <w:pPr>
        <w:spacing w:line="360" w:lineRule="auto"/>
        <w:jc w:val="center"/>
        <w:rPr>
          <w:rFonts w:hint="default" w:ascii="宋体" w:hAnsi="宋体" w:eastAsia="宋体"/>
          <w:b w:val="0"/>
          <w:bCs/>
          <w:color w:val="auto"/>
          <w:sz w:val="24"/>
          <w:szCs w:val="28"/>
          <w:highlight w:val="none"/>
          <w:lang w:val="en-US" w:eastAsia="zh-CN"/>
        </w:rPr>
      </w:pPr>
      <w:r>
        <w:rPr>
          <w:rFonts w:hint="eastAsia" w:ascii="宋体" w:hAnsi="宋体"/>
          <w:b w:val="0"/>
          <w:bCs/>
          <w:color w:val="auto"/>
          <w:sz w:val="24"/>
          <w:szCs w:val="28"/>
          <w:highlight w:val="none"/>
          <w:lang w:eastAsia="zh-CN"/>
        </w:rPr>
        <w:t>项目编号</w:t>
      </w:r>
      <w:r>
        <w:rPr>
          <w:rFonts w:ascii="宋体" w:hAnsi="宋体"/>
          <w:b w:val="0"/>
          <w:bCs/>
          <w:color w:val="auto"/>
          <w:sz w:val="24"/>
          <w:szCs w:val="28"/>
          <w:highlight w:val="none"/>
        </w:rPr>
        <w:t>：</w:t>
      </w:r>
      <w:r>
        <w:rPr>
          <w:rFonts w:hint="eastAsia" w:ascii="宋体" w:hAnsi="宋体"/>
          <w:b w:val="0"/>
          <w:bCs/>
          <w:color w:val="auto"/>
          <w:sz w:val="24"/>
          <w:szCs w:val="28"/>
          <w:highlight w:val="none"/>
          <w:lang w:val="en-US" w:eastAsia="zh-CN"/>
        </w:rPr>
        <w:t>JLSM-2025-002</w:t>
      </w:r>
    </w:p>
    <w:p w14:paraId="546F6384">
      <w:pPr>
        <w:pStyle w:val="20"/>
        <w:spacing w:line="360" w:lineRule="auto"/>
        <w:rPr>
          <w:rFonts w:hint="eastAsia" w:ascii="宋体" w:hAnsi="宋体" w:eastAsia="宋体" w:cs="宋体"/>
          <w:b/>
          <w:bCs w:val="0"/>
          <w:color w:val="auto"/>
          <w:kern w:val="0"/>
          <w:sz w:val="24"/>
          <w:szCs w:val="24"/>
          <w:highlight w:val="none"/>
        </w:rPr>
      </w:pPr>
      <w:bookmarkStart w:id="6" w:name="_Toc28359002"/>
      <w:bookmarkStart w:id="7" w:name="_Toc28359079"/>
      <w:bookmarkStart w:id="8" w:name="_Toc35393790"/>
      <w:bookmarkStart w:id="9" w:name="_Toc35393621"/>
      <w:bookmarkStart w:id="10" w:name="_Hlk24379207"/>
      <w:r>
        <w:rPr>
          <w:rFonts w:hint="eastAsia" w:ascii="宋体" w:hAnsi="宋体" w:eastAsia="宋体" w:cs="宋体"/>
          <w:b/>
          <w:bCs w:val="0"/>
          <w:color w:val="auto"/>
          <w:kern w:val="0"/>
          <w:sz w:val="24"/>
          <w:szCs w:val="24"/>
          <w:highlight w:val="none"/>
        </w:rPr>
        <w:t>项目概况：</w:t>
      </w:r>
    </w:p>
    <w:p w14:paraId="2A204FEB">
      <w:pPr>
        <w:spacing w:line="360" w:lineRule="auto"/>
        <w:ind w:firstLine="480" w:firstLineChars="200"/>
        <w:rPr>
          <w:rFonts w:hint="eastAsia" w:ascii="宋体" w:hAnsi="宋体" w:eastAsia="宋体" w:cs="宋体"/>
          <w:b w:val="0"/>
          <w:bCs/>
          <w:color w:val="auto"/>
          <w:sz w:val="24"/>
          <w:szCs w:val="24"/>
          <w:highlight w:val="none"/>
        </w:rPr>
      </w:pPr>
      <w:r>
        <w:rPr>
          <w:rFonts w:hint="eastAsia" w:ascii="宋体" w:hAnsi="宋体" w:cs="宋体"/>
          <w:b w:val="0"/>
          <w:bCs/>
          <w:color w:val="auto"/>
          <w:sz w:val="24"/>
          <w:szCs w:val="24"/>
          <w:highlight w:val="none"/>
          <w:u w:val="single"/>
          <w:lang w:val="en-US" w:eastAsia="zh-CN"/>
        </w:rPr>
        <w:t>农安县饮马河堤防水毁修复工程</w:t>
      </w:r>
      <w:r>
        <w:rPr>
          <w:rFonts w:hint="eastAsia" w:ascii="宋体" w:hAnsi="宋体" w:eastAsia="宋体" w:cs="宋体"/>
          <w:b w:val="0"/>
          <w:bCs/>
          <w:color w:val="auto"/>
          <w:sz w:val="24"/>
          <w:szCs w:val="24"/>
          <w:highlight w:val="none"/>
          <w:u w:val="single"/>
          <w:lang w:eastAsia="zh-CN"/>
        </w:rPr>
        <w:t xml:space="preserve"> </w:t>
      </w:r>
      <w:r>
        <w:rPr>
          <w:rFonts w:hint="default" w:ascii="宋体" w:hAnsi="宋体" w:cs="宋体"/>
          <w:b w:val="0"/>
          <w:bCs/>
          <w:color w:val="auto"/>
          <w:sz w:val="24"/>
          <w:szCs w:val="24"/>
          <w:highlight w:val="none"/>
          <w:lang w:eastAsia="zh-CN"/>
        </w:rPr>
        <w:t>采购项目</w:t>
      </w:r>
      <w:r>
        <w:rPr>
          <w:rFonts w:hint="eastAsia" w:ascii="宋体" w:hAnsi="宋体" w:eastAsia="宋体" w:cs="宋体"/>
          <w:b w:val="0"/>
          <w:bCs/>
          <w:color w:val="auto"/>
          <w:sz w:val="24"/>
          <w:szCs w:val="24"/>
          <w:highlight w:val="none"/>
        </w:rPr>
        <w:t>的潜在</w:t>
      </w:r>
      <w:r>
        <w:rPr>
          <w:rFonts w:hint="eastAsia" w:ascii="宋体" w:hAnsi="宋体" w:cs="宋体"/>
          <w:b w:val="0"/>
          <w:bCs/>
          <w:color w:val="auto"/>
          <w:sz w:val="24"/>
          <w:szCs w:val="24"/>
          <w:highlight w:val="none"/>
          <w:lang w:eastAsia="zh-CN"/>
        </w:rPr>
        <w:t>供应商</w:t>
      </w:r>
      <w:r>
        <w:rPr>
          <w:rFonts w:hint="eastAsia" w:ascii="宋体" w:hAnsi="宋体" w:eastAsia="宋体" w:cs="宋体"/>
          <w:b w:val="0"/>
          <w:bCs/>
          <w:color w:val="auto"/>
          <w:sz w:val="24"/>
          <w:szCs w:val="24"/>
          <w:highlight w:val="none"/>
        </w:rPr>
        <w:t>应在</w:t>
      </w:r>
      <w:r>
        <w:rPr>
          <w:rFonts w:hint="eastAsia" w:ascii="宋体" w:hAnsi="宋体" w:cs="宋体"/>
          <w:b w:val="0"/>
          <w:bCs/>
          <w:color w:val="auto"/>
          <w:sz w:val="24"/>
          <w:szCs w:val="24"/>
          <w:highlight w:val="none"/>
          <w:lang w:eastAsia="zh-CN"/>
        </w:rPr>
        <w:t>政府采购云平台（http:// www.zcygov.cn）</w:t>
      </w:r>
      <w:r>
        <w:rPr>
          <w:rFonts w:hint="eastAsia" w:ascii="宋体" w:hAnsi="宋体" w:eastAsia="宋体" w:cs="宋体"/>
          <w:b w:val="0"/>
          <w:bCs/>
          <w:color w:val="auto"/>
          <w:sz w:val="24"/>
          <w:szCs w:val="24"/>
          <w:highlight w:val="none"/>
        </w:rPr>
        <w:t>获取</w:t>
      </w:r>
      <w:r>
        <w:rPr>
          <w:rFonts w:hint="eastAsia" w:ascii="宋体" w:hAnsi="宋体" w:eastAsia="宋体" w:cs="宋体"/>
          <w:b w:val="0"/>
          <w:bCs/>
          <w:color w:val="auto"/>
          <w:sz w:val="24"/>
          <w:szCs w:val="24"/>
          <w:highlight w:val="none"/>
          <w:lang w:eastAsia="zh-CN"/>
        </w:rPr>
        <w:t>磋商文件</w:t>
      </w:r>
      <w:r>
        <w:rPr>
          <w:rFonts w:hint="eastAsia" w:ascii="宋体" w:hAnsi="宋体" w:eastAsia="宋体" w:cs="宋体"/>
          <w:b w:val="0"/>
          <w:bCs/>
          <w:color w:val="auto"/>
          <w:sz w:val="24"/>
          <w:szCs w:val="24"/>
          <w:highlight w:val="none"/>
        </w:rPr>
        <w:t>，并于</w:t>
      </w:r>
      <w:r>
        <w:rPr>
          <w:rFonts w:hint="eastAsia" w:ascii="宋体" w:hAnsi="宋体" w:cs="宋体"/>
          <w:b w:val="0"/>
          <w:bCs/>
          <w:color w:val="auto"/>
          <w:sz w:val="24"/>
          <w:szCs w:val="24"/>
          <w:highlight w:val="none"/>
          <w:u w:val="single"/>
          <w:lang w:val="en-US" w:eastAsia="zh-CN"/>
        </w:rPr>
        <w:t>2025年4月18日9时30分</w:t>
      </w:r>
      <w:r>
        <w:rPr>
          <w:rFonts w:hint="eastAsia" w:ascii="宋体" w:hAnsi="宋体" w:eastAsia="宋体" w:cs="宋体"/>
          <w:b w:val="0"/>
          <w:bCs/>
          <w:color w:val="auto"/>
          <w:sz w:val="24"/>
          <w:szCs w:val="24"/>
          <w:highlight w:val="none"/>
        </w:rPr>
        <w:t>（北京时间）前递交</w:t>
      </w:r>
      <w:r>
        <w:rPr>
          <w:rFonts w:hint="eastAsia" w:ascii="宋体" w:hAnsi="宋体" w:eastAsia="宋体" w:cs="宋体"/>
          <w:b w:val="0"/>
          <w:bCs/>
          <w:color w:val="auto"/>
          <w:sz w:val="24"/>
          <w:szCs w:val="24"/>
          <w:highlight w:val="none"/>
          <w:lang w:eastAsia="zh-CN"/>
        </w:rPr>
        <w:t>响应文件</w:t>
      </w:r>
      <w:r>
        <w:rPr>
          <w:rFonts w:hint="eastAsia" w:ascii="宋体" w:hAnsi="宋体" w:eastAsia="宋体" w:cs="宋体"/>
          <w:b w:val="0"/>
          <w:bCs/>
          <w:color w:val="auto"/>
          <w:sz w:val="24"/>
          <w:szCs w:val="24"/>
          <w:highlight w:val="none"/>
        </w:rPr>
        <w:t>。</w:t>
      </w:r>
    </w:p>
    <w:p w14:paraId="5BC9B055">
      <w:pPr>
        <w:pStyle w:val="3"/>
        <w:spacing w:line="360" w:lineRule="auto"/>
        <w:rPr>
          <w:rFonts w:hint="eastAsia" w:ascii="宋体" w:hAnsi="宋体" w:eastAsia="宋体" w:cs="宋体"/>
          <w:b/>
          <w:bCs w:val="0"/>
          <w:color w:val="auto"/>
          <w:sz w:val="24"/>
          <w:szCs w:val="24"/>
          <w:highlight w:val="none"/>
        </w:rPr>
      </w:pPr>
      <w:r>
        <w:rPr>
          <w:rFonts w:hint="eastAsia" w:ascii="宋体" w:hAnsi="宋体" w:eastAsia="宋体" w:cs="宋体"/>
          <w:b/>
          <w:bCs w:val="0"/>
          <w:color w:val="auto"/>
          <w:sz w:val="24"/>
          <w:szCs w:val="24"/>
          <w:highlight w:val="none"/>
        </w:rPr>
        <w:t>一、项目基本情况</w:t>
      </w:r>
      <w:bookmarkEnd w:id="6"/>
      <w:bookmarkEnd w:id="7"/>
      <w:bookmarkEnd w:id="8"/>
      <w:bookmarkEnd w:id="9"/>
    </w:p>
    <w:p w14:paraId="3DBA1B65">
      <w:pPr>
        <w:spacing w:line="360" w:lineRule="auto"/>
        <w:ind w:firstLine="480" w:firstLineChars="200"/>
        <w:rPr>
          <w:rFonts w:hint="eastAsia" w:ascii="宋体" w:hAnsi="宋体"/>
          <w:b w:val="0"/>
          <w:bCs/>
          <w:color w:val="auto"/>
          <w:sz w:val="24"/>
          <w:szCs w:val="28"/>
          <w:highlight w:val="none"/>
          <w:lang w:val="en-US" w:eastAsia="zh-CN"/>
        </w:rPr>
      </w:pPr>
      <w:r>
        <w:rPr>
          <w:rFonts w:hint="eastAsia" w:ascii="宋体" w:hAnsi="宋体" w:eastAsia="宋体" w:cs="宋体"/>
          <w:b w:val="0"/>
          <w:bCs/>
          <w:color w:val="auto"/>
          <w:sz w:val="24"/>
          <w:szCs w:val="24"/>
          <w:highlight w:val="none"/>
          <w:lang w:val="en-US" w:eastAsia="zh-CN"/>
        </w:rPr>
        <w:t>1</w:t>
      </w:r>
      <w:r>
        <w:rPr>
          <w:rFonts w:hint="eastAsia" w:ascii="宋体" w:hAnsi="宋体" w:eastAsia="宋体" w:cs="宋体"/>
          <w:b w:val="0"/>
          <w:bCs/>
          <w:color w:val="auto"/>
          <w:sz w:val="24"/>
          <w:szCs w:val="24"/>
          <w:highlight w:val="none"/>
        </w:rPr>
        <w:t>.</w:t>
      </w:r>
      <w:r>
        <w:rPr>
          <w:rFonts w:hint="eastAsia" w:ascii="宋体" w:hAnsi="宋体" w:eastAsia="宋体" w:cs="宋体"/>
          <w:b w:val="0"/>
          <w:bCs/>
          <w:color w:val="auto"/>
          <w:sz w:val="24"/>
          <w:szCs w:val="24"/>
          <w:highlight w:val="none"/>
          <w:lang w:eastAsia="zh-CN"/>
        </w:rPr>
        <w:t>项目</w:t>
      </w:r>
      <w:r>
        <w:rPr>
          <w:rFonts w:hint="eastAsia" w:ascii="宋体" w:hAnsi="宋体" w:eastAsia="宋体" w:cs="宋体"/>
          <w:b w:val="0"/>
          <w:bCs/>
          <w:color w:val="auto"/>
          <w:sz w:val="24"/>
          <w:szCs w:val="24"/>
          <w:highlight w:val="none"/>
        </w:rPr>
        <w:t>编号：</w:t>
      </w:r>
      <w:r>
        <w:rPr>
          <w:rFonts w:hint="eastAsia" w:ascii="宋体" w:hAnsi="宋体" w:cs="宋体"/>
          <w:b w:val="0"/>
          <w:bCs/>
          <w:color w:val="auto"/>
          <w:sz w:val="24"/>
          <w:szCs w:val="24"/>
          <w:highlight w:val="none"/>
          <w:lang w:val="en-US" w:eastAsia="zh-CN"/>
        </w:rPr>
        <w:t>JLSM-2025-002</w:t>
      </w:r>
    </w:p>
    <w:p w14:paraId="6AD65F6A">
      <w:pPr>
        <w:spacing w:line="360" w:lineRule="auto"/>
        <w:ind w:firstLine="480" w:firstLineChars="200"/>
        <w:rPr>
          <w:rFonts w:hint="default"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2.采购计划编号：</w:t>
      </w:r>
      <w:r>
        <w:rPr>
          <w:rFonts w:hint="eastAsia" w:ascii="宋体" w:hAnsi="宋体" w:cs="宋体"/>
          <w:b w:val="0"/>
          <w:bCs/>
          <w:color w:val="auto"/>
          <w:sz w:val="24"/>
          <w:szCs w:val="24"/>
          <w:highlight w:val="none"/>
          <w:lang w:val="en-US" w:eastAsia="zh-CN"/>
        </w:rPr>
        <w:t>采购计划-[2025]-00036号</w:t>
      </w:r>
    </w:p>
    <w:p w14:paraId="031155C8">
      <w:pPr>
        <w:spacing w:line="360" w:lineRule="auto"/>
        <w:ind w:firstLine="480" w:firstLineChars="200"/>
        <w:rPr>
          <w:rFonts w:hint="eastAsia" w:ascii="宋体" w:hAnsi="宋体" w:cs="宋体"/>
          <w:b w:val="0"/>
          <w:bCs/>
          <w:color w:val="auto"/>
          <w:sz w:val="24"/>
          <w:szCs w:val="24"/>
          <w:highlight w:val="none"/>
          <w:lang w:val="en-US" w:eastAsia="zh-CN"/>
        </w:rPr>
      </w:pPr>
      <w:r>
        <w:rPr>
          <w:rFonts w:hint="eastAsia" w:ascii="宋体" w:hAnsi="宋体" w:cs="宋体"/>
          <w:b w:val="0"/>
          <w:bCs/>
          <w:color w:val="auto"/>
          <w:sz w:val="24"/>
          <w:szCs w:val="24"/>
          <w:highlight w:val="none"/>
          <w:lang w:val="en-US" w:eastAsia="zh-CN"/>
        </w:rPr>
        <w:t>3.</w:t>
      </w:r>
      <w:r>
        <w:rPr>
          <w:rFonts w:hint="eastAsia" w:ascii="宋体" w:hAnsi="宋体" w:eastAsia="宋体" w:cs="宋体"/>
          <w:b w:val="0"/>
          <w:bCs/>
          <w:color w:val="auto"/>
          <w:sz w:val="24"/>
          <w:szCs w:val="24"/>
          <w:highlight w:val="none"/>
        </w:rPr>
        <w:t>项目名称：</w:t>
      </w:r>
      <w:r>
        <w:rPr>
          <w:rFonts w:hint="eastAsia" w:ascii="宋体" w:hAnsi="宋体" w:cs="宋体"/>
          <w:b w:val="0"/>
          <w:bCs/>
          <w:color w:val="auto"/>
          <w:sz w:val="24"/>
          <w:szCs w:val="24"/>
          <w:highlight w:val="none"/>
          <w:lang w:val="en-US" w:eastAsia="zh-CN"/>
        </w:rPr>
        <w:t>农安县饮马河堤防水毁修复工程</w:t>
      </w:r>
    </w:p>
    <w:p w14:paraId="1BF79ECD">
      <w:pPr>
        <w:spacing w:line="360" w:lineRule="auto"/>
        <w:ind w:firstLine="480" w:firstLineChars="200"/>
        <w:rPr>
          <w:rFonts w:hint="default" w:ascii="宋体" w:hAnsi="宋体" w:cs="宋体"/>
          <w:b/>
          <w:bCs w:val="0"/>
          <w:color w:val="auto"/>
          <w:sz w:val="24"/>
          <w:szCs w:val="24"/>
          <w:highlight w:val="none"/>
          <w:lang w:val="en-US" w:eastAsia="zh-CN"/>
        </w:rPr>
      </w:pPr>
      <w:r>
        <w:rPr>
          <w:rFonts w:hint="eastAsia" w:ascii="宋体" w:hAnsi="宋体" w:cs="宋体"/>
          <w:b w:val="0"/>
          <w:bCs/>
          <w:color w:val="auto"/>
          <w:sz w:val="24"/>
          <w:szCs w:val="24"/>
          <w:highlight w:val="none"/>
          <w:lang w:val="en-US" w:eastAsia="zh-CN"/>
        </w:rPr>
        <w:t>4.预算金额：</w:t>
      </w:r>
      <w:r>
        <w:rPr>
          <w:rFonts w:hint="eastAsia" w:ascii="宋体" w:hAnsi="宋体"/>
          <w:b w:val="0"/>
          <w:bCs/>
          <w:color w:val="auto"/>
          <w:sz w:val="24"/>
          <w:szCs w:val="28"/>
          <w:highlight w:val="none"/>
          <w:lang w:val="en-US" w:eastAsia="zh-CN"/>
        </w:rPr>
        <w:t>1208632元；</w:t>
      </w:r>
    </w:p>
    <w:p w14:paraId="3F230BB1">
      <w:pPr>
        <w:spacing w:line="360" w:lineRule="auto"/>
        <w:ind w:firstLine="480" w:firstLineChars="200"/>
        <w:rPr>
          <w:rFonts w:hint="eastAsia" w:ascii="宋体" w:hAnsi="宋体"/>
          <w:b w:val="0"/>
          <w:bCs/>
          <w:color w:val="auto"/>
          <w:sz w:val="24"/>
          <w:szCs w:val="28"/>
          <w:highlight w:val="none"/>
          <w:lang w:val="en-US" w:eastAsia="zh-CN"/>
        </w:rPr>
      </w:pPr>
      <w:r>
        <w:rPr>
          <w:rFonts w:hint="eastAsia" w:ascii="宋体" w:hAnsi="宋体" w:cs="宋体"/>
          <w:b w:val="0"/>
          <w:bCs/>
          <w:color w:val="auto"/>
          <w:sz w:val="24"/>
          <w:szCs w:val="24"/>
          <w:highlight w:val="none"/>
          <w:lang w:val="en-US" w:eastAsia="zh-CN"/>
        </w:rPr>
        <w:t>5.</w:t>
      </w:r>
      <w:r>
        <w:rPr>
          <w:rFonts w:hint="eastAsia" w:ascii="宋体" w:hAnsi="宋体" w:eastAsia="宋体" w:cs="宋体"/>
          <w:b w:val="0"/>
          <w:bCs/>
          <w:color w:val="auto"/>
          <w:sz w:val="24"/>
          <w:szCs w:val="24"/>
          <w:highlight w:val="none"/>
          <w:lang w:val="en-US" w:eastAsia="zh-CN"/>
        </w:rPr>
        <w:t>最高限价：</w:t>
      </w:r>
      <w:r>
        <w:rPr>
          <w:rFonts w:hint="eastAsia" w:ascii="宋体" w:hAnsi="宋体"/>
          <w:b w:val="0"/>
          <w:bCs/>
          <w:color w:val="auto"/>
          <w:sz w:val="24"/>
          <w:szCs w:val="28"/>
          <w:highlight w:val="none"/>
          <w:lang w:val="en-US" w:eastAsia="zh-CN"/>
        </w:rPr>
        <w:t>1208632元；</w:t>
      </w:r>
    </w:p>
    <w:p w14:paraId="741E5391">
      <w:pPr>
        <w:spacing w:line="360" w:lineRule="auto"/>
        <w:ind w:firstLine="480" w:firstLineChars="200"/>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6.采购方式：竞争性磋商</w:t>
      </w:r>
    </w:p>
    <w:p w14:paraId="6515E66C">
      <w:pPr>
        <w:spacing w:line="360" w:lineRule="auto"/>
        <w:ind w:firstLine="480" w:firstLineChars="200"/>
        <w:rPr>
          <w:rFonts w:hint="default" w:ascii="宋体" w:hAnsi="宋体" w:eastAsia="宋体" w:cs="宋体"/>
          <w:b w:val="0"/>
          <w:bCs/>
          <w:color w:val="auto"/>
          <w:sz w:val="24"/>
          <w:szCs w:val="24"/>
          <w:highlight w:val="none"/>
          <w:lang w:val="en-US" w:eastAsia="zh-CN"/>
        </w:rPr>
      </w:pPr>
      <w:r>
        <w:rPr>
          <w:rFonts w:hint="eastAsia" w:ascii="宋体" w:hAnsi="宋体" w:cs="宋体"/>
          <w:b w:val="0"/>
          <w:bCs/>
          <w:color w:val="auto"/>
          <w:sz w:val="24"/>
          <w:szCs w:val="24"/>
          <w:highlight w:val="none"/>
          <w:lang w:val="en-US" w:eastAsia="zh-CN"/>
        </w:rPr>
        <w:t>7.</w:t>
      </w:r>
      <w:r>
        <w:rPr>
          <w:rFonts w:hint="eastAsia" w:ascii="宋体" w:hAnsi="宋体" w:eastAsia="宋体" w:cs="宋体"/>
          <w:b w:val="0"/>
          <w:bCs/>
          <w:color w:val="auto"/>
          <w:sz w:val="24"/>
          <w:szCs w:val="24"/>
          <w:highlight w:val="none"/>
          <w:lang w:val="en-US" w:eastAsia="zh-CN"/>
        </w:rPr>
        <w:t>采购</w:t>
      </w:r>
      <w:r>
        <w:rPr>
          <w:rFonts w:hint="eastAsia" w:ascii="宋体" w:hAnsi="宋体" w:cs="宋体"/>
          <w:b w:val="0"/>
          <w:bCs/>
          <w:color w:val="auto"/>
          <w:sz w:val="24"/>
          <w:szCs w:val="24"/>
          <w:highlight w:val="none"/>
          <w:lang w:val="en-US" w:eastAsia="zh-CN"/>
        </w:rPr>
        <w:t>需求</w:t>
      </w:r>
      <w:r>
        <w:rPr>
          <w:rFonts w:hint="eastAsia" w:ascii="宋体" w:hAnsi="宋体" w:eastAsia="宋体" w:cs="宋体"/>
          <w:b w:val="0"/>
          <w:bCs/>
          <w:color w:val="auto"/>
          <w:sz w:val="24"/>
          <w:szCs w:val="24"/>
          <w:highlight w:val="none"/>
          <w:lang w:val="en-US" w:eastAsia="zh-CN"/>
        </w:rPr>
        <w:t>：本项目工程量清单所载全部内容；</w:t>
      </w:r>
    </w:p>
    <w:p w14:paraId="0567251C">
      <w:pPr>
        <w:spacing w:line="360" w:lineRule="auto"/>
        <w:ind w:firstLine="480" w:firstLineChars="200"/>
        <w:rPr>
          <w:rFonts w:hint="eastAsia" w:ascii="宋体" w:hAnsi="宋体"/>
          <w:b w:val="0"/>
          <w:bCs/>
          <w:color w:val="auto"/>
          <w:sz w:val="24"/>
          <w:szCs w:val="28"/>
          <w:highlight w:val="none"/>
          <w:lang w:eastAsia="zh-CN"/>
        </w:rPr>
      </w:pPr>
      <w:r>
        <w:rPr>
          <w:rFonts w:hint="eastAsia" w:ascii="宋体" w:hAnsi="宋体" w:cs="宋体"/>
          <w:b w:val="0"/>
          <w:bCs/>
          <w:color w:val="auto"/>
          <w:sz w:val="24"/>
          <w:szCs w:val="24"/>
          <w:highlight w:val="none"/>
          <w:lang w:val="en-US" w:eastAsia="zh-CN"/>
        </w:rPr>
        <w:t>8.</w:t>
      </w:r>
      <w:r>
        <w:rPr>
          <w:rFonts w:hint="eastAsia" w:ascii="宋体" w:hAnsi="宋体" w:cs="宋体"/>
          <w:b w:val="0"/>
          <w:bCs/>
          <w:color w:val="auto"/>
          <w:sz w:val="24"/>
          <w:szCs w:val="24"/>
          <w:highlight w:val="none"/>
          <w:lang w:val="zh-CN"/>
        </w:rPr>
        <w:t>合同履行期限：</w:t>
      </w:r>
      <w:bookmarkEnd w:id="10"/>
      <w:r>
        <w:rPr>
          <w:rFonts w:hint="eastAsia" w:ascii="宋体" w:hAnsi="宋体" w:cs="宋体"/>
          <w:b w:val="0"/>
          <w:bCs/>
          <w:color w:val="auto"/>
          <w:sz w:val="24"/>
          <w:szCs w:val="24"/>
          <w:highlight w:val="none"/>
          <w:lang w:val="zh-CN"/>
        </w:rPr>
        <w:t>合同签订之日起4个月内</w:t>
      </w:r>
    </w:p>
    <w:p w14:paraId="231F5EB9">
      <w:pPr>
        <w:spacing w:line="360" w:lineRule="auto"/>
        <w:ind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本项目</w:t>
      </w:r>
      <w:r>
        <w:rPr>
          <w:rFonts w:hint="eastAsia" w:ascii="宋体" w:hAnsi="宋体" w:eastAsia="宋体" w:cs="宋体"/>
          <w:b w:val="0"/>
          <w:bCs/>
          <w:color w:val="auto"/>
          <w:sz w:val="24"/>
          <w:szCs w:val="24"/>
          <w:highlight w:val="none"/>
          <w:lang w:val="en-US" w:eastAsia="zh-CN"/>
        </w:rPr>
        <w:t xml:space="preserve"> </w:t>
      </w:r>
      <w:r>
        <w:rPr>
          <w:rFonts w:hint="eastAsia" w:ascii="宋体" w:hAnsi="宋体" w:eastAsia="宋体" w:cs="宋体"/>
          <w:b w:val="0"/>
          <w:bCs/>
          <w:color w:val="auto"/>
          <w:sz w:val="24"/>
          <w:szCs w:val="24"/>
          <w:highlight w:val="none"/>
          <w:u w:val="single"/>
          <w:lang w:val="en-US" w:eastAsia="zh-CN"/>
        </w:rPr>
        <w:t xml:space="preserve">不接受 </w:t>
      </w:r>
      <w:r>
        <w:rPr>
          <w:rFonts w:hint="eastAsia" w:ascii="宋体" w:hAnsi="宋体" w:eastAsia="宋体" w:cs="宋体"/>
          <w:b w:val="0"/>
          <w:bCs/>
          <w:color w:val="auto"/>
          <w:sz w:val="24"/>
          <w:szCs w:val="24"/>
          <w:highlight w:val="none"/>
        </w:rPr>
        <w:t>联合体投标。</w:t>
      </w:r>
    </w:p>
    <w:p w14:paraId="34C7A39E">
      <w:pPr>
        <w:pStyle w:val="3"/>
        <w:spacing w:line="360" w:lineRule="auto"/>
        <w:rPr>
          <w:rFonts w:hint="eastAsia" w:ascii="宋体" w:hAnsi="宋体" w:eastAsia="宋体" w:cs="宋体"/>
          <w:b/>
          <w:bCs w:val="0"/>
          <w:color w:val="auto"/>
          <w:sz w:val="24"/>
          <w:szCs w:val="24"/>
          <w:highlight w:val="none"/>
        </w:rPr>
      </w:pPr>
      <w:bookmarkStart w:id="11" w:name="_Toc35393791"/>
      <w:bookmarkStart w:id="12" w:name="_Toc35393622"/>
      <w:bookmarkStart w:id="13" w:name="_Toc28359080"/>
      <w:bookmarkStart w:id="14" w:name="_Toc28359003"/>
      <w:r>
        <w:rPr>
          <w:rFonts w:hint="eastAsia" w:ascii="宋体" w:hAnsi="宋体" w:eastAsia="宋体" w:cs="宋体"/>
          <w:b/>
          <w:bCs w:val="0"/>
          <w:color w:val="auto"/>
          <w:sz w:val="24"/>
          <w:szCs w:val="24"/>
          <w:highlight w:val="none"/>
        </w:rPr>
        <w:t>二、</w:t>
      </w:r>
      <w:r>
        <w:rPr>
          <w:rFonts w:hint="eastAsia" w:ascii="宋体" w:hAnsi="宋体" w:cs="宋体"/>
          <w:b/>
          <w:bCs w:val="0"/>
          <w:color w:val="auto"/>
          <w:sz w:val="24"/>
          <w:szCs w:val="24"/>
          <w:highlight w:val="none"/>
          <w:lang w:eastAsia="zh-CN"/>
        </w:rPr>
        <w:t>申请人的</w:t>
      </w:r>
      <w:r>
        <w:rPr>
          <w:rFonts w:hint="eastAsia" w:ascii="宋体" w:hAnsi="宋体" w:eastAsia="宋体" w:cs="宋体"/>
          <w:b/>
          <w:bCs w:val="0"/>
          <w:color w:val="auto"/>
          <w:sz w:val="24"/>
          <w:szCs w:val="24"/>
          <w:highlight w:val="none"/>
        </w:rPr>
        <w:t>资格要求：</w:t>
      </w:r>
      <w:bookmarkEnd w:id="11"/>
      <w:bookmarkEnd w:id="12"/>
      <w:bookmarkEnd w:id="13"/>
      <w:bookmarkEnd w:id="14"/>
    </w:p>
    <w:p w14:paraId="030633A9">
      <w:pPr>
        <w:spacing w:line="360" w:lineRule="auto"/>
        <w:ind w:firstLine="480" w:firstLineChars="200"/>
        <w:rPr>
          <w:rFonts w:hint="eastAsia" w:ascii="宋体" w:hAnsi="宋体" w:eastAsia="宋体" w:cs="宋体"/>
          <w:b w:val="0"/>
          <w:bCs/>
          <w:color w:val="auto"/>
          <w:sz w:val="24"/>
          <w:szCs w:val="24"/>
          <w:highlight w:val="none"/>
        </w:rPr>
      </w:pPr>
      <w:bookmarkStart w:id="15" w:name="_Toc28359081"/>
      <w:bookmarkStart w:id="16" w:name="_Toc35393792"/>
      <w:bookmarkStart w:id="17" w:name="_Toc28359004"/>
      <w:bookmarkStart w:id="18" w:name="_Toc35393623"/>
      <w:r>
        <w:rPr>
          <w:rFonts w:hint="eastAsia" w:ascii="宋体" w:hAnsi="宋体" w:eastAsia="宋体" w:cs="宋体"/>
          <w:b w:val="0"/>
          <w:bCs/>
          <w:color w:val="auto"/>
          <w:sz w:val="24"/>
          <w:szCs w:val="24"/>
          <w:highlight w:val="none"/>
        </w:rPr>
        <w:t>1.满足《中华人民共和国政府采购法》第二十二条规定；</w:t>
      </w:r>
    </w:p>
    <w:p w14:paraId="22CCEB87">
      <w:pPr>
        <w:spacing w:line="360" w:lineRule="auto"/>
        <w:ind w:firstLine="480" w:firstLineChars="200"/>
        <w:rPr>
          <w:rFonts w:hint="eastAsia" w:ascii="宋体" w:hAnsi="宋体" w:cs="宋体"/>
          <w:bCs/>
          <w:color w:val="auto"/>
          <w:sz w:val="24"/>
          <w:szCs w:val="24"/>
          <w:highlight w:val="none"/>
          <w:lang w:val="zh-CN"/>
        </w:rPr>
      </w:pPr>
      <w:r>
        <w:rPr>
          <w:rFonts w:hint="eastAsia" w:ascii="宋体" w:hAnsi="宋体" w:eastAsia="宋体" w:cs="宋体"/>
          <w:b w:val="0"/>
          <w:bCs/>
          <w:color w:val="auto"/>
          <w:sz w:val="24"/>
          <w:szCs w:val="24"/>
          <w:highlight w:val="none"/>
        </w:rPr>
        <w:t>2.落实政府采购政策需满足的资格要求：</w:t>
      </w:r>
      <w:r>
        <w:rPr>
          <w:rFonts w:hint="eastAsia" w:ascii="宋体" w:hAnsi="宋体" w:cs="宋体"/>
          <w:bCs/>
          <w:color w:val="auto"/>
          <w:sz w:val="24"/>
          <w:szCs w:val="24"/>
          <w:highlight w:val="none"/>
          <w:lang w:val="zh-CN"/>
        </w:rPr>
        <w:t>本项目属于全部面向中小企业采购的项目，属于建筑业；</w:t>
      </w:r>
    </w:p>
    <w:p w14:paraId="49887851">
      <w:pPr>
        <w:spacing w:line="360" w:lineRule="auto"/>
        <w:ind w:firstLine="480" w:firstLineChars="200"/>
        <w:rPr>
          <w:rFonts w:hint="eastAsia" w:ascii="宋体" w:hAnsi="宋体" w:eastAsia="宋体" w:cs="宋体"/>
          <w:b w:val="0"/>
          <w:bCs/>
          <w:color w:val="auto"/>
          <w:sz w:val="24"/>
          <w:szCs w:val="24"/>
          <w:highlight w:val="none"/>
          <w:lang w:eastAsia="zh-CN"/>
        </w:rPr>
      </w:pPr>
      <w:r>
        <w:rPr>
          <w:rFonts w:hint="eastAsia" w:ascii="宋体" w:hAnsi="宋体" w:cs="宋体"/>
          <w:bCs/>
          <w:color w:val="auto"/>
          <w:sz w:val="24"/>
          <w:szCs w:val="24"/>
          <w:highlight w:val="none"/>
          <w:lang w:val="zh-CN"/>
        </w:rPr>
        <w:t>本采购项目落实的政府采购政策：《政府采购促进中小企业发展管理办法》(财库〔2020〕46号)、《关于进一步加大政府采购支持中小企业力度的通知》（财库〔2022〕19号）、《关于促进残疾人就业政府采购政策的通知》(财库[2017]141号)、《关于政府采购支持监狱企业发展有关问题的通知》(财库[2014]68号)、《关于调整优化节能产品、环境标志产品政府采购执行机制的通知》(财库[2019]9号。</w:t>
      </w:r>
    </w:p>
    <w:p w14:paraId="3AAB449D">
      <w:pPr>
        <w:spacing w:line="360" w:lineRule="auto"/>
        <w:ind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3.本项目的特定资格要求：</w:t>
      </w:r>
    </w:p>
    <w:p w14:paraId="6DEEAC40">
      <w:pPr>
        <w:spacing w:line="360" w:lineRule="auto"/>
        <w:ind w:firstLine="480" w:firstLineChars="200"/>
        <w:rPr>
          <w:rFonts w:hint="eastAsia" w:ascii="宋体" w:hAnsi="宋体" w:eastAsia="宋体"/>
          <w:b w:val="0"/>
          <w:bCs/>
          <w:color w:val="auto"/>
          <w:sz w:val="24"/>
          <w:szCs w:val="28"/>
          <w:highlight w:val="none"/>
          <w:lang w:eastAsia="zh-CN"/>
        </w:rPr>
      </w:pPr>
      <w:r>
        <w:rPr>
          <w:rFonts w:ascii="宋体" w:hAnsi="宋体"/>
          <w:b w:val="0"/>
          <w:bCs/>
          <w:color w:val="auto"/>
          <w:sz w:val="24"/>
          <w:szCs w:val="28"/>
          <w:highlight w:val="none"/>
        </w:rPr>
        <w:t>3.1</w:t>
      </w:r>
      <w:r>
        <w:rPr>
          <w:rFonts w:hint="eastAsia" w:ascii="宋体" w:hAnsi="宋体"/>
          <w:b w:val="0"/>
          <w:bCs/>
          <w:color w:val="auto"/>
          <w:sz w:val="24"/>
          <w:highlight w:val="none"/>
        </w:rPr>
        <w:t>在中华人民共和国境内注册，能够独立承担民事责任的法人或其他组织形式；</w:t>
      </w:r>
      <w:r>
        <w:rPr>
          <w:rFonts w:hint="eastAsia" w:ascii="宋体" w:hAnsi="宋体"/>
          <w:b w:val="0"/>
          <w:bCs/>
          <w:color w:val="auto"/>
          <w:sz w:val="24"/>
          <w:szCs w:val="28"/>
          <w:highlight w:val="none"/>
          <w:lang w:eastAsia="zh-CN"/>
        </w:rPr>
        <w:t>供应商</w:t>
      </w:r>
      <w:r>
        <w:rPr>
          <w:rFonts w:hint="eastAsia" w:ascii="宋体" w:hAnsi="宋体"/>
          <w:b w:val="0"/>
          <w:bCs/>
          <w:color w:val="auto"/>
          <w:sz w:val="24"/>
          <w:szCs w:val="28"/>
          <w:highlight w:val="none"/>
        </w:rPr>
        <w:t>须</w:t>
      </w:r>
      <w:r>
        <w:rPr>
          <w:rFonts w:ascii="宋体" w:hAnsi="宋体"/>
          <w:b w:val="0"/>
          <w:bCs/>
          <w:color w:val="auto"/>
          <w:sz w:val="24"/>
          <w:szCs w:val="28"/>
          <w:highlight w:val="none"/>
        </w:rPr>
        <w:t>具备</w:t>
      </w:r>
      <w:r>
        <w:rPr>
          <w:rFonts w:hint="eastAsia" w:ascii="宋体" w:hAnsi="宋体"/>
          <w:b w:val="0"/>
          <w:bCs/>
          <w:color w:val="auto"/>
          <w:sz w:val="24"/>
          <w:szCs w:val="28"/>
          <w:highlight w:val="none"/>
          <w:lang w:eastAsia="zh-CN"/>
        </w:rPr>
        <w:t>水利水电工程施工总承包</w:t>
      </w:r>
      <w:r>
        <w:rPr>
          <w:rFonts w:hint="eastAsia" w:ascii="宋体" w:hAnsi="宋体"/>
          <w:b w:val="0"/>
          <w:bCs/>
          <w:color w:val="auto"/>
          <w:sz w:val="24"/>
          <w:szCs w:val="28"/>
          <w:highlight w:val="none"/>
          <w:lang w:val="en-US" w:eastAsia="zh-CN"/>
        </w:rPr>
        <w:t>二</w:t>
      </w:r>
      <w:r>
        <w:rPr>
          <w:rFonts w:hint="eastAsia" w:ascii="宋体" w:hAnsi="宋体"/>
          <w:b w:val="0"/>
          <w:bCs/>
          <w:color w:val="auto"/>
          <w:sz w:val="24"/>
          <w:szCs w:val="28"/>
          <w:highlight w:val="none"/>
          <w:lang w:eastAsia="zh-CN"/>
        </w:rPr>
        <w:t>级及以上资质</w:t>
      </w:r>
      <w:r>
        <w:rPr>
          <w:rFonts w:ascii="宋体" w:hAnsi="宋体"/>
          <w:b w:val="0"/>
          <w:bCs/>
          <w:color w:val="auto"/>
          <w:sz w:val="24"/>
          <w:szCs w:val="28"/>
          <w:highlight w:val="none"/>
        </w:rPr>
        <w:t>，具有有效的安全生产许可证，并在人员、设备、资金等方面具有相应的施工能力</w:t>
      </w:r>
      <w:r>
        <w:rPr>
          <w:rFonts w:hint="eastAsia" w:ascii="宋体" w:hAnsi="宋体"/>
          <w:b w:val="0"/>
          <w:bCs/>
          <w:color w:val="auto"/>
          <w:sz w:val="24"/>
          <w:szCs w:val="28"/>
          <w:highlight w:val="none"/>
        </w:rPr>
        <w:t>；</w:t>
      </w:r>
      <w:r>
        <w:rPr>
          <w:rFonts w:hint="eastAsia" w:ascii="宋体" w:hAnsi="宋体"/>
          <w:b w:val="0"/>
          <w:bCs/>
          <w:color w:val="auto"/>
          <w:sz w:val="24"/>
          <w:szCs w:val="28"/>
          <w:highlight w:val="none"/>
          <w:lang w:eastAsia="zh-CN"/>
        </w:rPr>
        <w:t>（注：1.吉林省建筑业企业资质涉及有效期届满有效期延续问题的按照《吉林省住房和城乡建设厅关于建筑业企业资质延续有关事宜的通知》(吉建管(2023)23号)文件执行。2.</w:t>
      </w:r>
      <w:r>
        <w:rPr>
          <w:rFonts w:hint="eastAsia" w:ascii="宋体" w:hAnsi="宋体"/>
          <w:b w:val="0"/>
          <w:bCs/>
          <w:color w:val="auto"/>
          <w:sz w:val="24"/>
          <w:szCs w:val="28"/>
          <w:highlight w:val="none"/>
          <w:lang w:val="en-US" w:eastAsia="zh-CN"/>
        </w:rPr>
        <w:t>有效期内的</w:t>
      </w:r>
      <w:r>
        <w:rPr>
          <w:rFonts w:hint="eastAsia" w:ascii="宋体" w:hAnsi="宋体"/>
          <w:b w:val="0"/>
          <w:bCs/>
          <w:color w:val="auto"/>
          <w:sz w:val="24"/>
          <w:szCs w:val="28"/>
          <w:highlight w:val="none"/>
          <w:lang w:eastAsia="zh-CN"/>
        </w:rPr>
        <w:t>水利水电工程施工总承包</w:t>
      </w:r>
      <w:r>
        <w:rPr>
          <w:rFonts w:hint="eastAsia" w:ascii="宋体" w:hAnsi="宋体"/>
          <w:b w:val="0"/>
          <w:bCs/>
          <w:color w:val="auto"/>
          <w:sz w:val="24"/>
          <w:szCs w:val="28"/>
          <w:highlight w:val="none"/>
          <w:lang w:val="en-US" w:eastAsia="zh-CN"/>
        </w:rPr>
        <w:t>三</w:t>
      </w:r>
      <w:r>
        <w:rPr>
          <w:rFonts w:hint="eastAsia" w:ascii="宋体" w:hAnsi="宋体"/>
          <w:b w:val="0"/>
          <w:bCs/>
          <w:color w:val="auto"/>
          <w:sz w:val="24"/>
          <w:szCs w:val="28"/>
          <w:highlight w:val="none"/>
          <w:lang w:eastAsia="zh-CN"/>
        </w:rPr>
        <w:t>级</w:t>
      </w:r>
      <w:r>
        <w:rPr>
          <w:rFonts w:hint="eastAsia" w:ascii="宋体" w:hAnsi="宋体"/>
          <w:b w:val="0"/>
          <w:bCs/>
          <w:color w:val="auto"/>
          <w:sz w:val="24"/>
          <w:szCs w:val="28"/>
          <w:highlight w:val="none"/>
          <w:lang w:val="en-US" w:eastAsia="zh-CN"/>
        </w:rPr>
        <w:t>资质投标有效，</w:t>
      </w:r>
      <w:r>
        <w:rPr>
          <w:rFonts w:hint="eastAsia" w:ascii="宋体" w:hAnsi="宋体"/>
          <w:b w:val="0"/>
          <w:bCs/>
          <w:color w:val="auto"/>
          <w:sz w:val="24"/>
          <w:szCs w:val="28"/>
          <w:highlight w:val="none"/>
          <w:lang w:eastAsia="zh-CN"/>
        </w:rPr>
        <w:t>其他省（市）核发的资质涉及有效期届满</w:t>
      </w:r>
      <w:r>
        <w:rPr>
          <w:rFonts w:hint="eastAsia" w:ascii="宋体" w:hAnsi="宋体"/>
          <w:b w:val="0"/>
          <w:bCs/>
          <w:color w:val="auto"/>
          <w:sz w:val="24"/>
          <w:szCs w:val="28"/>
          <w:highlight w:val="none"/>
          <w:lang w:val="en-US" w:eastAsia="zh-CN"/>
        </w:rPr>
        <w:t>或</w:t>
      </w:r>
      <w:r>
        <w:rPr>
          <w:rFonts w:hint="eastAsia" w:ascii="宋体" w:hAnsi="宋体"/>
          <w:b w:val="0"/>
          <w:bCs/>
          <w:color w:val="auto"/>
          <w:sz w:val="24"/>
          <w:szCs w:val="28"/>
          <w:highlight w:val="none"/>
          <w:lang w:eastAsia="zh-CN"/>
        </w:rPr>
        <w:t>有效期延续问题的，按照当地建设行政主管部门文件执行。投标文件内须提供当地住房和城乡建设部门官方网站发布的准予延期文件截图及网址，否则不予认定。）</w:t>
      </w:r>
    </w:p>
    <w:p w14:paraId="0E75417E">
      <w:pPr>
        <w:spacing w:line="360" w:lineRule="auto"/>
        <w:ind w:firstLine="480" w:firstLineChars="200"/>
        <w:rPr>
          <w:rFonts w:hint="eastAsia" w:ascii="宋体" w:hAnsi="宋体"/>
          <w:b w:val="0"/>
          <w:bCs/>
          <w:color w:val="auto"/>
          <w:sz w:val="24"/>
          <w:szCs w:val="28"/>
          <w:highlight w:val="none"/>
        </w:rPr>
      </w:pPr>
      <w:r>
        <w:rPr>
          <w:rFonts w:ascii="宋体" w:hAnsi="宋体"/>
          <w:b w:val="0"/>
          <w:bCs/>
          <w:color w:val="auto"/>
          <w:sz w:val="24"/>
          <w:szCs w:val="28"/>
          <w:highlight w:val="none"/>
        </w:rPr>
        <w:t>3.2</w:t>
      </w:r>
      <w:r>
        <w:rPr>
          <w:rFonts w:hint="eastAsia" w:ascii="宋体" w:hAnsi="宋体"/>
          <w:b w:val="0"/>
          <w:bCs/>
          <w:color w:val="auto"/>
          <w:sz w:val="24"/>
          <w:szCs w:val="24"/>
          <w:highlight w:val="none"/>
        </w:rPr>
        <w:t>人员要求</w:t>
      </w:r>
      <w:r>
        <w:rPr>
          <w:rFonts w:hint="eastAsia" w:ascii="宋体" w:hAnsi="宋体"/>
          <w:b w:val="0"/>
          <w:bCs/>
          <w:color w:val="auto"/>
          <w:sz w:val="24"/>
          <w:szCs w:val="24"/>
          <w:highlight w:val="none"/>
          <w:lang w:val="en-US" w:eastAsia="zh-CN"/>
        </w:rPr>
        <w:t>：</w:t>
      </w:r>
      <w:r>
        <w:rPr>
          <w:rFonts w:hint="eastAsia" w:ascii="宋体" w:hAnsi="宋体"/>
          <w:b w:val="0"/>
          <w:bCs/>
          <w:color w:val="auto"/>
          <w:sz w:val="24"/>
          <w:szCs w:val="28"/>
          <w:highlight w:val="none"/>
          <w:lang w:eastAsia="zh-CN"/>
        </w:rPr>
        <w:t>供应商</w:t>
      </w:r>
      <w:r>
        <w:rPr>
          <w:rFonts w:ascii="宋体" w:hAnsi="宋体"/>
          <w:b w:val="0"/>
          <w:bCs/>
          <w:color w:val="auto"/>
          <w:sz w:val="24"/>
          <w:szCs w:val="28"/>
          <w:highlight w:val="none"/>
        </w:rPr>
        <w:t>拟派出的项目经理须具</w:t>
      </w:r>
      <w:r>
        <w:rPr>
          <w:rFonts w:hint="eastAsia" w:ascii="宋体" w:hAnsi="宋体"/>
          <w:b w:val="0"/>
          <w:bCs/>
          <w:color w:val="auto"/>
          <w:sz w:val="24"/>
          <w:szCs w:val="28"/>
          <w:highlight w:val="none"/>
        </w:rPr>
        <w:t>备</w:t>
      </w:r>
      <w:r>
        <w:rPr>
          <w:rFonts w:ascii="宋体" w:hAnsi="宋体"/>
          <w:b w:val="0"/>
          <w:bCs/>
          <w:color w:val="auto"/>
          <w:sz w:val="24"/>
          <w:szCs w:val="28"/>
          <w:highlight w:val="none"/>
        </w:rPr>
        <w:t>建设行政主管部门核发的</w:t>
      </w:r>
      <w:r>
        <w:rPr>
          <w:rFonts w:hint="eastAsia" w:ascii="宋体" w:hAnsi="宋体"/>
          <w:b w:val="0"/>
          <w:bCs/>
          <w:color w:val="auto"/>
          <w:sz w:val="24"/>
          <w:szCs w:val="28"/>
          <w:highlight w:val="none"/>
          <w:lang w:eastAsia="zh-CN"/>
        </w:rPr>
        <w:t>水利水电工程专业贰级</w:t>
      </w:r>
      <w:r>
        <w:rPr>
          <w:rFonts w:ascii="宋体" w:hAnsi="宋体"/>
          <w:b w:val="0"/>
          <w:bCs/>
          <w:color w:val="auto"/>
          <w:sz w:val="24"/>
          <w:szCs w:val="28"/>
          <w:highlight w:val="none"/>
        </w:rPr>
        <w:t>及以上注册建造师资格，具有有效的安全生产考核合格证书（B</w:t>
      </w:r>
      <w:r>
        <w:rPr>
          <w:rFonts w:hint="eastAsia" w:ascii="宋体" w:hAnsi="宋体"/>
          <w:b w:val="0"/>
          <w:bCs/>
          <w:color w:val="auto"/>
          <w:sz w:val="24"/>
          <w:szCs w:val="28"/>
          <w:highlight w:val="none"/>
        </w:rPr>
        <w:t>类</w:t>
      </w:r>
      <w:r>
        <w:rPr>
          <w:rFonts w:ascii="宋体" w:hAnsi="宋体"/>
          <w:b w:val="0"/>
          <w:bCs/>
          <w:color w:val="auto"/>
          <w:sz w:val="24"/>
          <w:szCs w:val="28"/>
          <w:highlight w:val="none"/>
        </w:rPr>
        <w:t>）</w:t>
      </w:r>
      <w:r>
        <w:rPr>
          <w:rFonts w:hint="eastAsia" w:ascii="宋体" w:hAnsi="宋体"/>
          <w:b w:val="0"/>
          <w:bCs/>
          <w:color w:val="auto"/>
          <w:sz w:val="24"/>
          <w:szCs w:val="28"/>
          <w:highlight w:val="none"/>
        </w:rPr>
        <w:t>，且无在建工程；</w:t>
      </w:r>
      <w:r>
        <w:rPr>
          <w:rFonts w:ascii="宋体" w:hAnsi="宋体"/>
          <w:b w:val="0"/>
          <w:bCs/>
          <w:color w:val="auto"/>
          <w:sz w:val="24"/>
          <w:szCs w:val="28"/>
          <w:highlight w:val="none"/>
        </w:rPr>
        <w:t>拟派出的</w:t>
      </w:r>
      <w:r>
        <w:rPr>
          <w:rFonts w:hint="eastAsia" w:ascii="宋体" w:hAnsi="宋体"/>
          <w:b w:val="0"/>
          <w:bCs/>
          <w:color w:val="auto"/>
          <w:sz w:val="24"/>
          <w:szCs w:val="28"/>
          <w:highlight w:val="none"/>
        </w:rPr>
        <w:t>技术负责人</w:t>
      </w:r>
      <w:r>
        <w:rPr>
          <w:rFonts w:ascii="宋体" w:hAnsi="宋体"/>
          <w:b w:val="0"/>
          <w:bCs/>
          <w:color w:val="auto"/>
          <w:sz w:val="24"/>
          <w:szCs w:val="28"/>
          <w:highlight w:val="none"/>
        </w:rPr>
        <w:t>须具</w:t>
      </w:r>
      <w:r>
        <w:rPr>
          <w:rFonts w:hint="eastAsia" w:ascii="宋体" w:hAnsi="宋体"/>
          <w:b w:val="0"/>
          <w:bCs/>
          <w:color w:val="auto"/>
          <w:sz w:val="24"/>
          <w:szCs w:val="28"/>
          <w:highlight w:val="none"/>
        </w:rPr>
        <w:t>有相关专业中级及以上技术职称，且无在建工程；</w:t>
      </w:r>
    </w:p>
    <w:p w14:paraId="219F62E0">
      <w:pPr>
        <w:spacing w:line="360" w:lineRule="auto"/>
        <w:ind w:firstLine="480" w:firstLineChars="200"/>
        <w:rPr>
          <w:rFonts w:hint="eastAsia" w:ascii="宋体" w:hAnsi="宋体"/>
          <w:b w:val="0"/>
          <w:bCs/>
          <w:color w:val="auto"/>
          <w:sz w:val="24"/>
          <w:szCs w:val="28"/>
          <w:highlight w:val="none"/>
        </w:rPr>
      </w:pPr>
      <w:r>
        <w:rPr>
          <w:rFonts w:hint="eastAsia" w:ascii="宋体" w:hAnsi="宋体"/>
          <w:b w:val="0"/>
          <w:bCs/>
          <w:color w:val="auto"/>
          <w:sz w:val="24"/>
          <w:szCs w:val="28"/>
          <w:highlight w:val="none"/>
          <w:lang w:val="en-US" w:eastAsia="zh-CN"/>
        </w:rPr>
        <w:t>3.3</w:t>
      </w:r>
      <w:r>
        <w:rPr>
          <w:rFonts w:hint="eastAsia" w:ascii="宋体" w:hAnsi="宋体"/>
          <w:b w:val="0"/>
          <w:bCs/>
          <w:color w:val="auto"/>
          <w:sz w:val="24"/>
          <w:szCs w:val="28"/>
          <w:highlight w:val="none"/>
        </w:rPr>
        <w:t>根据长财采购【2022】2066号文件要求提交反映其财务状况、依法缴纳税收和社保保障资金情况的《资格条件承诺函》；</w:t>
      </w:r>
    </w:p>
    <w:p w14:paraId="531698B0">
      <w:pPr>
        <w:spacing w:line="360" w:lineRule="auto"/>
        <w:ind w:firstLine="480" w:firstLineChars="200"/>
        <w:rPr>
          <w:rFonts w:hint="eastAsia" w:ascii="宋体" w:hAnsi="宋体"/>
          <w:b w:val="0"/>
          <w:bCs/>
          <w:color w:val="auto"/>
          <w:sz w:val="24"/>
          <w:szCs w:val="28"/>
          <w:highlight w:val="none"/>
        </w:rPr>
      </w:pPr>
      <w:r>
        <w:rPr>
          <w:rFonts w:hint="eastAsia" w:ascii="宋体" w:hAnsi="宋体"/>
          <w:b w:val="0"/>
          <w:bCs/>
          <w:color w:val="auto"/>
          <w:sz w:val="24"/>
          <w:szCs w:val="28"/>
          <w:highlight w:val="none"/>
        </w:rPr>
        <w:t>不适用信用承诺的情形：</w:t>
      </w:r>
    </w:p>
    <w:p w14:paraId="541A3FF6">
      <w:pPr>
        <w:spacing w:line="360" w:lineRule="auto"/>
        <w:ind w:firstLine="480" w:firstLineChars="200"/>
        <w:rPr>
          <w:rFonts w:hint="eastAsia" w:ascii="宋体" w:hAnsi="宋体"/>
          <w:b w:val="0"/>
          <w:bCs/>
          <w:color w:val="auto"/>
          <w:sz w:val="24"/>
          <w:szCs w:val="28"/>
          <w:highlight w:val="none"/>
        </w:rPr>
      </w:pPr>
      <w:r>
        <w:rPr>
          <w:rFonts w:hint="eastAsia" w:ascii="宋体" w:hAnsi="宋体" w:eastAsia="宋体" w:cs="宋体"/>
          <w:color w:val="auto"/>
          <w:sz w:val="24"/>
          <w:szCs w:val="24"/>
          <w:highlight w:val="none"/>
        </w:rPr>
        <w:t>①</w:t>
      </w:r>
      <w:r>
        <w:rPr>
          <w:rFonts w:hint="eastAsia" w:ascii="宋体" w:hAnsi="宋体"/>
          <w:b w:val="0"/>
          <w:bCs/>
          <w:color w:val="auto"/>
          <w:sz w:val="24"/>
          <w:szCs w:val="28"/>
          <w:highlight w:val="none"/>
        </w:rPr>
        <w:t>被列入政府采购不良行为记录名单的，被禁止参加政府采购活动且尚在处罚有效期内的；</w:t>
      </w:r>
    </w:p>
    <w:p w14:paraId="3FCAAA52">
      <w:pPr>
        <w:spacing w:line="360" w:lineRule="auto"/>
        <w:ind w:firstLine="480" w:firstLineChars="200"/>
        <w:rPr>
          <w:rFonts w:hint="eastAsia" w:ascii="宋体" w:hAnsi="宋体"/>
          <w:b w:val="0"/>
          <w:bCs/>
          <w:color w:val="auto"/>
          <w:sz w:val="24"/>
          <w:szCs w:val="28"/>
          <w:highlight w:val="none"/>
        </w:rPr>
      </w:pPr>
      <w:r>
        <w:rPr>
          <w:rFonts w:hint="eastAsia" w:ascii="宋体" w:hAnsi="宋体" w:eastAsia="宋体" w:cs="宋体"/>
          <w:color w:val="auto"/>
          <w:sz w:val="24"/>
          <w:szCs w:val="24"/>
          <w:highlight w:val="none"/>
        </w:rPr>
        <w:t>②</w:t>
      </w:r>
      <w:r>
        <w:rPr>
          <w:rFonts w:hint="eastAsia" w:ascii="宋体" w:hAnsi="宋体"/>
          <w:b w:val="0"/>
          <w:bCs/>
          <w:color w:val="auto"/>
          <w:sz w:val="24"/>
          <w:szCs w:val="28"/>
          <w:highlight w:val="none"/>
        </w:rPr>
        <w:t>被有关部门列入失信被执行人、联合惩戒对象、严重违法失信行为记录等情形的；</w:t>
      </w:r>
    </w:p>
    <w:p w14:paraId="0B07D0F5">
      <w:pPr>
        <w:spacing w:line="360" w:lineRule="auto"/>
        <w:ind w:firstLine="480" w:firstLineChars="200"/>
        <w:rPr>
          <w:rFonts w:hint="eastAsia" w:ascii="宋体" w:hAnsi="宋体"/>
          <w:b w:val="0"/>
          <w:bCs/>
          <w:color w:val="auto"/>
          <w:sz w:val="24"/>
          <w:szCs w:val="28"/>
          <w:highlight w:val="none"/>
        </w:rPr>
      </w:pPr>
      <w:r>
        <w:rPr>
          <w:rFonts w:hint="eastAsia" w:ascii="宋体" w:hAnsi="宋体" w:eastAsia="宋体" w:cs="宋体"/>
          <w:color w:val="auto"/>
          <w:sz w:val="24"/>
          <w:szCs w:val="24"/>
          <w:highlight w:val="none"/>
        </w:rPr>
        <w:t>③</w:t>
      </w:r>
      <w:r>
        <w:rPr>
          <w:rFonts w:hint="eastAsia" w:ascii="宋体" w:hAnsi="宋体"/>
          <w:b w:val="0"/>
          <w:bCs/>
          <w:color w:val="auto"/>
          <w:sz w:val="24"/>
          <w:szCs w:val="28"/>
          <w:highlight w:val="none"/>
        </w:rPr>
        <w:t>其他法律法规规定的不适用于资格条件信用承诺的情形。</w:t>
      </w:r>
    </w:p>
    <w:p w14:paraId="27082D09">
      <w:pPr>
        <w:spacing w:line="360" w:lineRule="auto"/>
        <w:ind w:firstLine="480" w:firstLineChars="200"/>
        <w:rPr>
          <w:rFonts w:ascii="宋体" w:hAnsi="宋体" w:cs="宋体"/>
          <w:b w:val="0"/>
          <w:bCs/>
          <w:color w:val="auto"/>
          <w:kern w:val="0"/>
          <w:sz w:val="24"/>
          <w:szCs w:val="24"/>
          <w:highlight w:val="none"/>
          <w:lang w:val="zh-CN"/>
        </w:rPr>
      </w:pPr>
      <w:r>
        <w:rPr>
          <w:rFonts w:hint="eastAsia" w:ascii="宋体" w:hAnsi="宋体"/>
          <w:b w:val="0"/>
          <w:bCs/>
          <w:color w:val="auto"/>
          <w:sz w:val="24"/>
          <w:szCs w:val="28"/>
          <w:highlight w:val="none"/>
        </w:rPr>
        <w:t>3.</w:t>
      </w:r>
      <w:r>
        <w:rPr>
          <w:rFonts w:hint="eastAsia" w:ascii="宋体" w:hAnsi="宋体"/>
          <w:b w:val="0"/>
          <w:bCs/>
          <w:color w:val="auto"/>
          <w:sz w:val="24"/>
          <w:szCs w:val="28"/>
          <w:highlight w:val="none"/>
          <w:lang w:val="en-US" w:eastAsia="zh-CN"/>
        </w:rPr>
        <w:t>4</w:t>
      </w:r>
      <w:r>
        <w:rPr>
          <w:rFonts w:hint="eastAsia" w:ascii="宋体" w:hAnsi="宋体" w:cs="宋体"/>
          <w:b w:val="0"/>
          <w:bCs/>
          <w:color w:val="auto"/>
          <w:kern w:val="0"/>
          <w:sz w:val="24"/>
          <w:szCs w:val="24"/>
          <w:highlight w:val="none"/>
          <w:lang w:val="zh-CN"/>
        </w:rPr>
        <w:t>拒绝列入政府取消投标资格记录期间的企业或个人投标；</w:t>
      </w:r>
    </w:p>
    <w:p w14:paraId="243AC9CE">
      <w:pPr>
        <w:spacing w:line="360" w:lineRule="auto"/>
        <w:ind w:firstLine="480" w:firstLineChars="200"/>
        <w:rPr>
          <w:rFonts w:ascii="宋体" w:hAnsi="宋体" w:cs="宋体"/>
          <w:b w:val="0"/>
          <w:bCs/>
          <w:color w:val="auto"/>
          <w:kern w:val="0"/>
          <w:sz w:val="24"/>
          <w:szCs w:val="24"/>
          <w:highlight w:val="none"/>
          <w:lang w:val="zh-CN"/>
        </w:rPr>
      </w:pPr>
      <w:r>
        <w:rPr>
          <w:rFonts w:hint="eastAsia" w:ascii="宋体" w:hAnsi="宋体" w:cs="宋体"/>
          <w:b w:val="0"/>
          <w:bCs/>
          <w:color w:val="auto"/>
          <w:kern w:val="0"/>
          <w:sz w:val="24"/>
          <w:szCs w:val="24"/>
          <w:highlight w:val="none"/>
          <w:lang w:val="zh-CN"/>
        </w:rPr>
        <w:t>3.</w:t>
      </w:r>
      <w:r>
        <w:rPr>
          <w:rFonts w:hint="eastAsia" w:ascii="宋体" w:hAnsi="宋体" w:cs="宋体"/>
          <w:b w:val="0"/>
          <w:bCs/>
          <w:color w:val="auto"/>
          <w:kern w:val="0"/>
          <w:sz w:val="24"/>
          <w:szCs w:val="24"/>
          <w:highlight w:val="none"/>
          <w:lang w:val="en-US" w:eastAsia="zh-CN"/>
        </w:rPr>
        <w:t>5</w:t>
      </w:r>
      <w:r>
        <w:rPr>
          <w:rFonts w:hint="eastAsia" w:ascii="宋体" w:hAnsi="宋体" w:cs="宋体"/>
          <w:b w:val="0"/>
          <w:bCs/>
          <w:color w:val="auto"/>
          <w:kern w:val="0"/>
          <w:sz w:val="24"/>
          <w:szCs w:val="24"/>
          <w:highlight w:val="none"/>
          <w:lang w:val="zh-CN"/>
        </w:rPr>
        <w:t>不接受被列入失信被执行人、重大税收违法案件当事人名单、政府采购严重违法失信行为记录名单的供应商参与投标；</w:t>
      </w:r>
    </w:p>
    <w:p w14:paraId="152F3A47">
      <w:pPr>
        <w:spacing w:line="360" w:lineRule="auto"/>
        <w:ind w:firstLine="480" w:firstLineChars="200"/>
        <w:rPr>
          <w:rFonts w:ascii="宋体" w:hAnsi="宋体"/>
          <w:b w:val="0"/>
          <w:bCs/>
          <w:color w:val="auto"/>
          <w:sz w:val="24"/>
          <w:szCs w:val="24"/>
          <w:highlight w:val="none"/>
        </w:rPr>
      </w:pPr>
      <w:r>
        <w:rPr>
          <w:rFonts w:ascii="宋体" w:hAnsi="宋体"/>
          <w:b w:val="0"/>
          <w:bCs/>
          <w:color w:val="auto"/>
          <w:sz w:val="24"/>
          <w:szCs w:val="28"/>
          <w:highlight w:val="none"/>
        </w:rPr>
        <w:t>3.</w:t>
      </w:r>
      <w:r>
        <w:rPr>
          <w:rFonts w:hint="eastAsia" w:ascii="宋体" w:hAnsi="宋体"/>
          <w:b w:val="0"/>
          <w:bCs/>
          <w:color w:val="auto"/>
          <w:sz w:val="24"/>
          <w:szCs w:val="28"/>
          <w:highlight w:val="none"/>
          <w:lang w:val="en-US" w:eastAsia="zh-CN"/>
        </w:rPr>
        <w:t>6</w:t>
      </w:r>
      <w:r>
        <w:rPr>
          <w:rFonts w:hint="eastAsia" w:ascii="宋体" w:hAnsi="宋体"/>
          <w:b w:val="0"/>
          <w:bCs/>
          <w:color w:val="auto"/>
          <w:sz w:val="24"/>
          <w:szCs w:val="28"/>
          <w:highlight w:val="none"/>
        </w:rPr>
        <w:t>与</w:t>
      </w:r>
      <w:r>
        <w:rPr>
          <w:rFonts w:hint="eastAsia" w:ascii="宋体" w:hAnsi="宋体"/>
          <w:b w:val="0"/>
          <w:bCs/>
          <w:color w:val="auto"/>
          <w:sz w:val="24"/>
          <w:szCs w:val="28"/>
          <w:highlight w:val="none"/>
          <w:lang w:eastAsia="zh-CN"/>
        </w:rPr>
        <w:t>采购人</w:t>
      </w:r>
      <w:r>
        <w:rPr>
          <w:rFonts w:hint="eastAsia" w:ascii="宋体" w:hAnsi="宋体"/>
          <w:b w:val="0"/>
          <w:bCs/>
          <w:color w:val="auto"/>
          <w:sz w:val="24"/>
          <w:szCs w:val="28"/>
          <w:highlight w:val="none"/>
        </w:rPr>
        <w:t>存在</w:t>
      </w:r>
      <w:r>
        <w:rPr>
          <w:rFonts w:hint="eastAsia" w:ascii="宋体" w:hAnsi="宋体"/>
          <w:b w:val="0"/>
          <w:bCs/>
          <w:color w:val="auto"/>
          <w:sz w:val="24"/>
          <w:szCs w:val="24"/>
          <w:highlight w:val="none"/>
        </w:rPr>
        <w:t>利害关系可能影响招标公正性的法人、其他组织或者个人，不得参加投标。</w:t>
      </w:r>
      <w:r>
        <w:rPr>
          <w:rFonts w:hint="eastAsia" w:ascii="宋体" w:hAnsi="宋体"/>
          <w:b w:val="0"/>
          <w:bCs/>
          <w:color w:val="auto"/>
          <w:sz w:val="24"/>
          <w:szCs w:val="24"/>
          <w:highlight w:val="none"/>
          <w:lang w:eastAsia="zh-CN"/>
        </w:rPr>
        <w:t>单位负责人为同一人或者存在直接控股、管理关系的不同供应商，不得参加同一合同项下的政府采购活动。</w:t>
      </w:r>
      <w:r>
        <w:rPr>
          <w:rFonts w:hint="eastAsia" w:ascii="宋体" w:hAnsi="宋体"/>
          <w:b w:val="0"/>
          <w:bCs/>
          <w:color w:val="auto"/>
          <w:sz w:val="24"/>
          <w:szCs w:val="24"/>
          <w:highlight w:val="none"/>
        </w:rPr>
        <w:t>违反这两款规定的，相关投标均无效；</w:t>
      </w:r>
    </w:p>
    <w:p w14:paraId="2ACA210E">
      <w:pPr>
        <w:spacing w:line="360" w:lineRule="auto"/>
        <w:ind w:firstLine="480" w:firstLineChars="200"/>
        <w:rPr>
          <w:rFonts w:ascii="宋体" w:hAnsi="宋体"/>
          <w:b w:val="0"/>
          <w:bCs/>
          <w:color w:val="auto"/>
          <w:sz w:val="24"/>
          <w:szCs w:val="28"/>
          <w:highlight w:val="none"/>
        </w:rPr>
      </w:pPr>
      <w:r>
        <w:rPr>
          <w:rFonts w:hint="eastAsia" w:ascii="宋体" w:hAnsi="宋体"/>
          <w:b w:val="0"/>
          <w:bCs/>
          <w:color w:val="auto"/>
          <w:sz w:val="24"/>
          <w:szCs w:val="24"/>
          <w:highlight w:val="none"/>
        </w:rPr>
        <w:t>为</w:t>
      </w:r>
      <w:r>
        <w:rPr>
          <w:rFonts w:hint="default" w:ascii="宋体" w:hAnsi="宋体"/>
          <w:b w:val="0"/>
          <w:bCs/>
          <w:color w:val="auto"/>
          <w:sz w:val="24"/>
          <w:szCs w:val="24"/>
          <w:highlight w:val="none"/>
        </w:rPr>
        <w:t>采购项目</w:t>
      </w:r>
      <w:r>
        <w:rPr>
          <w:rFonts w:hint="eastAsia" w:ascii="宋体" w:hAnsi="宋体"/>
          <w:b w:val="0"/>
          <w:bCs/>
          <w:color w:val="auto"/>
          <w:sz w:val="24"/>
          <w:szCs w:val="24"/>
          <w:highlight w:val="none"/>
        </w:rPr>
        <w:t>提供整体设计、规范编制或者项目管理、检测等服务的</w:t>
      </w:r>
      <w:r>
        <w:rPr>
          <w:rFonts w:hint="eastAsia" w:ascii="宋体" w:hAnsi="宋体"/>
          <w:b w:val="0"/>
          <w:bCs/>
          <w:color w:val="auto"/>
          <w:sz w:val="24"/>
          <w:szCs w:val="24"/>
          <w:highlight w:val="none"/>
          <w:lang w:eastAsia="zh-CN"/>
        </w:rPr>
        <w:t>供应商</w:t>
      </w:r>
      <w:r>
        <w:rPr>
          <w:rFonts w:hint="eastAsia" w:ascii="宋体" w:hAnsi="宋体"/>
          <w:b w:val="0"/>
          <w:bCs/>
          <w:color w:val="auto"/>
          <w:sz w:val="24"/>
          <w:szCs w:val="24"/>
          <w:highlight w:val="none"/>
        </w:rPr>
        <w:t>，不得再参加本</w:t>
      </w:r>
      <w:r>
        <w:rPr>
          <w:rFonts w:hint="default" w:ascii="宋体" w:hAnsi="宋体"/>
          <w:b w:val="0"/>
          <w:bCs/>
          <w:color w:val="auto"/>
          <w:sz w:val="24"/>
          <w:szCs w:val="24"/>
          <w:highlight w:val="none"/>
        </w:rPr>
        <w:t>采购项目</w:t>
      </w:r>
      <w:r>
        <w:rPr>
          <w:rFonts w:hint="eastAsia" w:ascii="宋体" w:hAnsi="宋体"/>
          <w:b w:val="0"/>
          <w:bCs/>
          <w:color w:val="auto"/>
          <w:sz w:val="24"/>
          <w:szCs w:val="24"/>
          <w:highlight w:val="none"/>
        </w:rPr>
        <w:t>的其他</w:t>
      </w:r>
      <w:r>
        <w:rPr>
          <w:rFonts w:hint="eastAsia" w:ascii="宋体" w:hAnsi="宋体"/>
          <w:b w:val="0"/>
          <w:bCs/>
          <w:color w:val="auto"/>
          <w:sz w:val="24"/>
          <w:szCs w:val="24"/>
          <w:highlight w:val="none"/>
          <w:lang w:eastAsia="zh-CN"/>
        </w:rPr>
        <w:t>采购活动</w:t>
      </w:r>
      <w:r>
        <w:rPr>
          <w:rFonts w:hint="eastAsia" w:ascii="宋体" w:hAnsi="宋体"/>
          <w:b w:val="0"/>
          <w:bCs/>
          <w:color w:val="auto"/>
          <w:sz w:val="24"/>
          <w:szCs w:val="24"/>
          <w:highlight w:val="none"/>
        </w:rPr>
        <w:t>。</w:t>
      </w:r>
    </w:p>
    <w:p w14:paraId="3F8DF5CB">
      <w:pPr>
        <w:pStyle w:val="3"/>
        <w:spacing w:line="360" w:lineRule="auto"/>
        <w:rPr>
          <w:rFonts w:hint="eastAsia" w:ascii="宋体" w:hAnsi="宋体" w:eastAsia="宋体" w:cs="宋体"/>
          <w:b/>
          <w:bCs w:val="0"/>
          <w:color w:val="auto"/>
          <w:sz w:val="24"/>
          <w:szCs w:val="24"/>
          <w:highlight w:val="none"/>
          <w:lang w:eastAsia="zh-CN"/>
        </w:rPr>
      </w:pPr>
      <w:r>
        <w:rPr>
          <w:rFonts w:hint="eastAsia" w:ascii="宋体" w:hAnsi="宋体" w:eastAsia="宋体" w:cs="宋体"/>
          <w:b/>
          <w:bCs w:val="0"/>
          <w:color w:val="auto"/>
          <w:sz w:val="24"/>
          <w:szCs w:val="24"/>
          <w:highlight w:val="none"/>
        </w:rPr>
        <w:t>三、获取</w:t>
      </w:r>
      <w:r>
        <w:rPr>
          <w:rFonts w:hint="eastAsia" w:ascii="宋体" w:hAnsi="宋体" w:eastAsia="宋体" w:cs="宋体"/>
          <w:b/>
          <w:bCs w:val="0"/>
          <w:color w:val="auto"/>
          <w:sz w:val="24"/>
          <w:szCs w:val="24"/>
          <w:highlight w:val="none"/>
          <w:lang w:eastAsia="zh-CN"/>
        </w:rPr>
        <w:t>磋商文件</w:t>
      </w:r>
    </w:p>
    <w:bookmarkEnd w:id="15"/>
    <w:bookmarkEnd w:id="16"/>
    <w:bookmarkEnd w:id="17"/>
    <w:bookmarkEnd w:id="18"/>
    <w:p w14:paraId="5C8CE8B4">
      <w:pPr>
        <w:spacing w:line="360" w:lineRule="auto"/>
        <w:ind w:firstLine="480" w:firstLineChars="200"/>
        <w:rPr>
          <w:rFonts w:hint="eastAsia" w:ascii="宋体" w:hAnsi="宋体" w:eastAsia="宋体" w:cs="宋体"/>
          <w:b w:val="0"/>
          <w:bCs/>
          <w:color w:val="auto"/>
          <w:sz w:val="24"/>
          <w:szCs w:val="24"/>
          <w:highlight w:val="none"/>
        </w:rPr>
      </w:pPr>
      <w:bookmarkStart w:id="19" w:name="_Toc28359082"/>
      <w:bookmarkStart w:id="20" w:name="_Toc28359005"/>
      <w:bookmarkStart w:id="21" w:name="_Toc35393793"/>
      <w:bookmarkStart w:id="22" w:name="_Toc35393624"/>
      <w:r>
        <w:rPr>
          <w:rFonts w:hint="eastAsia" w:ascii="宋体" w:hAnsi="宋体" w:eastAsia="宋体" w:cs="宋体"/>
          <w:b w:val="0"/>
          <w:bCs/>
          <w:color w:val="auto"/>
          <w:sz w:val="24"/>
          <w:szCs w:val="24"/>
          <w:highlight w:val="none"/>
        </w:rPr>
        <w:t>1.时间：</w:t>
      </w:r>
      <w:r>
        <w:rPr>
          <w:rFonts w:hint="eastAsia" w:ascii="宋体" w:hAnsi="宋体" w:cs="宋体"/>
          <w:b w:val="0"/>
          <w:bCs/>
          <w:color w:val="auto"/>
          <w:sz w:val="24"/>
          <w:szCs w:val="24"/>
          <w:highlight w:val="none"/>
          <w:lang w:val="en-US" w:eastAsia="zh-CN"/>
        </w:rPr>
        <w:t>2025年4月3日至2025年4月11日</w:t>
      </w:r>
      <w:r>
        <w:rPr>
          <w:rFonts w:hint="eastAsia" w:ascii="宋体" w:hAnsi="宋体" w:eastAsia="宋体" w:cs="宋体"/>
          <w:b w:val="0"/>
          <w:bCs/>
          <w:color w:val="auto"/>
          <w:sz w:val="24"/>
          <w:szCs w:val="24"/>
          <w:highlight w:val="none"/>
        </w:rPr>
        <w:t>（北京时间，法定节假日除外）</w:t>
      </w:r>
    </w:p>
    <w:p w14:paraId="5904B80B">
      <w:pPr>
        <w:spacing w:line="360" w:lineRule="auto"/>
        <w:ind w:firstLine="480" w:firstLineChars="200"/>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rPr>
        <w:t>2.地点：政府采购云平台（http://www.zcygov.cn）</w:t>
      </w:r>
    </w:p>
    <w:p w14:paraId="62CA6650">
      <w:pPr>
        <w:spacing w:line="360" w:lineRule="auto"/>
        <w:ind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3.方式：潜在供应商自行登录政府采购云平台（网址同上）下载采购文件（操作路径：登录“政采云”平台-项目采购-获取采购文件-找到本项目-点击“申请获取采购文件”），其他途径获取的采购文件开标时一律按无效投标处理。未进行网上注册的供应商将无法参与本次采购活动。</w:t>
      </w:r>
    </w:p>
    <w:p w14:paraId="274FFFBF">
      <w:pPr>
        <w:spacing w:line="360" w:lineRule="auto"/>
        <w:ind w:firstLine="480" w:firstLineChars="200"/>
        <w:rPr>
          <w:rFonts w:hint="default"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rPr>
        <w:t>4.售价：免费获取。</w:t>
      </w:r>
    </w:p>
    <w:p w14:paraId="72F94C26">
      <w:pPr>
        <w:pStyle w:val="3"/>
        <w:spacing w:line="360" w:lineRule="auto"/>
        <w:rPr>
          <w:rFonts w:hint="default" w:ascii="宋体" w:hAnsi="宋体" w:eastAsia="宋体" w:cs="宋体"/>
          <w:b/>
          <w:bCs w:val="0"/>
          <w:color w:val="auto"/>
          <w:sz w:val="24"/>
          <w:szCs w:val="24"/>
          <w:highlight w:val="none"/>
          <w:lang w:val="en-US" w:eastAsia="zh-CN"/>
        </w:rPr>
      </w:pPr>
      <w:r>
        <w:rPr>
          <w:rFonts w:hint="eastAsia" w:ascii="宋体" w:hAnsi="宋体" w:eastAsia="宋体" w:cs="宋体"/>
          <w:b/>
          <w:bCs w:val="0"/>
          <w:color w:val="auto"/>
          <w:sz w:val="24"/>
          <w:szCs w:val="24"/>
          <w:highlight w:val="none"/>
        </w:rPr>
        <w:t>四、</w:t>
      </w:r>
      <w:bookmarkEnd w:id="19"/>
      <w:bookmarkEnd w:id="20"/>
      <w:bookmarkEnd w:id="21"/>
      <w:bookmarkEnd w:id="22"/>
      <w:r>
        <w:rPr>
          <w:rFonts w:hint="eastAsia" w:ascii="宋体" w:hAnsi="宋体" w:eastAsia="宋体" w:cs="宋体"/>
          <w:b/>
          <w:bCs w:val="0"/>
          <w:color w:val="auto"/>
          <w:sz w:val="24"/>
          <w:szCs w:val="24"/>
          <w:highlight w:val="none"/>
        </w:rPr>
        <w:t>响应文件提交</w:t>
      </w:r>
    </w:p>
    <w:p w14:paraId="6E516908">
      <w:pPr>
        <w:pStyle w:val="3"/>
        <w:spacing w:line="360" w:lineRule="auto"/>
        <w:ind w:firstLine="480" w:firstLineChars="200"/>
        <w:rPr>
          <w:rFonts w:hint="eastAsia" w:ascii="宋体" w:hAnsi="宋体" w:cs="宋体"/>
          <w:b w:val="0"/>
          <w:bCs/>
          <w:color w:val="auto"/>
          <w:sz w:val="24"/>
          <w:szCs w:val="21"/>
          <w:highlight w:val="none"/>
          <w:lang w:val="zh-CN"/>
        </w:rPr>
      </w:pPr>
      <w:r>
        <w:rPr>
          <w:rFonts w:hint="eastAsia" w:ascii="宋体" w:hAnsi="宋体" w:cs="宋体"/>
          <w:b w:val="0"/>
          <w:bCs/>
          <w:color w:val="auto"/>
          <w:sz w:val="24"/>
          <w:szCs w:val="21"/>
          <w:highlight w:val="none"/>
          <w:lang w:val="zh-CN"/>
        </w:rPr>
        <w:t>时间：</w:t>
      </w:r>
      <w:r>
        <w:rPr>
          <w:rFonts w:hint="eastAsia" w:ascii="宋体" w:hAnsi="宋体" w:cs="宋体"/>
          <w:b w:val="0"/>
          <w:bCs/>
          <w:color w:val="auto"/>
          <w:kern w:val="2"/>
          <w:sz w:val="24"/>
          <w:szCs w:val="24"/>
          <w:highlight w:val="none"/>
          <w:lang w:val="zh-CN" w:eastAsia="zh-CN" w:bidi="ar-SA"/>
        </w:rPr>
        <w:t>2025年4月18日9时30分</w:t>
      </w:r>
      <w:r>
        <w:rPr>
          <w:rFonts w:hint="eastAsia" w:ascii="宋体" w:hAnsi="宋体" w:eastAsia="宋体" w:cs="宋体"/>
          <w:b w:val="0"/>
          <w:bCs/>
          <w:color w:val="auto"/>
          <w:kern w:val="2"/>
          <w:sz w:val="24"/>
          <w:szCs w:val="24"/>
          <w:highlight w:val="none"/>
          <w:lang w:val="zh-CN" w:eastAsia="zh-CN" w:bidi="ar-SA"/>
        </w:rPr>
        <w:t>（北京时间）</w:t>
      </w:r>
    </w:p>
    <w:p w14:paraId="6D5198CC">
      <w:pPr>
        <w:spacing w:line="360" w:lineRule="auto"/>
        <w:ind w:firstLine="480" w:firstLineChars="200"/>
        <w:rPr>
          <w:rFonts w:hint="default" w:ascii="宋体" w:hAnsi="宋体" w:eastAsia="宋体" w:cs="宋体"/>
          <w:b w:val="0"/>
          <w:bCs/>
          <w:color w:val="auto"/>
          <w:sz w:val="24"/>
          <w:szCs w:val="24"/>
          <w:highlight w:val="none"/>
          <w:u w:val="single"/>
          <w:lang w:val="en-US" w:eastAsia="zh-CN"/>
        </w:rPr>
      </w:pPr>
      <w:r>
        <w:rPr>
          <w:rFonts w:hint="eastAsia" w:ascii="宋体" w:hAnsi="宋体" w:cs="宋体"/>
          <w:b w:val="0"/>
          <w:bCs/>
          <w:color w:val="auto"/>
          <w:sz w:val="24"/>
          <w:szCs w:val="21"/>
          <w:highlight w:val="none"/>
          <w:lang w:val="zh-CN"/>
        </w:rPr>
        <w:t>地点：</w:t>
      </w:r>
      <w:r>
        <w:rPr>
          <w:rFonts w:hint="eastAsia" w:ascii="宋体" w:hAnsi="宋体" w:eastAsia="宋体" w:cs="宋体"/>
          <w:b w:val="0"/>
          <w:bCs/>
          <w:color w:val="auto"/>
          <w:sz w:val="24"/>
          <w:szCs w:val="24"/>
          <w:highlight w:val="none"/>
        </w:rPr>
        <w:t>政府采购云平台（http://www.zcygov.cn）递交电子版投标文件</w:t>
      </w:r>
      <w:r>
        <w:rPr>
          <w:rFonts w:hint="eastAsia" w:ascii="宋体" w:hAnsi="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rPr>
        <w:t>本项目为全流程电子化招投标项目，供应商在政府采购云平台注册入库成为正式供应商后，通过政府采购云平台递交电子响应文件（在平台上按《政府采购项目电子交易管理操作指南-供应商》进行投标操作），逾期未上传电子响应文件，将不予受理。</w:t>
      </w:r>
      <w:r>
        <w:rPr>
          <w:rFonts w:hint="eastAsia" w:ascii="宋体" w:hAnsi="宋体" w:cs="宋体"/>
          <w:b w:val="0"/>
          <w:bCs/>
          <w:color w:val="auto"/>
          <w:sz w:val="24"/>
          <w:szCs w:val="24"/>
          <w:highlight w:val="none"/>
          <w:lang w:eastAsia="zh-CN"/>
        </w:rPr>
        <w:t>）</w:t>
      </w:r>
    </w:p>
    <w:p w14:paraId="0C1844F3">
      <w:pPr>
        <w:pStyle w:val="3"/>
        <w:numPr>
          <w:ilvl w:val="0"/>
          <w:numId w:val="1"/>
        </w:numPr>
        <w:spacing w:line="360" w:lineRule="auto"/>
        <w:rPr>
          <w:rFonts w:hint="eastAsia" w:ascii="宋体" w:hAnsi="宋体" w:eastAsia="宋体" w:cs="宋体"/>
          <w:b/>
          <w:bCs w:val="0"/>
          <w:color w:val="auto"/>
          <w:sz w:val="24"/>
          <w:szCs w:val="24"/>
          <w:highlight w:val="none"/>
          <w:lang w:val="en-US" w:eastAsia="zh-CN"/>
        </w:rPr>
      </w:pPr>
      <w:bookmarkStart w:id="23" w:name="_Toc28359084"/>
      <w:bookmarkStart w:id="24" w:name="_Toc28359007"/>
      <w:bookmarkStart w:id="25" w:name="_Toc35393794"/>
      <w:bookmarkStart w:id="26" w:name="_Toc35393625"/>
      <w:r>
        <w:rPr>
          <w:rFonts w:hint="eastAsia" w:ascii="宋体" w:hAnsi="宋体" w:eastAsia="宋体" w:cs="宋体"/>
          <w:b/>
          <w:bCs w:val="0"/>
          <w:color w:val="auto"/>
          <w:sz w:val="24"/>
          <w:szCs w:val="24"/>
          <w:highlight w:val="none"/>
          <w:lang w:val="en-US" w:eastAsia="zh-CN"/>
        </w:rPr>
        <w:t>开启</w:t>
      </w:r>
    </w:p>
    <w:p w14:paraId="42B2E756">
      <w:pPr>
        <w:pStyle w:val="3"/>
        <w:spacing w:line="360" w:lineRule="auto"/>
        <w:ind w:firstLine="480" w:firstLineChars="200"/>
        <w:rPr>
          <w:rFonts w:hint="eastAsia" w:ascii="宋体" w:hAnsi="宋体" w:eastAsia="宋体" w:cs="宋体"/>
          <w:b w:val="0"/>
          <w:bCs/>
          <w:color w:val="auto"/>
          <w:kern w:val="2"/>
          <w:sz w:val="24"/>
          <w:szCs w:val="21"/>
          <w:highlight w:val="none"/>
          <w:lang w:val="zh-CN" w:eastAsia="zh-CN" w:bidi="ar-SA"/>
        </w:rPr>
      </w:pPr>
      <w:r>
        <w:rPr>
          <w:rFonts w:hint="eastAsia" w:ascii="宋体" w:hAnsi="宋体" w:eastAsia="宋体" w:cs="宋体"/>
          <w:b w:val="0"/>
          <w:bCs/>
          <w:color w:val="auto"/>
          <w:kern w:val="2"/>
          <w:sz w:val="24"/>
          <w:szCs w:val="21"/>
          <w:highlight w:val="none"/>
          <w:lang w:val="zh-CN" w:eastAsia="zh-CN" w:bidi="ar-SA"/>
        </w:rPr>
        <w:t>时间：</w:t>
      </w:r>
      <w:r>
        <w:rPr>
          <w:rFonts w:hint="eastAsia" w:ascii="宋体" w:hAnsi="宋体" w:cs="宋体"/>
          <w:b w:val="0"/>
          <w:bCs/>
          <w:color w:val="auto"/>
          <w:kern w:val="2"/>
          <w:sz w:val="24"/>
          <w:szCs w:val="21"/>
          <w:highlight w:val="none"/>
          <w:lang w:val="zh-CN" w:eastAsia="zh-CN" w:bidi="ar-SA"/>
        </w:rPr>
        <w:t>2025年4月18日9时30分</w:t>
      </w:r>
      <w:r>
        <w:rPr>
          <w:rFonts w:hint="eastAsia" w:ascii="宋体" w:hAnsi="宋体" w:eastAsia="宋体" w:cs="宋体"/>
          <w:b w:val="0"/>
          <w:bCs/>
          <w:color w:val="auto"/>
          <w:kern w:val="2"/>
          <w:sz w:val="24"/>
          <w:szCs w:val="21"/>
          <w:highlight w:val="none"/>
          <w:lang w:val="zh-CN" w:eastAsia="zh-CN" w:bidi="ar-SA"/>
        </w:rPr>
        <w:t>（北京时间）</w:t>
      </w:r>
    </w:p>
    <w:p w14:paraId="7E1C092D">
      <w:pPr>
        <w:spacing w:line="360" w:lineRule="auto"/>
        <w:ind w:firstLine="480" w:firstLineChars="200"/>
        <w:rPr>
          <w:rFonts w:hint="eastAsia" w:ascii="宋体" w:hAnsi="宋体" w:eastAsia="宋体" w:cs="宋体"/>
          <w:b w:val="0"/>
          <w:bCs/>
          <w:color w:val="auto"/>
          <w:sz w:val="24"/>
          <w:szCs w:val="21"/>
          <w:highlight w:val="none"/>
          <w:lang w:val="zh-CN" w:eastAsia="zh-CN"/>
        </w:rPr>
      </w:pPr>
      <w:r>
        <w:rPr>
          <w:rFonts w:hint="eastAsia" w:ascii="宋体" w:hAnsi="宋体" w:eastAsia="宋体" w:cs="宋体"/>
          <w:b w:val="0"/>
          <w:bCs/>
          <w:color w:val="auto"/>
          <w:sz w:val="24"/>
          <w:szCs w:val="21"/>
          <w:highlight w:val="none"/>
          <w:lang w:val="zh-CN" w:eastAsia="zh-CN"/>
        </w:rPr>
        <w:t>地点：</w:t>
      </w:r>
      <w:r>
        <w:rPr>
          <w:rFonts w:hint="eastAsia" w:ascii="宋体" w:hAnsi="宋体" w:cs="宋体"/>
          <w:b w:val="0"/>
          <w:bCs/>
          <w:color w:val="auto"/>
          <w:sz w:val="24"/>
          <w:szCs w:val="21"/>
          <w:highlight w:val="none"/>
          <w:lang w:val="zh-CN" w:eastAsia="zh-CN"/>
        </w:rPr>
        <w:t>吉利招公共资源标准化交易中心第4开标室（长春市高新区鸿达街248号吉林日报副楼4楼）</w:t>
      </w:r>
    </w:p>
    <w:p w14:paraId="75C1CA31">
      <w:pPr>
        <w:pStyle w:val="3"/>
        <w:spacing w:line="360" w:lineRule="auto"/>
        <w:rPr>
          <w:rFonts w:hint="eastAsia" w:ascii="宋体" w:hAnsi="宋体" w:eastAsia="宋体" w:cs="宋体"/>
          <w:b/>
          <w:bCs w:val="0"/>
          <w:color w:val="auto"/>
          <w:sz w:val="24"/>
          <w:szCs w:val="24"/>
          <w:highlight w:val="none"/>
        </w:rPr>
      </w:pPr>
      <w:r>
        <w:rPr>
          <w:rFonts w:hint="eastAsia" w:ascii="宋体" w:hAnsi="宋体" w:eastAsia="宋体" w:cs="宋体"/>
          <w:b/>
          <w:bCs w:val="0"/>
          <w:color w:val="auto"/>
          <w:sz w:val="24"/>
          <w:szCs w:val="24"/>
          <w:highlight w:val="none"/>
          <w:lang w:val="en-US" w:eastAsia="zh-CN"/>
        </w:rPr>
        <w:t>六、</w:t>
      </w:r>
      <w:r>
        <w:rPr>
          <w:rFonts w:hint="eastAsia" w:ascii="宋体" w:hAnsi="宋体" w:eastAsia="宋体" w:cs="宋体"/>
          <w:b/>
          <w:bCs w:val="0"/>
          <w:color w:val="auto"/>
          <w:sz w:val="24"/>
          <w:szCs w:val="24"/>
          <w:highlight w:val="none"/>
        </w:rPr>
        <w:t>公告期限</w:t>
      </w:r>
      <w:bookmarkEnd w:id="23"/>
      <w:bookmarkEnd w:id="24"/>
      <w:bookmarkEnd w:id="25"/>
      <w:bookmarkEnd w:id="26"/>
    </w:p>
    <w:p w14:paraId="6A81997B">
      <w:pPr>
        <w:spacing w:line="360" w:lineRule="auto"/>
        <w:ind w:firstLine="480" w:firstLineChars="200"/>
        <w:rPr>
          <w:rFonts w:hint="eastAsia" w:ascii="宋体" w:hAnsi="宋体" w:eastAsia="宋体" w:cs="宋体"/>
          <w:b w:val="0"/>
          <w:bCs/>
          <w:color w:val="auto"/>
          <w:kern w:val="0"/>
          <w:sz w:val="24"/>
          <w:szCs w:val="24"/>
          <w:highlight w:val="none"/>
        </w:rPr>
      </w:pPr>
      <w:r>
        <w:rPr>
          <w:rFonts w:hint="eastAsia" w:ascii="宋体" w:hAnsi="宋体" w:eastAsia="宋体" w:cs="宋体"/>
          <w:b w:val="0"/>
          <w:bCs/>
          <w:color w:val="auto"/>
          <w:kern w:val="0"/>
          <w:sz w:val="24"/>
          <w:szCs w:val="24"/>
          <w:highlight w:val="none"/>
        </w:rPr>
        <w:t>自本公告发布之日起5个工作日。</w:t>
      </w:r>
    </w:p>
    <w:p w14:paraId="1E174EDE">
      <w:pPr>
        <w:pStyle w:val="3"/>
        <w:numPr>
          <w:ilvl w:val="0"/>
          <w:numId w:val="0"/>
        </w:numPr>
        <w:spacing w:line="360" w:lineRule="auto"/>
        <w:rPr>
          <w:rFonts w:hint="eastAsia" w:ascii="宋体" w:hAnsi="宋体" w:eastAsia="宋体" w:cs="宋体"/>
          <w:b/>
          <w:bCs w:val="0"/>
          <w:color w:val="auto"/>
          <w:sz w:val="24"/>
          <w:szCs w:val="24"/>
          <w:highlight w:val="none"/>
        </w:rPr>
      </w:pPr>
      <w:r>
        <w:rPr>
          <w:rFonts w:hint="eastAsia" w:ascii="宋体" w:hAnsi="宋体" w:cs="宋体"/>
          <w:b/>
          <w:bCs w:val="0"/>
          <w:color w:val="auto"/>
          <w:sz w:val="24"/>
          <w:szCs w:val="24"/>
          <w:highlight w:val="none"/>
          <w:lang w:val="en-US" w:eastAsia="zh-CN"/>
        </w:rPr>
        <w:t>七、</w:t>
      </w:r>
      <w:r>
        <w:rPr>
          <w:rFonts w:hint="eastAsia" w:ascii="宋体" w:hAnsi="宋体" w:eastAsia="宋体" w:cs="宋体"/>
          <w:b/>
          <w:bCs w:val="0"/>
          <w:color w:val="auto"/>
          <w:sz w:val="24"/>
          <w:szCs w:val="24"/>
          <w:highlight w:val="none"/>
        </w:rPr>
        <w:t>其他补充事宜</w:t>
      </w:r>
    </w:p>
    <w:p w14:paraId="6C8D1025">
      <w:pPr>
        <w:spacing w:line="360" w:lineRule="auto"/>
        <w:ind w:firstLine="480" w:firstLineChars="200"/>
        <w:rPr>
          <w:rFonts w:hint="eastAsia" w:ascii="宋体" w:hAnsi="宋体" w:eastAsia="宋体" w:cs="宋体"/>
          <w:b w:val="0"/>
          <w:bCs/>
          <w:color w:val="auto"/>
          <w:sz w:val="24"/>
          <w:szCs w:val="24"/>
          <w:highlight w:val="none"/>
        </w:rPr>
      </w:pPr>
      <w:bookmarkStart w:id="27" w:name="_Toc35393627"/>
      <w:bookmarkStart w:id="28" w:name="_Toc28359008"/>
      <w:bookmarkStart w:id="29" w:name="_Toc35393796"/>
      <w:bookmarkStart w:id="30" w:name="_Toc28359085"/>
      <w:r>
        <w:rPr>
          <w:rFonts w:hint="eastAsia" w:ascii="宋体" w:hAnsi="宋体" w:eastAsia="宋体" w:cs="宋体"/>
          <w:b w:val="0"/>
          <w:bCs/>
          <w:color w:val="auto"/>
          <w:sz w:val="24"/>
          <w:szCs w:val="24"/>
          <w:highlight w:val="none"/>
        </w:rPr>
        <w:t>1.本次公告同时在中国政府采购网</w:t>
      </w:r>
      <w:r>
        <w:rPr>
          <w:rFonts w:hint="eastAsia" w:ascii="宋体" w:hAnsi="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rPr>
        <w:t>政府采购云平台（http://www.zcygov.cn）</w:t>
      </w:r>
      <w:r>
        <w:rPr>
          <w:rFonts w:hint="eastAsia" w:ascii="宋体" w:hAnsi="宋体" w:eastAsia="宋体" w:cs="宋体"/>
          <w:color w:val="auto"/>
          <w:sz w:val="24"/>
          <w:highlight w:val="none"/>
          <w:lang w:val="en-US" w:eastAsia="zh-CN"/>
        </w:rPr>
        <w:t>同步推送到吉林省政府采购网</w:t>
      </w:r>
      <w:r>
        <w:rPr>
          <w:rFonts w:hint="eastAsia" w:ascii="宋体" w:hAnsi="宋体" w:cs="宋体"/>
          <w:b w:val="0"/>
          <w:bCs/>
          <w:color w:val="auto"/>
          <w:sz w:val="24"/>
          <w:szCs w:val="24"/>
          <w:highlight w:val="none"/>
          <w:lang w:eastAsia="zh-CN"/>
        </w:rPr>
        <w:t>上发布</w:t>
      </w:r>
      <w:r>
        <w:rPr>
          <w:rFonts w:hint="eastAsia" w:ascii="宋体" w:hAnsi="宋体" w:eastAsia="宋体" w:cs="宋体"/>
          <w:b w:val="0"/>
          <w:bCs/>
          <w:color w:val="auto"/>
          <w:sz w:val="24"/>
          <w:szCs w:val="24"/>
          <w:highlight w:val="none"/>
        </w:rPr>
        <w:t>；</w:t>
      </w:r>
    </w:p>
    <w:p w14:paraId="75D5B84B">
      <w:pPr>
        <w:spacing w:line="360" w:lineRule="auto"/>
        <w:ind w:firstLine="480" w:firstLineChars="200"/>
        <w:rPr>
          <w:rFonts w:hint="eastAsia" w:ascii="宋体" w:hAnsi="宋体" w:eastAsia="宋体" w:cs="宋体"/>
          <w:b w:val="0"/>
          <w:bCs/>
          <w:color w:val="auto"/>
          <w:sz w:val="24"/>
          <w:szCs w:val="24"/>
          <w:highlight w:val="none"/>
          <w:lang w:val="zh-CN"/>
        </w:rPr>
      </w:pPr>
      <w:r>
        <w:rPr>
          <w:rFonts w:hint="eastAsia" w:ascii="宋体" w:hAnsi="宋体" w:eastAsia="宋体" w:cs="宋体"/>
          <w:b w:val="0"/>
          <w:bCs/>
          <w:color w:val="auto"/>
          <w:sz w:val="24"/>
          <w:szCs w:val="24"/>
          <w:highlight w:val="none"/>
        </w:rPr>
        <w:t>2.</w:t>
      </w:r>
      <w:r>
        <w:rPr>
          <w:rFonts w:hint="eastAsia" w:ascii="宋体" w:hAnsi="宋体" w:eastAsia="宋体" w:cs="宋体"/>
          <w:b w:val="0"/>
          <w:bCs/>
          <w:color w:val="auto"/>
          <w:sz w:val="24"/>
          <w:szCs w:val="24"/>
          <w:highlight w:val="none"/>
          <w:lang w:val="zh-CN"/>
        </w:rPr>
        <w:t>供应商须在开标前提交磋商保证金：本项目磋商保证金缴纳时间、方式、金额、明确位置和注意事项等其他要求详见磋商文件。</w:t>
      </w:r>
    </w:p>
    <w:p w14:paraId="6B2BFD96">
      <w:pPr>
        <w:spacing w:line="360" w:lineRule="auto"/>
        <w:ind w:firstLine="480" w:firstLineChars="200"/>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3.有效供应商不足三家时，采购人另行组织招标。</w:t>
      </w:r>
    </w:p>
    <w:p w14:paraId="5B886CEE">
      <w:pPr>
        <w:spacing w:line="360" w:lineRule="auto"/>
        <w:ind w:firstLine="480" w:firstLineChars="200"/>
        <w:rPr>
          <w:rFonts w:hint="default" w:ascii="宋体" w:hAnsi="宋体" w:eastAsia="宋体" w:cs="宋体"/>
          <w:b w:val="0"/>
          <w:bCs/>
          <w:color w:val="auto"/>
          <w:sz w:val="24"/>
          <w:szCs w:val="24"/>
          <w:highlight w:val="none"/>
          <w:lang w:val="en-US" w:eastAsia="zh-CN"/>
        </w:rPr>
      </w:pPr>
      <w:r>
        <w:rPr>
          <w:rFonts w:hint="eastAsia" w:ascii="宋体" w:hAnsi="宋体" w:cs="宋体"/>
          <w:b w:val="0"/>
          <w:bCs/>
          <w:color w:val="auto"/>
          <w:sz w:val="24"/>
          <w:szCs w:val="24"/>
          <w:highlight w:val="none"/>
          <w:lang w:val="en-US" w:eastAsia="zh-CN"/>
        </w:rPr>
        <w:t>4.若对项目采购电子交易系统操作有疑问，可登录“政采云”平台，点击右侧咨询小采，获取采小蜜智能服务管家帮助，或拨打政采云服务热线95763获取热线服务帮助。</w:t>
      </w:r>
    </w:p>
    <w:p w14:paraId="041E3452">
      <w:pPr>
        <w:pStyle w:val="3"/>
        <w:spacing w:line="360" w:lineRule="auto"/>
        <w:rPr>
          <w:rFonts w:hint="eastAsia" w:ascii="宋体" w:hAnsi="宋体" w:eastAsia="宋体" w:cs="宋体"/>
          <w:b/>
          <w:bCs w:val="0"/>
          <w:color w:val="auto"/>
          <w:sz w:val="24"/>
          <w:szCs w:val="24"/>
          <w:highlight w:val="none"/>
        </w:rPr>
      </w:pPr>
      <w:r>
        <w:rPr>
          <w:rFonts w:hint="eastAsia" w:ascii="宋体" w:hAnsi="宋体" w:eastAsia="宋体" w:cs="宋体"/>
          <w:b/>
          <w:bCs w:val="0"/>
          <w:color w:val="auto"/>
          <w:sz w:val="24"/>
          <w:szCs w:val="24"/>
          <w:highlight w:val="none"/>
          <w:lang w:val="en-US" w:eastAsia="zh-CN"/>
        </w:rPr>
        <w:t>八</w:t>
      </w:r>
      <w:r>
        <w:rPr>
          <w:rFonts w:hint="eastAsia" w:ascii="宋体" w:hAnsi="宋体" w:eastAsia="宋体" w:cs="宋体"/>
          <w:b/>
          <w:bCs w:val="0"/>
          <w:color w:val="auto"/>
          <w:sz w:val="24"/>
          <w:szCs w:val="24"/>
          <w:highlight w:val="none"/>
        </w:rPr>
        <w:t>、对本次招标提出询问，请按以下方式联系</w:t>
      </w:r>
      <w:bookmarkEnd w:id="27"/>
      <w:bookmarkEnd w:id="28"/>
      <w:bookmarkEnd w:id="29"/>
      <w:bookmarkEnd w:id="30"/>
      <w:r>
        <w:rPr>
          <w:rFonts w:hint="eastAsia" w:ascii="宋体" w:hAnsi="宋体" w:eastAsia="宋体" w:cs="宋体"/>
          <w:b/>
          <w:bCs w:val="0"/>
          <w:color w:val="auto"/>
          <w:sz w:val="24"/>
          <w:szCs w:val="24"/>
          <w:highlight w:val="none"/>
        </w:rPr>
        <w:t>：</w:t>
      </w:r>
    </w:p>
    <w:p w14:paraId="0662A58C">
      <w:pPr>
        <w:spacing w:line="360" w:lineRule="auto"/>
        <w:ind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shd w:val="clear" w:color="auto" w:fill="FFFFFF"/>
        </w:rPr>
        <w:t>1.采购人信息</w:t>
      </w:r>
    </w:p>
    <w:p w14:paraId="39AA51E9">
      <w:pPr>
        <w:spacing w:line="360" w:lineRule="auto"/>
        <w:ind w:firstLine="480" w:firstLineChars="200"/>
        <w:rPr>
          <w:rFonts w:hint="eastAsia" w:ascii="宋体" w:hAnsi="宋体" w:eastAsia="宋体" w:cs="宋体"/>
          <w:b w:val="0"/>
          <w:bCs/>
          <w:color w:val="auto"/>
          <w:sz w:val="24"/>
          <w:szCs w:val="24"/>
          <w:highlight w:val="none"/>
          <w:shd w:val="clear" w:color="auto" w:fill="FFFFFF"/>
          <w:lang w:eastAsia="zh-CN"/>
        </w:rPr>
      </w:pPr>
      <w:r>
        <w:rPr>
          <w:rFonts w:hint="eastAsia" w:ascii="宋体" w:hAnsi="宋体" w:cs="宋体"/>
          <w:b w:val="0"/>
          <w:bCs/>
          <w:color w:val="auto"/>
          <w:sz w:val="24"/>
          <w:szCs w:val="24"/>
          <w:highlight w:val="none"/>
          <w:shd w:val="clear" w:color="auto" w:fill="FFFFFF"/>
          <w:lang w:eastAsia="zh-CN"/>
        </w:rPr>
        <w:t>名称</w:t>
      </w:r>
      <w:r>
        <w:rPr>
          <w:rFonts w:hint="eastAsia" w:ascii="宋体" w:hAnsi="宋体" w:eastAsia="宋体" w:cs="宋体"/>
          <w:b w:val="0"/>
          <w:bCs/>
          <w:color w:val="auto"/>
          <w:sz w:val="24"/>
          <w:szCs w:val="24"/>
          <w:highlight w:val="none"/>
          <w:shd w:val="clear" w:color="auto" w:fill="FFFFFF"/>
        </w:rPr>
        <w:t>：</w:t>
      </w:r>
      <w:r>
        <w:rPr>
          <w:rFonts w:hint="eastAsia" w:ascii="宋体" w:hAnsi="宋体" w:cs="宋体"/>
          <w:color w:val="auto"/>
          <w:sz w:val="24"/>
          <w:szCs w:val="28"/>
          <w:highlight w:val="none"/>
          <w:lang w:eastAsia="zh-CN"/>
        </w:rPr>
        <w:t>农安县河道堤防管理站</w:t>
      </w:r>
    </w:p>
    <w:p w14:paraId="641371A0">
      <w:pPr>
        <w:spacing w:line="360" w:lineRule="auto"/>
        <w:ind w:firstLine="480" w:firstLineChars="200"/>
        <w:rPr>
          <w:rFonts w:hint="eastAsia" w:ascii="宋体" w:hAnsi="宋体" w:eastAsia="宋体" w:cs="宋体"/>
          <w:b w:val="0"/>
          <w:bCs/>
          <w:color w:val="auto"/>
          <w:sz w:val="24"/>
          <w:szCs w:val="24"/>
          <w:highlight w:val="none"/>
          <w:shd w:val="clear" w:color="auto" w:fill="FFFFFF"/>
          <w:lang w:eastAsia="zh-CN"/>
        </w:rPr>
      </w:pPr>
      <w:r>
        <w:rPr>
          <w:rFonts w:hint="eastAsia" w:ascii="宋体" w:hAnsi="宋体" w:eastAsia="宋体" w:cs="宋体"/>
          <w:b w:val="0"/>
          <w:bCs/>
          <w:color w:val="auto"/>
          <w:sz w:val="24"/>
          <w:szCs w:val="24"/>
          <w:highlight w:val="none"/>
          <w:shd w:val="clear" w:color="auto" w:fill="FFFFFF"/>
        </w:rPr>
        <w:t>地址：农安县农安镇兴华路98号</w:t>
      </w:r>
    </w:p>
    <w:p w14:paraId="015EBC11">
      <w:pPr>
        <w:spacing w:line="360" w:lineRule="auto"/>
        <w:ind w:firstLine="480" w:firstLineChars="200"/>
        <w:rPr>
          <w:rFonts w:hint="default" w:ascii="宋体" w:hAnsi="宋体" w:eastAsia="宋体" w:cs="宋体"/>
          <w:b w:val="0"/>
          <w:bCs/>
          <w:color w:val="auto"/>
          <w:sz w:val="24"/>
          <w:szCs w:val="24"/>
          <w:highlight w:val="none"/>
          <w:shd w:val="clear" w:color="auto" w:fill="FFFFFF"/>
          <w:lang w:val="en-US" w:eastAsia="zh-CN"/>
        </w:rPr>
      </w:pPr>
      <w:r>
        <w:rPr>
          <w:rFonts w:hint="eastAsia" w:ascii="宋体" w:hAnsi="宋体"/>
          <w:b w:val="0"/>
          <w:bCs/>
          <w:color w:val="auto"/>
          <w:sz w:val="24"/>
          <w:szCs w:val="24"/>
          <w:highlight w:val="none"/>
        </w:rPr>
        <w:t>联系方式</w:t>
      </w:r>
      <w:r>
        <w:rPr>
          <w:rFonts w:hint="eastAsia" w:ascii="宋体" w:hAnsi="宋体" w:eastAsia="宋体" w:cs="宋体"/>
          <w:b w:val="0"/>
          <w:bCs/>
          <w:color w:val="auto"/>
          <w:sz w:val="24"/>
          <w:szCs w:val="24"/>
          <w:highlight w:val="none"/>
          <w:shd w:val="clear" w:color="auto" w:fill="FFFFFF"/>
        </w:rPr>
        <w:t>：</w:t>
      </w:r>
      <w:r>
        <w:rPr>
          <w:rFonts w:hint="eastAsia" w:ascii="宋体" w:hAnsi="宋体" w:cs="宋体"/>
          <w:b w:val="0"/>
          <w:bCs/>
          <w:color w:val="auto"/>
          <w:sz w:val="24"/>
          <w:szCs w:val="24"/>
          <w:highlight w:val="none"/>
          <w:shd w:val="clear" w:color="auto" w:fill="FFFFFF"/>
          <w:lang w:val="en-US" w:eastAsia="zh-CN"/>
        </w:rPr>
        <w:t>13578820322</w:t>
      </w:r>
      <w:r>
        <w:rPr>
          <w:rFonts w:hint="eastAsia" w:ascii="宋体" w:hAnsi="宋体" w:cs="宋体"/>
          <w:b w:val="0"/>
          <w:bCs/>
          <w:color w:val="auto"/>
          <w:sz w:val="24"/>
          <w:szCs w:val="24"/>
          <w:highlight w:val="none"/>
          <w:shd w:val="clear" w:color="auto" w:fill="FFFFFF"/>
          <w:lang w:eastAsia="zh-CN"/>
        </w:rPr>
        <w:t>（</w:t>
      </w:r>
      <w:r>
        <w:rPr>
          <w:rFonts w:hint="eastAsia" w:ascii="宋体" w:hAnsi="宋体" w:cs="宋体"/>
          <w:b w:val="0"/>
          <w:bCs/>
          <w:color w:val="auto"/>
          <w:sz w:val="24"/>
          <w:szCs w:val="24"/>
          <w:highlight w:val="none"/>
          <w:shd w:val="clear" w:color="auto" w:fill="FFFFFF"/>
          <w:lang w:val="en-US" w:eastAsia="zh-CN"/>
        </w:rPr>
        <w:t>办公电话</w:t>
      </w:r>
      <w:r>
        <w:rPr>
          <w:rFonts w:hint="eastAsia" w:ascii="宋体" w:hAnsi="宋体" w:cs="宋体"/>
          <w:b w:val="0"/>
          <w:bCs/>
          <w:color w:val="auto"/>
          <w:sz w:val="24"/>
          <w:szCs w:val="24"/>
          <w:highlight w:val="none"/>
          <w:shd w:val="clear" w:color="auto" w:fill="FFFFFF"/>
          <w:lang w:eastAsia="zh-CN"/>
        </w:rPr>
        <w:t>）</w:t>
      </w:r>
    </w:p>
    <w:p w14:paraId="49FADECA">
      <w:pPr>
        <w:spacing w:line="360" w:lineRule="auto"/>
        <w:ind w:firstLine="480" w:firstLineChars="200"/>
        <w:rPr>
          <w:rFonts w:hint="eastAsia" w:ascii="宋体" w:hAnsi="宋体" w:eastAsia="宋体" w:cs="宋体"/>
          <w:b w:val="0"/>
          <w:bCs/>
          <w:color w:val="auto"/>
          <w:sz w:val="24"/>
          <w:szCs w:val="24"/>
          <w:highlight w:val="none"/>
          <w:shd w:val="clear" w:color="auto" w:fill="FFFFFF"/>
        </w:rPr>
      </w:pPr>
      <w:r>
        <w:rPr>
          <w:rFonts w:hint="eastAsia" w:ascii="宋体" w:hAnsi="宋体" w:eastAsia="宋体" w:cs="宋体"/>
          <w:b w:val="0"/>
          <w:bCs/>
          <w:color w:val="auto"/>
          <w:sz w:val="24"/>
          <w:szCs w:val="24"/>
          <w:highlight w:val="none"/>
          <w:shd w:val="clear" w:color="auto" w:fill="FFFFFF"/>
        </w:rPr>
        <w:t>2.采购代理机构信息</w:t>
      </w:r>
    </w:p>
    <w:p w14:paraId="201C39E2">
      <w:pPr>
        <w:spacing w:line="360" w:lineRule="auto"/>
        <w:ind w:firstLine="480" w:firstLineChars="200"/>
        <w:rPr>
          <w:rFonts w:hint="eastAsia" w:ascii="宋体" w:hAnsi="宋体" w:eastAsia="宋体" w:cs="宋体"/>
          <w:b w:val="0"/>
          <w:bCs/>
          <w:color w:val="auto"/>
          <w:sz w:val="24"/>
          <w:szCs w:val="24"/>
          <w:highlight w:val="none"/>
          <w:shd w:val="clear" w:color="auto" w:fill="FFFFFF"/>
        </w:rPr>
      </w:pPr>
      <w:r>
        <w:rPr>
          <w:rFonts w:hint="eastAsia" w:ascii="宋体" w:hAnsi="宋体" w:cs="宋体"/>
          <w:b w:val="0"/>
          <w:bCs/>
          <w:color w:val="auto"/>
          <w:sz w:val="24"/>
          <w:szCs w:val="24"/>
          <w:highlight w:val="none"/>
          <w:shd w:val="clear" w:color="auto" w:fill="FFFFFF"/>
          <w:lang w:eastAsia="zh-CN"/>
        </w:rPr>
        <w:t>名称</w:t>
      </w:r>
      <w:r>
        <w:rPr>
          <w:rFonts w:hint="eastAsia" w:ascii="宋体" w:hAnsi="宋体" w:eastAsia="宋体" w:cs="宋体"/>
          <w:b w:val="0"/>
          <w:bCs/>
          <w:color w:val="auto"/>
          <w:sz w:val="24"/>
          <w:szCs w:val="24"/>
          <w:highlight w:val="none"/>
          <w:shd w:val="clear" w:color="auto" w:fill="FFFFFF"/>
        </w:rPr>
        <w:t>：</w:t>
      </w:r>
      <w:r>
        <w:rPr>
          <w:rFonts w:hint="eastAsia" w:ascii="宋体" w:hAnsi="宋体" w:cs="宋体"/>
          <w:color w:val="auto"/>
          <w:sz w:val="24"/>
          <w:szCs w:val="28"/>
          <w:highlight w:val="none"/>
          <w:lang w:eastAsia="zh-CN"/>
        </w:rPr>
        <w:t>吉林省森茂项目管理有限公司</w:t>
      </w:r>
    </w:p>
    <w:p w14:paraId="5BABC745">
      <w:pPr>
        <w:spacing w:line="360" w:lineRule="auto"/>
        <w:ind w:firstLine="480" w:firstLineChars="200"/>
        <w:rPr>
          <w:rFonts w:hint="eastAsia" w:ascii="宋体" w:hAnsi="宋体" w:eastAsia="宋体" w:cs="宋体"/>
          <w:b w:val="0"/>
          <w:bCs/>
          <w:color w:val="auto"/>
          <w:sz w:val="24"/>
          <w:szCs w:val="24"/>
          <w:highlight w:val="none"/>
          <w:shd w:val="clear" w:color="auto" w:fill="FFFFFF"/>
          <w:lang w:val="en-US" w:eastAsia="zh-CN"/>
        </w:rPr>
      </w:pPr>
      <w:r>
        <w:rPr>
          <w:rFonts w:hint="eastAsia" w:ascii="宋体" w:hAnsi="宋体" w:eastAsia="宋体" w:cs="宋体"/>
          <w:b w:val="0"/>
          <w:bCs/>
          <w:color w:val="auto"/>
          <w:sz w:val="24"/>
          <w:szCs w:val="24"/>
          <w:highlight w:val="none"/>
          <w:shd w:val="clear" w:color="auto" w:fill="FFFFFF"/>
        </w:rPr>
        <w:t>地址：长春市净月开发区吉林省金融大厦商业综合体一期1＃楼1303号</w:t>
      </w:r>
    </w:p>
    <w:p w14:paraId="4B19FBD5">
      <w:pPr>
        <w:spacing w:line="360" w:lineRule="auto"/>
        <w:ind w:firstLine="480" w:firstLineChars="200"/>
        <w:rPr>
          <w:rFonts w:hint="eastAsia" w:ascii="宋体" w:hAnsi="宋体" w:eastAsia="宋体" w:cs="宋体"/>
          <w:b w:val="0"/>
          <w:bCs/>
          <w:color w:val="auto"/>
          <w:sz w:val="24"/>
          <w:szCs w:val="24"/>
          <w:highlight w:val="none"/>
          <w:shd w:val="clear" w:color="auto" w:fill="FFFFFF"/>
          <w:lang w:eastAsia="zh-CN"/>
        </w:rPr>
      </w:pPr>
      <w:r>
        <w:rPr>
          <w:rFonts w:hint="eastAsia" w:ascii="宋体" w:hAnsi="宋体"/>
          <w:b w:val="0"/>
          <w:bCs/>
          <w:color w:val="auto"/>
          <w:sz w:val="24"/>
          <w:szCs w:val="24"/>
          <w:highlight w:val="none"/>
        </w:rPr>
        <w:t>联系方式</w:t>
      </w:r>
      <w:r>
        <w:rPr>
          <w:rFonts w:hint="eastAsia" w:ascii="宋体" w:hAnsi="宋体" w:eastAsia="宋体" w:cs="宋体"/>
          <w:b w:val="0"/>
          <w:bCs/>
          <w:color w:val="auto"/>
          <w:sz w:val="24"/>
          <w:szCs w:val="24"/>
          <w:highlight w:val="none"/>
          <w:shd w:val="clear" w:color="auto" w:fill="FFFFFF"/>
        </w:rPr>
        <w:t>：</w:t>
      </w:r>
      <w:r>
        <w:rPr>
          <w:rFonts w:hint="eastAsia" w:ascii="宋体" w:hAnsi="宋体" w:cs="宋体"/>
          <w:b w:val="0"/>
          <w:bCs/>
          <w:color w:val="auto"/>
          <w:sz w:val="24"/>
          <w:szCs w:val="24"/>
          <w:highlight w:val="none"/>
          <w:shd w:val="clear" w:color="auto" w:fill="FFFFFF"/>
          <w:lang w:eastAsia="zh-CN"/>
        </w:rPr>
        <w:t>13353266088（</w:t>
      </w:r>
      <w:r>
        <w:rPr>
          <w:rFonts w:hint="eastAsia" w:ascii="宋体" w:hAnsi="宋体" w:cs="宋体"/>
          <w:b w:val="0"/>
          <w:bCs/>
          <w:color w:val="auto"/>
          <w:sz w:val="24"/>
          <w:szCs w:val="24"/>
          <w:highlight w:val="none"/>
          <w:shd w:val="clear" w:color="auto" w:fill="FFFFFF"/>
          <w:lang w:val="en-US" w:eastAsia="zh-CN"/>
        </w:rPr>
        <w:t>办公电话</w:t>
      </w:r>
      <w:r>
        <w:rPr>
          <w:rFonts w:hint="eastAsia" w:ascii="宋体" w:hAnsi="宋体" w:cs="宋体"/>
          <w:b w:val="0"/>
          <w:bCs/>
          <w:color w:val="auto"/>
          <w:sz w:val="24"/>
          <w:szCs w:val="24"/>
          <w:highlight w:val="none"/>
          <w:shd w:val="clear" w:color="auto" w:fill="FFFFFF"/>
          <w:lang w:eastAsia="zh-CN"/>
        </w:rPr>
        <w:t>）</w:t>
      </w:r>
    </w:p>
    <w:p w14:paraId="5178FD68">
      <w:pPr>
        <w:spacing w:line="360" w:lineRule="auto"/>
        <w:ind w:firstLine="480" w:firstLineChars="200"/>
        <w:rPr>
          <w:rFonts w:hint="eastAsia" w:ascii="宋体" w:hAnsi="宋体" w:eastAsia="宋体" w:cs="宋体"/>
          <w:b w:val="0"/>
          <w:bCs/>
          <w:color w:val="auto"/>
          <w:sz w:val="24"/>
          <w:szCs w:val="24"/>
          <w:highlight w:val="none"/>
          <w:shd w:val="clear" w:color="auto" w:fill="FFFFFF"/>
        </w:rPr>
      </w:pPr>
      <w:r>
        <w:rPr>
          <w:rFonts w:hint="eastAsia" w:ascii="宋体" w:hAnsi="宋体" w:eastAsia="宋体" w:cs="宋体"/>
          <w:b w:val="0"/>
          <w:bCs/>
          <w:color w:val="auto"/>
          <w:sz w:val="24"/>
          <w:szCs w:val="24"/>
          <w:highlight w:val="none"/>
          <w:shd w:val="clear" w:color="auto" w:fill="FFFFFF"/>
        </w:rPr>
        <w:t>3.项目联系方式</w:t>
      </w:r>
    </w:p>
    <w:p w14:paraId="198BEB86">
      <w:pPr>
        <w:spacing w:line="360" w:lineRule="auto"/>
        <w:ind w:firstLine="480" w:firstLineChars="200"/>
        <w:rPr>
          <w:rFonts w:hint="eastAsia" w:ascii="宋体" w:hAnsi="宋体" w:cs="宋体"/>
          <w:b w:val="0"/>
          <w:bCs/>
          <w:color w:val="auto"/>
          <w:sz w:val="24"/>
          <w:szCs w:val="24"/>
          <w:highlight w:val="none"/>
          <w:shd w:val="clear" w:color="auto" w:fill="FFFFFF"/>
          <w:lang w:eastAsia="zh-CN"/>
        </w:rPr>
      </w:pPr>
      <w:r>
        <w:rPr>
          <w:rFonts w:hint="eastAsia" w:ascii="宋体" w:hAnsi="宋体" w:eastAsia="宋体" w:cs="宋体"/>
          <w:b w:val="0"/>
          <w:bCs/>
          <w:color w:val="auto"/>
          <w:sz w:val="24"/>
          <w:szCs w:val="24"/>
          <w:highlight w:val="none"/>
          <w:shd w:val="clear" w:color="auto" w:fill="FFFFFF"/>
        </w:rPr>
        <w:t>项目联系人：</w:t>
      </w:r>
      <w:r>
        <w:rPr>
          <w:rFonts w:hint="eastAsia" w:ascii="宋体" w:hAnsi="宋体" w:cs="宋体"/>
          <w:b w:val="0"/>
          <w:bCs/>
          <w:color w:val="auto"/>
          <w:sz w:val="24"/>
          <w:szCs w:val="24"/>
          <w:highlight w:val="none"/>
          <w:shd w:val="clear" w:color="auto" w:fill="FFFFFF"/>
          <w:lang w:eastAsia="zh-CN"/>
        </w:rPr>
        <w:t>王慧</w:t>
      </w:r>
    </w:p>
    <w:p w14:paraId="13DD5130">
      <w:pPr>
        <w:spacing w:line="360" w:lineRule="auto"/>
        <w:ind w:firstLine="480" w:firstLineChars="200"/>
        <w:rPr>
          <w:rFonts w:hint="eastAsia" w:ascii="宋体" w:hAnsi="宋体" w:cs="宋体"/>
          <w:b w:val="0"/>
          <w:bCs/>
          <w:color w:val="auto"/>
          <w:sz w:val="24"/>
          <w:szCs w:val="24"/>
          <w:highlight w:val="none"/>
          <w:shd w:val="clear" w:color="auto" w:fill="FFFFFF"/>
          <w:lang w:eastAsia="zh-CN"/>
        </w:rPr>
      </w:pPr>
      <w:r>
        <w:rPr>
          <w:rFonts w:hint="eastAsia" w:ascii="宋体" w:hAnsi="宋体" w:eastAsia="宋体" w:cs="宋体"/>
          <w:b w:val="0"/>
          <w:bCs/>
          <w:color w:val="auto"/>
          <w:sz w:val="24"/>
          <w:szCs w:val="24"/>
          <w:highlight w:val="none"/>
          <w:shd w:val="clear" w:color="auto" w:fill="FFFFFF"/>
        </w:rPr>
        <w:t>电话：</w:t>
      </w:r>
      <w:r>
        <w:rPr>
          <w:rFonts w:hint="eastAsia" w:ascii="宋体" w:hAnsi="宋体" w:cs="宋体"/>
          <w:b w:val="0"/>
          <w:bCs/>
          <w:color w:val="auto"/>
          <w:sz w:val="24"/>
          <w:szCs w:val="24"/>
          <w:highlight w:val="none"/>
          <w:shd w:val="clear" w:color="auto" w:fill="FFFFFF"/>
          <w:lang w:eastAsia="zh-CN"/>
        </w:rPr>
        <w:t>13353266088（</w:t>
      </w:r>
      <w:r>
        <w:rPr>
          <w:rFonts w:hint="eastAsia" w:ascii="宋体" w:hAnsi="宋体" w:cs="宋体"/>
          <w:b w:val="0"/>
          <w:bCs/>
          <w:color w:val="auto"/>
          <w:sz w:val="24"/>
          <w:szCs w:val="24"/>
          <w:highlight w:val="none"/>
          <w:shd w:val="clear" w:color="auto" w:fill="FFFFFF"/>
          <w:lang w:val="en-US" w:eastAsia="zh-CN"/>
        </w:rPr>
        <w:t>办公电话</w:t>
      </w:r>
      <w:r>
        <w:rPr>
          <w:rFonts w:hint="eastAsia" w:ascii="宋体" w:hAnsi="宋体" w:cs="宋体"/>
          <w:b w:val="0"/>
          <w:bCs/>
          <w:color w:val="auto"/>
          <w:sz w:val="24"/>
          <w:szCs w:val="24"/>
          <w:highlight w:val="none"/>
          <w:shd w:val="clear" w:color="auto" w:fill="FFFFFF"/>
          <w:lang w:eastAsia="zh-CN"/>
        </w:rPr>
        <w:t>）</w:t>
      </w:r>
    </w:p>
    <w:p w14:paraId="1902ABF0">
      <w:pPr>
        <w:pStyle w:val="46"/>
        <w:spacing w:line="276" w:lineRule="auto"/>
        <w:rPr>
          <w:rFonts w:ascii="宋体" w:hAnsi="宋体"/>
          <w:bCs w:val="0"/>
          <w:color w:val="auto"/>
          <w:kern w:val="2"/>
          <w:sz w:val="36"/>
          <w:szCs w:val="36"/>
          <w:highlight w:val="none"/>
        </w:rPr>
      </w:pPr>
      <w:bookmarkStart w:id="31" w:name="_Toc4739"/>
      <w:r>
        <w:rPr>
          <w:rFonts w:hint="eastAsia" w:ascii="宋体" w:hAnsi="宋体"/>
          <w:bCs w:val="0"/>
          <w:color w:val="auto"/>
          <w:kern w:val="2"/>
          <w:sz w:val="36"/>
          <w:szCs w:val="36"/>
          <w:highlight w:val="none"/>
        </w:rPr>
        <w:t xml:space="preserve">第二章 </w:t>
      </w:r>
      <w:r>
        <w:rPr>
          <w:rFonts w:hint="eastAsia" w:ascii="宋体" w:hAnsi="宋体"/>
          <w:bCs w:val="0"/>
          <w:color w:val="auto"/>
          <w:kern w:val="2"/>
          <w:sz w:val="36"/>
          <w:szCs w:val="36"/>
          <w:highlight w:val="none"/>
          <w:lang w:eastAsia="zh-CN"/>
        </w:rPr>
        <w:t>供应商</w:t>
      </w:r>
      <w:r>
        <w:rPr>
          <w:rFonts w:hint="eastAsia" w:ascii="宋体" w:hAnsi="宋体"/>
          <w:bCs w:val="0"/>
          <w:color w:val="auto"/>
          <w:kern w:val="2"/>
          <w:sz w:val="36"/>
          <w:szCs w:val="36"/>
          <w:highlight w:val="none"/>
        </w:rPr>
        <w:t>须知</w:t>
      </w:r>
      <w:bookmarkEnd w:id="5"/>
      <w:bookmarkEnd w:id="31"/>
    </w:p>
    <w:p w14:paraId="234BF745">
      <w:pPr>
        <w:pStyle w:val="3"/>
        <w:spacing w:line="360" w:lineRule="exact"/>
        <w:jc w:val="center"/>
        <w:rPr>
          <w:rFonts w:ascii="宋体" w:hAnsi="宋体"/>
          <w:b w:val="0"/>
          <w:bCs w:val="0"/>
          <w:color w:val="auto"/>
          <w:highlight w:val="none"/>
        </w:rPr>
      </w:pPr>
      <w:bookmarkStart w:id="32" w:name="_Toc6552"/>
      <w:bookmarkStart w:id="33" w:name="_Toc504654674"/>
      <w:r>
        <w:rPr>
          <w:rFonts w:hint="eastAsia" w:ascii="宋体" w:hAnsi="宋体"/>
          <w:b w:val="0"/>
          <w:color w:val="auto"/>
          <w:highlight w:val="none"/>
          <w:lang w:eastAsia="zh-CN"/>
        </w:rPr>
        <w:t>供应商</w:t>
      </w:r>
      <w:r>
        <w:rPr>
          <w:rFonts w:hint="eastAsia" w:ascii="宋体" w:hAnsi="宋体"/>
          <w:b w:val="0"/>
          <w:color w:val="auto"/>
          <w:highlight w:val="none"/>
        </w:rPr>
        <w:t>须知</w:t>
      </w:r>
      <w:r>
        <w:rPr>
          <w:rFonts w:hint="eastAsia" w:ascii="宋体" w:hAnsi="宋体"/>
          <w:b w:val="0"/>
          <w:bCs w:val="0"/>
          <w:color w:val="auto"/>
          <w:highlight w:val="none"/>
        </w:rPr>
        <w:t>前附表</w:t>
      </w:r>
      <w:bookmarkEnd w:id="32"/>
      <w:bookmarkEnd w:id="33"/>
    </w:p>
    <w:tbl>
      <w:tblPr>
        <w:tblStyle w:val="49"/>
        <w:tblW w:w="10123" w:type="dxa"/>
        <w:tblInd w:w="-459"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7"/>
        <w:gridCol w:w="1828"/>
        <w:gridCol w:w="7288"/>
      </w:tblGrid>
      <w:tr w14:paraId="028E5B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1"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34E797A3">
            <w:pPr>
              <w:jc w:val="center"/>
              <w:rPr>
                <w:rFonts w:ascii="宋体" w:hAnsi="宋体" w:cs="宋体"/>
                <w:color w:val="auto"/>
                <w:sz w:val="24"/>
                <w:highlight w:val="none"/>
              </w:rPr>
            </w:pPr>
            <w:r>
              <w:rPr>
                <w:rFonts w:hint="eastAsia" w:ascii="宋体" w:hAnsi="宋体" w:cs="宋体"/>
                <w:color w:val="auto"/>
                <w:sz w:val="24"/>
                <w:highlight w:val="none"/>
              </w:rPr>
              <w:t>条款号</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3539B301">
            <w:pPr>
              <w:jc w:val="center"/>
              <w:rPr>
                <w:rFonts w:ascii="宋体" w:hAnsi="宋体" w:cs="宋体"/>
                <w:color w:val="auto"/>
                <w:sz w:val="24"/>
                <w:highlight w:val="none"/>
              </w:rPr>
            </w:pPr>
            <w:r>
              <w:rPr>
                <w:rFonts w:hint="eastAsia" w:ascii="宋体" w:hAnsi="宋体" w:cs="宋体"/>
                <w:color w:val="auto"/>
                <w:sz w:val="24"/>
                <w:highlight w:val="none"/>
              </w:rPr>
              <w:t>条款名称</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4E36E204">
            <w:pPr>
              <w:jc w:val="center"/>
              <w:rPr>
                <w:rFonts w:ascii="宋体" w:hAnsi="宋体" w:cs="宋体"/>
                <w:color w:val="auto"/>
                <w:sz w:val="24"/>
                <w:highlight w:val="none"/>
              </w:rPr>
            </w:pPr>
            <w:r>
              <w:rPr>
                <w:rFonts w:hint="eastAsia" w:ascii="宋体" w:hAnsi="宋体" w:cs="宋体"/>
                <w:color w:val="auto"/>
                <w:sz w:val="24"/>
                <w:highlight w:val="none"/>
              </w:rPr>
              <w:t>编列内容</w:t>
            </w:r>
          </w:p>
        </w:tc>
      </w:tr>
      <w:tr w14:paraId="4D3302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44"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5201E5EE">
            <w:pPr>
              <w:jc w:val="center"/>
              <w:rPr>
                <w:rFonts w:ascii="宋体" w:hAnsi="宋体" w:cs="宋体"/>
                <w:color w:val="auto"/>
                <w:sz w:val="24"/>
                <w:highlight w:val="none"/>
              </w:rPr>
            </w:pPr>
            <w:r>
              <w:rPr>
                <w:rFonts w:hint="eastAsia" w:ascii="宋体" w:hAnsi="宋体" w:cs="宋体"/>
                <w:color w:val="auto"/>
                <w:sz w:val="24"/>
                <w:highlight w:val="none"/>
              </w:rPr>
              <w:t>1</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7AE1CCC6">
            <w:pPr>
              <w:jc w:val="center"/>
              <w:rPr>
                <w:rFonts w:hint="eastAsia" w:ascii="宋体" w:hAnsi="宋体" w:cs="宋体"/>
                <w:color w:val="auto"/>
                <w:sz w:val="24"/>
                <w:highlight w:val="none"/>
              </w:rPr>
            </w:pPr>
            <w:r>
              <w:rPr>
                <w:rFonts w:hint="eastAsia" w:ascii="宋体" w:hAnsi="宋体" w:cs="宋体"/>
                <w:color w:val="auto"/>
                <w:sz w:val="24"/>
                <w:highlight w:val="none"/>
                <w:lang w:eastAsia="zh-CN"/>
              </w:rPr>
              <w:t>采购</w:t>
            </w:r>
            <w:r>
              <w:rPr>
                <w:rFonts w:hint="eastAsia" w:ascii="宋体" w:hAnsi="宋体" w:cs="宋体"/>
                <w:color w:val="auto"/>
                <w:sz w:val="24"/>
                <w:highlight w:val="none"/>
              </w:rPr>
              <w:t>人</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2B4B9AFE">
            <w:pPr>
              <w:spacing w:line="240" w:lineRule="auto"/>
              <w:jc w:val="left"/>
              <w:rPr>
                <w:rFonts w:hint="eastAsia" w:ascii="宋体" w:hAnsi="宋体" w:cs="宋体"/>
                <w:color w:val="auto"/>
                <w:sz w:val="24"/>
                <w:highlight w:val="none"/>
                <w:lang w:eastAsia="zh-CN"/>
              </w:rPr>
            </w:pPr>
            <w:r>
              <w:rPr>
                <w:rFonts w:hint="eastAsia" w:ascii="宋体" w:hAnsi="宋体" w:cs="宋体"/>
                <w:color w:val="auto"/>
                <w:sz w:val="24"/>
                <w:highlight w:val="none"/>
                <w:lang w:eastAsia="zh-CN"/>
              </w:rPr>
              <w:t>名称</w:t>
            </w:r>
            <w:r>
              <w:rPr>
                <w:rFonts w:hint="eastAsia" w:ascii="宋体" w:hAnsi="宋体" w:cs="宋体"/>
                <w:color w:val="auto"/>
                <w:sz w:val="24"/>
                <w:highlight w:val="none"/>
              </w:rPr>
              <w:t>：</w:t>
            </w:r>
            <w:r>
              <w:rPr>
                <w:rFonts w:hint="eastAsia" w:ascii="宋体" w:hAnsi="宋体" w:cs="宋体"/>
                <w:color w:val="auto"/>
                <w:sz w:val="24"/>
                <w:highlight w:val="none"/>
                <w:lang w:eastAsia="zh-CN"/>
              </w:rPr>
              <w:t>农安县河道堤防管理站</w:t>
            </w:r>
          </w:p>
          <w:p w14:paraId="218BC151">
            <w:pPr>
              <w:spacing w:line="240" w:lineRule="auto"/>
              <w:jc w:val="left"/>
              <w:rPr>
                <w:rFonts w:hint="eastAsia" w:ascii="宋体" w:hAnsi="宋体" w:cs="宋体"/>
                <w:color w:val="auto"/>
                <w:sz w:val="24"/>
                <w:highlight w:val="none"/>
              </w:rPr>
            </w:pPr>
            <w:r>
              <w:rPr>
                <w:rFonts w:hint="eastAsia" w:ascii="宋体" w:hAnsi="宋体" w:cs="宋体"/>
                <w:color w:val="auto"/>
                <w:sz w:val="24"/>
                <w:highlight w:val="none"/>
              </w:rPr>
              <w:t>地址：农安县农安镇兴华路98号</w:t>
            </w:r>
          </w:p>
          <w:p w14:paraId="5A2EA231">
            <w:pPr>
              <w:spacing w:line="240" w:lineRule="auto"/>
              <w:jc w:val="left"/>
              <w:rPr>
                <w:rFonts w:hint="eastAsia" w:ascii="宋体" w:hAnsi="宋体" w:cs="宋体"/>
                <w:color w:val="auto"/>
                <w:sz w:val="24"/>
                <w:highlight w:val="none"/>
              </w:rPr>
            </w:pPr>
            <w:r>
              <w:rPr>
                <w:rFonts w:hint="eastAsia" w:ascii="宋体" w:hAnsi="宋体" w:cs="宋体"/>
                <w:color w:val="auto"/>
                <w:sz w:val="24"/>
                <w:highlight w:val="none"/>
              </w:rPr>
              <w:t>联系方式：</w:t>
            </w:r>
            <w:r>
              <w:rPr>
                <w:rFonts w:hint="eastAsia" w:ascii="宋体" w:hAnsi="宋体" w:cs="宋体"/>
                <w:b w:val="0"/>
                <w:bCs/>
                <w:color w:val="auto"/>
                <w:sz w:val="24"/>
                <w:szCs w:val="24"/>
                <w:highlight w:val="none"/>
                <w:shd w:val="clear" w:color="auto" w:fill="FFFFFF"/>
                <w:lang w:val="en-US" w:eastAsia="zh-CN"/>
              </w:rPr>
              <w:t>13578820322</w:t>
            </w:r>
            <w:r>
              <w:rPr>
                <w:rFonts w:hint="eastAsia" w:ascii="宋体" w:hAnsi="宋体" w:cs="宋体"/>
                <w:b w:val="0"/>
                <w:bCs/>
                <w:color w:val="auto"/>
                <w:sz w:val="24"/>
                <w:szCs w:val="24"/>
                <w:highlight w:val="none"/>
                <w:shd w:val="clear" w:color="auto" w:fill="FFFFFF"/>
                <w:lang w:eastAsia="zh-CN"/>
              </w:rPr>
              <w:t>（</w:t>
            </w:r>
            <w:r>
              <w:rPr>
                <w:rFonts w:hint="eastAsia" w:ascii="宋体" w:hAnsi="宋体" w:cs="宋体"/>
                <w:b w:val="0"/>
                <w:bCs/>
                <w:color w:val="auto"/>
                <w:sz w:val="24"/>
                <w:szCs w:val="24"/>
                <w:highlight w:val="none"/>
                <w:shd w:val="clear" w:color="auto" w:fill="FFFFFF"/>
                <w:lang w:val="en-US" w:eastAsia="zh-CN"/>
              </w:rPr>
              <w:t>办公电话</w:t>
            </w:r>
            <w:r>
              <w:rPr>
                <w:rFonts w:hint="eastAsia" w:ascii="宋体" w:hAnsi="宋体" w:cs="宋体"/>
                <w:b w:val="0"/>
                <w:bCs/>
                <w:color w:val="auto"/>
                <w:sz w:val="24"/>
                <w:szCs w:val="24"/>
                <w:highlight w:val="none"/>
                <w:shd w:val="clear" w:color="auto" w:fill="FFFFFF"/>
                <w:lang w:eastAsia="zh-CN"/>
              </w:rPr>
              <w:t>）</w:t>
            </w:r>
          </w:p>
        </w:tc>
      </w:tr>
      <w:tr w14:paraId="4C3789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61"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43881A85">
            <w:pPr>
              <w:jc w:val="center"/>
              <w:rPr>
                <w:rFonts w:ascii="宋体" w:hAnsi="宋体" w:cs="宋体"/>
                <w:color w:val="auto"/>
                <w:sz w:val="24"/>
                <w:highlight w:val="none"/>
              </w:rPr>
            </w:pPr>
            <w:r>
              <w:rPr>
                <w:rFonts w:hint="eastAsia" w:ascii="宋体" w:hAnsi="宋体" w:cs="宋体"/>
                <w:color w:val="auto"/>
                <w:sz w:val="24"/>
                <w:highlight w:val="none"/>
              </w:rPr>
              <w:t>2</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3FCBA10D">
            <w:pPr>
              <w:jc w:val="center"/>
              <w:rPr>
                <w:rFonts w:ascii="宋体" w:hAnsi="宋体" w:cs="宋体"/>
                <w:color w:val="auto"/>
                <w:sz w:val="24"/>
                <w:highlight w:val="none"/>
              </w:rPr>
            </w:pPr>
            <w:r>
              <w:rPr>
                <w:rFonts w:hint="eastAsia" w:ascii="宋体" w:hAnsi="宋体" w:cs="宋体"/>
                <w:color w:val="auto"/>
                <w:sz w:val="24"/>
                <w:highlight w:val="none"/>
                <w:lang w:eastAsia="zh-CN"/>
              </w:rPr>
              <w:t>采购</w:t>
            </w:r>
            <w:r>
              <w:rPr>
                <w:rFonts w:hint="eastAsia" w:ascii="宋体" w:hAnsi="宋体" w:cs="宋体"/>
                <w:color w:val="auto"/>
                <w:kern w:val="0"/>
                <w:sz w:val="24"/>
                <w:highlight w:val="none"/>
                <w:lang w:val="zh-CN"/>
              </w:rPr>
              <w:t>代理机构</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444311B4">
            <w:pPr>
              <w:spacing w:line="240" w:lineRule="auto"/>
              <w:jc w:val="lef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采购</w:t>
            </w:r>
            <w:r>
              <w:rPr>
                <w:rFonts w:hint="eastAsia" w:ascii="宋体" w:hAnsi="宋体" w:cs="宋体"/>
                <w:color w:val="auto"/>
                <w:sz w:val="24"/>
                <w:szCs w:val="24"/>
                <w:highlight w:val="none"/>
              </w:rPr>
              <w:t>代理机构：</w:t>
            </w:r>
            <w:r>
              <w:rPr>
                <w:rFonts w:hint="eastAsia" w:ascii="宋体" w:hAnsi="宋体" w:cs="宋体"/>
                <w:color w:val="auto"/>
                <w:sz w:val="24"/>
                <w:szCs w:val="28"/>
                <w:highlight w:val="none"/>
                <w:lang w:eastAsia="zh-CN"/>
              </w:rPr>
              <w:t>吉林省森茂项目管理有限公司</w:t>
            </w:r>
          </w:p>
          <w:p w14:paraId="12DB3EBB">
            <w:pPr>
              <w:spacing w:line="240" w:lineRule="auto"/>
              <w:jc w:val="lef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地</w:t>
            </w: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szCs w:val="24"/>
                <w:highlight w:val="none"/>
              </w:rPr>
              <w:t>址：长春市净月开发区吉林省金融大厦商业综合体一期1＃楼1303号</w:t>
            </w:r>
          </w:p>
          <w:p w14:paraId="7CAA3A33">
            <w:pPr>
              <w:spacing w:line="240" w:lineRule="auto"/>
              <w:jc w:val="lef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联系人：</w:t>
            </w:r>
            <w:r>
              <w:rPr>
                <w:rFonts w:hint="eastAsia" w:ascii="宋体" w:hAnsi="宋体" w:cs="宋体"/>
                <w:color w:val="auto"/>
                <w:sz w:val="24"/>
                <w:szCs w:val="28"/>
                <w:highlight w:val="none"/>
                <w:lang w:eastAsia="zh-CN"/>
              </w:rPr>
              <w:t>王慧</w:t>
            </w:r>
          </w:p>
          <w:p w14:paraId="160C7DA9">
            <w:pPr>
              <w:spacing w:line="240" w:lineRule="auto"/>
              <w:jc w:val="left"/>
              <w:rPr>
                <w:rFonts w:hint="default" w:ascii="宋体" w:hAnsi="宋体" w:cs="宋体"/>
                <w:color w:val="auto"/>
                <w:sz w:val="24"/>
                <w:highlight w:val="none"/>
                <w:lang w:val="en-US"/>
              </w:rPr>
            </w:pPr>
            <w:r>
              <w:rPr>
                <w:rFonts w:hint="eastAsia" w:ascii="宋体" w:hAnsi="宋体" w:cs="宋体"/>
                <w:color w:val="auto"/>
                <w:sz w:val="24"/>
                <w:szCs w:val="24"/>
                <w:highlight w:val="none"/>
              </w:rPr>
              <w:t>联系电话：</w:t>
            </w:r>
            <w:r>
              <w:rPr>
                <w:rFonts w:hint="eastAsia" w:ascii="宋体" w:hAnsi="宋体" w:cs="宋体"/>
                <w:b w:val="0"/>
                <w:bCs/>
                <w:color w:val="auto"/>
                <w:sz w:val="24"/>
                <w:szCs w:val="24"/>
                <w:highlight w:val="none"/>
                <w:shd w:val="clear" w:color="auto" w:fill="FFFFFF"/>
                <w:lang w:eastAsia="zh-CN"/>
              </w:rPr>
              <w:t>13353266088（</w:t>
            </w:r>
            <w:r>
              <w:rPr>
                <w:rFonts w:hint="eastAsia" w:ascii="宋体" w:hAnsi="宋体" w:cs="宋体"/>
                <w:b w:val="0"/>
                <w:bCs/>
                <w:color w:val="auto"/>
                <w:sz w:val="24"/>
                <w:szCs w:val="24"/>
                <w:highlight w:val="none"/>
                <w:shd w:val="clear" w:color="auto" w:fill="FFFFFF"/>
                <w:lang w:val="en-US" w:eastAsia="zh-CN"/>
              </w:rPr>
              <w:t>办公电话</w:t>
            </w:r>
            <w:r>
              <w:rPr>
                <w:rFonts w:hint="eastAsia" w:ascii="宋体" w:hAnsi="宋体" w:cs="宋体"/>
                <w:b w:val="0"/>
                <w:bCs/>
                <w:color w:val="auto"/>
                <w:sz w:val="24"/>
                <w:szCs w:val="24"/>
                <w:highlight w:val="none"/>
                <w:shd w:val="clear" w:color="auto" w:fill="FFFFFF"/>
                <w:lang w:eastAsia="zh-CN"/>
              </w:rPr>
              <w:t>）</w:t>
            </w:r>
          </w:p>
        </w:tc>
      </w:tr>
      <w:tr w14:paraId="0062CF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2F54517E">
            <w:pPr>
              <w:jc w:val="center"/>
              <w:rPr>
                <w:rFonts w:ascii="宋体" w:hAnsi="宋体" w:cs="宋体"/>
                <w:color w:val="auto"/>
                <w:sz w:val="24"/>
                <w:highlight w:val="none"/>
              </w:rPr>
            </w:pPr>
            <w:r>
              <w:rPr>
                <w:rFonts w:hint="eastAsia" w:ascii="宋体" w:hAnsi="宋体" w:cs="宋体"/>
                <w:color w:val="auto"/>
                <w:sz w:val="24"/>
                <w:highlight w:val="none"/>
              </w:rPr>
              <w:t>3</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71028C7D">
            <w:pPr>
              <w:jc w:val="center"/>
              <w:rPr>
                <w:rFonts w:ascii="宋体" w:hAnsi="宋体" w:cs="宋体"/>
                <w:color w:val="auto"/>
                <w:sz w:val="24"/>
                <w:highlight w:val="none"/>
              </w:rPr>
            </w:pPr>
            <w:r>
              <w:rPr>
                <w:rFonts w:hint="eastAsia" w:ascii="宋体" w:hAnsi="宋体" w:cs="宋体"/>
                <w:color w:val="auto"/>
                <w:sz w:val="24"/>
                <w:highlight w:val="none"/>
              </w:rPr>
              <w:t>项目名称</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09DAE19C">
            <w:pPr>
              <w:rPr>
                <w:rFonts w:hint="eastAsia" w:ascii="宋体" w:hAnsi="宋体" w:cs="宋体"/>
                <w:color w:val="auto"/>
                <w:sz w:val="24"/>
                <w:highlight w:val="none"/>
              </w:rPr>
            </w:pPr>
            <w:r>
              <w:rPr>
                <w:rFonts w:hint="eastAsia" w:ascii="宋体" w:hAnsi="宋体" w:cs="宋体"/>
                <w:color w:val="auto"/>
                <w:sz w:val="24"/>
                <w:highlight w:val="none"/>
                <w:lang w:val="en-US" w:eastAsia="zh-CN"/>
              </w:rPr>
              <w:t>农安县饮马河堤防水毁修复工程</w:t>
            </w:r>
          </w:p>
        </w:tc>
      </w:tr>
      <w:tr w14:paraId="6B3DDA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4F9BDEA9">
            <w:pPr>
              <w:jc w:val="center"/>
              <w:rPr>
                <w:rFonts w:ascii="宋体" w:hAnsi="宋体" w:cs="宋体"/>
                <w:color w:val="auto"/>
                <w:sz w:val="24"/>
                <w:highlight w:val="none"/>
              </w:rPr>
            </w:pPr>
            <w:r>
              <w:rPr>
                <w:rFonts w:hint="eastAsia" w:ascii="宋体" w:hAnsi="宋体" w:cs="宋体"/>
                <w:color w:val="auto"/>
                <w:sz w:val="24"/>
                <w:highlight w:val="none"/>
              </w:rPr>
              <w:t>4</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279C0437">
            <w:pPr>
              <w:jc w:val="center"/>
              <w:rPr>
                <w:rFonts w:ascii="宋体" w:hAnsi="宋体" w:cs="宋体"/>
                <w:color w:val="auto"/>
                <w:sz w:val="24"/>
                <w:highlight w:val="none"/>
              </w:rPr>
            </w:pPr>
            <w:r>
              <w:rPr>
                <w:rFonts w:hint="eastAsia" w:ascii="宋体" w:hAnsi="宋体" w:cs="宋体"/>
                <w:color w:val="auto"/>
                <w:sz w:val="24"/>
                <w:highlight w:val="none"/>
              </w:rPr>
              <w:t>项目地点</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1CA9AD49">
            <w:pPr>
              <w:rPr>
                <w:rFonts w:hint="eastAsia" w:ascii="宋体" w:hAnsi="宋体" w:eastAsia="宋体"/>
                <w:color w:val="auto"/>
                <w:sz w:val="24"/>
                <w:highlight w:val="none"/>
                <w:lang w:eastAsia="zh-CN"/>
              </w:rPr>
            </w:pPr>
            <w:r>
              <w:rPr>
                <w:rFonts w:hint="eastAsia" w:ascii="宋体" w:hAnsi="宋体"/>
                <w:color w:val="auto"/>
                <w:sz w:val="24"/>
                <w:highlight w:val="none"/>
                <w:lang w:val="zh-CN" w:eastAsia="zh-CN"/>
              </w:rPr>
              <w:t>农安县</w:t>
            </w:r>
          </w:p>
        </w:tc>
      </w:tr>
      <w:tr w14:paraId="56F773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079E055A">
            <w:pPr>
              <w:jc w:val="center"/>
              <w:rPr>
                <w:rFonts w:ascii="宋体" w:hAnsi="宋体" w:cs="宋体"/>
                <w:color w:val="auto"/>
                <w:sz w:val="24"/>
                <w:highlight w:val="none"/>
              </w:rPr>
            </w:pPr>
            <w:r>
              <w:rPr>
                <w:rFonts w:hint="eastAsia" w:ascii="宋体" w:hAnsi="宋体" w:cs="宋体"/>
                <w:color w:val="auto"/>
                <w:sz w:val="24"/>
                <w:highlight w:val="none"/>
              </w:rPr>
              <w:t>5</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392891D8">
            <w:pPr>
              <w:jc w:val="center"/>
              <w:rPr>
                <w:rFonts w:ascii="宋体" w:hAnsi="宋体" w:cs="宋体"/>
                <w:color w:val="auto"/>
                <w:sz w:val="24"/>
                <w:highlight w:val="none"/>
              </w:rPr>
            </w:pPr>
            <w:r>
              <w:rPr>
                <w:rFonts w:hint="eastAsia" w:ascii="宋体" w:hAnsi="宋体" w:cs="宋体"/>
                <w:color w:val="auto"/>
                <w:sz w:val="24"/>
                <w:highlight w:val="none"/>
              </w:rPr>
              <w:t>资金来源</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243F6EA0">
            <w:pPr>
              <w:rPr>
                <w:rFonts w:ascii="宋体" w:hAnsi="宋体" w:cs="宋体"/>
                <w:color w:val="auto"/>
                <w:sz w:val="24"/>
                <w:highlight w:val="none"/>
              </w:rPr>
            </w:pPr>
            <w:r>
              <w:rPr>
                <w:rFonts w:hint="eastAsia" w:ascii="宋体" w:hAnsi="宋体"/>
                <w:color w:val="auto"/>
                <w:sz w:val="24"/>
                <w:highlight w:val="none"/>
                <w:lang w:val="en-US" w:eastAsia="zh-CN"/>
              </w:rPr>
              <w:t>财政资金</w:t>
            </w:r>
          </w:p>
        </w:tc>
      </w:tr>
      <w:tr w14:paraId="1DB12C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57858D1F">
            <w:pPr>
              <w:jc w:val="center"/>
              <w:rPr>
                <w:rFonts w:ascii="宋体" w:hAnsi="宋体" w:cs="宋体"/>
                <w:color w:val="auto"/>
                <w:sz w:val="24"/>
                <w:highlight w:val="none"/>
              </w:rPr>
            </w:pPr>
            <w:r>
              <w:rPr>
                <w:rFonts w:hint="eastAsia" w:ascii="宋体" w:hAnsi="宋体" w:cs="宋体"/>
                <w:color w:val="auto"/>
                <w:sz w:val="24"/>
                <w:highlight w:val="none"/>
              </w:rPr>
              <w:t>6</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7AA38886">
            <w:pPr>
              <w:jc w:val="center"/>
              <w:rPr>
                <w:rFonts w:ascii="宋体" w:hAnsi="宋体" w:cs="宋体"/>
                <w:color w:val="auto"/>
                <w:sz w:val="24"/>
                <w:highlight w:val="none"/>
              </w:rPr>
            </w:pPr>
            <w:r>
              <w:rPr>
                <w:rFonts w:hint="eastAsia" w:ascii="宋体" w:hAnsi="宋体" w:cs="宋体"/>
                <w:color w:val="auto"/>
                <w:sz w:val="24"/>
                <w:highlight w:val="none"/>
              </w:rPr>
              <w:t>资金落实情况</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4BB367BA">
            <w:pPr>
              <w:rPr>
                <w:rFonts w:ascii="宋体" w:hAnsi="宋体" w:cs="宋体"/>
                <w:color w:val="auto"/>
                <w:sz w:val="24"/>
                <w:highlight w:val="none"/>
              </w:rPr>
            </w:pPr>
            <w:r>
              <w:rPr>
                <w:rFonts w:hint="eastAsia" w:ascii="宋体" w:hAnsi="宋体" w:cs="宋体"/>
                <w:color w:val="auto"/>
                <w:sz w:val="24"/>
                <w:highlight w:val="none"/>
              </w:rPr>
              <w:t>已落实</w:t>
            </w:r>
          </w:p>
        </w:tc>
      </w:tr>
      <w:tr w14:paraId="6DA176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1"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0D856C7F">
            <w:pPr>
              <w:jc w:val="center"/>
              <w:rPr>
                <w:rFonts w:ascii="宋体" w:hAnsi="宋体" w:cs="宋体"/>
                <w:color w:val="auto"/>
                <w:sz w:val="24"/>
                <w:highlight w:val="none"/>
              </w:rPr>
            </w:pPr>
            <w:r>
              <w:rPr>
                <w:rFonts w:hint="eastAsia" w:ascii="宋体" w:hAnsi="宋体" w:cs="宋体"/>
                <w:color w:val="auto"/>
                <w:sz w:val="24"/>
                <w:highlight w:val="none"/>
              </w:rPr>
              <w:t>7</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0D1884CA">
            <w:pPr>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采购需求</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249B21DD">
            <w:pPr>
              <w:rPr>
                <w:rFonts w:ascii="宋体" w:hAnsi="宋体" w:cs="宋体"/>
                <w:color w:val="auto"/>
                <w:sz w:val="24"/>
                <w:highlight w:val="none"/>
              </w:rPr>
            </w:pPr>
            <w:r>
              <w:rPr>
                <w:rFonts w:hint="eastAsia" w:ascii="宋体" w:hAnsi="宋体" w:eastAsia="宋体" w:cs="宋体"/>
                <w:b w:val="0"/>
                <w:color w:val="auto"/>
                <w:kern w:val="2"/>
                <w:sz w:val="24"/>
                <w:szCs w:val="21"/>
                <w:highlight w:val="none"/>
                <w:lang w:val="zh-CN" w:eastAsia="zh-CN" w:bidi="ar-SA"/>
              </w:rPr>
              <w:t>工程量清单范围内所有工程内容</w:t>
            </w:r>
          </w:p>
        </w:tc>
      </w:tr>
      <w:tr w14:paraId="2E9838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1"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56FC369C">
            <w:pPr>
              <w:jc w:val="center"/>
              <w:rPr>
                <w:rFonts w:ascii="宋体" w:hAnsi="宋体" w:cs="宋体"/>
                <w:color w:val="auto"/>
                <w:sz w:val="24"/>
                <w:highlight w:val="none"/>
              </w:rPr>
            </w:pPr>
            <w:r>
              <w:rPr>
                <w:rFonts w:hint="eastAsia" w:ascii="宋体" w:hAnsi="宋体" w:cs="宋体"/>
                <w:color w:val="auto"/>
                <w:sz w:val="24"/>
                <w:highlight w:val="none"/>
              </w:rPr>
              <w:t>10</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5ECDF7CC">
            <w:pPr>
              <w:jc w:val="center"/>
              <w:rPr>
                <w:rFonts w:hint="eastAsia" w:ascii="宋体" w:hAnsi="宋体" w:eastAsia="宋体" w:cs="宋体"/>
                <w:color w:val="auto"/>
                <w:sz w:val="24"/>
                <w:highlight w:val="none"/>
                <w:lang w:eastAsia="zh-CN"/>
              </w:rPr>
            </w:pPr>
            <w:r>
              <w:rPr>
                <w:rFonts w:hint="eastAsia" w:ascii="宋体" w:hAnsi="宋体"/>
                <w:color w:val="auto"/>
                <w:sz w:val="24"/>
                <w:highlight w:val="none"/>
                <w:lang w:eastAsia="zh-CN"/>
              </w:rPr>
              <w:t>合同履行期限</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1BC84C70">
            <w:pPr>
              <w:rPr>
                <w:rFonts w:ascii="宋体" w:hAnsi="宋体" w:cs="宋体"/>
                <w:color w:val="auto"/>
                <w:sz w:val="24"/>
                <w:highlight w:val="none"/>
              </w:rPr>
            </w:pPr>
            <w:r>
              <w:rPr>
                <w:rFonts w:hint="eastAsia" w:ascii="宋体" w:hAnsi="宋体" w:cs="宋体"/>
                <w:color w:val="auto"/>
                <w:sz w:val="24"/>
                <w:szCs w:val="21"/>
                <w:highlight w:val="none"/>
                <w:lang w:val="zh-CN"/>
              </w:rPr>
              <w:t>合同签订之日起4个月内</w:t>
            </w:r>
          </w:p>
        </w:tc>
      </w:tr>
      <w:tr w14:paraId="42B1AF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92"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4E2E9DA6">
            <w:pPr>
              <w:jc w:val="center"/>
              <w:rPr>
                <w:rFonts w:ascii="宋体" w:hAnsi="宋体" w:cs="宋体"/>
                <w:color w:val="auto"/>
                <w:sz w:val="24"/>
                <w:highlight w:val="none"/>
              </w:rPr>
            </w:pPr>
            <w:r>
              <w:rPr>
                <w:rFonts w:hint="eastAsia" w:ascii="宋体" w:hAnsi="宋体" w:cs="宋体"/>
                <w:color w:val="auto"/>
                <w:sz w:val="24"/>
                <w:highlight w:val="none"/>
              </w:rPr>
              <w:t>11</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62542B72">
            <w:pPr>
              <w:jc w:val="center"/>
              <w:rPr>
                <w:rFonts w:hint="eastAsia" w:ascii="宋体" w:hAnsi="宋体" w:eastAsia="宋体"/>
                <w:color w:val="auto"/>
                <w:sz w:val="24"/>
                <w:highlight w:val="none"/>
                <w:lang w:eastAsia="zh-CN"/>
              </w:rPr>
            </w:pPr>
            <w:r>
              <w:rPr>
                <w:rFonts w:hint="eastAsia" w:ascii="宋体" w:hAnsi="宋体"/>
                <w:color w:val="auto"/>
                <w:sz w:val="24"/>
                <w:highlight w:val="none"/>
              </w:rPr>
              <w:t>质量</w:t>
            </w:r>
            <w:r>
              <w:rPr>
                <w:rFonts w:hint="eastAsia" w:ascii="宋体" w:hAnsi="宋体"/>
                <w:color w:val="auto"/>
                <w:sz w:val="24"/>
                <w:highlight w:val="none"/>
                <w:lang w:eastAsia="zh-CN"/>
              </w:rPr>
              <w:t>标准</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363F7424">
            <w:pPr>
              <w:rPr>
                <w:rFonts w:hint="eastAsia" w:ascii="宋体" w:hAnsi="宋体" w:eastAsia="宋体"/>
                <w:color w:val="auto"/>
                <w:sz w:val="24"/>
                <w:highlight w:val="none"/>
                <w:lang w:eastAsia="zh-CN"/>
              </w:rPr>
            </w:pPr>
            <w:r>
              <w:rPr>
                <w:rFonts w:hint="eastAsia" w:ascii="宋体" w:hAnsi="宋体"/>
                <w:color w:val="auto"/>
                <w:sz w:val="24"/>
                <w:highlight w:val="none"/>
                <w:lang w:eastAsia="zh-CN"/>
              </w:rPr>
              <w:t>符合《水利水电工程施工质量检验与评定规程》（SLl76-2007）及《水利水电建设工程验收规程》（SL223-2008）标准的合格工程及国家相关法律规定；</w:t>
            </w:r>
          </w:p>
        </w:tc>
      </w:tr>
      <w:tr w14:paraId="73B57C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014E03D0">
            <w:pPr>
              <w:jc w:val="center"/>
              <w:rPr>
                <w:rFonts w:ascii="宋体" w:hAnsi="宋体" w:cs="宋体"/>
                <w:color w:val="auto"/>
                <w:sz w:val="24"/>
                <w:highlight w:val="none"/>
              </w:rPr>
            </w:pPr>
            <w:r>
              <w:rPr>
                <w:rFonts w:hint="eastAsia" w:ascii="宋体" w:hAnsi="宋体" w:cs="宋体"/>
                <w:color w:val="auto"/>
                <w:sz w:val="24"/>
                <w:highlight w:val="none"/>
              </w:rPr>
              <w:t>12</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4D79B165">
            <w:pPr>
              <w:jc w:val="center"/>
              <w:rPr>
                <w:rFonts w:ascii="宋体" w:hAnsi="宋体"/>
                <w:color w:val="auto"/>
                <w:sz w:val="24"/>
                <w:highlight w:val="none"/>
              </w:rPr>
            </w:pPr>
            <w:r>
              <w:rPr>
                <w:rFonts w:hint="eastAsia" w:ascii="宋体" w:hAnsi="宋体"/>
                <w:color w:val="auto"/>
                <w:sz w:val="24"/>
                <w:highlight w:val="none"/>
              </w:rPr>
              <w:t>安全要求</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4EC18B5C">
            <w:pPr>
              <w:rPr>
                <w:rFonts w:ascii="宋体" w:hAnsi="宋体"/>
                <w:color w:val="auto"/>
                <w:sz w:val="24"/>
                <w:highlight w:val="none"/>
              </w:rPr>
            </w:pPr>
            <w:r>
              <w:rPr>
                <w:rFonts w:hint="eastAsia" w:ascii="宋体" w:hAnsi="宋体"/>
                <w:color w:val="auto"/>
                <w:sz w:val="24"/>
                <w:highlight w:val="none"/>
              </w:rPr>
              <w:t>符合现行水利行业施工安全相关标准</w:t>
            </w:r>
          </w:p>
        </w:tc>
      </w:tr>
      <w:tr w14:paraId="320D03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54"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112C8E3A">
            <w:pPr>
              <w:jc w:val="center"/>
              <w:rPr>
                <w:rFonts w:ascii="宋体" w:hAnsi="宋体" w:cs="宋体"/>
                <w:color w:val="auto"/>
                <w:sz w:val="24"/>
                <w:highlight w:val="none"/>
              </w:rPr>
            </w:pPr>
            <w:r>
              <w:rPr>
                <w:rFonts w:hint="eastAsia" w:ascii="宋体" w:hAnsi="宋体" w:cs="宋体"/>
                <w:color w:val="auto"/>
                <w:sz w:val="24"/>
                <w:highlight w:val="none"/>
              </w:rPr>
              <w:t>13</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3D616616">
            <w:pPr>
              <w:jc w:val="center"/>
              <w:rPr>
                <w:rFonts w:ascii="宋体" w:hAnsi="宋体" w:cs="宋体"/>
                <w:color w:val="auto"/>
                <w:sz w:val="24"/>
                <w:highlight w:val="none"/>
              </w:rPr>
            </w:pPr>
            <w:r>
              <w:rPr>
                <w:rFonts w:hint="eastAsia" w:ascii="宋体" w:hAnsi="宋体" w:cs="宋体"/>
                <w:color w:val="auto"/>
                <w:sz w:val="24"/>
                <w:highlight w:val="none"/>
                <w:lang w:eastAsia="zh-CN"/>
              </w:rPr>
              <w:t>供应商</w:t>
            </w:r>
            <w:r>
              <w:rPr>
                <w:rFonts w:hint="eastAsia" w:ascii="宋体" w:hAnsi="宋体" w:cs="宋体"/>
                <w:color w:val="auto"/>
                <w:sz w:val="24"/>
                <w:highlight w:val="none"/>
              </w:rPr>
              <w:t>资质条件、能力和信誉</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671276DD">
            <w:pPr>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1.满足《中华人民共和国政府采购法》第二十二条规定；</w:t>
            </w:r>
          </w:p>
          <w:p w14:paraId="7AAB2046">
            <w:pPr>
              <w:rPr>
                <w:rFonts w:hint="eastAsia" w:ascii="宋体" w:hAnsi="宋体" w:eastAsia="宋体" w:cs="Times New Roman"/>
                <w:color w:val="auto"/>
                <w:sz w:val="24"/>
                <w:highlight w:val="none"/>
                <w:lang w:val="zh-CN"/>
              </w:rPr>
            </w:pPr>
            <w:r>
              <w:rPr>
                <w:rFonts w:hint="eastAsia" w:ascii="宋体" w:hAnsi="宋体" w:eastAsia="宋体" w:cs="Times New Roman"/>
                <w:color w:val="auto"/>
                <w:sz w:val="24"/>
                <w:highlight w:val="none"/>
              </w:rPr>
              <w:t>2.落实政府采购政策需满足的资格要求：</w:t>
            </w:r>
            <w:r>
              <w:rPr>
                <w:rFonts w:hint="eastAsia" w:ascii="宋体" w:hAnsi="宋体" w:eastAsia="宋体" w:cs="Times New Roman"/>
                <w:color w:val="auto"/>
                <w:sz w:val="24"/>
                <w:highlight w:val="none"/>
                <w:lang w:val="zh-CN"/>
              </w:rPr>
              <w:t>本项目属于全部面向中小企业采购的项目，属于建筑业；</w:t>
            </w:r>
          </w:p>
          <w:p w14:paraId="7BC50B2B">
            <w:pPr>
              <w:rPr>
                <w:rFonts w:hint="eastAsia" w:ascii="宋体" w:hAnsi="宋体" w:eastAsia="宋体" w:cs="Times New Roman"/>
                <w:color w:val="auto"/>
                <w:sz w:val="24"/>
                <w:highlight w:val="none"/>
                <w:lang w:eastAsia="zh-CN"/>
              </w:rPr>
            </w:pPr>
            <w:r>
              <w:rPr>
                <w:rFonts w:hint="eastAsia" w:ascii="宋体" w:hAnsi="宋体" w:eastAsia="宋体" w:cs="Times New Roman"/>
                <w:color w:val="auto"/>
                <w:sz w:val="24"/>
                <w:highlight w:val="none"/>
                <w:lang w:val="zh-CN"/>
              </w:rPr>
              <w:t>本采购项目落实的政府采购政策：《政府采购促进中小企业发展管理办法》(财库〔2020〕46号)、《关于进一步加大政府采购支持中小企业力度的通知》（财库〔2022〕19号）、《关于促进残疾人就业政府采购政策的通知》(财库[2017]141号)、《关于政府采购支持监狱企业发展有关问题的通知》(财库[2014]68号)、《关于调整优化节能产品、环境标志产品政府采购执行机制的通知》(财库[2019]9号。</w:t>
            </w:r>
          </w:p>
          <w:p w14:paraId="7F09DC8B">
            <w:pPr>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3.本项目的特定资格要求：</w:t>
            </w:r>
          </w:p>
          <w:p w14:paraId="1EE061C4">
            <w:pPr>
              <w:rPr>
                <w:rFonts w:hint="eastAsia" w:ascii="宋体" w:hAnsi="宋体" w:eastAsia="宋体" w:cs="Times New Roman"/>
                <w:color w:val="auto"/>
                <w:sz w:val="24"/>
                <w:highlight w:val="none"/>
                <w:lang w:eastAsia="zh-CN"/>
              </w:rPr>
            </w:pPr>
            <w:r>
              <w:rPr>
                <w:rFonts w:hint="eastAsia" w:ascii="宋体" w:hAnsi="宋体" w:eastAsia="宋体" w:cs="Times New Roman"/>
                <w:color w:val="auto"/>
                <w:sz w:val="24"/>
                <w:highlight w:val="none"/>
              </w:rPr>
              <w:t>3.1在中华人民共和国境内注册，能够独立承担民事责任的法人或其他组织形式；</w:t>
            </w:r>
            <w:r>
              <w:rPr>
                <w:rFonts w:hint="eastAsia" w:ascii="宋体" w:hAnsi="宋体" w:eastAsia="宋体" w:cs="Times New Roman"/>
                <w:color w:val="auto"/>
                <w:sz w:val="24"/>
                <w:highlight w:val="none"/>
                <w:lang w:eastAsia="zh-CN"/>
              </w:rPr>
              <w:t>供应商</w:t>
            </w:r>
            <w:r>
              <w:rPr>
                <w:rFonts w:hint="eastAsia" w:ascii="宋体" w:hAnsi="宋体" w:eastAsia="宋体" w:cs="Times New Roman"/>
                <w:color w:val="auto"/>
                <w:sz w:val="24"/>
                <w:highlight w:val="none"/>
              </w:rPr>
              <w:t>须具备</w:t>
            </w:r>
            <w:r>
              <w:rPr>
                <w:rFonts w:hint="eastAsia" w:ascii="宋体" w:hAnsi="宋体" w:eastAsia="宋体" w:cs="Times New Roman"/>
                <w:color w:val="auto"/>
                <w:sz w:val="24"/>
                <w:highlight w:val="none"/>
                <w:lang w:eastAsia="zh-CN"/>
              </w:rPr>
              <w:t>水利水电工程施工总承包</w:t>
            </w:r>
            <w:r>
              <w:rPr>
                <w:rFonts w:hint="eastAsia" w:ascii="宋体" w:hAnsi="宋体" w:eastAsia="宋体" w:cs="Times New Roman"/>
                <w:color w:val="auto"/>
                <w:sz w:val="24"/>
                <w:highlight w:val="none"/>
                <w:lang w:val="en-US" w:eastAsia="zh-CN"/>
              </w:rPr>
              <w:t>二</w:t>
            </w:r>
            <w:r>
              <w:rPr>
                <w:rFonts w:hint="eastAsia" w:ascii="宋体" w:hAnsi="宋体" w:eastAsia="宋体" w:cs="Times New Roman"/>
                <w:color w:val="auto"/>
                <w:sz w:val="24"/>
                <w:highlight w:val="none"/>
                <w:lang w:eastAsia="zh-CN"/>
              </w:rPr>
              <w:t>级及以上资质</w:t>
            </w:r>
            <w:r>
              <w:rPr>
                <w:rFonts w:hint="eastAsia" w:ascii="宋体" w:hAnsi="宋体" w:eastAsia="宋体" w:cs="Times New Roman"/>
                <w:color w:val="auto"/>
                <w:sz w:val="24"/>
                <w:highlight w:val="none"/>
              </w:rPr>
              <w:t>，具有有效的安全生产许可证，并在人员、设备、资金等方面具有相应的施工能力；</w:t>
            </w:r>
            <w:r>
              <w:rPr>
                <w:rFonts w:hint="eastAsia" w:ascii="宋体" w:hAnsi="宋体" w:eastAsia="宋体" w:cs="Times New Roman"/>
                <w:color w:val="auto"/>
                <w:sz w:val="24"/>
                <w:highlight w:val="none"/>
                <w:lang w:eastAsia="zh-CN"/>
              </w:rPr>
              <w:t>（注：1.吉林省建筑业企业资质涉及有效期届满有效期延续问题的按照《吉林省住房和城乡建设厅关于建筑业企业资质延续有关事宜的通知》(吉建管(2023)23号)文件执行。2.</w:t>
            </w:r>
            <w:r>
              <w:rPr>
                <w:rFonts w:hint="eastAsia" w:ascii="宋体" w:hAnsi="宋体" w:eastAsia="宋体" w:cs="Times New Roman"/>
                <w:color w:val="auto"/>
                <w:sz w:val="24"/>
                <w:highlight w:val="none"/>
                <w:lang w:val="en-US" w:eastAsia="zh-CN"/>
              </w:rPr>
              <w:t>有效期内的</w:t>
            </w:r>
            <w:r>
              <w:rPr>
                <w:rFonts w:hint="eastAsia" w:ascii="宋体" w:hAnsi="宋体" w:eastAsia="宋体" w:cs="Times New Roman"/>
                <w:color w:val="auto"/>
                <w:sz w:val="24"/>
                <w:highlight w:val="none"/>
                <w:lang w:eastAsia="zh-CN"/>
              </w:rPr>
              <w:t>水利水电工程施工总承包</w:t>
            </w:r>
            <w:r>
              <w:rPr>
                <w:rFonts w:hint="eastAsia" w:ascii="宋体" w:hAnsi="宋体" w:eastAsia="宋体" w:cs="Times New Roman"/>
                <w:color w:val="auto"/>
                <w:sz w:val="24"/>
                <w:highlight w:val="none"/>
                <w:lang w:val="en-US" w:eastAsia="zh-CN"/>
              </w:rPr>
              <w:t>三</w:t>
            </w:r>
            <w:r>
              <w:rPr>
                <w:rFonts w:hint="eastAsia" w:ascii="宋体" w:hAnsi="宋体" w:eastAsia="宋体" w:cs="Times New Roman"/>
                <w:color w:val="auto"/>
                <w:sz w:val="24"/>
                <w:highlight w:val="none"/>
                <w:lang w:eastAsia="zh-CN"/>
              </w:rPr>
              <w:t>级</w:t>
            </w:r>
            <w:r>
              <w:rPr>
                <w:rFonts w:hint="eastAsia" w:ascii="宋体" w:hAnsi="宋体" w:eastAsia="宋体" w:cs="Times New Roman"/>
                <w:color w:val="auto"/>
                <w:sz w:val="24"/>
                <w:highlight w:val="none"/>
                <w:lang w:val="en-US" w:eastAsia="zh-CN"/>
              </w:rPr>
              <w:t>资质投标有效，</w:t>
            </w:r>
            <w:r>
              <w:rPr>
                <w:rFonts w:hint="eastAsia" w:ascii="宋体" w:hAnsi="宋体" w:eastAsia="宋体" w:cs="Times New Roman"/>
                <w:color w:val="auto"/>
                <w:sz w:val="24"/>
                <w:highlight w:val="none"/>
                <w:lang w:eastAsia="zh-CN"/>
              </w:rPr>
              <w:t>其他省（市）核发的资质涉及有效期届满</w:t>
            </w:r>
            <w:r>
              <w:rPr>
                <w:rFonts w:hint="eastAsia" w:ascii="宋体" w:hAnsi="宋体" w:eastAsia="宋体" w:cs="Times New Roman"/>
                <w:color w:val="auto"/>
                <w:sz w:val="24"/>
                <w:highlight w:val="none"/>
                <w:lang w:val="en-US" w:eastAsia="zh-CN"/>
              </w:rPr>
              <w:t>或</w:t>
            </w:r>
            <w:r>
              <w:rPr>
                <w:rFonts w:hint="eastAsia" w:ascii="宋体" w:hAnsi="宋体" w:eastAsia="宋体" w:cs="Times New Roman"/>
                <w:color w:val="auto"/>
                <w:sz w:val="24"/>
                <w:highlight w:val="none"/>
                <w:lang w:eastAsia="zh-CN"/>
              </w:rPr>
              <w:t>有效期延续问题的，按照当地建设行政主管部门文件执行。投标文件内须提供当地住房和城乡建设部门官方网站发布的准予延期文件截图及网址，否则不予认定。）</w:t>
            </w:r>
          </w:p>
          <w:p w14:paraId="32430800">
            <w:pPr>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3.2人员要求</w:t>
            </w:r>
            <w:r>
              <w:rPr>
                <w:rFonts w:hint="eastAsia" w:ascii="宋体" w:hAnsi="宋体" w:eastAsia="宋体" w:cs="Times New Roman"/>
                <w:color w:val="auto"/>
                <w:sz w:val="24"/>
                <w:highlight w:val="none"/>
                <w:lang w:val="en-US" w:eastAsia="zh-CN"/>
              </w:rPr>
              <w:t>：</w:t>
            </w:r>
            <w:r>
              <w:rPr>
                <w:rFonts w:hint="eastAsia" w:ascii="宋体" w:hAnsi="宋体" w:eastAsia="宋体" w:cs="Times New Roman"/>
                <w:color w:val="auto"/>
                <w:sz w:val="24"/>
                <w:highlight w:val="none"/>
                <w:lang w:eastAsia="zh-CN"/>
              </w:rPr>
              <w:t>供应商</w:t>
            </w:r>
            <w:r>
              <w:rPr>
                <w:rFonts w:hint="eastAsia" w:ascii="宋体" w:hAnsi="宋体" w:eastAsia="宋体" w:cs="Times New Roman"/>
                <w:color w:val="auto"/>
                <w:sz w:val="24"/>
                <w:highlight w:val="none"/>
              </w:rPr>
              <w:t>拟派出的项目经理须具备建设行政主管部门核发的</w:t>
            </w:r>
            <w:r>
              <w:rPr>
                <w:rFonts w:hint="eastAsia" w:ascii="宋体" w:hAnsi="宋体" w:eastAsia="宋体" w:cs="Times New Roman"/>
                <w:color w:val="auto"/>
                <w:sz w:val="24"/>
                <w:highlight w:val="none"/>
                <w:lang w:eastAsia="zh-CN"/>
              </w:rPr>
              <w:t>水利水电工程专业贰级</w:t>
            </w:r>
            <w:r>
              <w:rPr>
                <w:rFonts w:hint="eastAsia" w:ascii="宋体" w:hAnsi="宋体" w:eastAsia="宋体" w:cs="Times New Roman"/>
                <w:color w:val="auto"/>
                <w:sz w:val="24"/>
                <w:highlight w:val="none"/>
              </w:rPr>
              <w:t>及以上注册建造师资格，具有有效的安全生产考核合格证书（B类），且无在建工程；拟派出的技术负责人须具有相关专业中级及以上技术职称，且无在建工程；</w:t>
            </w:r>
          </w:p>
          <w:p w14:paraId="04E7BDC4">
            <w:pPr>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lang w:val="en-US" w:eastAsia="zh-CN"/>
              </w:rPr>
              <w:t>3.3</w:t>
            </w:r>
            <w:r>
              <w:rPr>
                <w:rFonts w:hint="eastAsia" w:ascii="宋体" w:hAnsi="宋体" w:eastAsia="宋体" w:cs="Times New Roman"/>
                <w:color w:val="auto"/>
                <w:sz w:val="24"/>
                <w:highlight w:val="none"/>
              </w:rPr>
              <w:t>根据长财采购【2022】2066号文件要求提交反映其财务状况、依法缴纳税收和社保保障资金情况的《资格条件承诺函》；</w:t>
            </w:r>
          </w:p>
          <w:p w14:paraId="68E2202C">
            <w:pPr>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不适用信用承诺的情形：</w:t>
            </w:r>
          </w:p>
          <w:p w14:paraId="2520E32B">
            <w:pPr>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①被列入政府采购不良行为记录名单的，被禁止参加政府采购活动且尚在处罚有效期内的；</w:t>
            </w:r>
          </w:p>
          <w:p w14:paraId="42E9DEA9">
            <w:pPr>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②被有关部门列入失信被执行人、联合惩戒对象、严重违法失信行为记录等情形的；</w:t>
            </w:r>
          </w:p>
          <w:p w14:paraId="74F75431">
            <w:pPr>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③其他法律法规规定的不适用于资格条件信用承诺的情形。</w:t>
            </w:r>
          </w:p>
          <w:p w14:paraId="33A0F1F9">
            <w:pPr>
              <w:rPr>
                <w:rFonts w:hint="eastAsia" w:ascii="宋体" w:hAnsi="宋体" w:eastAsia="宋体" w:cs="Times New Roman"/>
                <w:color w:val="auto"/>
                <w:sz w:val="24"/>
                <w:highlight w:val="none"/>
                <w:lang w:val="zh-CN"/>
              </w:rPr>
            </w:pPr>
            <w:r>
              <w:rPr>
                <w:rFonts w:hint="eastAsia" w:ascii="宋体" w:hAnsi="宋体" w:eastAsia="宋体" w:cs="Times New Roman"/>
                <w:color w:val="auto"/>
                <w:sz w:val="24"/>
                <w:highlight w:val="none"/>
              </w:rPr>
              <w:t>3.</w:t>
            </w:r>
            <w:r>
              <w:rPr>
                <w:rFonts w:hint="eastAsia" w:ascii="宋体" w:hAnsi="宋体" w:eastAsia="宋体" w:cs="Times New Roman"/>
                <w:color w:val="auto"/>
                <w:sz w:val="24"/>
                <w:highlight w:val="none"/>
                <w:lang w:val="en-US" w:eastAsia="zh-CN"/>
              </w:rPr>
              <w:t>4</w:t>
            </w:r>
            <w:r>
              <w:rPr>
                <w:rFonts w:hint="eastAsia" w:ascii="宋体" w:hAnsi="宋体" w:eastAsia="宋体" w:cs="Times New Roman"/>
                <w:color w:val="auto"/>
                <w:sz w:val="24"/>
                <w:highlight w:val="none"/>
                <w:lang w:val="zh-CN"/>
              </w:rPr>
              <w:t>拒绝列入政府取消投标资格记录期间的企业或个人投标；</w:t>
            </w:r>
          </w:p>
          <w:p w14:paraId="050127BA">
            <w:pPr>
              <w:rPr>
                <w:rFonts w:hint="eastAsia" w:ascii="宋体" w:hAnsi="宋体" w:eastAsia="宋体" w:cs="Times New Roman"/>
                <w:color w:val="auto"/>
                <w:sz w:val="24"/>
                <w:highlight w:val="none"/>
                <w:lang w:val="zh-CN"/>
              </w:rPr>
            </w:pPr>
            <w:r>
              <w:rPr>
                <w:rFonts w:hint="eastAsia" w:ascii="宋体" w:hAnsi="宋体" w:eastAsia="宋体" w:cs="Times New Roman"/>
                <w:color w:val="auto"/>
                <w:sz w:val="24"/>
                <w:highlight w:val="none"/>
                <w:lang w:val="zh-CN"/>
              </w:rPr>
              <w:t>3.</w:t>
            </w:r>
            <w:r>
              <w:rPr>
                <w:rFonts w:hint="eastAsia" w:ascii="宋体" w:hAnsi="宋体" w:eastAsia="宋体" w:cs="Times New Roman"/>
                <w:color w:val="auto"/>
                <w:sz w:val="24"/>
                <w:highlight w:val="none"/>
                <w:lang w:val="en-US" w:eastAsia="zh-CN"/>
              </w:rPr>
              <w:t>5</w:t>
            </w:r>
            <w:r>
              <w:rPr>
                <w:rFonts w:hint="eastAsia" w:ascii="宋体" w:hAnsi="宋体" w:eastAsia="宋体" w:cs="Times New Roman"/>
                <w:color w:val="auto"/>
                <w:sz w:val="24"/>
                <w:highlight w:val="none"/>
                <w:lang w:val="zh-CN"/>
              </w:rPr>
              <w:t>不接受被列入失信被执行人、重大税收违法案件当事人名单、政府采购严重违法失信行为记录名单的供应商参与投标；</w:t>
            </w:r>
          </w:p>
          <w:p w14:paraId="6CB83930">
            <w:pPr>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3.</w:t>
            </w:r>
            <w:r>
              <w:rPr>
                <w:rFonts w:hint="eastAsia" w:ascii="宋体" w:hAnsi="宋体" w:eastAsia="宋体" w:cs="Times New Roman"/>
                <w:color w:val="auto"/>
                <w:sz w:val="24"/>
                <w:highlight w:val="none"/>
                <w:lang w:val="en-US" w:eastAsia="zh-CN"/>
              </w:rPr>
              <w:t>6</w:t>
            </w:r>
            <w:r>
              <w:rPr>
                <w:rFonts w:hint="eastAsia" w:ascii="宋体" w:hAnsi="宋体" w:eastAsia="宋体" w:cs="Times New Roman"/>
                <w:color w:val="auto"/>
                <w:sz w:val="24"/>
                <w:highlight w:val="none"/>
              </w:rPr>
              <w:t>与</w:t>
            </w:r>
            <w:r>
              <w:rPr>
                <w:rFonts w:hint="eastAsia" w:ascii="宋体" w:hAnsi="宋体" w:eastAsia="宋体" w:cs="Times New Roman"/>
                <w:color w:val="auto"/>
                <w:sz w:val="24"/>
                <w:highlight w:val="none"/>
                <w:lang w:eastAsia="zh-CN"/>
              </w:rPr>
              <w:t>采购人</w:t>
            </w:r>
            <w:r>
              <w:rPr>
                <w:rFonts w:hint="eastAsia" w:ascii="宋体" w:hAnsi="宋体" w:eastAsia="宋体" w:cs="Times New Roman"/>
                <w:color w:val="auto"/>
                <w:sz w:val="24"/>
                <w:highlight w:val="none"/>
              </w:rPr>
              <w:t>存在利害关系可能影响招标公正性的法人、其他组织或者个人，不得参加投标。</w:t>
            </w:r>
            <w:r>
              <w:rPr>
                <w:rFonts w:hint="eastAsia" w:ascii="宋体" w:hAnsi="宋体" w:eastAsia="宋体" w:cs="Times New Roman"/>
                <w:color w:val="auto"/>
                <w:sz w:val="24"/>
                <w:highlight w:val="none"/>
                <w:lang w:eastAsia="zh-CN"/>
              </w:rPr>
              <w:t>单位负责人为同一人或者存在直接控股、管理关系的不同供应商，不得参加同一合同项下的政府采购活动。</w:t>
            </w:r>
            <w:r>
              <w:rPr>
                <w:rFonts w:hint="eastAsia" w:ascii="宋体" w:hAnsi="宋体" w:eastAsia="宋体" w:cs="Times New Roman"/>
                <w:color w:val="auto"/>
                <w:sz w:val="24"/>
                <w:highlight w:val="none"/>
              </w:rPr>
              <w:t>违反这两款规定的，相关投标均无效；</w:t>
            </w:r>
          </w:p>
          <w:p w14:paraId="5B43E0E6">
            <w:pPr>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为</w:t>
            </w:r>
            <w:r>
              <w:rPr>
                <w:rFonts w:hint="default" w:ascii="宋体" w:hAnsi="宋体" w:eastAsia="宋体" w:cs="Times New Roman"/>
                <w:color w:val="auto"/>
                <w:sz w:val="24"/>
                <w:highlight w:val="none"/>
              </w:rPr>
              <w:t>采购项目</w:t>
            </w:r>
            <w:r>
              <w:rPr>
                <w:rFonts w:hint="eastAsia" w:ascii="宋体" w:hAnsi="宋体" w:eastAsia="宋体" w:cs="Times New Roman"/>
                <w:color w:val="auto"/>
                <w:sz w:val="24"/>
                <w:highlight w:val="none"/>
              </w:rPr>
              <w:t>提供整体设计、规范编制或者项目管理、检测等服务的</w:t>
            </w:r>
            <w:r>
              <w:rPr>
                <w:rFonts w:hint="eastAsia" w:ascii="宋体" w:hAnsi="宋体" w:eastAsia="宋体" w:cs="Times New Roman"/>
                <w:color w:val="auto"/>
                <w:sz w:val="24"/>
                <w:highlight w:val="none"/>
                <w:lang w:eastAsia="zh-CN"/>
              </w:rPr>
              <w:t>供应商</w:t>
            </w:r>
            <w:r>
              <w:rPr>
                <w:rFonts w:hint="eastAsia" w:ascii="宋体" w:hAnsi="宋体" w:eastAsia="宋体" w:cs="Times New Roman"/>
                <w:color w:val="auto"/>
                <w:sz w:val="24"/>
                <w:highlight w:val="none"/>
              </w:rPr>
              <w:t>，不得再参加本</w:t>
            </w:r>
            <w:r>
              <w:rPr>
                <w:rFonts w:hint="default" w:ascii="宋体" w:hAnsi="宋体" w:eastAsia="宋体" w:cs="Times New Roman"/>
                <w:color w:val="auto"/>
                <w:sz w:val="24"/>
                <w:highlight w:val="none"/>
              </w:rPr>
              <w:t>采购项目</w:t>
            </w:r>
            <w:r>
              <w:rPr>
                <w:rFonts w:hint="eastAsia" w:ascii="宋体" w:hAnsi="宋体" w:eastAsia="宋体" w:cs="Times New Roman"/>
                <w:color w:val="auto"/>
                <w:sz w:val="24"/>
                <w:highlight w:val="none"/>
              </w:rPr>
              <w:t>的其他</w:t>
            </w:r>
            <w:r>
              <w:rPr>
                <w:rFonts w:hint="eastAsia" w:ascii="宋体" w:hAnsi="宋体" w:eastAsia="宋体" w:cs="Times New Roman"/>
                <w:color w:val="auto"/>
                <w:sz w:val="24"/>
                <w:highlight w:val="none"/>
                <w:lang w:eastAsia="zh-CN"/>
              </w:rPr>
              <w:t>采购活动</w:t>
            </w:r>
            <w:r>
              <w:rPr>
                <w:rFonts w:hint="eastAsia" w:ascii="宋体" w:hAnsi="宋体" w:eastAsia="宋体" w:cs="Times New Roman"/>
                <w:color w:val="auto"/>
                <w:sz w:val="24"/>
                <w:highlight w:val="none"/>
              </w:rPr>
              <w:t>。</w:t>
            </w:r>
          </w:p>
        </w:tc>
      </w:tr>
      <w:tr w14:paraId="41BE78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492394A0">
            <w:pPr>
              <w:jc w:val="center"/>
              <w:rPr>
                <w:rFonts w:ascii="宋体" w:hAnsi="宋体" w:cs="宋体"/>
                <w:color w:val="auto"/>
                <w:sz w:val="24"/>
                <w:highlight w:val="none"/>
              </w:rPr>
            </w:pPr>
            <w:r>
              <w:rPr>
                <w:rFonts w:hint="eastAsia" w:ascii="宋体" w:hAnsi="宋体" w:cs="宋体"/>
                <w:color w:val="auto"/>
                <w:sz w:val="24"/>
                <w:highlight w:val="none"/>
              </w:rPr>
              <w:t>14</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226BDFB8">
            <w:pPr>
              <w:autoSpaceDE w:val="0"/>
              <w:autoSpaceDN w:val="0"/>
              <w:adjustRightInd w:val="0"/>
              <w:jc w:val="center"/>
              <w:rPr>
                <w:rFonts w:ascii="宋体" w:hAnsi="宋体" w:cs="宋体"/>
                <w:color w:val="auto"/>
                <w:sz w:val="24"/>
                <w:highlight w:val="none"/>
              </w:rPr>
            </w:pPr>
            <w:r>
              <w:rPr>
                <w:rFonts w:hint="eastAsia" w:ascii="宋体" w:hAnsi="宋体" w:cs="宋体"/>
                <w:color w:val="auto"/>
                <w:kern w:val="0"/>
                <w:sz w:val="24"/>
                <w:highlight w:val="none"/>
                <w:lang w:val="zh-CN"/>
              </w:rPr>
              <w:t>踏勘现场</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003689C0">
            <w:pPr>
              <w:autoSpaceDE w:val="0"/>
              <w:autoSpaceDN w:val="0"/>
              <w:adjustRightInd w:val="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不组织</w:t>
            </w:r>
          </w:p>
        </w:tc>
      </w:tr>
      <w:tr w14:paraId="0CF1CE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551B8A46">
            <w:pPr>
              <w:jc w:val="center"/>
              <w:rPr>
                <w:rFonts w:ascii="宋体" w:hAnsi="宋体" w:cs="宋体"/>
                <w:color w:val="auto"/>
                <w:sz w:val="24"/>
                <w:highlight w:val="none"/>
              </w:rPr>
            </w:pPr>
            <w:r>
              <w:rPr>
                <w:rFonts w:hint="eastAsia" w:ascii="宋体" w:hAnsi="宋体" w:cs="宋体"/>
                <w:color w:val="auto"/>
                <w:sz w:val="24"/>
                <w:highlight w:val="none"/>
              </w:rPr>
              <w:t>15</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088159D7">
            <w:pPr>
              <w:autoSpaceDE w:val="0"/>
              <w:autoSpaceDN w:val="0"/>
              <w:adjustRightInd w:val="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标前预备会</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077676BF">
            <w:pPr>
              <w:autoSpaceDE w:val="0"/>
              <w:autoSpaceDN w:val="0"/>
              <w:adjustRightInd w:val="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不召开</w:t>
            </w:r>
          </w:p>
        </w:tc>
      </w:tr>
      <w:tr w14:paraId="16C94E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589EC307">
            <w:pPr>
              <w:jc w:val="center"/>
              <w:rPr>
                <w:rFonts w:ascii="宋体" w:hAnsi="宋体" w:cs="宋体"/>
                <w:color w:val="auto"/>
                <w:sz w:val="24"/>
                <w:highlight w:val="none"/>
              </w:rPr>
            </w:pPr>
            <w:r>
              <w:rPr>
                <w:rFonts w:hint="eastAsia" w:ascii="宋体" w:hAnsi="宋体" w:cs="宋体"/>
                <w:color w:val="auto"/>
                <w:sz w:val="24"/>
                <w:highlight w:val="none"/>
              </w:rPr>
              <w:t>16</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41D36A8A">
            <w:pPr>
              <w:autoSpaceDE w:val="0"/>
              <w:autoSpaceDN w:val="0"/>
              <w:adjustRightInd w:val="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供应商提出问题的截止时间</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5FD844DF">
            <w:pPr>
              <w:autoSpaceDE w:val="0"/>
              <w:autoSpaceDN w:val="0"/>
              <w:adjustRightInd w:val="0"/>
              <w:rPr>
                <w:rFonts w:ascii="宋体" w:hAnsi="宋体" w:cs="宋体"/>
                <w:color w:val="auto"/>
                <w:kern w:val="0"/>
                <w:sz w:val="24"/>
                <w:highlight w:val="none"/>
                <w:lang w:val="zh-CN"/>
              </w:rPr>
            </w:pPr>
            <w:r>
              <w:rPr>
                <w:rFonts w:hint="eastAsia" w:ascii="宋体" w:hAnsi="宋体" w:eastAsia="宋体" w:cs="宋体"/>
                <w:color w:val="auto"/>
                <w:kern w:val="0"/>
                <w:sz w:val="24"/>
                <w:szCs w:val="24"/>
                <w:highlight w:val="none"/>
                <w:lang w:val="zh-CN"/>
              </w:rPr>
              <w:t>提交首次响应文件截止时间5日前</w:t>
            </w:r>
          </w:p>
        </w:tc>
      </w:tr>
      <w:tr w14:paraId="0D670D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32A37E85">
            <w:pPr>
              <w:jc w:val="center"/>
              <w:rPr>
                <w:rFonts w:ascii="宋体" w:hAnsi="宋体" w:cs="宋体"/>
                <w:color w:val="auto"/>
                <w:sz w:val="24"/>
                <w:highlight w:val="none"/>
              </w:rPr>
            </w:pPr>
            <w:r>
              <w:rPr>
                <w:rFonts w:hint="eastAsia" w:ascii="宋体" w:hAnsi="宋体" w:cs="宋体"/>
                <w:color w:val="auto"/>
                <w:sz w:val="24"/>
                <w:highlight w:val="none"/>
              </w:rPr>
              <w:t>17</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127C5AF1">
            <w:pPr>
              <w:autoSpaceDE w:val="0"/>
              <w:autoSpaceDN w:val="0"/>
              <w:adjustRightInd w:val="0"/>
              <w:jc w:val="center"/>
              <w:rPr>
                <w:rFonts w:ascii="宋体" w:hAnsi="宋体" w:cs="宋体"/>
                <w:color w:val="auto"/>
                <w:kern w:val="0"/>
                <w:sz w:val="24"/>
                <w:highlight w:val="none"/>
                <w:lang w:val="zh-CN"/>
              </w:rPr>
            </w:pPr>
            <w:r>
              <w:rPr>
                <w:rFonts w:hint="eastAsia" w:ascii="宋体" w:hAnsi="宋体" w:eastAsia="宋体" w:cs="宋体"/>
                <w:color w:val="auto"/>
                <w:kern w:val="0"/>
                <w:sz w:val="24"/>
                <w:szCs w:val="24"/>
                <w:highlight w:val="none"/>
                <w:lang w:val="zh-CN"/>
              </w:rPr>
              <w:t>采购人对已发出的磋商文件进行必要的澄清或者修改时间</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19BED1C1">
            <w:pPr>
              <w:autoSpaceDE w:val="0"/>
              <w:autoSpaceDN w:val="0"/>
              <w:adjustRightInd w:val="0"/>
              <w:rPr>
                <w:rFonts w:ascii="宋体" w:hAnsi="宋体" w:cs="宋体"/>
                <w:color w:val="auto"/>
                <w:kern w:val="0"/>
                <w:sz w:val="24"/>
                <w:highlight w:val="none"/>
                <w:lang w:val="zh-CN"/>
              </w:rPr>
            </w:pPr>
            <w:r>
              <w:rPr>
                <w:rFonts w:hint="eastAsia" w:ascii="宋体" w:hAnsi="宋体" w:eastAsia="宋体" w:cs="宋体"/>
                <w:color w:val="auto"/>
                <w:kern w:val="0"/>
                <w:sz w:val="24"/>
                <w:szCs w:val="24"/>
                <w:highlight w:val="none"/>
                <w:lang w:val="zh-CN"/>
              </w:rPr>
              <w:t>提交首次响应文件截止时间5日前</w:t>
            </w:r>
          </w:p>
        </w:tc>
      </w:tr>
      <w:tr w14:paraId="3BDF47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361353F3">
            <w:pPr>
              <w:jc w:val="center"/>
              <w:rPr>
                <w:rFonts w:ascii="宋体" w:hAnsi="宋体" w:cs="宋体"/>
                <w:color w:val="auto"/>
                <w:sz w:val="24"/>
                <w:highlight w:val="none"/>
              </w:rPr>
            </w:pPr>
            <w:r>
              <w:rPr>
                <w:rFonts w:hint="eastAsia" w:ascii="宋体" w:hAnsi="宋体" w:cs="宋体"/>
                <w:color w:val="auto"/>
                <w:sz w:val="24"/>
                <w:highlight w:val="none"/>
              </w:rPr>
              <w:t>18</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7BD8A1D5">
            <w:pPr>
              <w:jc w:val="center"/>
              <w:rPr>
                <w:rFonts w:ascii="宋体" w:hAnsi="宋体" w:cs="宋体"/>
                <w:color w:val="auto"/>
                <w:kern w:val="0"/>
                <w:sz w:val="24"/>
                <w:highlight w:val="none"/>
                <w:lang w:val="zh-CN"/>
              </w:rPr>
            </w:pPr>
            <w:r>
              <w:rPr>
                <w:rFonts w:hint="eastAsia" w:ascii="宋体" w:hAnsi="宋体" w:cs="宋体"/>
                <w:color w:val="auto"/>
                <w:sz w:val="24"/>
                <w:highlight w:val="none"/>
              </w:rPr>
              <w:t>分包</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5BD724E8">
            <w:pPr>
              <w:rPr>
                <w:rFonts w:ascii="宋体" w:hAnsi="宋体" w:cs="宋体"/>
                <w:color w:val="auto"/>
                <w:kern w:val="0"/>
                <w:sz w:val="24"/>
                <w:highlight w:val="none"/>
                <w:lang w:val="zh-CN"/>
              </w:rPr>
            </w:pPr>
            <w:r>
              <w:rPr>
                <w:rFonts w:hint="eastAsia" w:ascii="宋体" w:hAnsi="宋体" w:cs="宋体"/>
                <w:color w:val="auto"/>
                <w:sz w:val="24"/>
                <w:highlight w:val="none"/>
              </w:rPr>
              <w:t>不允许</w:t>
            </w:r>
          </w:p>
        </w:tc>
      </w:tr>
      <w:tr w14:paraId="7F0513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7B94546C">
            <w:pPr>
              <w:jc w:val="center"/>
              <w:rPr>
                <w:rFonts w:ascii="宋体" w:hAnsi="宋体" w:cs="宋体"/>
                <w:color w:val="auto"/>
                <w:sz w:val="24"/>
                <w:highlight w:val="none"/>
              </w:rPr>
            </w:pPr>
            <w:r>
              <w:rPr>
                <w:rFonts w:hint="eastAsia" w:ascii="宋体" w:hAnsi="宋体" w:cs="宋体"/>
                <w:color w:val="auto"/>
                <w:sz w:val="24"/>
                <w:highlight w:val="none"/>
              </w:rPr>
              <w:t>19</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3C273753">
            <w:pPr>
              <w:jc w:val="center"/>
              <w:rPr>
                <w:rFonts w:ascii="宋体" w:hAnsi="宋体" w:cs="宋体"/>
                <w:color w:val="auto"/>
                <w:sz w:val="24"/>
                <w:highlight w:val="none"/>
              </w:rPr>
            </w:pPr>
            <w:r>
              <w:rPr>
                <w:rFonts w:hint="eastAsia" w:ascii="宋体" w:hAnsi="宋体" w:cs="宋体"/>
                <w:color w:val="auto"/>
                <w:sz w:val="24"/>
                <w:highlight w:val="none"/>
              </w:rPr>
              <w:t>偏离</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1BA57E81">
            <w:pPr>
              <w:rPr>
                <w:rFonts w:ascii="宋体" w:hAnsi="宋体" w:cs="宋体"/>
                <w:color w:val="auto"/>
                <w:sz w:val="24"/>
                <w:highlight w:val="none"/>
              </w:rPr>
            </w:pPr>
            <w:r>
              <w:rPr>
                <w:rFonts w:hint="eastAsia" w:ascii="宋体" w:hAnsi="宋体" w:cs="宋体"/>
                <w:color w:val="auto"/>
                <w:sz w:val="24"/>
                <w:highlight w:val="none"/>
              </w:rPr>
              <w:t>不允许</w:t>
            </w:r>
          </w:p>
        </w:tc>
      </w:tr>
      <w:tr w14:paraId="240B7C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6245A32D">
            <w:pPr>
              <w:jc w:val="center"/>
              <w:rPr>
                <w:rFonts w:ascii="宋体" w:hAnsi="宋体" w:cs="宋体"/>
                <w:color w:val="auto"/>
                <w:sz w:val="24"/>
                <w:highlight w:val="none"/>
              </w:rPr>
            </w:pPr>
            <w:r>
              <w:rPr>
                <w:rFonts w:hint="eastAsia" w:ascii="宋体" w:hAnsi="宋体" w:cs="宋体"/>
                <w:color w:val="auto"/>
                <w:sz w:val="24"/>
                <w:highlight w:val="none"/>
              </w:rPr>
              <w:t>20</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3A75CF38">
            <w:pPr>
              <w:jc w:val="center"/>
              <w:rPr>
                <w:rFonts w:ascii="宋体" w:hAnsi="宋体" w:cs="宋体"/>
                <w:color w:val="auto"/>
                <w:kern w:val="2"/>
                <w:sz w:val="24"/>
                <w:szCs w:val="24"/>
                <w:highlight w:val="none"/>
                <w:lang w:val="en-US" w:eastAsia="zh-CN" w:bidi="ar-SA"/>
              </w:rPr>
            </w:pPr>
            <w:r>
              <w:rPr>
                <w:rFonts w:hint="eastAsia" w:ascii="宋体" w:hAnsi="宋体" w:cs="宋体"/>
                <w:color w:val="auto"/>
                <w:sz w:val="24"/>
                <w:highlight w:val="none"/>
              </w:rPr>
              <w:t>构成</w:t>
            </w:r>
            <w:r>
              <w:rPr>
                <w:rFonts w:hint="eastAsia" w:ascii="宋体" w:hAnsi="宋体" w:cs="宋体"/>
                <w:color w:val="auto"/>
                <w:sz w:val="24"/>
                <w:highlight w:val="none"/>
                <w:lang w:eastAsia="zh-CN"/>
              </w:rPr>
              <w:t>磋商文件</w:t>
            </w:r>
            <w:r>
              <w:rPr>
                <w:rFonts w:hint="eastAsia" w:ascii="宋体" w:hAnsi="宋体" w:cs="宋体"/>
                <w:color w:val="auto"/>
                <w:sz w:val="24"/>
                <w:highlight w:val="none"/>
              </w:rPr>
              <w:t>的其他材料</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15358E18">
            <w:pPr>
              <w:rPr>
                <w:rFonts w:ascii="宋体" w:hAnsi="宋体" w:cs="宋体"/>
                <w:color w:val="auto"/>
                <w:kern w:val="2"/>
                <w:sz w:val="24"/>
                <w:szCs w:val="24"/>
                <w:highlight w:val="none"/>
                <w:lang w:val="en-US" w:eastAsia="zh-CN" w:bidi="ar-SA"/>
              </w:rPr>
            </w:pPr>
            <w:r>
              <w:rPr>
                <w:rFonts w:hint="eastAsia" w:ascii="宋体" w:hAnsi="宋体" w:cs="宋体"/>
                <w:color w:val="auto"/>
                <w:sz w:val="24"/>
                <w:highlight w:val="none"/>
              </w:rPr>
              <w:t>澄清、修改及补充通知等书面材料</w:t>
            </w:r>
          </w:p>
        </w:tc>
      </w:tr>
      <w:tr w14:paraId="5AFCCB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0D9E2961">
            <w:pPr>
              <w:jc w:val="center"/>
              <w:rPr>
                <w:rFonts w:ascii="宋体" w:hAnsi="宋体" w:cs="宋体"/>
                <w:color w:val="auto"/>
                <w:sz w:val="24"/>
                <w:highlight w:val="none"/>
              </w:rPr>
            </w:pPr>
            <w:r>
              <w:rPr>
                <w:rFonts w:hint="eastAsia" w:ascii="宋体" w:hAnsi="宋体" w:cs="宋体"/>
                <w:color w:val="auto"/>
                <w:sz w:val="24"/>
                <w:highlight w:val="none"/>
              </w:rPr>
              <w:t>21</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6E4E134C">
            <w:pPr>
              <w:jc w:val="center"/>
              <w:rPr>
                <w:rFonts w:ascii="宋体" w:hAnsi="宋体" w:cs="宋体"/>
                <w:color w:val="auto"/>
                <w:sz w:val="24"/>
                <w:highlight w:val="none"/>
              </w:rPr>
            </w:pPr>
            <w:r>
              <w:rPr>
                <w:rFonts w:hint="eastAsia" w:ascii="宋体" w:hAnsi="宋体" w:cs="宋体"/>
                <w:color w:val="auto"/>
                <w:sz w:val="24"/>
                <w:highlight w:val="none"/>
              </w:rPr>
              <w:t>投标截止时间</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2E0002D5">
            <w:pPr>
              <w:rPr>
                <w:rFonts w:ascii="宋体" w:hAnsi="宋体" w:cs="宋体"/>
                <w:color w:val="auto"/>
                <w:sz w:val="24"/>
                <w:highlight w:val="none"/>
                <w:u w:val="single"/>
              </w:rPr>
            </w:pPr>
            <w:r>
              <w:rPr>
                <w:rFonts w:hint="eastAsia" w:ascii="宋体" w:hAnsi="宋体" w:cs="宋体"/>
                <w:b w:val="0"/>
                <w:bCs/>
                <w:color w:val="auto"/>
                <w:kern w:val="2"/>
                <w:sz w:val="24"/>
                <w:szCs w:val="24"/>
                <w:highlight w:val="none"/>
                <w:lang w:val="zh-CN" w:eastAsia="zh-CN" w:bidi="ar-SA"/>
              </w:rPr>
              <w:t>2025年4月18日9时30分</w:t>
            </w:r>
            <w:r>
              <w:rPr>
                <w:rFonts w:hint="eastAsia" w:ascii="宋体" w:hAnsi="宋体" w:cs="宋体"/>
                <w:color w:val="auto"/>
                <w:sz w:val="24"/>
                <w:highlight w:val="none"/>
              </w:rPr>
              <w:t>（北京时间）</w:t>
            </w:r>
          </w:p>
        </w:tc>
      </w:tr>
      <w:tr w14:paraId="323200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7F86A725">
            <w:pPr>
              <w:jc w:val="center"/>
              <w:rPr>
                <w:rFonts w:ascii="宋体" w:hAnsi="宋体" w:cs="宋体"/>
                <w:color w:val="auto"/>
                <w:sz w:val="24"/>
                <w:highlight w:val="none"/>
              </w:rPr>
            </w:pPr>
            <w:r>
              <w:rPr>
                <w:rFonts w:hint="eastAsia" w:ascii="宋体" w:hAnsi="宋体" w:cs="宋体"/>
                <w:color w:val="auto"/>
                <w:sz w:val="24"/>
                <w:highlight w:val="none"/>
              </w:rPr>
              <w:t>22</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22BC666D">
            <w:pPr>
              <w:jc w:val="center"/>
              <w:rPr>
                <w:rFonts w:ascii="宋体" w:hAnsi="宋体" w:cs="宋体"/>
                <w:color w:val="auto"/>
                <w:sz w:val="24"/>
                <w:highlight w:val="none"/>
              </w:rPr>
            </w:pPr>
            <w:r>
              <w:rPr>
                <w:rFonts w:hint="eastAsia" w:ascii="宋体" w:hAnsi="宋体" w:cs="宋体"/>
                <w:color w:val="auto"/>
                <w:sz w:val="24"/>
                <w:highlight w:val="none"/>
                <w:lang w:eastAsia="zh-CN"/>
              </w:rPr>
              <w:t>供应商</w:t>
            </w:r>
            <w:r>
              <w:rPr>
                <w:rFonts w:hint="eastAsia" w:ascii="宋体" w:hAnsi="宋体" w:cs="宋体"/>
                <w:color w:val="auto"/>
                <w:sz w:val="24"/>
                <w:highlight w:val="none"/>
              </w:rPr>
              <w:t>确认收到</w:t>
            </w:r>
            <w:r>
              <w:rPr>
                <w:rFonts w:hint="eastAsia" w:ascii="宋体" w:hAnsi="宋体" w:cs="宋体"/>
                <w:color w:val="auto"/>
                <w:sz w:val="24"/>
                <w:highlight w:val="none"/>
                <w:lang w:eastAsia="zh-CN"/>
              </w:rPr>
              <w:t>磋商文件</w:t>
            </w:r>
            <w:r>
              <w:rPr>
                <w:rFonts w:hint="eastAsia" w:ascii="宋体" w:hAnsi="宋体" w:cs="宋体"/>
                <w:color w:val="auto"/>
                <w:sz w:val="24"/>
                <w:highlight w:val="none"/>
              </w:rPr>
              <w:t>澄清的时间</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1FD723CA">
            <w:pPr>
              <w:autoSpaceDE w:val="0"/>
              <w:autoSpaceDN w:val="0"/>
              <w:adjustRightInd w:val="0"/>
              <w:rPr>
                <w:rFonts w:ascii="宋体" w:hAnsi="宋体" w:cs="宋体"/>
                <w:color w:val="auto"/>
                <w:sz w:val="24"/>
                <w:highlight w:val="none"/>
              </w:rPr>
            </w:pPr>
            <w:r>
              <w:rPr>
                <w:rFonts w:hint="eastAsia" w:ascii="宋体" w:hAnsi="宋体" w:cs="宋体"/>
                <w:color w:val="auto"/>
                <w:kern w:val="0"/>
                <w:sz w:val="24"/>
                <w:highlight w:val="none"/>
                <w:lang w:val="zh-CN"/>
              </w:rPr>
              <w:t>在收到相应澄清文件后</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u w:val="single"/>
              </w:rPr>
              <w:t>24</w:t>
            </w:r>
            <w:r>
              <w:rPr>
                <w:rFonts w:hint="eastAsia" w:ascii="宋体" w:hAnsi="宋体" w:cs="宋体"/>
                <w:color w:val="auto"/>
                <w:kern w:val="0"/>
                <w:sz w:val="24"/>
                <w:highlight w:val="none"/>
                <w:u w:val="single"/>
                <w:lang w:val="zh-CN"/>
              </w:rPr>
              <w:t>小时</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lang w:val="zh-CN"/>
              </w:rPr>
              <w:t>内</w:t>
            </w:r>
          </w:p>
        </w:tc>
      </w:tr>
      <w:tr w14:paraId="6B3D7F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7E593D2E">
            <w:pPr>
              <w:jc w:val="center"/>
              <w:rPr>
                <w:rFonts w:ascii="宋体" w:hAnsi="宋体" w:cs="宋体"/>
                <w:color w:val="auto"/>
                <w:sz w:val="24"/>
                <w:highlight w:val="none"/>
              </w:rPr>
            </w:pPr>
            <w:r>
              <w:rPr>
                <w:rFonts w:hint="eastAsia" w:ascii="宋体" w:hAnsi="宋体" w:cs="宋体"/>
                <w:color w:val="auto"/>
                <w:sz w:val="24"/>
                <w:highlight w:val="none"/>
              </w:rPr>
              <w:t>23</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75C6EE03">
            <w:pPr>
              <w:jc w:val="center"/>
              <w:rPr>
                <w:rFonts w:ascii="宋体" w:hAnsi="宋体" w:cs="宋体"/>
                <w:color w:val="auto"/>
                <w:sz w:val="24"/>
                <w:highlight w:val="none"/>
              </w:rPr>
            </w:pPr>
            <w:r>
              <w:rPr>
                <w:rFonts w:hint="eastAsia" w:ascii="宋体" w:hAnsi="宋体" w:cs="宋体"/>
                <w:color w:val="auto"/>
                <w:sz w:val="24"/>
                <w:highlight w:val="none"/>
                <w:lang w:eastAsia="zh-CN"/>
              </w:rPr>
              <w:t>供应商</w:t>
            </w:r>
            <w:r>
              <w:rPr>
                <w:rFonts w:hint="eastAsia" w:ascii="宋体" w:hAnsi="宋体" w:cs="宋体"/>
                <w:color w:val="auto"/>
                <w:sz w:val="24"/>
                <w:highlight w:val="none"/>
              </w:rPr>
              <w:t>确认收到</w:t>
            </w:r>
            <w:r>
              <w:rPr>
                <w:rFonts w:hint="eastAsia" w:ascii="宋体" w:hAnsi="宋体" w:cs="宋体"/>
                <w:color w:val="auto"/>
                <w:sz w:val="24"/>
                <w:highlight w:val="none"/>
                <w:lang w:eastAsia="zh-CN"/>
              </w:rPr>
              <w:t>磋商文件</w:t>
            </w:r>
            <w:r>
              <w:rPr>
                <w:rFonts w:hint="eastAsia" w:ascii="宋体" w:hAnsi="宋体" w:cs="宋体"/>
                <w:color w:val="auto"/>
                <w:sz w:val="24"/>
                <w:highlight w:val="none"/>
              </w:rPr>
              <w:t>修改的时间</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50637E64">
            <w:pPr>
              <w:autoSpaceDE w:val="0"/>
              <w:autoSpaceDN w:val="0"/>
              <w:adjustRightInd w:val="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在收到相应修改文件后</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u w:val="single"/>
              </w:rPr>
              <w:t>24</w:t>
            </w:r>
            <w:r>
              <w:rPr>
                <w:rFonts w:hint="eastAsia" w:ascii="宋体" w:hAnsi="宋体" w:cs="宋体"/>
                <w:color w:val="auto"/>
                <w:kern w:val="0"/>
                <w:sz w:val="24"/>
                <w:highlight w:val="none"/>
                <w:u w:val="single"/>
                <w:lang w:val="zh-CN"/>
              </w:rPr>
              <w:t>小时</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lang w:val="zh-CN"/>
              </w:rPr>
              <w:t>内</w:t>
            </w:r>
          </w:p>
        </w:tc>
      </w:tr>
      <w:tr w14:paraId="347906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05"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4BDA7C7F">
            <w:pPr>
              <w:jc w:val="center"/>
              <w:rPr>
                <w:rFonts w:ascii="宋体" w:hAnsi="宋体" w:cs="宋体"/>
                <w:color w:val="auto"/>
                <w:sz w:val="24"/>
                <w:highlight w:val="none"/>
              </w:rPr>
            </w:pPr>
            <w:r>
              <w:rPr>
                <w:rFonts w:hint="eastAsia" w:ascii="宋体" w:hAnsi="宋体" w:cs="宋体"/>
                <w:color w:val="auto"/>
                <w:sz w:val="24"/>
                <w:highlight w:val="none"/>
              </w:rPr>
              <w:t>24</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61643C91">
            <w:pPr>
              <w:jc w:val="center"/>
              <w:rPr>
                <w:rFonts w:ascii="宋体" w:hAnsi="宋体"/>
                <w:color w:val="auto"/>
                <w:sz w:val="24"/>
                <w:highlight w:val="none"/>
              </w:rPr>
            </w:pPr>
            <w:r>
              <w:rPr>
                <w:rFonts w:ascii="宋体" w:hAnsi="宋体"/>
                <w:color w:val="auto"/>
                <w:sz w:val="24"/>
                <w:highlight w:val="none"/>
              </w:rPr>
              <w:t>构成</w:t>
            </w:r>
            <w:r>
              <w:rPr>
                <w:rFonts w:hint="eastAsia" w:ascii="宋体" w:hAnsi="宋体"/>
                <w:color w:val="auto"/>
                <w:sz w:val="24"/>
                <w:highlight w:val="none"/>
                <w:lang w:eastAsia="zh-CN"/>
              </w:rPr>
              <w:t>响应文件</w:t>
            </w:r>
            <w:r>
              <w:rPr>
                <w:rFonts w:ascii="宋体" w:hAnsi="宋体"/>
                <w:color w:val="auto"/>
                <w:sz w:val="24"/>
                <w:highlight w:val="none"/>
              </w:rPr>
              <w:t>的其他材料</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6374A67C">
            <w:pPr>
              <w:rPr>
                <w:rFonts w:hint="default" w:ascii="宋体" w:hAnsi="宋体" w:eastAsia="宋体"/>
                <w:color w:val="auto"/>
                <w:sz w:val="24"/>
                <w:highlight w:val="none"/>
                <w:lang w:val="en-US" w:eastAsia="zh-CN"/>
              </w:rPr>
            </w:pPr>
            <w:r>
              <w:rPr>
                <w:rFonts w:hint="eastAsia" w:ascii="宋体" w:hAnsi="宋体" w:eastAsia="宋体"/>
                <w:color w:val="auto"/>
                <w:sz w:val="24"/>
                <w:highlight w:val="none"/>
                <w:lang w:val="en-US" w:eastAsia="zh-CN"/>
              </w:rPr>
              <w:t>/</w:t>
            </w:r>
          </w:p>
        </w:tc>
      </w:tr>
      <w:tr w14:paraId="20AF86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4"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57F6BA67">
            <w:pPr>
              <w:jc w:val="center"/>
              <w:rPr>
                <w:rFonts w:ascii="宋体" w:hAnsi="宋体" w:cs="宋体"/>
                <w:color w:val="auto"/>
                <w:sz w:val="24"/>
                <w:highlight w:val="none"/>
              </w:rPr>
            </w:pPr>
            <w:r>
              <w:rPr>
                <w:rFonts w:hint="eastAsia" w:ascii="宋体" w:hAnsi="宋体" w:cs="宋体"/>
                <w:color w:val="auto"/>
                <w:sz w:val="24"/>
                <w:highlight w:val="none"/>
              </w:rPr>
              <w:t>25</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285FD50D">
            <w:pPr>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磋商有效期</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50CA7ADC">
            <w:pPr>
              <w:rPr>
                <w:rFonts w:ascii="宋体" w:hAnsi="宋体" w:cs="宋体"/>
                <w:color w:val="auto"/>
                <w:kern w:val="0"/>
                <w:sz w:val="24"/>
                <w:highlight w:val="none"/>
                <w:lang w:val="zh-CN"/>
              </w:rPr>
            </w:pPr>
            <w:r>
              <w:rPr>
                <w:rFonts w:hint="eastAsia" w:ascii="宋体" w:hAnsi="宋体" w:cs="宋体"/>
                <w:color w:val="auto"/>
                <w:sz w:val="24"/>
                <w:highlight w:val="none"/>
              </w:rPr>
              <w:t>90天</w:t>
            </w:r>
          </w:p>
        </w:tc>
      </w:tr>
      <w:tr w14:paraId="6A129D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4"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54EC76B4">
            <w:pPr>
              <w:jc w:val="center"/>
              <w:rPr>
                <w:rFonts w:hint="eastAsia" w:ascii="宋体" w:hAnsi="宋体" w:cs="宋体"/>
                <w:color w:val="auto"/>
                <w:kern w:val="2"/>
                <w:sz w:val="24"/>
                <w:szCs w:val="24"/>
                <w:highlight w:val="none"/>
                <w:lang w:val="en-US" w:eastAsia="zh-CN" w:bidi="ar-SA"/>
              </w:rPr>
            </w:pPr>
            <w:r>
              <w:rPr>
                <w:rFonts w:hint="eastAsia" w:ascii="宋体" w:hAnsi="宋体" w:cs="宋体"/>
                <w:color w:val="auto"/>
                <w:sz w:val="24"/>
                <w:highlight w:val="none"/>
              </w:rPr>
              <w:t>26</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3253FF1A">
            <w:pPr>
              <w:jc w:val="center"/>
              <w:rPr>
                <w:rFonts w:hint="eastAsia" w:ascii="宋体" w:hAnsi="宋体" w:cs="宋体"/>
                <w:color w:val="auto"/>
                <w:kern w:val="2"/>
                <w:sz w:val="24"/>
                <w:szCs w:val="24"/>
                <w:highlight w:val="none"/>
                <w:lang w:val="en-US" w:eastAsia="zh-CN" w:bidi="ar-SA"/>
              </w:rPr>
            </w:pPr>
            <w:r>
              <w:rPr>
                <w:rFonts w:hint="eastAsia" w:ascii="宋体" w:hAnsi="宋体" w:cs="宋体"/>
                <w:color w:val="auto"/>
                <w:kern w:val="0"/>
                <w:sz w:val="24"/>
                <w:highlight w:val="none"/>
                <w:lang w:val="zh-CN"/>
              </w:rPr>
              <w:t>磋商保证金</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6E51DF1A">
            <w:pPr>
              <w:keepNext w:val="0"/>
              <w:keepLines w:val="0"/>
              <w:pageBreakBefore w:val="0"/>
              <w:kinsoku/>
              <w:wordWrap/>
              <w:overflowPunct/>
              <w:topLinePunct w:val="0"/>
              <w:autoSpaceDE w:val="0"/>
              <w:autoSpaceDN w:val="0"/>
              <w:bidi w:val="0"/>
              <w:adjustRightInd w:val="0"/>
              <w:snapToGrid/>
              <w:spacing w:line="240" w:lineRule="auto"/>
              <w:jc w:val="both"/>
              <w:textAlignment w:val="auto"/>
              <w:rPr>
                <w:rFonts w:hint="eastAsia" w:ascii="宋体" w:hAnsi="宋体" w:cs="宋体"/>
                <w:bCs/>
                <w:color w:val="auto"/>
                <w:sz w:val="24"/>
                <w:szCs w:val="24"/>
                <w:highlight w:val="none"/>
                <w:lang w:eastAsia="zh-CN"/>
              </w:rPr>
            </w:pPr>
            <w:r>
              <w:rPr>
                <w:rFonts w:hint="eastAsia" w:ascii="宋体" w:hAnsi="宋体" w:cs="宋体"/>
                <w:bCs/>
                <w:color w:val="auto"/>
                <w:sz w:val="24"/>
                <w:szCs w:val="24"/>
                <w:highlight w:val="none"/>
                <w:lang w:eastAsia="zh-CN"/>
              </w:rPr>
              <w:t>根据长春市财政局关于取消政府采购投标保证金及采购文件工本费等有关事项的通知《长财采购〔2021〕695 号》文件要求，全市政府采购货物和服务招标投标活动及非招标采购方式采购货物、工程和服务不得向诚信记录良好的供应商收取投标保证金，但对于满足《中华人民共和国政府采购法》第二十二条有关规定，经“信用中国”网站查询存在行政处罚信息的供应商，采购人、采购代理机构可以按规定收取磋商保证金。不收取投标保证金的供应商提供“信用中国”网站查询存在无行政处罚信息查询截图https://www.creditchina.gov.cn/xinxigongshi/xinxishuanggongshi/</w:t>
            </w:r>
          </w:p>
          <w:p w14:paraId="261DC65A">
            <w:pPr>
              <w:keepNext w:val="0"/>
              <w:keepLines w:val="0"/>
              <w:pageBreakBefore w:val="0"/>
              <w:kinsoku/>
              <w:wordWrap/>
              <w:overflowPunct/>
              <w:topLinePunct w:val="0"/>
              <w:autoSpaceDE w:val="0"/>
              <w:autoSpaceDN w:val="0"/>
              <w:bidi w:val="0"/>
              <w:adjustRightInd w:val="0"/>
              <w:snapToGrid/>
              <w:spacing w:line="240" w:lineRule="auto"/>
              <w:jc w:val="both"/>
              <w:textAlignment w:val="auto"/>
              <w:rPr>
                <w:rFonts w:hint="eastAsia" w:ascii="宋体" w:hAnsi="宋体" w:cs="宋体"/>
                <w:bCs/>
                <w:color w:val="auto"/>
                <w:sz w:val="24"/>
                <w:szCs w:val="24"/>
                <w:highlight w:val="none"/>
                <w:lang w:eastAsia="zh-CN"/>
              </w:rPr>
            </w:pPr>
            <w:r>
              <w:rPr>
                <w:rFonts w:hint="eastAsia" w:ascii="宋体" w:hAnsi="宋体" w:cs="宋体"/>
                <w:bCs/>
                <w:color w:val="auto"/>
                <w:sz w:val="24"/>
                <w:szCs w:val="24"/>
                <w:highlight w:val="none"/>
                <w:lang w:eastAsia="zh-CN"/>
              </w:rPr>
              <w:t>磋商保证金递交形式：保证金应当采用支票、汇票、本票、网上银行支付或者金融机构、担保机构出具的保函等非现金形式交纳；以转账或电汇形式提交的磋商保证金应当从投标单位的基本账户转出。</w:t>
            </w:r>
          </w:p>
          <w:p w14:paraId="6468FE02">
            <w:pPr>
              <w:keepNext w:val="0"/>
              <w:keepLines w:val="0"/>
              <w:pageBreakBefore w:val="0"/>
              <w:kinsoku/>
              <w:wordWrap/>
              <w:overflowPunct/>
              <w:topLinePunct w:val="0"/>
              <w:autoSpaceDE w:val="0"/>
              <w:autoSpaceDN w:val="0"/>
              <w:bidi w:val="0"/>
              <w:adjustRightInd w:val="0"/>
              <w:snapToGrid/>
              <w:spacing w:line="240" w:lineRule="auto"/>
              <w:jc w:val="both"/>
              <w:textAlignment w:val="auto"/>
              <w:rPr>
                <w:rFonts w:hint="eastAsia" w:ascii="宋体" w:hAnsi="宋体" w:cs="宋体"/>
                <w:b w:val="0"/>
                <w:bCs/>
                <w:color w:val="auto"/>
                <w:sz w:val="24"/>
                <w:szCs w:val="24"/>
                <w:highlight w:val="none"/>
                <w:lang w:eastAsia="zh-CN"/>
              </w:rPr>
            </w:pPr>
            <w:r>
              <w:rPr>
                <w:rFonts w:hint="eastAsia" w:ascii="宋体" w:hAnsi="宋体" w:cs="宋体"/>
                <w:bCs/>
                <w:color w:val="auto"/>
                <w:sz w:val="24"/>
                <w:szCs w:val="24"/>
                <w:highlight w:val="none"/>
                <w:lang w:eastAsia="zh-CN"/>
              </w:rPr>
              <w:t>磋商保证金</w:t>
            </w:r>
            <w:r>
              <w:rPr>
                <w:rFonts w:hint="eastAsia" w:ascii="宋体" w:hAnsi="宋体" w:cs="宋体"/>
                <w:bCs/>
                <w:color w:val="auto"/>
                <w:sz w:val="24"/>
                <w:szCs w:val="24"/>
                <w:highlight w:val="none"/>
              </w:rPr>
              <w:t>的</w:t>
            </w:r>
            <w:r>
              <w:rPr>
                <w:rFonts w:hint="eastAsia" w:ascii="宋体" w:hAnsi="宋体" w:cs="宋体"/>
                <w:b w:val="0"/>
                <w:bCs/>
                <w:color w:val="auto"/>
                <w:sz w:val="24"/>
                <w:szCs w:val="24"/>
                <w:highlight w:val="none"/>
              </w:rPr>
              <w:t>金额：</w:t>
            </w:r>
            <w:r>
              <w:rPr>
                <w:rFonts w:hint="eastAsia" w:ascii="宋体" w:hAnsi="宋体" w:cs="宋体"/>
                <w:b w:val="0"/>
                <w:bCs/>
                <w:color w:val="auto"/>
                <w:sz w:val="24"/>
                <w:szCs w:val="24"/>
                <w:highlight w:val="none"/>
                <w:lang w:val="en-US" w:eastAsia="zh-CN"/>
              </w:rPr>
              <w:t>10000元</w:t>
            </w:r>
          </w:p>
          <w:p w14:paraId="5C55C73A">
            <w:pPr>
              <w:keepNext w:val="0"/>
              <w:keepLines w:val="0"/>
              <w:pageBreakBefore w:val="0"/>
              <w:kinsoku/>
              <w:wordWrap/>
              <w:overflowPunct/>
              <w:topLinePunct w:val="0"/>
              <w:autoSpaceDE w:val="0"/>
              <w:autoSpaceDN w:val="0"/>
              <w:bidi w:val="0"/>
              <w:adjustRightInd w:val="0"/>
              <w:snapToGrid/>
              <w:spacing w:line="240" w:lineRule="auto"/>
              <w:jc w:val="both"/>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收取磋商保证金账号：</w:t>
            </w:r>
            <w:r>
              <w:rPr>
                <w:rFonts w:hint="eastAsia" w:ascii="宋体" w:hAnsi="宋体" w:cs="宋体"/>
                <w:bCs/>
                <w:color w:val="auto"/>
                <w:sz w:val="24"/>
                <w:szCs w:val="24"/>
                <w:highlight w:val="none"/>
              </w:rPr>
              <w:t>636562218</w:t>
            </w:r>
          </w:p>
          <w:p w14:paraId="6D7FB295">
            <w:pPr>
              <w:keepNext w:val="0"/>
              <w:keepLines w:val="0"/>
              <w:pageBreakBefore w:val="0"/>
              <w:kinsoku/>
              <w:wordWrap/>
              <w:overflowPunct/>
              <w:topLinePunct w:val="0"/>
              <w:autoSpaceDE w:val="0"/>
              <w:autoSpaceDN w:val="0"/>
              <w:bidi w:val="0"/>
              <w:adjustRightInd w:val="0"/>
              <w:snapToGrid/>
              <w:spacing w:line="240" w:lineRule="auto"/>
              <w:jc w:val="both"/>
              <w:textAlignment w:val="auto"/>
              <w:rPr>
                <w:rFonts w:hint="eastAsia" w:ascii="宋体" w:hAnsi="宋体" w:cs="宋体"/>
                <w:bCs/>
                <w:color w:val="auto"/>
                <w:sz w:val="24"/>
                <w:szCs w:val="24"/>
                <w:highlight w:val="none"/>
              </w:rPr>
            </w:pPr>
            <w:r>
              <w:rPr>
                <w:rFonts w:hint="eastAsia" w:ascii="宋体" w:hAnsi="宋体" w:cs="宋体"/>
                <w:bCs/>
                <w:color w:val="auto"/>
                <w:sz w:val="24"/>
                <w:szCs w:val="24"/>
                <w:highlight w:val="none"/>
              </w:rPr>
              <w:t>账  户：</w:t>
            </w:r>
            <w:r>
              <w:rPr>
                <w:rFonts w:hint="eastAsia" w:ascii="宋体" w:hAnsi="宋体" w:cs="宋体"/>
                <w:bCs/>
                <w:color w:val="auto"/>
                <w:sz w:val="24"/>
                <w:szCs w:val="24"/>
                <w:highlight w:val="none"/>
                <w:lang w:eastAsia="zh-CN"/>
              </w:rPr>
              <w:t xml:space="preserve">吉林省森茂项目管理有限公司  </w:t>
            </w:r>
            <w:r>
              <w:rPr>
                <w:rFonts w:hint="eastAsia" w:ascii="宋体" w:hAnsi="宋体" w:cs="宋体"/>
                <w:bCs/>
                <w:color w:val="auto"/>
                <w:sz w:val="24"/>
                <w:szCs w:val="24"/>
                <w:highlight w:val="none"/>
              </w:rPr>
              <w:t xml:space="preserve">            </w:t>
            </w:r>
          </w:p>
          <w:p w14:paraId="42F26150">
            <w:pPr>
              <w:keepNext w:val="0"/>
              <w:keepLines w:val="0"/>
              <w:pageBreakBefore w:val="0"/>
              <w:kinsoku/>
              <w:wordWrap/>
              <w:overflowPunct/>
              <w:topLinePunct w:val="0"/>
              <w:autoSpaceDE w:val="0"/>
              <w:autoSpaceDN w:val="0"/>
              <w:bidi w:val="0"/>
              <w:adjustRightInd w:val="0"/>
              <w:snapToGrid/>
              <w:spacing w:line="240" w:lineRule="auto"/>
              <w:jc w:val="both"/>
              <w:textAlignment w:val="auto"/>
              <w:rPr>
                <w:rFonts w:hint="eastAsia" w:ascii="宋体" w:hAnsi="宋体" w:cs="宋体"/>
                <w:bCs/>
                <w:color w:val="auto"/>
                <w:sz w:val="24"/>
                <w:szCs w:val="24"/>
                <w:highlight w:val="none"/>
              </w:rPr>
            </w:pPr>
            <w:r>
              <w:rPr>
                <w:rFonts w:hint="eastAsia" w:ascii="宋体" w:hAnsi="宋体" w:cs="宋体"/>
                <w:bCs/>
                <w:color w:val="auto"/>
                <w:sz w:val="24"/>
                <w:szCs w:val="24"/>
                <w:highlight w:val="none"/>
              </w:rPr>
              <w:t>账  号：636562218</w:t>
            </w:r>
          </w:p>
          <w:p w14:paraId="01EC3E35">
            <w:pPr>
              <w:keepNext w:val="0"/>
              <w:keepLines w:val="0"/>
              <w:pageBreakBefore w:val="0"/>
              <w:kinsoku/>
              <w:wordWrap/>
              <w:overflowPunct/>
              <w:topLinePunct w:val="0"/>
              <w:autoSpaceDE w:val="0"/>
              <w:autoSpaceDN w:val="0"/>
              <w:bidi w:val="0"/>
              <w:adjustRightInd w:val="0"/>
              <w:snapToGrid/>
              <w:spacing w:line="240" w:lineRule="auto"/>
              <w:jc w:val="both"/>
              <w:textAlignment w:val="auto"/>
              <w:rPr>
                <w:rFonts w:hint="eastAsia" w:ascii="宋体" w:hAnsi="宋体" w:cs="宋体"/>
                <w:bCs/>
                <w:color w:val="auto"/>
                <w:sz w:val="24"/>
                <w:szCs w:val="24"/>
                <w:highlight w:val="none"/>
              </w:rPr>
            </w:pPr>
            <w:r>
              <w:rPr>
                <w:rFonts w:hint="eastAsia" w:ascii="宋体" w:hAnsi="宋体" w:cs="宋体"/>
                <w:bCs/>
                <w:color w:val="auto"/>
                <w:sz w:val="24"/>
                <w:szCs w:val="24"/>
                <w:highlight w:val="none"/>
              </w:rPr>
              <w:t>开户行：中国民生银行股份有限公司长春南环支行</w:t>
            </w:r>
          </w:p>
          <w:p w14:paraId="2C94099D">
            <w:pPr>
              <w:keepNext w:val="0"/>
              <w:keepLines w:val="0"/>
              <w:pageBreakBefore w:val="0"/>
              <w:kinsoku/>
              <w:wordWrap/>
              <w:overflowPunct/>
              <w:topLinePunct w:val="0"/>
              <w:autoSpaceDE w:val="0"/>
              <w:autoSpaceDN w:val="0"/>
              <w:bidi w:val="0"/>
              <w:adjustRightInd w:val="0"/>
              <w:snapToGrid/>
              <w:spacing w:line="240" w:lineRule="auto"/>
              <w:jc w:val="both"/>
              <w:textAlignment w:val="auto"/>
              <w:rPr>
                <w:rFonts w:hint="eastAsia" w:ascii="宋体" w:hAnsi="宋体" w:cs="宋体"/>
                <w:bCs/>
                <w:color w:val="auto"/>
                <w:sz w:val="24"/>
                <w:szCs w:val="24"/>
                <w:highlight w:val="none"/>
              </w:rPr>
            </w:pPr>
            <w:r>
              <w:rPr>
                <w:rFonts w:hint="eastAsia" w:ascii="宋体" w:hAnsi="宋体" w:cs="宋体"/>
                <w:bCs/>
                <w:color w:val="auto"/>
                <w:sz w:val="24"/>
                <w:szCs w:val="24"/>
                <w:highlight w:val="none"/>
              </w:rPr>
              <w:t>递交方式：</w:t>
            </w:r>
            <w:r>
              <w:rPr>
                <w:rFonts w:hint="eastAsia" w:ascii="宋体" w:hAnsi="宋体" w:cs="宋体"/>
                <w:bCs/>
                <w:color w:val="auto"/>
                <w:sz w:val="24"/>
                <w:szCs w:val="24"/>
                <w:highlight w:val="none"/>
                <w:lang w:eastAsia="zh-CN"/>
              </w:rPr>
              <w:t>供应商</w:t>
            </w:r>
            <w:r>
              <w:rPr>
                <w:rFonts w:hint="eastAsia" w:ascii="宋体" w:hAnsi="宋体" w:cs="宋体"/>
                <w:bCs/>
                <w:color w:val="auto"/>
                <w:sz w:val="24"/>
                <w:szCs w:val="24"/>
                <w:highlight w:val="none"/>
              </w:rPr>
              <w:t>须在</w:t>
            </w:r>
            <w:r>
              <w:rPr>
                <w:rFonts w:hint="eastAsia" w:ascii="宋体" w:hAnsi="宋体" w:cs="宋体"/>
                <w:b w:val="0"/>
                <w:bCs w:val="0"/>
                <w:color w:val="auto"/>
                <w:sz w:val="24"/>
                <w:szCs w:val="24"/>
                <w:highlight w:val="none"/>
                <w:lang w:eastAsia="zh-CN"/>
              </w:rPr>
              <w:t>开标截止时间</w:t>
            </w:r>
            <w:r>
              <w:rPr>
                <w:rFonts w:hint="eastAsia" w:ascii="宋体" w:hAnsi="宋体" w:cs="宋体"/>
                <w:b w:val="0"/>
                <w:bCs w:val="0"/>
                <w:color w:val="auto"/>
                <w:sz w:val="24"/>
                <w:szCs w:val="24"/>
                <w:highlight w:val="none"/>
              </w:rPr>
              <w:t>前</w:t>
            </w:r>
            <w:r>
              <w:rPr>
                <w:rFonts w:hint="eastAsia" w:ascii="宋体" w:hAnsi="宋体" w:cs="宋体"/>
                <w:bCs/>
                <w:color w:val="auto"/>
                <w:sz w:val="24"/>
                <w:szCs w:val="24"/>
                <w:highlight w:val="none"/>
              </w:rPr>
              <w:t>（北京时间）将</w:t>
            </w:r>
            <w:r>
              <w:rPr>
                <w:rFonts w:hint="eastAsia" w:ascii="宋体" w:hAnsi="宋体" w:cs="宋体"/>
                <w:bCs/>
                <w:color w:val="auto"/>
                <w:sz w:val="24"/>
                <w:szCs w:val="24"/>
                <w:highlight w:val="none"/>
                <w:lang w:eastAsia="zh-CN"/>
              </w:rPr>
              <w:t>磋商保证金</w:t>
            </w:r>
            <w:r>
              <w:rPr>
                <w:rFonts w:hint="eastAsia" w:ascii="宋体" w:hAnsi="宋体" w:cs="宋体"/>
                <w:bCs/>
                <w:color w:val="auto"/>
                <w:sz w:val="24"/>
                <w:szCs w:val="24"/>
                <w:highlight w:val="none"/>
              </w:rPr>
              <w:t>存入</w:t>
            </w:r>
            <w:r>
              <w:rPr>
                <w:rFonts w:hint="eastAsia" w:ascii="宋体" w:hAnsi="宋体" w:cs="宋体"/>
                <w:bCs/>
                <w:color w:val="auto"/>
                <w:sz w:val="24"/>
                <w:szCs w:val="24"/>
                <w:highlight w:val="none"/>
                <w:lang w:eastAsia="zh-CN"/>
              </w:rPr>
              <w:t>采购代理机构</w:t>
            </w:r>
            <w:r>
              <w:rPr>
                <w:rFonts w:hint="eastAsia" w:ascii="宋体" w:hAnsi="宋体" w:cs="宋体"/>
                <w:bCs/>
                <w:color w:val="auto"/>
                <w:sz w:val="24"/>
                <w:szCs w:val="24"/>
                <w:highlight w:val="none"/>
              </w:rPr>
              <w:t>指定账户，</w:t>
            </w:r>
            <w:r>
              <w:rPr>
                <w:rFonts w:hint="eastAsia" w:ascii="宋体" w:hAnsi="宋体" w:cs="宋体"/>
                <w:bCs/>
                <w:color w:val="auto"/>
                <w:sz w:val="24"/>
                <w:szCs w:val="24"/>
                <w:highlight w:val="none"/>
                <w:lang w:eastAsia="zh-CN"/>
              </w:rPr>
              <w:t>磋商保证金</w:t>
            </w:r>
            <w:r>
              <w:rPr>
                <w:rFonts w:hint="eastAsia" w:ascii="宋体" w:hAnsi="宋体" w:cs="宋体"/>
                <w:bCs/>
                <w:color w:val="auto"/>
                <w:sz w:val="24"/>
                <w:szCs w:val="24"/>
                <w:highlight w:val="none"/>
              </w:rPr>
              <w:t>以</w:t>
            </w:r>
            <w:r>
              <w:rPr>
                <w:rFonts w:hint="eastAsia" w:ascii="宋体" w:hAnsi="宋体" w:cs="宋体"/>
                <w:bCs/>
                <w:color w:val="auto"/>
                <w:sz w:val="24"/>
                <w:szCs w:val="24"/>
                <w:highlight w:val="none"/>
                <w:lang w:eastAsia="zh-CN"/>
              </w:rPr>
              <w:t>最终到账</w:t>
            </w:r>
            <w:r>
              <w:rPr>
                <w:rFonts w:hint="eastAsia" w:ascii="宋体" w:hAnsi="宋体" w:cs="宋体"/>
                <w:bCs/>
                <w:color w:val="auto"/>
                <w:sz w:val="24"/>
                <w:szCs w:val="24"/>
                <w:highlight w:val="none"/>
              </w:rPr>
              <w:t>期为准。</w:t>
            </w:r>
          </w:p>
          <w:p w14:paraId="655F4EC2">
            <w:pPr>
              <w:keepNext w:val="0"/>
              <w:keepLines w:val="0"/>
              <w:pageBreakBefore w:val="0"/>
              <w:kinsoku/>
              <w:wordWrap/>
              <w:overflowPunct/>
              <w:topLinePunct w:val="0"/>
              <w:autoSpaceDE w:val="0"/>
              <w:autoSpaceDN w:val="0"/>
              <w:bidi w:val="0"/>
              <w:adjustRightInd w:val="0"/>
              <w:snapToGrid/>
              <w:spacing w:line="240" w:lineRule="auto"/>
              <w:jc w:val="both"/>
              <w:textAlignment w:val="auto"/>
              <w:rPr>
                <w:rFonts w:hint="eastAsia" w:ascii="宋体" w:hAnsi="宋体" w:cs="宋体"/>
                <w:b/>
                <w:bCs/>
                <w:color w:val="auto"/>
                <w:sz w:val="24"/>
                <w:szCs w:val="24"/>
                <w:highlight w:val="none"/>
              </w:rPr>
            </w:pPr>
            <w:r>
              <w:rPr>
                <w:rFonts w:hint="eastAsia" w:ascii="宋体" w:hAnsi="宋体" w:cs="宋体"/>
                <w:b/>
                <w:bCs/>
                <w:color w:val="auto"/>
                <w:sz w:val="24"/>
                <w:szCs w:val="24"/>
                <w:highlight w:val="none"/>
              </w:rPr>
              <w:t>其他要求：</w:t>
            </w:r>
          </w:p>
          <w:p w14:paraId="4158FA77">
            <w:pPr>
              <w:pStyle w:val="435"/>
              <w:spacing w:line="240" w:lineRule="auto"/>
              <w:ind w:left="0" w:leftChars="0" w:firstLine="0" w:firstLineChars="0"/>
              <w:rPr>
                <w:rFonts w:hint="eastAsia" w:ascii="宋体" w:hAnsi="宋体" w:eastAsia="宋体" w:cs="宋体"/>
                <w:color w:val="auto"/>
                <w:kern w:val="2"/>
                <w:sz w:val="24"/>
                <w:szCs w:val="24"/>
                <w:highlight w:val="none"/>
                <w:lang w:val="zh-CN" w:eastAsia="zh-CN" w:bidi="ar-SA"/>
              </w:rPr>
            </w:pPr>
            <w:r>
              <w:rPr>
                <w:rFonts w:hint="eastAsia" w:eastAsia="宋体" w:cs="宋体"/>
                <w:color w:val="auto"/>
                <w:kern w:val="2"/>
                <w:sz w:val="24"/>
                <w:szCs w:val="24"/>
                <w:highlight w:val="none"/>
                <w:lang w:val="zh-CN" w:eastAsia="zh-CN" w:bidi="ar-SA"/>
              </w:rPr>
              <w:t>供应商</w:t>
            </w:r>
            <w:r>
              <w:rPr>
                <w:rFonts w:hint="eastAsia" w:ascii="宋体" w:hAnsi="宋体" w:eastAsia="宋体" w:cs="宋体"/>
                <w:color w:val="auto"/>
                <w:kern w:val="2"/>
                <w:sz w:val="24"/>
                <w:szCs w:val="24"/>
                <w:highlight w:val="none"/>
                <w:lang w:val="zh-CN" w:eastAsia="zh-CN" w:bidi="ar-SA"/>
              </w:rPr>
              <w:t>在提交保证金时，须在存款单备注中注明本项目编号、名称（可简写）及</w:t>
            </w:r>
            <w:r>
              <w:rPr>
                <w:rFonts w:hint="eastAsia" w:eastAsia="宋体" w:cs="宋体"/>
                <w:color w:val="auto"/>
                <w:kern w:val="2"/>
                <w:sz w:val="24"/>
                <w:szCs w:val="24"/>
                <w:highlight w:val="none"/>
                <w:lang w:val="zh-CN" w:eastAsia="zh-CN" w:bidi="ar-SA"/>
              </w:rPr>
              <w:t>磋商保证金</w:t>
            </w:r>
            <w:r>
              <w:rPr>
                <w:rFonts w:hint="eastAsia" w:ascii="宋体" w:hAnsi="宋体" w:eastAsia="宋体" w:cs="宋体"/>
                <w:color w:val="auto"/>
                <w:kern w:val="2"/>
                <w:sz w:val="24"/>
                <w:szCs w:val="24"/>
                <w:highlight w:val="none"/>
                <w:lang w:val="zh-CN" w:eastAsia="zh-CN" w:bidi="ar-SA"/>
              </w:rPr>
              <w:t>便于采购代理机构查询相关信息。</w:t>
            </w:r>
          </w:p>
          <w:p w14:paraId="36420592">
            <w:pPr>
              <w:keepNext w:val="0"/>
              <w:keepLines w:val="0"/>
              <w:pageBreakBefore w:val="0"/>
              <w:kinsoku/>
              <w:wordWrap/>
              <w:overflowPunct/>
              <w:topLinePunct w:val="0"/>
              <w:autoSpaceDE w:val="0"/>
              <w:autoSpaceDN w:val="0"/>
              <w:bidi w:val="0"/>
              <w:adjustRightInd w:val="0"/>
              <w:snapToGrid/>
              <w:spacing w:line="240" w:lineRule="auto"/>
              <w:jc w:val="both"/>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磋商保证金以现金方式递交的应在</w:t>
            </w:r>
            <w:r>
              <w:rPr>
                <w:rFonts w:hint="eastAsia" w:ascii="宋体" w:hAnsi="宋体" w:eastAsia="宋体" w:cs="宋体"/>
                <w:color w:val="auto"/>
                <w:sz w:val="24"/>
                <w:szCs w:val="24"/>
                <w:highlight w:val="none"/>
              </w:rPr>
              <w:t>开标截止时间</w:t>
            </w:r>
            <w:r>
              <w:rPr>
                <w:rFonts w:hint="eastAsia" w:ascii="宋体" w:hAnsi="宋体" w:eastAsia="宋体" w:cs="宋体"/>
                <w:color w:val="auto"/>
                <w:sz w:val="24"/>
                <w:szCs w:val="24"/>
                <w:highlight w:val="none"/>
                <w:lang w:val="zh-CN"/>
              </w:rPr>
              <w:t>前从供应商的基本账户</w:t>
            </w:r>
            <w:r>
              <w:rPr>
                <w:rFonts w:hint="eastAsia" w:ascii="宋体" w:hAnsi="宋体" w:cs="宋体"/>
                <w:color w:val="auto"/>
                <w:sz w:val="24"/>
                <w:szCs w:val="24"/>
                <w:highlight w:val="none"/>
                <w:lang w:val="zh-CN"/>
              </w:rPr>
              <w:t>转入</w:t>
            </w:r>
            <w:r>
              <w:rPr>
                <w:rFonts w:hint="eastAsia" w:ascii="宋体" w:hAnsi="宋体" w:eastAsia="宋体" w:cs="宋体"/>
                <w:color w:val="auto"/>
                <w:sz w:val="24"/>
                <w:szCs w:val="24"/>
                <w:highlight w:val="none"/>
                <w:lang w:val="zh-CN"/>
              </w:rPr>
              <w:t>磋商文件指定的账户。以保函方式递交的磋商保证金应在</w:t>
            </w:r>
            <w:r>
              <w:rPr>
                <w:rFonts w:hint="eastAsia" w:ascii="宋体" w:hAnsi="宋体" w:eastAsia="宋体" w:cs="宋体"/>
                <w:color w:val="auto"/>
                <w:sz w:val="24"/>
                <w:szCs w:val="24"/>
                <w:highlight w:val="none"/>
              </w:rPr>
              <w:t>开标截止时间</w:t>
            </w:r>
            <w:r>
              <w:rPr>
                <w:rFonts w:hint="eastAsia" w:ascii="宋体" w:hAnsi="宋体" w:eastAsia="宋体" w:cs="宋体"/>
                <w:color w:val="auto"/>
                <w:sz w:val="24"/>
                <w:szCs w:val="24"/>
                <w:highlight w:val="none"/>
                <w:lang w:val="zh-CN"/>
              </w:rPr>
              <w:t>前将保函原件交给</w:t>
            </w:r>
            <w:r>
              <w:rPr>
                <w:rFonts w:hint="eastAsia" w:ascii="宋体" w:hAnsi="宋体" w:eastAsia="宋体" w:cs="宋体"/>
                <w:color w:val="auto"/>
                <w:sz w:val="24"/>
                <w:szCs w:val="24"/>
                <w:highlight w:val="none"/>
              </w:rPr>
              <w:t>采购代理机构</w:t>
            </w:r>
            <w:r>
              <w:rPr>
                <w:rFonts w:hint="eastAsia" w:ascii="宋体" w:hAnsi="宋体" w:eastAsia="宋体" w:cs="宋体"/>
                <w:color w:val="auto"/>
                <w:sz w:val="24"/>
                <w:szCs w:val="24"/>
                <w:highlight w:val="none"/>
                <w:lang w:val="zh-CN"/>
              </w:rPr>
              <w:t>。</w:t>
            </w:r>
            <w:r>
              <w:rPr>
                <w:rFonts w:hint="eastAsia" w:ascii="宋体" w:hAnsi="宋体" w:cs="宋体"/>
                <w:b/>
                <w:bCs w:val="0"/>
                <w:color w:val="auto"/>
                <w:sz w:val="24"/>
                <w:szCs w:val="24"/>
                <w:highlight w:val="none"/>
                <w:lang w:eastAsia="zh-CN"/>
              </w:rPr>
              <w:t>（</w:t>
            </w:r>
            <w:r>
              <w:rPr>
                <w:rFonts w:hint="eastAsia" w:ascii="宋体" w:hAnsi="宋体" w:cs="宋体"/>
                <w:b/>
                <w:bCs w:val="0"/>
                <w:color w:val="auto"/>
                <w:sz w:val="24"/>
                <w:szCs w:val="24"/>
                <w:highlight w:val="none"/>
                <w:lang w:val="en-US" w:eastAsia="zh-CN"/>
              </w:rPr>
              <w:t>保函受益人为采购代理机构</w:t>
            </w:r>
            <w:r>
              <w:rPr>
                <w:rFonts w:hint="eastAsia" w:ascii="宋体" w:hAnsi="宋体" w:cs="宋体"/>
                <w:b/>
                <w:bCs w:val="0"/>
                <w:color w:val="auto"/>
                <w:sz w:val="24"/>
                <w:szCs w:val="24"/>
                <w:highlight w:val="none"/>
                <w:lang w:eastAsia="zh-CN"/>
              </w:rPr>
              <w:t>）</w:t>
            </w:r>
          </w:p>
          <w:p w14:paraId="06EC9EE4">
            <w:pP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以现金方式提交磋商保证金未按规定时限足额转入、非供应商基本账户汇出的，保证金无效；以保函方式提交的磋商保证金未按磋商文件规定的时限和交纳方式，保函无效。</w:t>
            </w:r>
          </w:p>
          <w:p w14:paraId="3C59B429">
            <w:pPr>
              <w:pageBreakBefore w:val="0"/>
              <w:widowControl w:val="0"/>
              <w:kinsoku/>
              <w:wordWrap/>
              <w:overflowPunct/>
              <w:topLinePunct w:val="0"/>
              <w:bidi w:val="0"/>
              <w:snapToGrid/>
              <w:spacing w:line="400" w:lineRule="exact"/>
              <w:jc w:val="left"/>
              <w:textAlignment w:val="auto"/>
              <w:rPr>
                <w:rStyle w:val="60"/>
                <w:rFonts w:hint="eastAsia" w:ascii="宋体" w:hAnsi="宋体" w:eastAsia="宋体" w:cs="宋体"/>
                <w:b w:val="0"/>
                <w:bCs w:val="0"/>
                <w:color w:val="auto"/>
                <w:sz w:val="24"/>
                <w:highlight w:val="none"/>
                <w:u w:val="none"/>
                <w:lang w:val="zh-CN"/>
              </w:rPr>
            </w:pPr>
            <w:r>
              <w:rPr>
                <w:rFonts w:hint="eastAsia" w:ascii="宋体" w:hAnsi="宋体" w:eastAsia="宋体" w:cs="宋体"/>
                <w:b w:val="0"/>
                <w:bCs w:val="0"/>
                <w:color w:val="auto"/>
                <w:sz w:val="24"/>
                <w:highlight w:val="none"/>
                <w:u w:val="none"/>
                <w:lang w:val="en-US" w:eastAsia="zh-CN"/>
              </w:rPr>
              <w:t>（发送时备注供应商名称、标段名称、标段编号）</w:t>
            </w:r>
          </w:p>
          <w:p w14:paraId="38EB49FA">
            <w:pPr>
              <w:jc w:val="left"/>
              <w:rPr>
                <w:rFonts w:hint="eastAsia" w:ascii="宋体" w:hAnsi="宋体" w:cs="宋体"/>
                <w:b/>
                <w:color w:val="auto"/>
                <w:kern w:val="2"/>
                <w:sz w:val="24"/>
                <w:szCs w:val="24"/>
                <w:highlight w:val="none"/>
                <w:lang w:val="en-US" w:eastAsia="zh-CN" w:bidi="ar-SA"/>
              </w:rPr>
            </w:pPr>
            <w:r>
              <w:rPr>
                <w:rFonts w:hint="eastAsia" w:ascii="宋体" w:hAnsi="宋体" w:eastAsia="宋体" w:cs="宋体"/>
                <w:b/>
                <w:color w:val="auto"/>
                <w:sz w:val="22"/>
                <w:szCs w:val="22"/>
                <w:highlight w:val="none"/>
                <w:lang w:val="zh-CN"/>
              </w:rPr>
              <w:t>违反上述要求的其响应文件按无效标处理。</w:t>
            </w:r>
          </w:p>
        </w:tc>
      </w:tr>
      <w:tr w14:paraId="371382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59"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6124682F">
            <w:pPr>
              <w:jc w:val="center"/>
              <w:rPr>
                <w:rFonts w:ascii="宋体" w:hAnsi="宋体" w:cs="宋体"/>
                <w:color w:val="auto"/>
                <w:sz w:val="24"/>
                <w:highlight w:val="none"/>
              </w:rPr>
            </w:pPr>
            <w:r>
              <w:rPr>
                <w:rFonts w:hint="eastAsia" w:ascii="宋体" w:hAnsi="宋体" w:cs="宋体"/>
                <w:color w:val="auto"/>
                <w:sz w:val="24"/>
                <w:highlight w:val="none"/>
              </w:rPr>
              <w:t>27</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48F223EA">
            <w:pPr>
              <w:jc w:val="center"/>
              <w:rPr>
                <w:rFonts w:ascii="宋体" w:hAnsi="宋体" w:cs="宋体"/>
                <w:color w:val="auto"/>
                <w:sz w:val="24"/>
                <w:highlight w:val="none"/>
              </w:rPr>
            </w:pPr>
            <w:r>
              <w:rPr>
                <w:rFonts w:hint="eastAsia" w:ascii="宋体" w:hAnsi="宋体" w:cs="宋体"/>
                <w:color w:val="auto"/>
                <w:sz w:val="24"/>
                <w:highlight w:val="none"/>
              </w:rPr>
              <w:t>近年财务状况的年份要求</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15B94067">
            <w:pPr>
              <w:rPr>
                <w:rFonts w:ascii="宋体" w:hAnsi="宋体" w:cs="宋体"/>
                <w:color w:val="auto"/>
                <w:sz w:val="24"/>
                <w:highlight w:val="none"/>
                <w:u w:val="single"/>
              </w:rPr>
            </w:pPr>
            <w:r>
              <w:rPr>
                <w:rFonts w:hint="eastAsia" w:ascii="宋体" w:hAnsi="宋体" w:cs="宋体"/>
                <w:color w:val="auto"/>
                <w:sz w:val="24"/>
                <w:highlight w:val="none"/>
                <w:u w:val="single"/>
              </w:rPr>
              <w:t xml:space="preserve"> 近 3 年（20</w:t>
            </w:r>
            <w:r>
              <w:rPr>
                <w:rFonts w:hint="eastAsia" w:ascii="宋体" w:hAnsi="宋体" w:cs="宋体"/>
                <w:color w:val="auto"/>
                <w:sz w:val="24"/>
                <w:highlight w:val="none"/>
                <w:u w:val="single"/>
                <w:lang w:val="en-US" w:eastAsia="zh-CN"/>
              </w:rPr>
              <w:t>22</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eastAsia="zh-CN"/>
              </w:rPr>
              <w:t>至今</w:t>
            </w:r>
            <w:r>
              <w:rPr>
                <w:rFonts w:hint="eastAsia" w:ascii="宋体" w:hAnsi="宋体" w:cs="宋体"/>
                <w:color w:val="auto"/>
                <w:sz w:val="24"/>
                <w:highlight w:val="none"/>
                <w:u w:val="single"/>
              </w:rPr>
              <w:t>）</w:t>
            </w:r>
          </w:p>
        </w:tc>
      </w:tr>
      <w:tr w14:paraId="6BB5A3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40"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4164608E">
            <w:pPr>
              <w:jc w:val="center"/>
              <w:rPr>
                <w:rFonts w:ascii="宋体" w:hAnsi="宋体" w:cs="宋体"/>
                <w:color w:val="auto"/>
                <w:sz w:val="24"/>
                <w:highlight w:val="none"/>
              </w:rPr>
            </w:pPr>
            <w:r>
              <w:rPr>
                <w:rFonts w:hint="eastAsia" w:ascii="宋体" w:hAnsi="宋体" w:cs="宋体"/>
                <w:color w:val="auto"/>
                <w:sz w:val="24"/>
                <w:highlight w:val="none"/>
              </w:rPr>
              <w:t>28</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3B5831F1">
            <w:pPr>
              <w:jc w:val="center"/>
              <w:rPr>
                <w:rFonts w:ascii="宋体" w:hAnsi="宋体" w:cs="宋体"/>
                <w:color w:val="auto"/>
                <w:sz w:val="24"/>
                <w:highlight w:val="none"/>
              </w:rPr>
            </w:pPr>
            <w:r>
              <w:rPr>
                <w:rFonts w:hint="eastAsia" w:ascii="宋体" w:hAnsi="宋体" w:cs="宋体"/>
                <w:color w:val="auto"/>
                <w:sz w:val="24"/>
                <w:highlight w:val="none"/>
              </w:rPr>
              <w:t>近年完成的类似项目的年份要求</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02A9A8FB">
            <w:pPr>
              <w:rPr>
                <w:rFonts w:ascii="宋体" w:hAnsi="宋体" w:cs="宋体"/>
                <w:color w:val="auto"/>
                <w:sz w:val="24"/>
                <w:highlight w:val="none"/>
                <w:u w:val="single"/>
              </w:rPr>
            </w:pPr>
            <w:r>
              <w:rPr>
                <w:rFonts w:hint="eastAsia" w:ascii="宋体" w:hAnsi="宋体" w:cs="宋体"/>
                <w:color w:val="auto"/>
                <w:sz w:val="24"/>
                <w:highlight w:val="none"/>
              </w:rPr>
              <w:t xml:space="preserve"> </w:t>
            </w:r>
            <w:r>
              <w:rPr>
                <w:rFonts w:hint="eastAsia" w:ascii="宋体" w:hAnsi="宋体" w:cs="宋体"/>
                <w:color w:val="auto"/>
                <w:sz w:val="24"/>
                <w:highlight w:val="none"/>
                <w:u w:val="single"/>
              </w:rPr>
              <w:t>近 3 年（20</w:t>
            </w:r>
            <w:r>
              <w:rPr>
                <w:rFonts w:hint="eastAsia" w:ascii="宋体" w:hAnsi="宋体" w:cs="宋体"/>
                <w:color w:val="auto"/>
                <w:sz w:val="24"/>
                <w:highlight w:val="none"/>
                <w:u w:val="single"/>
                <w:lang w:val="en-US" w:eastAsia="zh-CN"/>
              </w:rPr>
              <w:t>22</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eastAsia="zh-CN"/>
              </w:rPr>
              <w:t>至今</w:t>
            </w:r>
            <w:r>
              <w:rPr>
                <w:rFonts w:hint="eastAsia" w:ascii="宋体" w:hAnsi="宋体" w:cs="宋体"/>
                <w:color w:val="auto"/>
                <w:sz w:val="24"/>
                <w:highlight w:val="none"/>
                <w:u w:val="single"/>
              </w:rPr>
              <w:t>）</w:t>
            </w:r>
          </w:p>
        </w:tc>
      </w:tr>
      <w:tr w14:paraId="2D145B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73"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11F4A3D9">
            <w:pPr>
              <w:jc w:val="center"/>
              <w:rPr>
                <w:rFonts w:ascii="宋体" w:hAnsi="宋体" w:cs="宋体"/>
                <w:color w:val="auto"/>
                <w:sz w:val="24"/>
                <w:highlight w:val="none"/>
              </w:rPr>
            </w:pPr>
            <w:r>
              <w:rPr>
                <w:rFonts w:hint="eastAsia" w:ascii="宋体" w:hAnsi="宋体" w:cs="宋体"/>
                <w:color w:val="auto"/>
                <w:sz w:val="24"/>
                <w:highlight w:val="none"/>
              </w:rPr>
              <w:t>29</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5E43F274">
            <w:pPr>
              <w:jc w:val="center"/>
              <w:rPr>
                <w:rFonts w:ascii="宋体" w:hAnsi="宋体" w:cs="宋体"/>
                <w:color w:val="auto"/>
                <w:sz w:val="24"/>
                <w:highlight w:val="none"/>
              </w:rPr>
            </w:pPr>
            <w:r>
              <w:rPr>
                <w:rFonts w:hint="eastAsia" w:ascii="宋体" w:hAnsi="宋体" w:cs="宋体"/>
                <w:color w:val="auto"/>
                <w:sz w:val="24"/>
                <w:highlight w:val="none"/>
              </w:rPr>
              <w:t>近年发生的诉讼及仲裁情况的年份要求</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6C2BC9CD">
            <w:pPr>
              <w:rPr>
                <w:rFonts w:ascii="宋体" w:hAnsi="宋体" w:cs="宋体"/>
                <w:color w:val="auto"/>
                <w:sz w:val="24"/>
                <w:highlight w:val="none"/>
                <w:u w:val="single"/>
              </w:rPr>
            </w:pPr>
            <w:r>
              <w:rPr>
                <w:rFonts w:hint="eastAsia" w:ascii="宋体" w:hAnsi="宋体" w:cs="宋体"/>
                <w:color w:val="auto"/>
                <w:sz w:val="24"/>
                <w:highlight w:val="none"/>
              </w:rPr>
              <w:t xml:space="preserve"> </w:t>
            </w:r>
            <w:r>
              <w:rPr>
                <w:rFonts w:hint="eastAsia" w:ascii="宋体" w:hAnsi="宋体" w:cs="宋体"/>
                <w:color w:val="auto"/>
                <w:sz w:val="24"/>
                <w:highlight w:val="none"/>
                <w:u w:val="single"/>
              </w:rPr>
              <w:t>近 3 年（20</w:t>
            </w:r>
            <w:r>
              <w:rPr>
                <w:rFonts w:hint="eastAsia" w:ascii="宋体" w:hAnsi="宋体" w:cs="宋体"/>
                <w:color w:val="auto"/>
                <w:sz w:val="24"/>
                <w:highlight w:val="none"/>
                <w:u w:val="single"/>
                <w:lang w:val="en-US" w:eastAsia="zh-CN"/>
              </w:rPr>
              <w:t>22</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eastAsia="zh-CN"/>
              </w:rPr>
              <w:t>至今</w:t>
            </w:r>
            <w:r>
              <w:rPr>
                <w:rFonts w:hint="eastAsia" w:ascii="宋体" w:hAnsi="宋体" w:cs="宋体"/>
                <w:color w:val="auto"/>
                <w:sz w:val="24"/>
                <w:highlight w:val="none"/>
                <w:u w:val="single"/>
              </w:rPr>
              <w:t>）</w:t>
            </w:r>
          </w:p>
        </w:tc>
      </w:tr>
      <w:tr w14:paraId="54F665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2"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58A5862D">
            <w:pPr>
              <w:jc w:val="center"/>
              <w:rPr>
                <w:rFonts w:ascii="宋体" w:hAnsi="宋体" w:cs="宋体"/>
                <w:color w:val="auto"/>
                <w:sz w:val="24"/>
                <w:highlight w:val="none"/>
              </w:rPr>
            </w:pPr>
            <w:r>
              <w:rPr>
                <w:rFonts w:hint="eastAsia" w:ascii="宋体" w:hAnsi="宋体" w:cs="宋体"/>
                <w:color w:val="auto"/>
                <w:sz w:val="24"/>
                <w:highlight w:val="none"/>
              </w:rPr>
              <w:t>30</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3362FD86">
            <w:pPr>
              <w:jc w:val="center"/>
              <w:rPr>
                <w:rFonts w:ascii="宋体" w:hAnsi="宋体" w:cs="宋体"/>
                <w:color w:val="auto"/>
                <w:sz w:val="24"/>
                <w:highlight w:val="none"/>
              </w:rPr>
            </w:pPr>
            <w:r>
              <w:rPr>
                <w:rFonts w:hint="eastAsia" w:ascii="宋体" w:hAnsi="宋体" w:cs="宋体"/>
                <w:color w:val="auto"/>
                <w:sz w:val="24"/>
                <w:highlight w:val="none"/>
              </w:rPr>
              <w:t>是否允许递交</w:t>
            </w:r>
          </w:p>
          <w:p w14:paraId="667FF4DD">
            <w:pPr>
              <w:jc w:val="center"/>
              <w:rPr>
                <w:rFonts w:ascii="宋体" w:hAnsi="宋体" w:cs="宋体"/>
                <w:color w:val="auto"/>
                <w:sz w:val="24"/>
                <w:highlight w:val="none"/>
              </w:rPr>
            </w:pPr>
            <w:r>
              <w:rPr>
                <w:rFonts w:hint="eastAsia" w:ascii="宋体" w:hAnsi="宋体" w:cs="宋体"/>
                <w:color w:val="auto"/>
                <w:sz w:val="24"/>
                <w:highlight w:val="none"/>
              </w:rPr>
              <w:t>备选投标方案</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17CCFD6C">
            <w:pPr>
              <w:rPr>
                <w:rFonts w:ascii="宋体" w:hAnsi="宋体" w:cs="宋体"/>
                <w:color w:val="auto"/>
                <w:sz w:val="24"/>
                <w:highlight w:val="none"/>
              </w:rPr>
            </w:pPr>
            <w:r>
              <w:rPr>
                <w:rFonts w:hint="eastAsia" w:ascii="宋体" w:hAnsi="宋体" w:cs="宋体"/>
                <w:color w:val="auto"/>
                <w:sz w:val="24"/>
                <w:highlight w:val="none"/>
              </w:rPr>
              <w:t>不允许</w:t>
            </w:r>
          </w:p>
        </w:tc>
      </w:tr>
      <w:tr w14:paraId="28A267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2"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436DC855">
            <w:pPr>
              <w:jc w:val="center"/>
              <w:rPr>
                <w:rFonts w:ascii="宋体" w:hAnsi="宋体" w:cs="宋体"/>
                <w:color w:val="auto"/>
                <w:sz w:val="24"/>
                <w:highlight w:val="none"/>
              </w:rPr>
            </w:pPr>
            <w:r>
              <w:rPr>
                <w:rFonts w:hint="eastAsia" w:ascii="宋体" w:hAnsi="宋体" w:cs="宋体"/>
                <w:color w:val="auto"/>
                <w:sz w:val="24"/>
                <w:highlight w:val="none"/>
              </w:rPr>
              <w:t>31</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6BFC391E">
            <w:pPr>
              <w:jc w:val="center"/>
              <w:rPr>
                <w:rFonts w:ascii="宋体" w:hAnsi="宋体" w:cs="宋体"/>
                <w:color w:val="auto"/>
                <w:sz w:val="24"/>
                <w:highlight w:val="none"/>
              </w:rPr>
            </w:pPr>
            <w:r>
              <w:rPr>
                <w:rFonts w:hint="eastAsia" w:ascii="宋体" w:hAnsi="宋体" w:cs="宋体"/>
                <w:color w:val="auto"/>
                <w:sz w:val="24"/>
                <w:highlight w:val="none"/>
              </w:rPr>
              <w:t>签字或盖章</w:t>
            </w:r>
            <w:r>
              <w:rPr>
                <w:rFonts w:hint="eastAsia" w:ascii="宋体" w:hAnsi="宋体" w:cs="宋体"/>
                <w:color w:val="auto"/>
                <w:sz w:val="24"/>
                <w:highlight w:val="none"/>
                <w:lang w:val="en-US" w:eastAsia="zh-CN"/>
              </w:rPr>
              <w:t>及响应文件制作</w:t>
            </w:r>
            <w:r>
              <w:rPr>
                <w:rFonts w:hint="eastAsia" w:ascii="宋体" w:hAnsi="宋体" w:cs="宋体"/>
                <w:color w:val="auto"/>
                <w:sz w:val="24"/>
                <w:highlight w:val="none"/>
              </w:rPr>
              <w:t>要求</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44226F7A">
            <w:pPr>
              <w:rPr>
                <w:rFonts w:hint="eastAsia" w:ascii="宋体" w:hAnsi="宋体" w:cs="宋体"/>
                <w:color w:val="auto"/>
                <w:sz w:val="24"/>
                <w:highlight w:val="none"/>
              </w:rPr>
            </w:pPr>
            <w:r>
              <w:rPr>
                <w:rFonts w:hint="eastAsia" w:ascii="宋体" w:hAnsi="宋体" w:cs="宋体"/>
                <w:color w:val="auto"/>
                <w:sz w:val="24"/>
                <w:highlight w:val="none"/>
              </w:rPr>
              <w:t>响应文件应按响应文件格式分别编制并使用下载的政采云投标客户端制作并上传。按系统中要求完成签字盖章。</w:t>
            </w:r>
          </w:p>
          <w:p w14:paraId="5A8BA6A0">
            <w:pPr>
              <w:rPr>
                <w:rFonts w:hint="eastAsia" w:ascii="宋体" w:hAnsi="宋体" w:cs="宋体"/>
                <w:color w:val="auto"/>
                <w:sz w:val="24"/>
                <w:highlight w:val="none"/>
              </w:rPr>
            </w:pPr>
            <w:r>
              <w:rPr>
                <w:rFonts w:hint="eastAsia" w:ascii="宋体" w:hAnsi="宋体" w:cs="宋体"/>
                <w:color w:val="auto"/>
                <w:sz w:val="24"/>
                <w:highlight w:val="none"/>
              </w:rPr>
              <w:t>1、电子响应文件中须加盖供应商公章部分均采用 CA 签章，并根据“政府采购项目电子交易管理操作指南-供应商（政采云）”及本采购文件规定的格式和顺序编制电子响应文件。电子响应文件如内容不完整、编排混乱导致响应文件被误读、漏读，或者在按采购文件规定的部位查找不到相关内容的，由供应商自行承担责任。</w:t>
            </w:r>
          </w:p>
          <w:p w14:paraId="5B01B726">
            <w:pPr>
              <w:rPr>
                <w:rFonts w:hint="eastAsia" w:ascii="宋体" w:hAnsi="宋体" w:cs="宋体"/>
                <w:color w:val="auto"/>
                <w:sz w:val="24"/>
                <w:highlight w:val="none"/>
              </w:rPr>
            </w:pPr>
            <w:r>
              <w:rPr>
                <w:rFonts w:hint="eastAsia" w:ascii="宋体" w:hAnsi="宋体" w:cs="宋体"/>
                <w:color w:val="auto"/>
                <w:sz w:val="24"/>
                <w:highlight w:val="none"/>
              </w:rPr>
              <w:t>2、响应文件不得涂改，若有修改错漏处，须法定代表人（负责人）或授权委托人签字（或个人CA签章）。文件加盖CA签章时，请勿遮挡文件中关键信息。响应文件因字迹潦草或表达不清所引起的后果由供应商负责。</w:t>
            </w:r>
          </w:p>
          <w:p w14:paraId="6DE01359">
            <w:pPr>
              <w:rPr>
                <w:rFonts w:hint="eastAsia" w:ascii="宋体" w:hAnsi="宋体" w:cs="宋体"/>
                <w:color w:val="auto"/>
                <w:sz w:val="24"/>
                <w:highlight w:val="none"/>
              </w:rPr>
            </w:pPr>
            <w:r>
              <w:rPr>
                <w:rFonts w:hint="eastAsia" w:ascii="宋体" w:hAnsi="宋体" w:cs="宋体"/>
                <w:color w:val="auto"/>
                <w:sz w:val="24"/>
                <w:highlight w:val="none"/>
              </w:rPr>
              <w:t xml:space="preserve">3、评审前准备 </w:t>
            </w:r>
          </w:p>
          <w:p w14:paraId="106F706D">
            <w:pPr>
              <w:rPr>
                <w:rFonts w:hint="eastAsia" w:ascii="宋体" w:hAnsi="宋体" w:cs="宋体"/>
                <w:color w:val="auto"/>
                <w:sz w:val="24"/>
                <w:highlight w:val="none"/>
              </w:rPr>
            </w:pPr>
            <w:r>
              <w:rPr>
                <w:rFonts w:hint="eastAsia" w:ascii="宋体" w:hAnsi="宋体" w:cs="宋体"/>
                <w:color w:val="auto"/>
                <w:sz w:val="24"/>
                <w:highlight w:val="none"/>
              </w:rPr>
              <w:t xml:space="preserve">3.1本项目实行网上评审，采用电子响应文件；若供应商参与投标，自行承担投标一切费用。 </w:t>
            </w:r>
          </w:p>
          <w:p w14:paraId="7B4D9F11">
            <w:pPr>
              <w:rPr>
                <w:rFonts w:hint="eastAsia" w:ascii="宋体" w:hAnsi="宋体" w:cs="宋体"/>
                <w:color w:val="auto"/>
                <w:sz w:val="24"/>
                <w:highlight w:val="none"/>
              </w:rPr>
            </w:pPr>
            <w:r>
              <w:rPr>
                <w:rFonts w:hint="eastAsia" w:ascii="宋体" w:hAnsi="宋体" w:cs="宋体"/>
                <w:color w:val="auto"/>
                <w:sz w:val="24"/>
                <w:highlight w:val="none"/>
              </w:rPr>
              <w:t xml:space="preserve">3.2各供应商在截标前应确保成为政采云平台正式注册入库供应商，并完成 CA 数字证书申领。因未注册入库、未办理CA数字证书等原因造成无法投标或投标失败等后果由供应商自行承担。 </w:t>
            </w:r>
          </w:p>
          <w:p w14:paraId="540FE675">
            <w:pPr>
              <w:rPr>
                <w:rFonts w:hint="eastAsia" w:ascii="宋体" w:hAnsi="宋体" w:cs="宋体"/>
                <w:color w:val="auto"/>
                <w:sz w:val="24"/>
                <w:highlight w:val="none"/>
                <w:lang w:val="zh-CN"/>
              </w:rPr>
            </w:pPr>
            <w:r>
              <w:rPr>
                <w:rFonts w:hint="eastAsia" w:ascii="宋体" w:hAnsi="宋体" w:cs="宋体"/>
                <w:color w:val="auto"/>
                <w:sz w:val="24"/>
                <w:highlight w:val="none"/>
              </w:rPr>
              <w:t>3.3供应商将政采云电子交易客户端下载、安装完成后，可通过账号密码或 CA 登录客户端进行响应文件制作。客户端请至网站下载专区查看，如有问题可拨打政采云客户服务热线95763进行咨询。</w:t>
            </w:r>
          </w:p>
        </w:tc>
      </w:tr>
      <w:tr w14:paraId="5E5936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31"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20379936">
            <w:pPr>
              <w:jc w:val="center"/>
              <w:rPr>
                <w:rFonts w:ascii="宋体" w:hAnsi="宋体" w:cs="宋体"/>
                <w:color w:val="auto"/>
                <w:sz w:val="24"/>
                <w:highlight w:val="none"/>
              </w:rPr>
            </w:pPr>
            <w:r>
              <w:rPr>
                <w:rFonts w:hint="eastAsia" w:ascii="宋体" w:hAnsi="宋体" w:cs="宋体"/>
                <w:color w:val="auto"/>
                <w:sz w:val="24"/>
                <w:highlight w:val="none"/>
              </w:rPr>
              <w:t>32</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279F80CD">
            <w:pPr>
              <w:autoSpaceDE w:val="0"/>
              <w:autoSpaceDN w:val="0"/>
              <w:adjustRightInd w:val="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响应文件份数</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1CB31A7B">
            <w:pPr>
              <w:autoSpaceDE w:val="0"/>
              <w:autoSpaceDN w:val="0"/>
              <w:adjustRightInd w:val="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电子版文件：</w:t>
            </w:r>
            <w:r>
              <w:rPr>
                <w:rFonts w:hint="eastAsia" w:ascii="宋体" w:hAnsi="宋体" w:cs="宋体"/>
                <w:color w:val="auto"/>
                <w:kern w:val="0"/>
                <w:sz w:val="24"/>
                <w:highlight w:val="none"/>
                <w:lang w:val="zh-CN"/>
              </w:rPr>
              <w:t>通过政府采购云平台递交电子响应文件。</w:t>
            </w:r>
          </w:p>
          <w:p w14:paraId="2AC33637">
            <w:pPr>
              <w:autoSpaceDE w:val="0"/>
              <w:autoSpaceDN w:val="0"/>
              <w:adjustRightInd w:val="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纸质版</w:t>
            </w:r>
            <w:r>
              <w:rPr>
                <w:rFonts w:hint="eastAsia" w:ascii="宋体" w:hAnsi="宋体" w:cs="宋体"/>
                <w:color w:val="auto"/>
                <w:kern w:val="0"/>
                <w:sz w:val="24"/>
                <w:highlight w:val="none"/>
                <w:lang w:val="en-US" w:eastAsia="zh-CN"/>
              </w:rPr>
              <w:t>文件</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lang w:val="en-US" w:eastAsia="zh-CN"/>
              </w:rPr>
              <w:t>3</w:t>
            </w:r>
            <w:r>
              <w:rPr>
                <w:rFonts w:hint="eastAsia" w:ascii="宋体" w:hAnsi="宋体" w:cs="宋体"/>
                <w:color w:val="auto"/>
                <w:kern w:val="0"/>
                <w:sz w:val="24"/>
                <w:highlight w:val="none"/>
              </w:rPr>
              <w:t>份（</w:t>
            </w:r>
            <w:r>
              <w:rPr>
                <w:rFonts w:hint="eastAsia" w:ascii="宋体" w:hAnsi="宋体" w:cs="宋体"/>
                <w:color w:val="auto"/>
                <w:kern w:val="0"/>
                <w:sz w:val="24"/>
                <w:highlight w:val="none"/>
                <w:lang w:val="zh-CN"/>
              </w:rPr>
              <w:t>1份正本，</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lang w:val="zh-CN"/>
              </w:rPr>
              <w:t>份副本</w:t>
            </w:r>
            <w:r>
              <w:rPr>
                <w:rFonts w:hint="eastAsia" w:ascii="宋体" w:hAnsi="宋体" w:cs="宋体"/>
                <w:color w:val="auto"/>
                <w:kern w:val="0"/>
                <w:sz w:val="24"/>
                <w:highlight w:val="none"/>
              </w:rPr>
              <w:t>）</w:t>
            </w:r>
            <w:r>
              <w:rPr>
                <w:rFonts w:hint="eastAsia" w:ascii="宋体" w:hAnsi="宋体" w:cs="宋体"/>
                <w:color w:val="auto"/>
                <w:kern w:val="0"/>
                <w:sz w:val="24"/>
                <w:highlight w:val="none"/>
                <w:lang w:eastAsia="zh-CN"/>
              </w:rPr>
              <w:t>；投标</w:t>
            </w:r>
            <w:r>
              <w:rPr>
                <w:rFonts w:hint="eastAsia" w:ascii="宋体" w:hAnsi="宋体" w:cs="宋体"/>
                <w:color w:val="auto"/>
                <w:kern w:val="0"/>
                <w:sz w:val="24"/>
                <w:highlight w:val="none"/>
                <w:lang w:val="en-US" w:eastAsia="zh-CN"/>
              </w:rPr>
              <w:t>截止时间后</w:t>
            </w:r>
            <w:r>
              <w:rPr>
                <w:rFonts w:hint="eastAsia" w:ascii="宋体" w:hAnsi="宋体" w:cs="宋体"/>
                <w:color w:val="auto"/>
                <w:kern w:val="0"/>
                <w:sz w:val="24"/>
                <w:highlight w:val="none"/>
                <w:lang w:eastAsia="zh-CN"/>
              </w:rPr>
              <w:t>由授权委托人持授权委托书递交纸质版文件，无需密封包装，</w:t>
            </w:r>
            <w:r>
              <w:rPr>
                <w:rFonts w:hint="eastAsia" w:ascii="宋体" w:hAnsi="宋体" w:cs="宋体"/>
                <w:color w:val="auto"/>
                <w:kern w:val="0"/>
                <w:sz w:val="24"/>
                <w:highlight w:val="none"/>
                <w:lang w:val="en-US" w:eastAsia="zh-CN"/>
              </w:rPr>
              <w:t>纸质版文件仅用于档案留存</w:t>
            </w:r>
            <w:r>
              <w:rPr>
                <w:rFonts w:hint="eastAsia" w:ascii="宋体" w:hAnsi="宋体" w:cs="宋体"/>
                <w:color w:val="auto"/>
                <w:kern w:val="0"/>
                <w:sz w:val="24"/>
                <w:highlight w:val="none"/>
                <w:lang w:eastAsia="zh-CN"/>
              </w:rPr>
              <w:t>。</w:t>
            </w:r>
          </w:p>
        </w:tc>
      </w:tr>
      <w:tr w14:paraId="2DC60B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2415520A">
            <w:pPr>
              <w:jc w:val="center"/>
              <w:rPr>
                <w:rFonts w:ascii="宋体" w:hAnsi="宋体" w:cs="宋体"/>
                <w:color w:val="auto"/>
                <w:sz w:val="24"/>
                <w:highlight w:val="none"/>
              </w:rPr>
            </w:pPr>
            <w:r>
              <w:rPr>
                <w:rFonts w:hint="eastAsia" w:ascii="宋体" w:hAnsi="宋体" w:cs="宋体"/>
                <w:color w:val="auto"/>
                <w:sz w:val="24"/>
                <w:highlight w:val="none"/>
              </w:rPr>
              <w:t>33</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0EF81AAE">
            <w:pPr>
              <w:jc w:val="center"/>
              <w:rPr>
                <w:rFonts w:ascii="宋体" w:hAnsi="宋体" w:cs="宋体"/>
                <w:color w:val="auto"/>
                <w:sz w:val="24"/>
                <w:highlight w:val="none"/>
              </w:rPr>
            </w:pPr>
            <w:r>
              <w:rPr>
                <w:rFonts w:hint="eastAsia" w:ascii="宋体" w:hAnsi="宋体" w:cs="宋体"/>
                <w:color w:val="auto"/>
                <w:sz w:val="24"/>
                <w:highlight w:val="none"/>
              </w:rPr>
              <w:t>装订要求</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30434C58">
            <w:pPr>
              <w:jc w:val="left"/>
              <w:rPr>
                <w:rFonts w:ascii="宋体" w:hAnsi="宋体" w:cs="宋体"/>
                <w:color w:val="auto"/>
                <w:sz w:val="24"/>
                <w:highlight w:val="none"/>
              </w:rPr>
            </w:pPr>
            <w:r>
              <w:rPr>
                <w:rFonts w:hint="eastAsia" w:ascii="宋体" w:hAnsi="宋体" w:cs="宋体"/>
                <w:color w:val="auto"/>
                <w:sz w:val="24"/>
                <w:highlight w:val="none"/>
              </w:rPr>
              <w:t>左侧纵向装订，不允许活页装订，需胶装装订。</w:t>
            </w:r>
          </w:p>
        </w:tc>
      </w:tr>
      <w:tr w14:paraId="79829C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01F27D30">
            <w:pPr>
              <w:jc w:val="center"/>
              <w:rPr>
                <w:rFonts w:ascii="宋体" w:hAnsi="宋体" w:cs="宋体"/>
                <w:color w:val="auto"/>
                <w:sz w:val="24"/>
                <w:highlight w:val="none"/>
              </w:rPr>
            </w:pPr>
            <w:r>
              <w:rPr>
                <w:rFonts w:hint="eastAsia" w:ascii="宋体" w:hAnsi="宋体" w:cs="宋体"/>
                <w:color w:val="auto"/>
                <w:sz w:val="24"/>
                <w:highlight w:val="none"/>
              </w:rPr>
              <w:t>34</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29A47794">
            <w:pPr>
              <w:jc w:val="center"/>
              <w:rPr>
                <w:rFonts w:ascii="宋体" w:hAnsi="宋体" w:cs="宋体"/>
                <w:color w:val="auto"/>
                <w:sz w:val="24"/>
                <w:highlight w:val="none"/>
              </w:rPr>
            </w:pPr>
            <w:r>
              <w:rPr>
                <w:rFonts w:hint="eastAsia" w:ascii="宋体" w:hAnsi="宋体" w:cs="宋体"/>
                <w:color w:val="auto"/>
                <w:sz w:val="24"/>
                <w:highlight w:val="none"/>
              </w:rPr>
              <w:t>封套上写明</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033A0208">
            <w:pP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w:t>
            </w:r>
          </w:p>
        </w:tc>
      </w:tr>
      <w:tr w14:paraId="7DBD7E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07"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2EAB6A35">
            <w:pPr>
              <w:jc w:val="center"/>
              <w:rPr>
                <w:rFonts w:ascii="宋体" w:hAnsi="宋体" w:cs="宋体"/>
                <w:color w:val="auto"/>
                <w:sz w:val="24"/>
                <w:highlight w:val="none"/>
              </w:rPr>
            </w:pPr>
            <w:r>
              <w:rPr>
                <w:rFonts w:hint="eastAsia" w:ascii="宋体" w:hAnsi="宋体" w:cs="宋体"/>
                <w:color w:val="auto"/>
                <w:sz w:val="24"/>
                <w:highlight w:val="none"/>
              </w:rPr>
              <w:t>35</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22AFD7F1">
            <w:pPr>
              <w:jc w:val="center"/>
              <w:rPr>
                <w:rFonts w:ascii="宋体" w:hAnsi="宋体" w:cs="宋体"/>
                <w:color w:val="auto"/>
                <w:sz w:val="24"/>
                <w:highlight w:val="none"/>
              </w:rPr>
            </w:pPr>
            <w:r>
              <w:rPr>
                <w:rFonts w:hint="eastAsia" w:ascii="宋体" w:hAnsi="宋体" w:cs="宋体"/>
                <w:color w:val="auto"/>
                <w:sz w:val="24"/>
                <w:highlight w:val="none"/>
              </w:rPr>
              <w:t>递交</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地点</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3B55CA8D">
            <w:pPr>
              <w:autoSpaceDE w:val="0"/>
              <w:autoSpaceDN w:val="0"/>
              <w:adjustRightInd w:val="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电子版文件：</w:t>
            </w:r>
            <w:r>
              <w:rPr>
                <w:rFonts w:hint="eastAsia" w:ascii="宋体" w:hAnsi="宋体" w:cs="宋体"/>
                <w:color w:val="auto"/>
                <w:kern w:val="0"/>
                <w:sz w:val="24"/>
                <w:highlight w:val="none"/>
                <w:lang w:val="zh-CN"/>
              </w:rPr>
              <w:t>通过政府采购云平台递交电子响应文件。</w:t>
            </w:r>
          </w:p>
          <w:p w14:paraId="533F591C">
            <w:pPr>
              <w:rPr>
                <w:rFonts w:hint="default" w:ascii="宋体" w:hAnsi="宋体" w:eastAsia="宋体" w:cs="宋体"/>
                <w:bCs/>
                <w:color w:val="auto"/>
                <w:sz w:val="24"/>
                <w:highlight w:val="none"/>
                <w:lang w:val="en-US" w:eastAsia="zh-CN"/>
              </w:rPr>
            </w:pPr>
            <w:r>
              <w:rPr>
                <w:rFonts w:hint="eastAsia" w:ascii="宋体" w:hAnsi="宋体" w:cs="宋体"/>
                <w:color w:val="auto"/>
                <w:kern w:val="0"/>
                <w:sz w:val="24"/>
                <w:highlight w:val="none"/>
                <w:lang w:val="zh-CN"/>
              </w:rPr>
              <w:t>纸质版</w:t>
            </w:r>
            <w:r>
              <w:rPr>
                <w:rFonts w:hint="eastAsia" w:ascii="宋体" w:hAnsi="宋体" w:cs="宋体"/>
                <w:color w:val="auto"/>
                <w:kern w:val="0"/>
                <w:sz w:val="24"/>
                <w:highlight w:val="none"/>
                <w:lang w:val="en-US" w:eastAsia="zh-CN"/>
              </w:rPr>
              <w:t>文件</w:t>
            </w:r>
            <w:r>
              <w:rPr>
                <w:rFonts w:hint="default" w:ascii="宋体" w:hAnsi="宋体" w:eastAsia="宋体" w:cs="宋体"/>
                <w:bCs/>
                <w:color w:val="auto"/>
                <w:sz w:val="24"/>
                <w:highlight w:val="none"/>
                <w:lang w:val="en-US" w:eastAsia="zh-CN"/>
              </w:rPr>
              <w:t>：</w:t>
            </w:r>
            <w:r>
              <w:rPr>
                <w:rFonts w:hint="eastAsia" w:ascii="宋体" w:hAnsi="宋体" w:cs="宋体"/>
                <w:b w:val="0"/>
                <w:bCs/>
                <w:color w:val="auto"/>
                <w:sz w:val="24"/>
                <w:szCs w:val="24"/>
                <w:highlight w:val="none"/>
                <w:shd w:val="clear" w:color="auto" w:fill="FFFFFF"/>
                <w:lang w:eastAsia="zh-CN"/>
              </w:rPr>
              <w:t>长春市净月开发区吉林省金融大厦商业综合体一期1＃楼1303号，</w:t>
            </w:r>
            <w:r>
              <w:rPr>
                <w:rFonts w:hint="default" w:ascii="宋体" w:hAnsi="宋体" w:eastAsia="宋体" w:cs="宋体"/>
                <w:bCs/>
                <w:color w:val="auto"/>
                <w:sz w:val="24"/>
                <w:highlight w:val="none"/>
                <w:lang w:val="en-US" w:eastAsia="zh-CN"/>
              </w:rPr>
              <w:t>收件人：吉林省</w:t>
            </w:r>
            <w:r>
              <w:rPr>
                <w:rFonts w:hint="eastAsia" w:ascii="宋体" w:hAnsi="宋体" w:cs="宋体"/>
                <w:bCs/>
                <w:color w:val="auto"/>
                <w:sz w:val="24"/>
                <w:highlight w:val="none"/>
                <w:lang w:val="en-US" w:eastAsia="zh-CN"/>
              </w:rPr>
              <w:t>森茂</w:t>
            </w:r>
            <w:r>
              <w:rPr>
                <w:rFonts w:hint="default" w:ascii="宋体" w:hAnsi="宋体" w:eastAsia="宋体" w:cs="宋体"/>
                <w:bCs/>
                <w:color w:val="auto"/>
                <w:sz w:val="24"/>
                <w:highlight w:val="none"/>
                <w:lang w:val="en-US" w:eastAsia="zh-CN"/>
              </w:rPr>
              <w:t>项目管理有限公司</w:t>
            </w:r>
          </w:p>
        </w:tc>
      </w:tr>
      <w:tr w14:paraId="227FA3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5"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4EA44E4D">
            <w:pPr>
              <w:jc w:val="center"/>
              <w:rPr>
                <w:rFonts w:ascii="宋体" w:hAnsi="宋体" w:cs="宋体"/>
                <w:color w:val="auto"/>
                <w:sz w:val="24"/>
                <w:highlight w:val="none"/>
              </w:rPr>
            </w:pPr>
            <w:r>
              <w:rPr>
                <w:rFonts w:hint="eastAsia" w:ascii="宋体" w:hAnsi="宋体" w:cs="宋体"/>
                <w:color w:val="auto"/>
                <w:sz w:val="24"/>
                <w:highlight w:val="none"/>
              </w:rPr>
              <w:t>36</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33E653DB">
            <w:pPr>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rPr>
              <w:t>是否退还</w:t>
            </w:r>
            <w:r>
              <w:rPr>
                <w:rFonts w:hint="eastAsia" w:ascii="宋体" w:hAnsi="宋体" w:cs="宋体"/>
                <w:color w:val="auto"/>
                <w:sz w:val="24"/>
                <w:highlight w:val="none"/>
                <w:lang w:eastAsia="zh-CN"/>
              </w:rPr>
              <w:t>响应文件</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60B5C97E">
            <w:pPr>
              <w:jc w:val="left"/>
              <w:rPr>
                <w:rFonts w:ascii="宋体" w:hAnsi="宋体" w:cs="宋体"/>
                <w:color w:val="auto"/>
                <w:sz w:val="24"/>
                <w:highlight w:val="none"/>
              </w:rPr>
            </w:pPr>
            <w:r>
              <w:rPr>
                <w:rFonts w:hint="eastAsia" w:ascii="宋体" w:hAnsi="宋体" w:cs="宋体"/>
                <w:color w:val="auto"/>
                <w:sz w:val="24"/>
                <w:highlight w:val="none"/>
              </w:rPr>
              <w:t>否。</w:t>
            </w:r>
          </w:p>
        </w:tc>
      </w:tr>
      <w:tr w14:paraId="6882ED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16"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1CE6DDB2">
            <w:pPr>
              <w:jc w:val="center"/>
              <w:rPr>
                <w:rFonts w:ascii="宋体" w:hAnsi="宋体" w:cs="宋体"/>
                <w:color w:val="auto"/>
                <w:sz w:val="24"/>
                <w:highlight w:val="none"/>
              </w:rPr>
            </w:pPr>
            <w:r>
              <w:rPr>
                <w:rFonts w:hint="eastAsia" w:ascii="宋体" w:hAnsi="宋体" w:cs="宋体"/>
                <w:color w:val="auto"/>
                <w:sz w:val="24"/>
                <w:highlight w:val="none"/>
              </w:rPr>
              <w:t>37</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5A453D6F">
            <w:pPr>
              <w:jc w:val="center"/>
              <w:rPr>
                <w:rFonts w:ascii="宋体" w:hAnsi="宋体" w:cs="宋体"/>
                <w:color w:val="auto"/>
                <w:sz w:val="24"/>
                <w:highlight w:val="none"/>
              </w:rPr>
            </w:pPr>
            <w:r>
              <w:rPr>
                <w:rFonts w:hint="eastAsia" w:ascii="宋体" w:hAnsi="宋体" w:cs="宋体"/>
                <w:color w:val="auto"/>
                <w:sz w:val="24"/>
                <w:highlight w:val="none"/>
              </w:rPr>
              <w:t>开</w:t>
            </w:r>
            <w:r>
              <w:rPr>
                <w:rFonts w:hint="eastAsia" w:ascii="宋体" w:hAnsi="宋体" w:cs="宋体"/>
                <w:color w:val="auto"/>
                <w:sz w:val="24"/>
                <w:highlight w:val="none"/>
                <w:lang w:val="en-US" w:eastAsia="zh-CN"/>
              </w:rPr>
              <w:t>启</w:t>
            </w:r>
            <w:r>
              <w:rPr>
                <w:rFonts w:hint="eastAsia" w:ascii="宋体" w:hAnsi="宋体" w:cs="宋体"/>
                <w:color w:val="auto"/>
                <w:sz w:val="24"/>
                <w:highlight w:val="none"/>
              </w:rPr>
              <w:t>时间和地点</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199E1F49">
            <w:pPr>
              <w:jc w:val="left"/>
              <w:rPr>
                <w:rFonts w:ascii="宋体" w:hAnsi="宋体" w:cs="宋体"/>
                <w:b/>
                <w:color w:val="auto"/>
                <w:sz w:val="24"/>
                <w:highlight w:val="none"/>
              </w:rPr>
            </w:pPr>
            <w:r>
              <w:rPr>
                <w:rFonts w:hint="eastAsia" w:ascii="宋体" w:hAnsi="宋体" w:cs="宋体"/>
                <w:color w:val="auto"/>
                <w:sz w:val="24"/>
                <w:highlight w:val="none"/>
              </w:rPr>
              <w:t>时间：</w:t>
            </w:r>
            <w:r>
              <w:rPr>
                <w:rFonts w:hint="eastAsia" w:ascii="宋体" w:hAnsi="宋体" w:cs="宋体"/>
                <w:b w:val="0"/>
                <w:bCs/>
                <w:color w:val="auto"/>
                <w:kern w:val="2"/>
                <w:sz w:val="24"/>
                <w:szCs w:val="24"/>
                <w:highlight w:val="none"/>
                <w:lang w:val="zh-CN" w:eastAsia="zh-CN" w:bidi="ar-SA"/>
              </w:rPr>
              <w:t>2025年4月18日9时30分</w:t>
            </w:r>
            <w:r>
              <w:rPr>
                <w:rFonts w:hint="eastAsia" w:ascii="宋体" w:hAnsi="宋体" w:cs="宋体"/>
                <w:bCs/>
                <w:color w:val="auto"/>
                <w:sz w:val="24"/>
                <w:highlight w:val="none"/>
              </w:rPr>
              <w:t>（北京时间）</w:t>
            </w:r>
          </w:p>
          <w:p w14:paraId="72469011">
            <w:pPr>
              <w:rPr>
                <w:rFonts w:ascii="宋体" w:hAnsi="宋体" w:cs="宋体"/>
                <w:color w:val="auto"/>
                <w:sz w:val="24"/>
                <w:highlight w:val="none"/>
              </w:rPr>
            </w:pPr>
            <w:r>
              <w:rPr>
                <w:rFonts w:hint="eastAsia" w:ascii="宋体" w:hAnsi="宋体" w:cs="宋体"/>
                <w:color w:val="auto"/>
                <w:sz w:val="24"/>
                <w:highlight w:val="none"/>
              </w:rPr>
              <w:t>地点：</w:t>
            </w:r>
            <w:r>
              <w:rPr>
                <w:rFonts w:hint="eastAsia" w:ascii="宋体" w:hAnsi="宋体" w:cs="宋体"/>
                <w:color w:val="auto"/>
                <w:sz w:val="24"/>
                <w:szCs w:val="24"/>
                <w:highlight w:val="none"/>
                <w:lang w:val="zh-CN"/>
              </w:rPr>
              <w:t>吉利招公共资源标准化交易中心第4开标室（长春市高新区鸿达街248号吉林日报副楼4楼）</w:t>
            </w:r>
          </w:p>
        </w:tc>
      </w:tr>
      <w:tr w14:paraId="618A27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3"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493B4D2A">
            <w:pPr>
              <w:jc w:val="center"/>
              <w:rPr>
                <w:rFonts w:ascii="宋体" w:hAnsi="宋体" w:cs="宋体"/>
                <w:color w:val="auto"/>
                <w:sz w:val="24"/>
                <w:highlight w:val="none"/>
              </w:rPr>
            </w:pPr>
            <w:r>
              <w:rPr>
                <w:rFonts w:hint="eastAsia" w:ascii="宋体" w:hAnsi="宋体" w:cs="宋体"/>
                <w:color w:val="auto"/>
                <w:sz w:val="24"/>
                <w:highlight w:val="none"/>
              </w:rPr>
              <w:t>38</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3866C0E5">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远程解密方式</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6B017876">
            <w:pPr>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本项目采用“政采云”平台(http：//www.zcygov.cn)不见面开标大厅进行远程采购活动。</w:t>
            </w:r>
          </w:p>
          <w:p w14:paraId="4643651D">
            <w:pPr>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lang w:eastAsia="zh-CN"/>
              </w:rPr>
              <w:t>响应文件</w:t>
            </w:r>
            <w:r>
              <w:rPr>
                <w:rFonts w:hint="eastAsia" w:ascii="宋体" w:hAnsi="宋体" w:eastAsia="宋体" w:cs="Times New Roman"/>
                <w:color w:val="auto"/>
                <w:sz w:val="24"/>
                <w:highlight w:val="none"/>
              </w:rPr>
              <w:t>远程解密方式：</w:t>
            </w:r>
          </w:p>
          <w:p w14:paraId="286BD7F4">
            <w:pPr>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①公布</w:t>
            </w:r>
            <w:r>
              <w:rPr>
                <w:rFonts w:hint="eastAsia" w:ascii="宋体" w:hAnsi="宋体" w:eastAsia="宋体" w:cs="Times New Roman"/>
                <w:color w:val="auto"/>
                <w:sz w:val="24"/>
                <w:highlight w:val="none"/>
                <w:lang w:val="en-US" w:eastAsia="zh-CN"/>
              </w:rPr>
              <w:t>供应商</w:t>
            </w:r>
            <w:r>
              <w:rPr>
                <w:rFonts w:hint="eastAsia" w:ascii="宋体" w:hAnsi="宋体" w:eastAsia="宋体" w:cs="Times New Roman"/>
                <w:color w:val="auto"/>
                <w:sz w:val="24"/>
                <w:highlight w:val="none"/>
              </w:rPr>
              <w:t>名单后30分钟内，由</w:t>
            </w:r>
            <w:r>
              <w:rPr>
                <w:rFonts w:hint="eastAsia" w:ascii="宋体" w:hAnsi="宋体" w:eastAsia="宋体" w:cs="Times New Roman"/>
                <w:color w:val="auto"/>
                <w:sz w:val="24"/>
                <w:highlight w:val="none"/>
                <w:lang w:val="en-US" w:eastAsia="zh-CN"/>
              </w:rPr>
              <w:t>供应商</w:t>
            </w:r>
            <w:r>
              <w:rPr>
                <w:rFonts w:hint="eastAsia" w:ascii="宋体" w:hAnsi="宋体" w:eastAsia="宋体" w:cs="Times New Roman"/>
                <w:color w:val="auto"/>
                <w:sz w:val="24"/>
                <w:highlight w:val="none"/>
              </w:rPr>
              <w:t>持制作该电子</w:t>
            </w:r>
            <w:r>
              <w:rPr>
                <w:rFonts w:hint="eastAsia" w:ascii="宋体" w:hAnsi="宋体" w:eastAsia="宋体" w:cs="Times New Roman"/>
                <w:color w:val="auto"/>
                <w:sz w:val="24"/>
                <w:highlight w:val="none"/>
                <w:lang w:eastAsia="zh-CN"/>
              </w:rPr>
              <w:t>响应文件</w:t>
            </w:r>
            <w:r>
              <w:rPr>
                <w:rFonts w:hint="eastAsia" w:ascii="宋体" w:hAnsi="宋体" w:eastAsia="宋体" w:cs="Times New Roman"/>
                <w:color w:val="auto"/>
                <w:sz w:val="24"/>
                <w:highlight w:val="none"/>
              </w:rPr>
              <w:t>的相同数字证书(CA锁)及电脑进行远程解密(各</w:t>
            </w:r>
            <w:r>
              <w:rPr>
                <w:rFonts w:hint="eastAsia" w:ascii="宋体" w:hAnsi="宋体" w:eastAsia="宋体" w:cs="Times New Roman"/>
                <w:color w:val="auto"/>
                <w:sz w:val="24"/>
                <w:highlight w:val="none"/>
                <w:lang w:val="en-US" w:eastAsia="zh-CN"/>
              </w:rPr>
              <w:t>供应商</w:t>
            </w:r>
            <w:r>
              <w:rPr>
                <w:rFonts w:hint="eastAsia" w:ascii="宋体" w:hAnsi="宋体" w:eastAsia="宋体" w:cs="Times New Roman"/>
                <w:color w:val="auto"/>
                <w:sz w:val="24"/>
                <w:highlight w:val="none"/>
              </w:rPr>
              <w:t>在</w:t>
            </w:r>
            <w:r>
              <w:rPr>
                <w:rFonts w:hint="eastAsia" w:ascii="宋体" w:hAnsi="宋体" w:eastAsia="宋体" w:cs="Times New Roman"/>
                <w:color w:val="auto"/>
                <w:sz w:val="24"/>
                <w:highlight w:val="none"/>
                <w:lang w:eastAsia="zh-CN"/>
              </w:rPr>
              <w:t>响应文件</w:t>
            </w:r>
            <w:r>
              <w:rPr>
                <w:rFonts w:hint="eastAsia" w:ascii="宋体" w:hAnsi="宋体" w:eastAsia="宋体" w:cs="Times New Roman"/>
                <w:color w:val="auto"/>
                <w:sz w:val="24"/>
                <w:highlight w:val="none"/>
              </w:rPr>
              <w:t>提交截止时间前及“政采云”系统公布</w:t>
            </w:r>
            <w:r>
              <w:rPr>
                <w:rFonts w:hint="eastAsia" w:ascii="宋体" w:hAnsi="宋体" w:eastAsia="宋体" w:cs="Times New Roman"/>
                <w:color w:val="auto"/>
                <w:sz w:val="24"/>
                <w:highlight w:val="none"/>
                <w:lang w:val="en-US" w:eastAsia="zh-CN"/>
              </w:rPr>
              <w:t>供应商</w:t>
            </w:r>
            <w:r>
              <w:rPr>
                <w:rFonts w:hint="eastAsia" w:ascii="宋体" w:hAnsi="宋体" w:eastAsia="宋体" w:cs="Times New Roman"/>
                <w:color w:val="auto"/>
                <w:sz w:val="24"/>
                <w:highlight w:val="none"/>
              </w:rPr>
              <w:t>名单前，不要提前进行远程解密)。</w:t>
            </w:r>
          </w:p>
          <w:p w14:paraId="6AB45727">
            <w:pPr>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②</w:t>
            </w:r>
            <w:r>
              <w:rPr>
                <w:rFonts w:hint="eastAsia" w:ascii="宋体" w:hAnsi="宋体" w:eastAsia="宋体" w:cs="Times New Roman"/>
                <w:color w:val="auto"/>
                <w:sz w:val="24"/>
                <w:highlight w:val="none"/>
                <w:lang w:eastAsia="zh-CN"/>
              </w:rPr>
              <w:t>响应文件</w:t>
            </w:r>
            <w:r>
              <w:rPr>
                <w:rFonts w:hint="eastAsia" w:ascii="宋体" w:hAnsi="宋体" w:eastAsia="宋体" w:cs="Times New Roman"/>
                <w:color w:val="auto"/>
                <w:sz w:val="24"/>
                <w:highlight w:val="none"/>
              </w:rPr>
              <w:t>解密截止时间后，“政采云”平台公布投标报价信息，</w:t>
            </w:r>
            <w:r>
              <w:rPr>
                <w:rFonts w:hint="eastAsia" w:ascii="宋体" w:hAnsi="宋体" w:eastAsia="宋体" w:cs="Times New Roman"/>
                <w:color w:val="auto"/>
                <w:sz w:val="24"/>
                <w:highlight w:val="none"/>
                <w:lang w:val="en-US" w:eastAsia="zh-CN"/>
              </w:rPr>
              <w:t>供应商</w:t>
            </w:r>
            <w:r>
              <w:rPr>
                <w:rFonts w:hint="eastAsia" w:ascii="宋体" w:hAnsi="宋体" w:eastAsia="宋体" w:cs="Times New Roman"/>
                <w:color w:val="auto"/>
                <w:sz w:val="24"/>
                <w:highlight w:val="none"/>
              </w:rPr>
              <w:t>需持企业数字证书登录“政采云”平台在线确认投标报价信息。</w:t>
            </w:r>
          </w:p>
          <w:p w14:paraId="1B38F4D4">
            <w:pPr>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③因</w:t>
            </w:r>
            <w:r>
              <w:rPr>
                <w:rFonts w:hint="eastAsia" w:ascii="宋体" w:hAnsi="宋体" w:eastAsia="宋体" w:cs="Times New Roman"/>
                <w:color w:val="auto"/>
                <w:sz w:val="24"/>
                <w:highlight w:val="none"/>
                <w:lang w:val="en-US" w:eastAsia="zh-CN"/>
              </w:rPr>
              <w:t>供应商</w:t>
            </w:r>
            <w:r>
              <w:rPr>
                <w:rFonts w:hint="eastAsia" w:ascii="宋体" w:hAnsi="宋体" w:eastAsia="宋体" w:cs="Times New Roman"/>
                <w:color w:val="auto"/>
                <w:sz w:val="24"/>
                <w:highlight w:val="none"/>
              </w:rPr>
              <w:t>自身原因未能按时完成解密的，视为逾期未提交</w:t>
            </w:r>
            <w:r>
              <w:rPr>
                <w:rFonts w:hint="eastAsia" w:ascii="宋体" w:hAnsi="宋体" w:eastAsia="宋体" w:cs="Times New Roman"/>
                <w:color w:val="auto"/>
                <w:sz w:val="24"/>
                <w:highlight w:val="none"/>
                <w:lang w:eastAsia="zh-CN"/>
              </w:rPr>
              <w:t>响应文件</w:t>
            </w:r>
            <w:r>
              <w:rPr>
                <w:rFonts w:hint="eastAsia" w:ascii="宋体" w:hAnsi="宋体" w:eastAsia="宋体" w:cs="Times New Roman"/>
                <w:color w:val="auto"/>
                <w:sz w:val="24"/>
                <w:highlight w:val="none"/>
              </w:rPr>
              <w:t>，其投标无效。</w:t>
            </w:r>
          </w:p>
        </w:tc>
      </w:tr>
      <w:tr w14:paraId="506BDF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41"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2B866F4B">
            <w:pPr>
              <w:jc w:val="center"/>
              <w:rPr>
                <w:rFonts w:ascii="宋体" w:hAnsi="宋体" w:cs="宋体"/>
                <w:color w:val="auto"/>
                <w:sz w:val="24"/>
                <w:highlight w:val="none"/>
              </w:rPr>
            </w:pPr>
            <w:r>
              <w:rPr>
                <w:rFonts w:hint="eastAsia" w:ascii="宋体" w:hAnsi="宋体" w:cs="宋体"/>
                <w:color w:val="auto"/>
                <w:sz w:val="24"/>
                <w:highlight w:val="none"/>
              </w:rPr>
              <w:t>39</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62618639">
            <w:pPr>
              <w:jc w:val="center"/>
              <w:rPr>
                <w:rFonts w:ascii="宋体" w:hAnsi="宋体" w:cs="宋体"/>
                <w:color w:val="auto"/>
                <w:sz w:val="24"/>
                <w:highlight w:val="none"/>
              </w:rPr>
            </w:pPr>
            <w:r>
              <w:rPr>
                <w:rFonts w:hint="eastAsia" w:ascii="宋体" w:hAnsi="宋体" w:cs="宋体"/>
                <w:color w:val="auto"/>
                <w:sz w:val="24"/>
                <w:highlight w:val="none"/>
                <w:lang w:eastAsia="zh-CN"/>
              </w:rPr>
              <w:t>磋商小组</w:t>
            </w:r>
            <w:r>
              <w:rPr>
                <w:rFonts w:hint="eastAsia" w:ascii="宋体" w:hAnsi="宋体" w:cs="宋体"/>
                <w:color w:val="auto"/>
                <w:sz w:val="24"/>
                <w:highlight w:val="none"/>
              </w:rPr>
              <w:t>的组建</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3A233E13">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磋商小组构成</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 xml:space="preserve"> 由有关经济、技术方面专家3人组成；</w:t>
            </w:r>
          </w:p>
          <w:p w14:paraId="549A89B5">
            <w:pPr>
              <w:jc w:val="left"/>
              <w:rPr>
                <w:rFonts w:ascii="宋体" w:hAnsi="宋体" w:cs="宋体"/>
                <w:color w:val="auto"/>
                <w:sz w:val="24"/>
                <w:highlight w:val="none"/>
              </w:rPr>
            </w:pPr>
            <w:r>
              <w:rPr>
                <w:rFonts w:hint="eastAsia" w:ascii="宋体" w:hAnsi="宋体" w:eastAsia="宋体" w:cs="宋体"/>
                <w:color w:val="auto"/>
                <w:sz w:val="24"/>
                <w:szCs w:val="24"/>
                <w:highlight w:val="none"/>
                <w:lang w:eastAsia="zh-CN"/>
              </w:rPr>
              <w:t>评审</w:t>
            </w:r>
            <w:r>
              <w:rPr>
                <w:rFonts w:hint="eastAsia" w:ascii="宋体" w:hAnsi="宋体" w:eastAsia="宋体" w:cs="宋体"/>
                <w:color w:val="auto"/>
                <w:sz w:val="24"/>
                <w:szCs w:val="24"/>
                <w:highlight w:val="none"/>
              </w:rPr>
              <w:t>专家确定方式：评标专家从政府采购云平台专家库中随机抽取</w:t>
            </w:r>
            <w:r>
              <w:rPr>
                <w:rFonts w:hint="eastAsia" w:ascii="宋体" w:hAnsi="宋体" w:eastAsia="宋体" w:cs="宋体"/>
                <w:bCs/>
                <w:color w:val="auto"/>
                <w:kern w:val="15"/>
                <w:sz w:val="24"/>
                <w:szCs w:val="24"/>
                <w:highlight w:val="none"/>
              </w:rPr>
              <w:t>。</w:t>
            </w:r>
          </w:p>
        </w:tc>
      </w:tr>
      <w:tr w14:paraId="2826B6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48"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622BC7D1">
            <w:pPr>
              <w:jc w:val="center"/>
              <w:rPr>
                <w:rFonts w:ascii="宋体" w:hAnsi="宋体" w:cs="宋体"/>
                <w:color w:val="auto"/>
                <w:sz w:val="24"/>
                <w:highlight w:val="none"/>
              </w:rPr>
            </w:pPr>
            <w:r>
              <w:rPr>
                <w:rFonts w:hint="eastAsia" w:ascii="宋体" w:hAnsi="宋体" w:cs="宋体"/>
                <w:color w:val="auto"/>
                <w:sz w:val="24"/>
                <w:highlight w:val="none"/>
              </w:rPr>
              <w:t>40</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24C03E0F">
            <w:pPr>
              <w:jc w:val="center"/>
              <w:rPr>
                <w:rFonts w:ascii="宋体" w:hAnsi="宋体" w:cs="宋体"/>
                <w:color w:val="auto"/>
                <w:sz w:val="24"/>
                <w:highlight w:val="none"/>
              </w:rPr>
            </w:pPr>
            <w:r>
              <w:rPr>
                <w:rFonts w:hint="eastAsia" w:ascii="宋体" w:hAnsi="宋体" w:cs="宋体"/>
                <w:color w:val="auto"/>
                <w:sz w:val="24"/>
                <w:highlight w:val="none"/>
              </w:rPr>
              <w:t>中标候选人公示媒介及期限</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41EBAFA4">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公示媒介：</w:t>
            </w:r>
            <w:bookmarkStart w:id="795" w:name="_GoBack"/>
            <w:bookmarkEnd w:id="795"/>
            <w:r>
              <w:rPr>
                <w:rFonts w:hint="eastAsia" w:ascii="宋体" w:hAnsi="宋体" w:eastAsia="宋体" w:cs="宋体"/>
                <w:b w:val="0"/>
                <w:bCs/>
                <w:color w:val="auto"/>
                <w:sz w:val="24"/>
                <w:szCs w:val="24"/>
                <w:highlight w:val="none"/>
              </w:rPr>
              <w:t>中国政府采购网</w:t>
            </w:r>
            <w:r>
              <w:rPr>
                <w:rFonts w:hint="eastAsia" w:ascii="宋体" w:hAnsi="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rPr>
              <w:t>政府采购云平台（http://www.zcygov.cn）</w:t>
            </w:r>
            <w:r>
              <w:rPr>
                <w:rFonts w:hint="eastAsia" w:ascii="宋体" w:hAnsi="宋体" w:eastAsia="宋体" w:cs="宋体"/>
                <w:color w:val="auto"/>
                <w:sz w:val="24"/>
                <w:highlight w:val="none"/>
                <w:lang w:val="en-US" w:eastAsia="zh-CN"/>
              </w:rPr>
              <w:t>同步推送到吉林省政府采购网</w:t>
            </w:r>
          </w:p>
          <w:p w14:paraId="10B12E9E">
            <w:pPr>
              <w:rPr>
                <w:rFonts w:ascii="宋体" w:hAnsi="宋体" w:cs="宋体"/>
                <w:color w:val="auto"/>
                <w:sz w:val="24"/>
                <w:highlight w:val="none"/>
              </w:rPr>
            </w:pPr>
            <w:r>
              <w:rPr>
                <w:rFonts w:hint="eastAsia" w:ascii="宋体" w:hAnsi="宋体" w:eastAsia="宋体" w:cs="宋体"/>
                <w:color w:val="auto"/>
                <w:sz w:val="24"/>
                <w:szCs w:val="24"/>
                <w:highlight w:val="none"/>
              </w:rPr>
              <w:t>公示期限：</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日</w:t>
            </w:r>
          </w:p>
        </w:tc>
      </w:tr>
      <w:tr w14:paraId="6E4679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21"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04D9A77A">
            <w:pPr>
              <w:jc w:val="center"/>
              <w:rPr>
                <w:rFonts w:ascii="宋体" w:hAnsi="宋体" w:cs="宋体"/>
                <w:color w:val="auto"/>
                <w:sz w:val="24"/>
                <w:highlight w:val="none"/>
              </w:rPr>
            </w:pPr>
            <w:r>
              <w:rPr>
                <w:rFonts w:hint="eastAsia" w:ascii="宋体" w:hAnsi="宋体" w:cs="宋体"/>
                <w:color w:val="auto"/>
                <w:sz w:val="24"/>
                <w:highlight w:val="none"/>
              </w:rPr>
              <w:t>41</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3E900D9B">
            <w:pPr>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rPr>
              <w:t>是否授权</w:t>
            </w:r>
            <w:r>
              <w:rPr>
                <w:rFonts w:hint="eastAsia" w:ascii="宋体" w:hAnsi="宋体" w:cs="宋体"/>
                <w:color w:val="auto"/>
                <w:sz w:val="24"/>
                <w:highlight w:val="none"/>
                <w:lang w:eastAsia="zh-CN"/>
              </w:rPr>
              <w:t>磋商小组</w:t>
            </w:r>
            <w:r>
              <w:rPr>
                <w:rFonts w:hint="eastAsia" w:ascii="宋体" w:hAnsi="宋体" w:cs="宋体"/>
                <w:color w:val="auto"/>
                <w:sz w:val="24"/>
                <w:highlight w:val="none"/>
              </w:rPr>
              <w:t>确定</w:t>
            </w:r>
            <w:r>
              <w:rPr>
                <w:rFonts w:hint="eastAsia" w:ascii="宋体" w:hAnsi="宋体" w:cs="宋体"/>
                <w:color w:val="auto"/>
                <w:sz w:val="24"/>
                <w:highlight w:val="none"/>
                <w:lang w:eastAsia="zh-CN"/>
              </w:rPr>
              <w:t>成交供应商</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52038D2A">
            <w:pPr>
              <w:rPr>
                <w:rFonts w:ascii="宋体" w:hAnsi="宋体" w:cs="宋体"/>
                <w:color w:val="auto"/>
                <w:sz w:val="24"/>
                <w:highlight w:val="none"/>
              </w:rPr>
            </w:pPr>
            <w:r>
              <w:rPr>
                <w:rFonts w:hint="eastAsia" w:ascii="宋体" w:hAnsi="宋体" w:cs="宋体"/>
                <w:color w:val="auto"/>
                <w:sz w:val="24"/>
                <w:highlight w:val="none"/>
                <w:lang w:val="zh-CN"/>
              </w:rPr>
              <w:t>√</w:t>
            </w:r>
            <w:r>
              <w:rPr>
                <w:rFonts w:hint="eastAsia" w:ascii="宋体" w:hAnsi="宋体" w:cs="宋体"/>
                <w:color w:val="auto"/>
                <w:sz w:val="24"/>
                <w:highlight w:val="none"/>
              </w:rPr>
              <w:t>否 ：</w:t>
            </w:r>
            <w:r>
              <w:rPr>
                <w:rFonts w:hint="eastAsia" w:ascii="宋体" w:hAnsi="宋体" w:cs="宋体"/>
                <w:color w:val="auto"/>
                <w:sz w:val="24"/>
                <w:highlight w:val="none"/>
                <w:lang w:eastAsia="zh-CN"/>
              </w:rPr>
              <w:t>磋商小组</w:t>
            </w:r>
            <w:r>
              <w:rPr>
                <w:rFonts w:hint="eastAsia" w:ascii="宋体" w:hAnsi="宋体" w:cs="宋体"/>
                <w:color w:val="auto"/>
                <w:sz w:val="24"/>
                <w:highlight w:val="none"/>
              </w:rPr>
              <w:t>推荐3名中标候选人，并标明推荐顺序。</w:t>
            </w:r>
            <w:r>
              <w:rPr>
                <w:rFonts w:hint="eastAsia" w:ascii="宋体" w:hAnsi="宋体" w:cs="宋体"/>
                <w:color w:val="auto"/>
                <w:sz w:val="24"/>
                <w:highlight w:val="none"/>
                <w:lang w:eastAsia="zh-CN"/>
              </w:rPr>
              <w:t>采购人</w:t>
            </w:r>
            <w:r>
              <w:rPr>
                <w:rFonts w:hint="eastAsia" w:ascii="宋体" w:hAnsi="宋体" w:cs="宋体"/>
                <w:color w:val="auto"/>
                <w:sz w:val="24"/>
                <w:highlight w:val="none"/>
              </w:rPr>
              <w:t>将依据</w:t>
            </w:r>
            <w:r>
              <w:rPr>
                <w:rFonts w:hint="eastAsia" w:ascii="宋体" w:hAnsi="宋体" w:cs="宋体"/>
                <w:color w:val="auto"/>
                <w:sz w:val="24"/>
                <w:highlight w:val="none"/>
                <w:lang w:eastAsia="zh-CN"/>
              </w:rPr>
              <w:t>磋商小组</w:t>
            </w:r>
            <w:r>
              <w:rPr>
                <w:rFonts w:hint="eastAsia" w:ascii="宋体" w:hAnsi="宋体" w:cs="宋体"/>
                <w:color w:val="auto"/>
                <w:sz w:val="24"/>
                <w:highlight w:val="none"/>
              </w:rPr>
              <w:t>推荐的中标候选人确定</w:t>
            </w:r>
            <w:r>
              <w:rPr>
                <w:rFonts w:hint="eastAsia" w:ascii="宋体" w:hAnsi="宋体" w:cs="宋体"/>
                <w:color w:val="auto"/>
                <w:sz w:val="24"/>
                <w:highlight w:val="none"/>
                <w:lang w:eastAsia="zh-CN"/>
              </w:rPr>
              <w:t>成交供应商</w:t>
            </w:r>
            <w:r>
              <w:rPr>
                <w:rFonts w:hint="eastAsia" w:ascii="宋体" w:hAnsi="宋体" w:cs="宋体"/>
                <w:color w:val="auto"/>
                <w:sz w:val="24"/>
                <w:highlight w:val="none"/>
              </w:rPr>
              <w:t>。</w:t>
            </w:r>
          </w:p>
          <w:p w14:paraId="56E6C5D3">
            <w:pPr>
              <w:rPr>
                <w:rFonts w:ascii="宋体" w:hAnsi="宋体" w:cs="宋体"/>
                <w:color w:val="auto"/>
                <w:sz w:val="24"/>
                <w:highlight w:val="none"/>
              </w:rPr>
            </w:pPr>
            <w:r>
              <w:rPr>
                <w:rFonts w:hint="eastAsia" w:ascii="宋体" w:hAnsi="宋体" w:cs="宋体"/>
                <w:color w:val="auto"/>
                <w:sz w:val="24"/>
                <w:highlight w:val="none"/>
              </w:rPr>
              <w:t>□是</w:t>
            </w:r>
          </w:p>
        </w:tc>
      </w:tr>
      <w:tr w14:paraId="27EBD8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6"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653F6053">
            <w:pPr>
              <w:jc w:val="center"/>
              <w:rPr>
                <w:rFonts w:ascii="宋体" w:hAnsi="宋体" w:cs="宋体"/>
                <w:color w:val="auto"/>
                <w:sz w:val="24"/>
                <w:highlight w:val="none"/>
              </w:rPr>
            </w:pPr>
            <w:r>
              <w:rPr>
                <w:rFonts w:hint="eastAsia" w:ascii="宋体" w:hAnsi="宋体" w:cs="宋体"/>
                <w:color w:val="auto"/>
                <w:sz w:val="24"/>
                <w:highlight w:val="none"/>
              </w:rPr>
              <w:t>42</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56C4B45C">
            <w:pPr>
              <w:jc w:val="center"/>
              <w:rPr>
                <w:rFonts w:ascii="宋体" w:hAnsi="宋体" w:cs="宋体"/>
                <w:color w:val="auto"/>
                <w:sz w:val="24"/>
                <w:highlight w:val="none"/>
                <w:lang w:val="zh-CN"/>
              </w:rPr>
            </w:pPr>
            <w:r>
              <w:rPr>
                <w:rFonts w:hint="eastAsia" w:ascii="宋体" w:hAnsi="宋体" w:cs="宋体"/>
                <w:color w:val="auto"/>
                <w:sz w:val="24"/>
                <w:highlight w:val="none"/>
                <w:lang w:val="zh-CN"/>
              </w:rPr>
              <w:t>履约保证金</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5F24D38D">
            <w:pPr>
              <w:rPr>
                <w:rFonts w:ascii="宋体" w:hAnsi="宋体"/>
                <w:bCs/>
                <w:color w:val="auto"/>
                <w:kern w:val="15"/>
                <w:sz w:val="24"/>
                <w:highlight w:val="none"/>
              </w:rPr>
            </w:pPr>
            <w:r>
              <w:rPr>
                <w:rFonts w:hint="eastAsia" w:ascii="宋体" w:hAnsi="宋体"/>
                <w:bCs/>
                <w:color w:val="auto"/>
                <w:kern w:val="15"/>
                <w:sz w:val="24"/>
                <w:highlight w:val="none"/>
              </w:rPr>
              <w:t>是否要求</w:t>
            </w:r>
            <w:r>
              <w:rPr>
                <w:rFonts w:hint="eastAsia" w:ascii="宋体" w:hAnsi="宋体"/>
                <w:bCs/>
                <w:color w:val="auto"/>
                <w:kern w:val="15"/>
                <w:sz w:val="24"/>
                <w:highlight w:val="none"/>
                <w:lang w:eastAsia="zh-CN"/>
              </w:rPr>
              <w:t>成交供应商</w:t>
            </w:r>
            <w:r>
              <w:rPr>
                <w:rFonts w:hint="eastAsia" w:ascii="宋体" w:hAnsi="宋体"/>
                <w:bCs/>
                <w:color w:val="auto"/>
                <w:kern w:val="15"/>
                <w:sz w:val="24"/>
                <w:highlight w:val="none"/>
              </w:rPr>
              <w:t>提交履约保证金：</w:t>
            </w:r>
          </w:p>
          <w:p w14:paraId="1E8F587B">
            <w:pPr>
              <w:rPr>
                <w:rFonts w:ascii="宋体" w:hAnsi="宋体" w:cs="宋体"/>
                <w:color w:val="auto"/>
                <w:sz w:val="24"/>
                <w:highlight w:val="none"/>
                <w:lang w:val="zh-CN"/>
              </w:rPr>
            </w:pPr>
            <w:r>
              <w:rPr>
                <w:rFonts w:hint="eastAsia" w:ascii="宋体" w:hAnsi="宋体"/>
                <w:bCs/>
                <w:color w:val="auto"/>
                <w:kern w:val="15"/>
                <w:sz w:val="24"/>
                <w:highlight w:val="none"/>
              </w:rPr>
              <w:sym w:font="Wingdings" w:char="F0FE"/>
            </w:r>
            <w:r>
              <w:rPr>
                <w:rFonts w:hint="eastAsia" w:ascii="宋体" w:hAnsi="宋体"/>
                <w:bCs/>
                <w:color w:val="auto"/>
                <w:kern w:val="15"/>
                <w:sz w:val="24"/>
                <w:highlight w:val="none"/>
                <w:lang w:val="en-US" w:eastAsia="zh-CN"/>
              </w:rPr>
              <w:t>不</w:t>
            </w:r>
            <w:r>
              <w:rPr>
                <w:rFonts w:hint="eastAsia" w:ascii="宋体" w:hAnsi="宋体"/>
                <w:bCs/>
                <w:color w:val="auto"/>
                <w:kern w:val="15"/>
                <w:sz w:val="24"/>
                <w:highlight w:val="none"/>
              </w:rPr>
              <w:t>要求</w:t>
            </w:r>
          </w:p>
        </w:tc>
      </w:tr>
      <w:tr w14:paraId="7CF0B4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51AAFDFE">
            <w:pPr>
              <w:jc w:val="center"/>
              <w:rPr>
                <w:rFonts w:ascii="宋体" w:hAnsi="宋体" w:cs="宋体"/>
                <w:color w:val="auto"/>
                <w:sz w:val="24"/>
                <w:highlight w:val="none"/>
              </w:rPr>
            </w:pPr>
            <w:r>
              <w:rPr>
                <w:rFonts w:hint="eastAsia" w:ascii="宋体" w:hAnsi="宋体" w:cs="宋体"/>
                <w:color w:val="auto"/>
                <w:sz w:val="24"/>
                <w:highlight w:val="none"/>
              </w:rPr>
              <w:t>43</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18A92EDC">
            <w:pPr>
              <w:jc w:val="center"/>
              <w:rPr>
                <w:rFonts w:ascii="宋体" w:hAnsi="宋体" w:cs="宋体"/>
                <w:color w:val="auto"/>
                <w:sz w:val="24"/>
                <w:highlight w:val="none"/>
              </w:rPr>
            </w:pPr>
            <w:r>
              <w:rPr>
                <w:rFonts w:hint="eastAsia" w:ascii="宋体" w:hAnsi="宋体" w:cs="宋体"/>
                <w:color w:val="auto"/>
                <w:sz w:val="24"/>
                <w:highlight w:val="none"/>
              </w:rPr>
              <w:t>最高投标限价</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35741445">
            <w:pPr>
              <w:jc w:val="left"/>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1208632</w:t>
            </w:r>
            <w:r>
              <w:rPr>
                <w:rFonts w:hint="eastAsia" w:ascii="宋体" w:hAnsi="宋体" w:cs="宋体"/>
                <w:color w:val="auto"/>
                <w:sz w:val="24"/>
                <w:highlight w:val="none"/>
              </w:rPr>
              <w:t>元</w:t>
            </w:r>
          </w:p>
          <w:p w14:paraId="01959987">
            <w:pPr>
              <w:jc w:val="left"/>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高于最高投标限价的投标报价按废标处理</w:t>
            </w:r>
          </w:p>
        </w:tc>
      </w:tr>
      <w:tr w14:paraId="7E1919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123" w:type="dxa"/>
            <w:gridSpan w:val="3"/>
            <w:tcBorders>
              <w:top w:val="single" w:color="auto" w:sz="4" w:space="0"/>
              <w:left w:val="single" w:color="auto" w:sz="4" w:space="0"/>
              <w:bottom w:val="single" w:color="auto" w:sz="4" w:space="0"/>
              <w:right w:val="single" w:color="auto" w:sz="4" w:space="0"/>
            </w:tcBorders>
            <w:noWrap w:val="0"/>
            <w:vAlign w:val="center"/>
          </w:tcPr>
          <w:p w14:paraId="682D59CC">
            <w:pPr>
              <w:jc w:val="center"/>
              <w:rPr>
                <w:rFonts w:ascii="宋体" w:hAnsi="宋体" w:cs="宋体"/>
                <w:b/>
                <w:bCs/>
                <w:color w:val="auto"/>
                <w:sz w:val="24"/>
                <w:highlight w:val="none"/>
              </w:rPr>
            </w:pPr>
            <w:r>
              <w:rPr>
                <w:rFonts w:hint="eastAsia" w:ascii="宋体" w:hAnsi="宋体"/>
                <w:b/>
                <w:color w:val="auto"/>
                <w:sz w:val="24"/>
                <w:highlight w:val="none"/>
              </w:rPr>
              <w:t>需要补充的其他内容</w:t>
            </w:r>
          </w:p>
        </w:tc>
      </w:tr>
      <w:tr w14:paraId="15FC69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535D6B0B">
            <w:pPr>
              <w:jc w:val="center"/>
              <w:rPr>
                <w:rFonts w:ascii="宋体" w:hAnsi="宋体" w:cs="宋体"/>
                <w:color w:val="auto"/>
                <w:sz w:val="24"/>
                <w:highlight w:val="none"/>
              </w:rPr>
            </w:pPr>
            <w:r>
              <w:rPr>
                <w:rFonts w:hint="eastAsia" w:ascii="宋体" w:hAnsi="宋体" w:cs="宋体"/>
                <w:color w:val="auto"/>
                <w:sz w:val="24"/>
                <w:highlight w:val="none"/>
              </w:rPr>
              <w:t>44</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6DEBE917">
            <w:pPr>
              <w:jc w:val="center"/>
              <w:rPr>
                <w:rFonts w:ascii="宋体" w:hAnsi="宋体" w:cs="宋体"/>
                <w:color w:val="auto"/>
                <w:sz w:val="24"/>
                <w:highlight w:val="none"/>
                <w:lang w:val="zh-CN"/>
              </w:rPr>
            </w:pPr>
            <w:r>
              <w:rPr>
                <w:rFonts w:hint="eastAsia" w:ascii="宋体" w:hAnsi="宋体" w:cs="宋体"/>
                <w:color w:val="auto"/>
                <w:sz w:val="24"/>
                <w:highlight w:val="none"/>
                <w:lang w:val="zh-CN"/>
              </w:rPr>
              <w:t>类似项目</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4F22A2CD">
            <w:pPr>
              <w:rPr>
                <w:rFonts w:ascii="宋体" w:hAnsi="宋体" w:cs="宋体"/>
                <w:b/>
                <w:color w:val="auto"/>
                <w:sz w:val="24"/>
                <w:highlight w:val="none"/>
              </w:rPr>
            </w:pPr>
            <w:r>
              <w:rPr>
                <w:rFonts w:hint="eastAsia" w:ascii="宋体" w:hAnsi="宋体"/>
                <w:b/>
                <w:color w:val="auto"/>
                <w:sz w:val="24"/>
                <w:highlight w:val="none"/>
                <w:lang w:val="en-US" w:eastAsia="zh-CN"/>
              </w:rPr>
              <w:t>水利</w:t>
            </w:r>
            <w:r>
              <w:rPr>
                <w:rFonts w:hint="eastAsia" w:ascii="宋体" w:hAnsi="宋体"/>
                <w:b/>
                <w:color w:val="auto"/>
                <w:sz w:val="24"/>
                <w:highlight w:val="none"/>
              </w:rPr>
              <w:t>工程</w:t>
            </w:r>
          </w:p>
        </w:tc>
      </w:tr>
      <w:tr w14:paraId="0C62C1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4"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59CEADCD">
            <w:pPr>
              <w:jc w:val="center"/>
              <w:rPr>
                <w:rFonts w:ascii="宋体" w:hAnsi="宋体" w:cs="宋体"/>
                <w:color w:val="auto"/>
                <w:sz w:val="24"/>
                <w:highlight w:val="none"/>
              </w:rPr>
            </w:pPr>
            <w:r>
              <w:rPr>
                <w:rFonts w:hint="eastAsia" w:ascii="宋体" w:hAnsi="宋体" w:cs="宋体"/>
                <w:color w:val="auto"/>
                <w:sz w:val="24"/>
                <w:highlight w:val="none"/>
              </w:rPr>
              <w:t>45</w:t>
            </w:r>
          </w:p>
        </w:tc>
        <w:tc>
          <w:tcPr>
            <w:tcW w:w="182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0C1C70F">
            <w:pPr>
              <w:jc w:val="center"/>
              <w:rPr>
                <w:rFonts w:ascii="宋体" w:hAnsi="宋体" w:eastAsia="宋体" w:cs="宋体"/>
                <w:color w:val="auto"/>
                <w:kern w:val="2"/>
                <w:sz w:val="24"/>
                <w:szCs w:val="24"/>
                <w:highlight w:val="none"/>
                <w:lang w:val="zh-CN" w:eastAsia="zh-CN" w:bidi="ar-SA"/>
              </w:rPr>
            </w:pPr>
            <w:r>
              <w:rPr>
                <w:rFonts w:hint="eastAsia" w:ascii="宋体" w:hAnsi="宋体" w:cs="宋体"/>
                <w:color w:val="auto"/>
                <w:sz w:val="24"/>
                <w:highlight w:val="none"/>
                <w:lang w:val="zh-CN"/>
              </w:rPr>
              <w:t>原件</w:t>
            </w:r>
          </w:p>
        </w:tc>
        <w:tc>
          <w:tcPr>
            <w:tcW w:w="728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5B67DC0">
            <w:pPr>
              <w:numPr>
                <w:ilvl w:val="0"/>
                <w:numId w:val="0"/>
              </w:numPr>
              <w:ind w:left="0" w:leftChars="0" w:firstLine="0" w:firstLineChars="0"/>
              <w:jc w:val="left"/>
              <w:rPr>
                <w:rFonts w:hint="default" w:ascii="宋体" w:hAnsi="宋体" w:eastAsia="宋体" w:cs="宋体"/>
                <w:color w:val="auto"/>
                <w:kern w:val="2"/>
                <w:sz w:val="24"/>
                <w:szCs w:val="24"/>
                <w:highlight w:val="none"/>
                <w:lang w:val="zh-CN" w:eastAsia="zh-CN" w:bidi="ar-SA"/>
              </w:rPr>
            </w:pPr>
            <w:r>
              <w:rPr>
                <w:rFonts w:hint="eastAsia" w:ascii="宋体" w:hAnsi="宋体" w:cs="宋体"/>
                <w:color w:val="auto"/>
                <w:sz w:val="24"/>
                <w:highlight w:val="none"/>
                <w:lang w:val="zh-CN"/>
              </w:rPr>
              <w:t>不提交，</w:t>
            </w:r>
            <w:r>
              <w:rPr>
                <w:rFonts w:hint="eastAsia" w:ascii="宋体" w:hAnsi="宋体" w:cs="宋体"/>
                <w:color w:val="auto"/>
                <w:sz w:val="24"/>
                <w:highlight w:val="none"/>
                <w:lang w:val="en-US" w:eastAsia="zh-CN"/>
              </w:rPr>
              <w:t>供应商应提供</w:t>
            </w:r>
            <w:r>
              <w:rPr>
                <w:rFonts w:hint="eastAsia" w:ascii="宋体" w:hAnsi="宋体" w:cs="宋体"/>
                <w:color w:val="auto"/>
                <w:sz w:val="24"/>
                <w:highlight w:val="none"/>
                <w:lang w:val="zh-CN"/>
              </w:rPr>
              <w:t>清晰复印件</w:t>
            </w:r>
            <w:r>
              <w:rPr>
                <w:rFonts w:hint="eastAsia" w:ascii="宋体" w:hAnsi="宋体" w:cs="宋体"/>
                <w:color w:val="auto"/>
                <w:sz w:val="24"/>
                <w:highlight w:val="none"/>
                <w:lang w:val="en-US" w:eastAsia="zh-CN"/>
              </w:rPr>
              <w:t>并</w:t>
            </w:r>
            <w:r>
              <w:rPr>
                <w:rFonts w:hint="eastAsia" w:ascii="宋体" w:hAnsi="宋体" w:cs="宋体"/>
                <w:color w:val="auto"/>
                <w:sz w:val="24"/>
                <w:highlight w:val="none"/>
                <w:lang w:val="zh-CN"/>
              </w:rPr>
              <w:t>加盖</w:t>
            </w:r>
            <w:r>
              <w:rPr>
                <w:rFonts w:hint="eastAsia" w:ascii="宋体" w:hAnsi="宋体" w:cs="宋体"/>
                <w:color w:val="auto"/>
                <w:sz w:val="24"/>
                <w:highlight w:val="none"/>
                <w:lang w:val="en-US" w:eastAsia="zh-CN"/>
              </w:rPr>
              <w:t>单位</w:t>
            </w:r>
            <w:r>
              <w:rPr>
                <w:rFonts w:hint="eastAsia" w:ascii="宋体" w:hAnsi="宋体" w:cs="宋体"/>
                <w:color w:val="auto"/>
                <w:sz w:val="24"/>
                <w:highlight w:val="none"/>
                <w:lang w:val="zh-CN"/>
              </w:rPr>
              <w:t>公章附在响应文件中，</w:t>
            </w:r>
            <w:r>
              <w:rPr>
                <w:rFonts w:hint="eastAsia" w:ascii="宋体" w:hAnsi="宋体" w:cs="宋体"/>
                <w:color w:val="auto"/>
                <w:sz w:val="24"/>
                <w:highlight w:val="none"/>
                <w:lang w:val="en-US" w:eastAsia="zh-CN"/>
              </w:rPr>
              <w:t>且对其真实性负责，若出现弄虚作假的行为，供应商自行承担后果。</w:t>
            </w:r>
          </w:p>
        </w:tc>
      </w:tr>
      <w:tr w14:paraId="59005C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7"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5437B160">
            <w:pPr>
              <w:jc w:val="center"/>
              <w:rPr>
                <w:rFonts w:ascii="宋体" w:hAnsi="宋体" w:cs="宋体"/>
                <w:color w:val="auto"/>
                <w:sz w:val="24"/>
                <w:highlight w:val="none"/>
              </w:rPr>
            </w:pPr>
            <w:r>
              <w:rPr>
                <w:rFonts w:hint="eastAsia" w:ascii="宋体" w:hAnsi="宋体" w:cs="宋体"/>
                <w:color w:val="auto"/>
                <w:sz w:val="24"/>
                <w:highlight w:val="none"/>
              </w:rPr>
              <w:t>46</w:t>
            </w:r>
          </w:p>
        </w:tc>
        <w:tc>
          <w:tcPr>
            <w:tcW w:w="182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13AEFCE">
            <w:pPr>
              <w:jc w:val="center"/>
              <w:rPr>
                <w:rFonts w:ascii="宋体" w:hAnsi="宋体" w:eastAsia="宋体" w:cs="宋体"/>
                <w:color w:val="auto"/>
                <w:kern w:val="2"/>
                <w:sz w:val="24"/>
                <w:szCs w:val="24"/>
                <w:highlight w:val="none"/>
                <w:lang w:val="zh-CN" w:eastAsia="zh-CN" w:bidi="ar-SA"/>
              </w:rPr>
            </w:pPr>
            <w:r>
              <w:rPr>
                <w:rFonts w:hint="eastAsia" w:ascii="宋体" w:hAnsi="宋体" w:cs="宋体"/>
                <w:color w:val="auto"/>
                <w:sz w:val="24"/>
                <w:highlight w:val="none"/>
                <w:lang w:val="zh-CN"/>
              </w:rPr>
              <w:t>采购代理服务费</w:t>
            </w:r>
          </w:p>
        </w:tc>
        <w:tc>
          <w:tcPr>
            <w:tcW w:w="728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34C3116">
            <w:pPr>
              <w:jc w:val="left"/>
              <w:rPr>
                <w:rFonts w:hint="default" w:ascii="宋体" w:hAnsi="宋体" w:eastAsia="宋体" w:cs="宋体"/>
                <w:color w:val="auto"/>
                <w:kern w:val="2"/>
                <w:sz w:val="24"/>
                <w:szCs w:val="24"/>
                <w:highlight w:val="none"/>
                <w:lang w:val="en-US" w:eastAsia="zh-CN" w:bidi="ar-SA"/>
              </w:rPr>
            </w:pPr>
            <w:r>
              <w:rPr>
                <w:rFonts w:hint="eastAsia" w:ascii="宋体" w:hAnsi="宋体"/>
                <w:bCs/>
                <w:color w:val="auto"/>
                <w:kern w:val="15"/>
                <w:sz w:val="24"/>
                <w:highlight w:val="none"/>
              </w:rPr>
              <w:t>本项目的</w:t>
            </w:r>
            <w:r>
              <w:rPr>
                <w:rFonts w:hint="eastAsia" w:ascii="宋体" w:hAnsi="宋体"/>
                <w:bCs/>
                <w:color w:val="auto"/>
                <w:kern w:val="15"/>
                <w:sz w:val="24"/>
                <w:highlight w:val="none"/>
                <w:lang w:eastAsia="zh-CN"/>
              </w:rPr>
              <w:t>采购代理</w:t>
            </w:r>
            <w:r>
              <w:rPr>
                <w:rFonts w:hint="eastAsia" w:ascii="宋体" w:hAnsi="宋体"/>
                <w:bCs/>
                <w:color w:val="auto"/>
                <w:kern w:val="15"/>
                <w:sz w:val="24"/>
                <w:highlight w:val="none"/>
              </w:rPr>
              <w:t>服务费（中标服务费）额度按中标单位的中标价格参照《国家发展改革委关于进一步放开建设项目专业服务价格的通知》（发改办价格【2015】299号）的规定向</w:t>
            </w:r>
            <w:r>
              <w:rPr>
                <w:rFonts w:hint="eastAsia" w:ascii="宋体" w:hAnsi="宋体"/>
                <w:bCs/>
                <w:color w:val="auto"/>
                <w:kern w:val="15"/>
                <w:sz w:val="24"/>
                <w:highlight w:val="none"/>
                <w:lang w:eastAsia="zh-CN"/>
              </w:rPr>
              <w:t>成交供应商</w:t>
            </w:r>
            <w:r>
              <w:rPr>
                <w:rFonts w:hint="eastAsia" w:ascii="宋体" w:hAnsi="宋体"/>
                <w:bCs/>
                <w:color w:val="auto"/>
                <w:kern w:val="15"/>
                <w:sz w:val="24"/>
                <w:highlight w:val="none"/>
              </w:rPr>
              <w:t>收取</w:t>
            </w:r>
            <w:r>
              <w:rPr>
                <w:rFonts w:hint="eastAsia" w:ascii="宋体" w:hAnsi="宋体"/>
                <w:bCs/>
                <w:color w:val="auto"/>
                <w:kern w:val="15"/>
                <w:sz w:val="24"/>
                <w:highlight w:val="none"/>
                <w:lang w:eastAsia="zh-CN"/>
              </w:rPr>
              <w:t>采购代理</w:t>
            </w:r>
            <w:r>
              <w:rPr>
                <w:rFonts w:hint="eastAsia" w:ascii="宋体" w:hAnsi="宋体"/>
                <w:bCs/>
                <w:color w:val="auto"/>
                <w:kern w:val="15"/>
                <w:sz w:val="24"/>
                <w:highlight w:val="none"/>
              </w:rPr>
              <w:t>服务费。</w:t>
            </w:r>
          </w:p>
        </w:tc>
      </w:tr>
      <w:tr w14:paraId="01FEAA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1" w:hRule="atLeast"/>
        </w:trPr>
        <w:tc>
          <w:tcPr>
            <w:tcW w:w="10123" w:type="dxa"/>
            <w:gridSpan w:val="3"/>
            <w:tcBorders>
              <w:top w:val="single" w:color="auto" w:sz="4" w:space="0"/>
              <w:left w:val="single" w:color="auto" w:sz="4" w:space="0"/>
              <w:bottom w:val="single" w:color="auto" w:sz="4" w:space="0"/>
              <w:right w:val="single" w:color="auto" w:sz="4" w:space="0"/>
            </w:tcBorders>
            <w:noWrap w:val="0"/>
            <w:vAlign w:val="center"/>
          </w:tcPr>
          <w:p w14:paraId="675B1B83">
            <w:pPr>
              <w:jc w:val="center"/>
              <w:rPr>
                <w:rFonts w:ascii="宋体" w:hAnsi="宋体" w:cs="宋体"/>
                <w:b/>
                <w:bCs/>
                <w:color w:val="auto"/>
                <w:sz w:val="24"/>
                <w:highlight w:val="none"/>
              </w:rPr>
            </w:pPr>
            <w:r>
              <w:rPr>
                <w:rFonts w:hint="eastAsia" w:ascii="宋体" w:hAnsi="宋体" w:cs="宋体"/>
                <w:b/>
                <w:bCs/>
                <w:color w:val="auto"/>
                <w:sz w:val="24"/>
                <w:highlight w:val="none"/>
              </w:rPr>
              <w:t xml:space="preserve">※ </w:t>
            </w:r>
            <w:r>
              <w:rPr>
                <w:rFonts w:hint="eastAsia" w:ascii="宋体" w:hAnsi="宋体" w:cs="宋体"/>
                <w:b/>
                <w:bCs/>
                <w:color w:val="auto"/>
                <w:sz w:val="24"/>
                <w:highlight w:val="none"/>
                <w:lang w:eastAsia="zh-CN"/>
              </w:rPr>
              <w:t>竞争性磋商公告</w:t>
            </w:r>
            <w:r>
              <w:rPr>
                <w:rFonts w:hint="eastAsia" w:ascii="宋体" w:hAnsi="宋体" w:cs="宋体"/>
                <w:b/>
                <w:bCs/>
                <w:color w:val="auto"/>
                <w:sz w:val="24"/>
                <w:highlight w:val="none"/>
              </w:rPr>
              <w:t>与</w:t>
            </w:r>
            <w:r>
              <w:rPr>
                <w:rFonts w:hint="eastAsia" w:ascii="宋体" w:hAnsi="宋体" w:cs="宋体"/>
                <w:b/>
                <w:bCs/>
                <w:color w:val="auto"/>
                <w:sz w:val="24"/>
                <w:highlight w:val="none"/>
                <w:lang w:eastAsia="zh-CN"/>
              </w:rPr>
              <w:t>磋商文件</w:t>
            </w:r>
            <w:r>
              <w:rPr>
                <w:rFonts w:hint="eastAsia" w:ascii="宋体" w:hAnsi="宋体" w:cs="宋体"/>
                <w:b/>
                <w:bCs/>
                <w:color w:val="auto"/>
                <w:sz w:val="24"/>
                <w:highlight w:val="none"/>
              </w:rPr>
              <w:t>不一致之处，以</w:t>
            </w:r>
            <w:r>
              <w:rPr>
                <w:rFonts w:hint="eastAsia" w:ascii="宋体" w:hAnsi="宋体" w:cs="宋体"/>
                <w:b/>
                <w:bCs/>
                <w:color w:val="auto"/>
                <w:sz w:val="24"/>
                <w:highlight w:val="none"/>
                <w:lang w:eastAsia="zh-CN"/>
              </w:rPr>
              <w:t>磋商文件</w:t>
            </w:r>
            <w:r>
              <w:rPr>
                <w:rFonts w:hint="eastAsia" w:ascii="宋体" w:hAnsi="宋体" w:cs="宋体"/>
                <w:b/>
                <w:bCs/>
                <w:color w:val="auto"/>
                <w:sz w:val="24"/>
                <w:highlight w:val="none"/>
              </w:rPr>
              <w:t>为准。</w:t>
            </w:r>
          </w:p>
        </w:tc>
      </w:tr>
    </w:tbl>
    <w:p w14:paraId="5BA35DFB">
      <w:pPr>
        <w:widowControl/>
        <w:jc w:val="left"/>
        <w:outlineLvl w:val="1"/>
        <w:rPr>
          <w:rFonts w:ascii="宋体" w:hAnsi="宋体"/>
          <w:b/>
          <w:bCs/>
          <w:color w:val="auto"/>
          <w:sz w:val="52"/>
          <w:highlight w:val="none"/>
        </w:rPr>
      </w:pPr>
      <w:bookmarkStart w:id="34" w:name="_Toc511746974"/>
      <w:r>
        <w:rPr>
          <w:rFonts w:ascii="宋体" w:hAnsi="宋体"/>
          <w:color w:val="auto"/>
          <w:highlight w:val="none"/>
        </w:rPr>
        <w:br w:type="page"/>
      </w:r>
      <w:bookmarkStart w:id="35" w:name="_Toc27536"/>
      <w:r>
        <w:rPr>
          <w:rFonts w:hint="eastAsia" w:ascii="宋体" w:hAnsi="宋体"/>
          <w:b/>
          <w:color w:val="auto"/>
          <w:sz w:val="36"/>
          <w:highlight w:val="none"/>
        </w:rPr>
        <w:t>一. 总则</w:t>
      </w:r>
      <w:bookmarkEnd w:id="34"/>
      <w:bookmarkEnd w:id="35"/>
    </w:p>
    <w:p w14:paraId="079C8CB9">
      <w:pPr>
        <w:spacing w:line="440" w:lineRule="exact"/>
        <w:ind w:firstLine="470" w:firstLineChars="196"/>
        <w:rPr>
          <w:rFonts w:ascii="宋体" w:hAnsi="宋体"/>
          <w:color w:val="auto"/>
          <w:sz w:val="24"/>
          <w:highlight w:val="none"/>
        </w:rPr>
      </w:pPr>
      <w:bookmarkStart w:id="36" w:name="_Toc221950086"/>
      <w:r>
        <w:rPr>
          <w:rFonts w:hint="eastAsia" w:ascii="宋体" w:hAnsi="宋体"/>
          <w:color w:val="auto"/>
          <w:sz w:val="24"/>
          <w:highlight w:val="none"/>
        </w:rPr>
        <w:t>根据《 中华人民共和国政府采购法》《 中华人民共和国政府采购法实施条例》《政府采购竞争性磋商采购方式管理暂行办法》 等有关</w:t>
      </w:r>
      <w:r>
        <w:rPr>
          <w:rFonts w:hint="eastAsia" w:ascii="宋体" w:hAnsi="宋体"/>
          <w:color w:val="auto"/>
          <w:sz w:val="24"/>
          <w:highlight w:val="none"/>
          <w:lang w:eastAsia="zh-CN"/>
        </w:rPr>
        <w:t>法律法规</w:t>
      </w:r>
      <w:r>
        <w:rPr>
          <w:rFonts w:hint="eastAsia" w:ascii="宋体" w:hAnsi="宋体"/>
          <w:color w:val="auto"/>
          <w:sz w:val="24"/>
          <w:highlight w:val="none"/>
        </w:rPr>
        <w:t>和规章的规定，本</w:t>
      </w:r>
      <w:r>
        <w:rPr>
          <w:rFonts w:hint="default" w:ascii="宋体" w:hAnsi="宋体"/>
          <w:color w:val="auto"/>
          <w:sz w:val="24"/>
          <w:highlight w:val="none"/>
        </w:rPr>
        <w:t>采购项目</w:t>
      </w:r>
      <w:r>
        <w:rPr>
          <w:rFonts w:hint="eastAsia" w:ascii="宋体" w:hAnsi="宋体"/>
          <w:color w:val="auto"/>
          <w:sz w:val="24"/>
          <w:highlight w:val="none"/>
          <w:lang w:eastAsia="zh-CN"/>
        </w:rPr>
        <w:t>已具备</w:t>
      </w:r>
      <w:r>
        <w:rPr>
          <w:rFonts w:hint="eastAsia" w:ascii="宋体" w:hAnsi="宋体"/>
          <w:color w:val="auto"/>
          <w:sz w:val="24"/>
          <w:highlight w:val="none"/>
        </w:rPr>
        <w:t>招标条件，现对本项目施工进行招标。</w:t>
      </w:r>
    </w:p>
    <w:p w14:paraId="42E1AAF3">
      <w:pPr>
        <w:spacing w:line="440" w:lineRule="exact"/>
        <w:ind w:firstLine="482" w:firstLineChars="200"/>
        <w:outlineLvl w:val="2"/>
        <w:rPr>
          <w:rFonts w:ascii="宋体" w:hAnsi="宋体"/>
          <w:b/>
          <w:color w:val="auto"/>
          <w:sz w:val="24"/>
          <w:highlight w:val="none"/>
        </w:rPr>
      </w:pPr>
      <w:bookmarkStart w:id="37" w:name="_Toc14193"/>
      <w:r>
        <w:rPr>
          <w:rFonts w:hint="eastAsia" w:ascii="宋体" w:hAnsi="宋体"/>
          <w:b/>
          <w:color w:val="auto"/>
          <w:sz w:val="24"/>
          <w:highlight w:val="none"/>
        </w:rPr>
        <w:t>（一）项目概况</w:t>
      </w:r>
      <w:bookmarkEnd w:id="37"/>
    </w:p>
    <w:p w14:paraId="38AC7FCD">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1.</w:t>
      </w:r>
      <w:r>
        <w:rPr>
          <w:rFonts w:hint="eastAsia" w:ascii="宋体" w:hAnsi="宋体"/>
          <w:color w:val="auto"/>
          <w:sz w:val="24"/>
          <w:highlight w:val="none"/>
          <w:lang w:eastAsia="zh-CN"/>
        </w:rPr>
        <w:t>采购人</w:t>
      </w:r>
      <w:r>
        <w:rPr>
          <w:rFonts w:hint="eastAsia" w:ascii="宋体" w:hAnsi="宋体"/>
          <w:color w:val="auto"/>
          <w:sz w:val="24"/>
          <w:highlight w:val="none"/>
        </w:rPr>
        <w:t>：见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3219582A">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2.</w:t>
      </w:r>
      <w:r>
        <w:rPr>
          <w:rFonts w:hint="eastAsia" w:ascii="宋体" w:hAnsi="宋体"/>
          <w:color w:val="auto"/>
          <w:sz w:val="24"/>
          <w:highlight w:val="none"/>
          <w:lang w:eastAsia="zh-CN"/>
        </w:rPr>
        <w:t>采购代理机构</w:t>
      </w:r>
      <w:r>
        <w:rPr>
          <w:rFonts w:hint="eastAsia" w:ascii="宋体" w:hAnsi="宋体"/>
          <w:color w:val="auto"/>
          <w:sz w:val="24"/>
          <w:highlight w:val="none"/>
        </w:rPr>
        <w:t>：见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7FA3AF40">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3.本</w:t>
      </w:r>
      <w:r>
        <w:rPr>
          <w:rFonts w:hint="default" w:ascii="宋体" w:hAnsi="宋体"/>
          <w:color w:val="auto"/>
          <w:sz w:val="24"/>
          <w:highlight w:val="none"/>
        </w:rPr>
        <w:t>采购项目</w:t>
      </w:r>
      <w:r>
        <w:rPr>
          <w:rFonts w:hint="eastAsia" w:ascii="宋体" w:hAnsi="宋体"/>
          <w:color w:val="auto"/>
          <w:sz w:val="24"/>
          <w:highlight w:val="none"/>
        </w:rPr>
        <w:t>名称：见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290AD24B">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4.本标段项目地点：见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7E62EA92">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5.本</w:t>
      </w:r>
      <w:r>
        <w:rPr>
          <w:rFonts w:hint="default" w:ascii="宋体" w:hAnsi="宋体"/>
          <w:color w:val="auto"/>
          <w:sz w:val="24"/>
          <w:highlight w:val="none"/>
        </w:rPr>
        <w:t>采购项目</w:t>
      </w:r>
      <w:r>
        <w:rPr>
          <w:rFonts w:hint="eastAsia" w:ascii="宋体" w:hAnsi="宋体"/>
          <w:color w:val="auto"/>
          <w:sz w:val="24"/>
          <w:highlight w:val="none"/>
        </w:rPr>
        <w:t>的资金来源及比例：见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606933FB">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6.本</w:t>
      </w:r>
      <w:r>
        <w:rPr>
          <w:rFonts w:hint="default" w:ascii="宋体" w:hAnsi="宋体"/>
          <w:color w:val="auto"/>
          <w:sz w:val="24"/>
          <w:highlight w:val="none"/>
        </w:rPr>
        <w:t>采购项目</w:t>
      </w:r>
      <w:r>
        <w:rPr>
          <w:rFonts w:hint="eastAsia" w:ascii="宋体" w:hAnsi="宋体"/>
          <w:color w:val="auto"/>
          <w:sz w:val="24"/>
          <w:highlight w:val="none"/>
        </w:rPr>
        <w:t>的资金落实情况：见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5F0D7A30">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7.本</w:t>
      </w:r>
      <w:r>
        <w:rPr>
          <w:rFonts w:hint="default" w:ascii="宋体" w:hAnsi="宋体"/>
          <w:color w:val="auto"/>
          <w:sz w:val="24"/>
          <w:highlight w:val="none"/>
        </w:rPr>
        <w:t>采购项目</w:t>
      </w:r>
      <w:r>
        <w:rPr>
          <w:rFonts w:hint="eastAsia" w:ascii="宋体" w:hAnsi="宋体"/>
          <w:color w:val="auto"/>
          <w:sz w:val="24"/>
          <w:highlight w:val="none"/>
        </w:rPr>
        <w:t>招标内容：见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bookmarkEnd w:id="36"/>
    <w:p w14:paraId="78E212AB">
      <w:pPr>
        <w:spacing w:line="440" w:lineRule="exact"/>
        <w:ind w:firstLine="480" w:firstLineChars="200"/>
        <w:rPr>
          <w:rFonts w:ascii="宋体" w:hAnsi="宋体"/>
          <w:color w:val="auto"/>
          <w:sz w:val="24"/>
          <w:highlight w:val="none"/>
        </w:rPr>
      </w:pPr>
      <w:bookmarkStart w:id="38" w:name="_Toc221950087"/>
      <w:r>
        <w:rPr>
          <w:rFonts w:hint="eastAsia" w:ascii="宋体" w:hAnsi="宋体"/>
          <w:color w:val="auto"/>
          <w:sz w:val="24"/>
          <w:highlight w:val="none"/>
        </w:rPr>
        <w:t>8.本</w:t>
      </w:r>
      <w:r>
        <w:rPr>
          <w:rFonts w:hint="default" w:ascii="宋体" w:hAnsi="宋体"/>
          <w:color w:val="auto"/>
          <w:sz w:val="24"/>
          <w:highlight w:val="none"/>
        </w:rPr>
        <w:t>采购项目</w:t>
      </w:r>
      <w:r>
        <w:rPr>
          <w:rFonts w:hint="eastAsia" w:ascii="宋体" w:hAnsi="宋体"/>
          <w:color w:val="auto"/>
          <w:sz w:val="24"/>
          <w:highlight w:val="none"/>
        </w:rPr>
        <w:t>设计人：见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bookmarkEnd w:id="38"/>
    </w:p>
    <w:p w14:paraId="2609B310">
      <w:pPr>
        <w:spacing w:line="440" w:lineRule="exact"/>
        <w:ind w:firstLine="480" w:firstLineChars="200"/>
        <w:rPr>
          <w:rFonts w:ascii="宋体" w:hAnsi="宋体"/>
          <w:color w:val="auto"/>
          <w:sz w:val="24"/>
          <w:highlight w:val="none"/>
        </w:rPr>
      </w:pPr>
      <w:bookmarkStart w:id="39" w:name="_Toc221950088"/>
      <w:r>
        <w:rPr>
          <w:rFonts w:hint="eastAsia" w:ascii="宋体" w:hAnsi="宋体"/>
          <w:color w:val="auto"/>
          <w:sz w:val="24"/>
          <w:highlight w:val="none"/>
        </w:rPr>
        <w:t>9.本</w:t>
      </w:r>
      <w:r>
        <w:rPr>
          <w:rFonts w:hint="default" w:ascii="宋体" w:hAnsi="宋体"/>
          <w:color w:val="auto"/>
          <w:sz w:val="24"/>
          <w:highlight w:val="none"/>
        </w:rPr>
        <w:t>采购项目</w:t>
      </w:r>
      <w:r>
        <w:rPr>
          <w:rFonts w:hint="eastAsia" w:ascii="宋体" w:hAnsi="宋体"/>
          <w:color w:val="auto"/>
          <w:sz w:val="24"/>
          <w:highlight w:val="none"/>
        </w:rPr>
        <w:t>监理人：见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bookmarkEnd w:id="39"/>
    </w:p>
    <w:p w14:paraId="73F9AF89">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10.本</w:t>
      </w:r>
      <w:r>
        <w:rPr>
          <w:rFonts w:hint="default" w:ascii="宋体" w:hAnsi="宋体"/>
          <w:color w:val="auto"/>
          <w:sz w:val="24"/>
          <w:highlight w:val="none"/>
        </w:rPr>
        <w:t>采购项目</w:t>
      </w:r>
      <w:r>
        <w:rPr>
          <w:rFonts w:hint="eastAsia" w:ascii="宋体" w:hAnsi="宋体"/>
          <w:color w:val="auto"/>
          <w:sz w:val="24"/>
          <w:highlight w:val="none"/>
        </w:rPr>
        <w:t>的</w:t>
      </w:r>
      <w:r>
        <w:rPr>
          <w:rFonts w:hint="eastAsia" w:ascii="宋体" w:hAnsi="宋体"/>
          <w:color w:val="auto"/>
          <w:sz w:val="24"/>
          <w:highlight w:val="none"/>
          <w:lang w:eastAsia="zh-CN"/>
        </w:rPr>
        <w:t>合同履行期限</w:t>
      </w:r>
      <w:r>
        <w:rPr>
          <w:rFonts w:hint="eastAsia" w:ascii="宋体" w:hAnsi="宋体"/>
          <w:color w:val="auto"/>
          <w:sz w:val="24"/>
          <w:highlight w:val="none"/>
        </w:rPr>
        <w:t>：见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3D073CE7">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11.本</w:t>
      </w:r>
      <w:r>
        <w:rPr>
          <w:rFonts w:hint="default" w:ascii="宋体" w:hAnsi="宋体"/>
          <w:color w:val="auto"/>
          <w:sz w:val="24"/>
          <w:highlight w:val="none"/>
        </w:rPr>
        <w:t>采购项目</w:t>
      </w:r>
      <w:r>
        <w:rPr>
          <w:rFonts w:hint="eastAsia" w:ascii="宋体" w:hAnsi="宋体"/>
          <w:color w:val="auto"/>
          <w:sz w:val="24"/>
          <w:highlight w:val="none"/>
        </w:rPr>
        <w:t>的质量要求：见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031DB215">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12.本</w:t>
      </w:r>
      <w:r>
        <w:rPr>
          <w:rFonts w:hint="default" w:ascii="宋体" w:hAnsi="宋体"/>
          <w:color w:val="auto"/>
          <w:sz w:val="24"/>
          <w:highlight w:val="none"/>
        </w:rPr>
        <w:t>采购项目</w:t>
      </w:r>
      <w:r>
        <w:rPr>
          <w:rFonts w:hint="eastAsia" w:ascii="宋体" w:hAnsi="宋体"/>
          <w:color w:val="auto"/>
          <w:sz w:val="24"/>
          <w:highlight w:val="none"/>
        </w:rPr>
        <w:t>的安全要求：见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2CBB7E6F">
      <w:pPr>
        <w:spacing w:line="440" w:lineRule="exact"/>
        <w:ind w:firstLine="482" w:firstLineChars="200"/>
        <w:rPr>
          <w:rFonts w:ascii="宋体" w:hAnsi="宋体"/>
          <w:color w:val="auto"/>
          <w:sz w:val="24"/>
          <w:highlight w:val="none"/>
        </w:rPr>
      </w:pPr>
      <w:r>
        <w:rPr>
          <w:rFonts w:hint="eastAsia" w:ascii="宋体" w:hAnsi="宋体"/>
          <w:b/>
          <w:color w:val="auto"/>
          <w:sz w:val="24"/>
          <w:highlight w:val="none"/>
        </w:rPr>
        <w:t xml:space="preserve">13. </w:t>
      </w:r>
      <w:r>
        <w:rPr>
          <w:rFonts w:hint="eastAsia" w:ascii="宋体" w:hAnsi="宋体"/>
          <w:b/>
          <w:color w:val="auto"/>
          <w:sz w:val="24"/>
          <w:highlight w:val="none"/>
          <w:lang w:eastAsia="zh-CN"/>
        </w:rPr>
        <w:t>供应商</w:t>
      </w:r>
      <w:r>
        <w:rPr>
          <w:rFonts w:hint="eastAsia" w:ascii="宋体" w:hAnsi="宋体"/>
          <w:b/>
          <w:color w:val="auto"/>
          <w:sz w:val="24"/>
          <w:highlight w:val="none"/>
        </w:rPr>
        <w:t>资质条件、能力和信誉.（适用于未进行资格预审的）</w:t>
      </w:r>
    </w:p>
    <w:p w14:paraId="78AEE534">
      <w:pPr>
        <w:spacing w:line="440" w:lineRule="exact"/>
        <w:ind w:firstLine="960" w:firstLineChars="4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l）资质条件：见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52AC55C4">
      <w:pPr>
        <w:spacing w:line="440" w:lineRule="exact"/>
        <w:ind w:firstLine="960" w:firstLineChars="4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2）财务要求：见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1B442E2E">
      <w:pPr>
        <w:spacing w:line="440" w:lineRule="exact"/>
        <w:ind w:firstLine="960" w:firstLineChars="4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3）业绩要求：见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69F1CEAF">
      <w:pPr>
        <w:spacing w:line="440" w:lineRule="exact"/>
        <w:ind w:firstLine="960" w:firstLineChars="4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4）信誉要求：见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36001074">
      <w:pPr>
        <w:spacing w:line="440" w:lineRule="exact"/>
        <w:ind w:firstLine="960" w:firstLineChars="4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5）项目经理资格：见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10249047">
      <w:pPr>
        <w:spacing w:line="440" w:lineRule="exact"/>
        <w:ind w:firstLine="960" w:firstLineChars="4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6）技术负责人资格：见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0D2E4930">
      <w:pPr>
        <w:spacing w:line="440" w:lineRule="exact"/>
        <w:ind w:firstLine="960" w:firstLineChars="4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7）其他要求：见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038575AB">
      <w:pPr>
        <w:spacing w:line="440" w:lineRule="exact"/>
        <w:ind w:firstLine="482" w:firstLineChars="200"/>
        <w:rPr>
          <w:rFonts w:ascii="宋体" w:hAnsi="宋体"/>
          <w:b/>
          <w:color w:val="auto"/>
          <w:sz w:val="24"/>
          <w:highlight w:val="none"/>
        </w:rPr>
      </w:pPr>
      <w:r>
        <w:rPr>
          <w:rFonts w:hint="eastAsia" w:ascii="宋体" w:hAnsi="宋体"/>
          <w:b/>
          <w:color w:val="auto"/>
          <w:sz w:val="24"/>
          <w:highlight w:val="none"/>
        </w:rPr>
        <w:t>14.踏勘现场（适用于</w:t>
      </w:r>
      <w:r>
        <w:rPr>
          <w:rFonts w:hint="eastAsia" w:ascii="宋体" w:hAnsi="宋体"/>
          <w:b/>
          <w:color w:val="auto"/>
          <w:sz w:val="24"/>
          <w:highlight w:val="none"/>
          <w:lang w:eastAsia="zh-CN"/>
        </w:rPr>
        <w:t>采购人</w:t>
      </w:r>
      <w:r>
        <w:rPr>
          <w:rFonts w:hint="eastAsia" w:ascii="宋体" w:hAnsi="宋体"/>
          <w:b/>
          <w:color w:val="auto"/>
          <w:sz w:val="24"/>
          <w:highlight w:val="none"/>
        </w:rPr>
        <w:t>不组织踏勘现场）</w:t>
      </w:r>
    </w:p>
    <w:p w14:paraId="2A4FF182">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采购人</w:t>
      </w:r>
      <w:r>
        <w:rPr>
          <w:rFonts w:hint="eastAsia" w:ascii="宋体" w:hAnsi="宋体"/>
          <w:color w:val="auto"/>
          <w:sz w:val="24"/>
          <w:highlight w:val="none"/>
        </w:rPr>
        <w:t>不组织踏勘现场，</w:t>
      </w:r>
      <w:r>
        <w:rPr>
          <w:rFonts w:hint="eastAsia" w:ascii="宋体" w:hAnsi="宋体"/>
          <w:color w:val="auto"/>
          <w:sz w:val="24"/>
          <w:highlight w:val="none"/>
          <w:lang w:eastAsia="zh-CN"/>
        </w:rPr>
        <w:t>供应商</w:t>
      </w:r>
      <w:r>
        <w:rPr>
          <w:rFonts w:hint="eastAsia" w:ascii="宋体" w:hAnsi="宋体"/>
          <w:color w:val="auto"/>
          <w:sz w:val="24"/>
          <w:highlight w:val="none"/>
        </w:rPr>
        <w:t>可根据投标工作需要自行踏勘现场。</w:t>
      </w:r>
    </w:p>
    <w:p w14:paraId="5A8843ED">
      <w:pPr>
        <w:spacing w:line="440" w:lineRule="exact"/>
        <w:ind w:firstLine="482" w:firstLineChars="200"/>
        <w:rPr>
          <w:rFonts w:ascii="宋体" w:hAnsi="宋体"/>
          <w:b/>
          <w:color w:val="auto"/>
          <w:sz w:val="24"/>
          <w:highlight w:val="none"/>
        </w:rPr>
      </w:pPr>
      <w:r>
        <w:rPr>
          <w:rFonts w:hint="eastAsia" w:ascii="宋体" w:hAnsi="宋体"/>
          <w:b/>
          <w:color w:val="auto"/>
          <w:sz w:val="24"/>
          <w:highlight w:val="none"/>
        </w:rPr>
        <w:t>15.投标预备会（适用于</w:t>
      </w:r>
      <w:r>
        <w:rPr>
          <w:rFonts w:hint="eastAsia" w:ascii="宋体" w:hAnsi="宋体"/>
          <w:b/>
          <w:color w:val="auto"/>
          <w:sz w:val="24"/>
          <w:highlight w:val="none"/>
          <w:lang w:eastAsia="zh-CN"/>
        </w:rPr>
        <w:t>采购人</w:t>
      </w:r>
      <w:r>
        <w:rPr>
          <w:rFonts w:hint="eastAsia" w:ascii="宋体" w:hAnsi="宋体"/>
          <w:b/>
          <w:color w:val="auto"/>
          <w:sz w:val="24"/>
          <w:highlight w:val="none"/>
        </w:rPr>
        <w:t>不召开投标预备会）</w:t>
      </w:r>
    </w:p>
    <w:p w14:paraId="715B573E">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采购人</w:t>
      </w:r>
      <w:r>
        <w:rPr>
          <w:rFonts w:hint="eastAsia" w:ascii="宋体" w:hAnsi="宋体"/>
          <w:color w:val="auto"/>
          <w:sz w:val="24"/>
          <w:highlight w:val="none"/>
        </w:rPr>
        <w:t>不组织投标预备会，对于</w:t>
      </w:r>
      <w:r>
        <w:rPr>
          <w:rFonts w:hint="eastAsia" w:ascii="宋体" w:hAnsi="宋体"/>
          <w:color w:val="auto"/>
          <w:sz w:val="24"/>
          <w:highlight w:val="none"/>
          <w:lang w:eastAsia="zh-CN"/>
        </w:rPr>
        <w:t>供应商</w:t>
      </w:r>
      <w:r>
        <w:rPr>
          <w:rFonts w:hint="eastAsia" w:ascii="宋体" w:hAnsi="宋体"/>
          <w:color w:val="auto"/>
          <w:sz w:val="24"/>
          <w:highlight w:val="none"/>
        </w:rPr>
        <w:t>在阅读</w:t>
      </w:r>
      <w:r>
        <w:rPr>
          <w:rFonts w:hint="eastAsia" w:ascii="宋体" w:hAnsi="宋体"/>
          <w:color w:val="auto"/>
          <w:sz w:val="24"/>
          <w:highlight w:val="none"/>
          <w:lang w:eastAsia="zh-CN"/>
        </w:rPr>
        <w:t>磋商文件</w:t>
      </w:r>
      <w:r>
        <w:rPr>
          <w:rFonts w:hint="eastAsia" w:ascii="宋体" w:hAnsi="宋体"/>
          <w:color w:val="auto"/>
          <w:sz w:val="24"/>
          <w:highlight w:val="none"/>
        </w:rPr>
        <w:t>和现场踏勘中提出的疑问，</w:t>
      </w:r>
      <w:r>
        <w:rPr>
          <w:rFonts w:hint="eastAsia" w:ascii="宋体" w:hAnsi="宋体"/>
          <w:color w:val="auto"/>
          <w:sz w:val="24"/>
          <w:highlight w:val="none"/>
          <w:lang w:eastAsia="zh-CN"/>
        </w:rPr>
        <w:t>采购人</w:t>
      </w:r>
      <w:r>
        <w:rPr>
          <w:rFonts w:hint="eastAsia" w:ascii="宋体" w:hAnsi="宋体"/>
          <w:color w:val="auto"/>
          <w:sz w:val="24"/>
          <w:highlight w:val="none"/>
        </w:rPr>
        <w:t>将以</w:t>
      </w:r>
      <w:r>
        <w:rPr>
          <w:rFonts w:hint="eastAsia" w:ascii="宋体" w:hAnsi="宋体"/>
          <w:color w:val="auto"/>
          <w:sz w:val="24"/>
          <w:highlight w:val="none"/>
          <w:lang w:eastAsia="zh-CN"/>
        </w:rPr>
        <w:t>磋商文件</w:t>
      </w:r>
      <w:r>
        <w:rPr>
          <w:rFonts w:hint="eastAsia" w:ascii="宋体" w:hAnsi="宋体"/>
          <w:color w:val="auto"/>
          <w:sz w:val="24"/>
          <w:highlight w:val="none"/>
        </w:rPr>
        <w:t>澄清或修改的形式书面予以答复。</w:t>
      </w:r>
    </w:p>
    <w:p w14:paraId="27D176FA">
      <w:pPr>
        <w:spacing w:line="440" w:lineRule="exact"/>
        <w:ind w:firstLine="482" w:firstLineChars="200"/>
        <w:rPr>
          <w:rFonts w:ascii="宋体" w:hAnsi="宋体"/>
          <w:b/>
          <w:color w:val="auto"/>
          <w:sz w:val="24"/>
          <w:highlight w:val="none"/>
        </w:rPr>
      </w:pPr>
      <w:r>
        <w:rPr>
          <w:rFonts w:hint="eastAsia" w:ascii="宋体" w:hAnsi="宋体"/>
          <w:b/>
          <w:color w:val="auto"/>
          <w:sz w:val="24"/>
          <w:highlight w:val="none"/>
        </w:rPr>
        <w:t>1</w:t>
      </w:r>
      <w:r>
        <w:rPr>
          <w:rFonts w:hint="eastAsia" w:ascii="宋体" w:hAnsi="宋体"/>
          <w:b/>
          <w:color w:val="auto"/>
          <w:sz w:val="24"/>
          <w:highlight w:val="none"/>
          <w:lang w:val="en-US" w:eastAsia="zh-CN"/>
        </w:rPr>
        <w:t>6</w:t>
      </w:r>
      <w:r>
        <w:rPr>
          <w:rFonts w:hint="eastAsia" w:ascii="宋体" w:hAnsi="宋体"/>
          <w:b/>
          <w:color w:val="auto"/>
          <w:sz w:val="24"/>
          <w:highlight w:val="none"/>
        </w:rPr>
        <w:t>.分包、偏离</w:t>
      </w:r>
    </w:p>
    <w:p w14:paraId="5DBA0AEC">
      <w:pPr>
        <w:spacing w:line="440" w:lineRule="exact"/>
        <w:ind w:firstLine="482" w:firstLineChars="200"/>
        <w:rPr>
          <w:rFonts w:ascii="宋体" w:hAnsi="宋体"/>
          <w:color w:val="auto"/>
          <w:sz w:val="24"/>
          <w:highlight w:val="none"/>
        </w:rPr>
      </w:pPr>
      <w:r>
        <w:rPr>
          <w:rFonts w:hint="eastAsia" w:ascii="宋体" w:hAnsi="宋体"/>
          <w:b/>
          <w:color w:val="auto"/>
          <w:sz w:val="24"/>
          <w:highlight w:val="none"/>
        </w:rPr>
        <w:t>（1）</w:t>
      </w:r>
      <w:r>
        <w:rPr>
          <w:rFonts w:hint="eastAsia" w:ascii="宋体" w:hAnsi="宋体"/>
          <w:color w:val="auto"/>
          <w:sz w:val="24"/>
          <w:highlight w:val="none"/>
          <w:lang w:eastAsia="zh-CN"/>
        </w:rPr>
        <w:t>供应商</w:t>
      </w:r>
      <w:r>
        <w:rPr>
          <w:rFonts w:hint="eastAsia" w:ascii="宋体" w:hAnsi="宋体"/>
          <w:color w:val="auto"/>
          <w:sz w:val="24"/>
          <w:highlight w:val="none"/>
        </w:rPr>
        <w:t>须知前附表规定</w:t>
      </w:r>
      <w:r>
        <w:rPr>
          <w:rFonts w:hint="eastAsia" w:ascii="宋体" w:hAnsi="宋体"/>
          <w:vanish/>
          <w:color w:val="auto"/>
          <w:sz w:val="24"/>
          <w:highlight w:val="none"/>
        </w:rPr>
        <w:t>投标人须知表</w:t>
      </w:r>
      <w:r>
        <w:rPr>
          <w:rFonts w:hint="eastAsia" w:ascii="宋体" w:hAnsi="宋体"/>
          <w:color w:val="auto"/>
          <w:sz w:val="24"/>
          <w:highlight w:val="none"/>
        </w:rPr>
        <w:t>允许分包的，分包的内容、分包金额、接受分包的第三人资质要求见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r>
        <w:rPr>
          <w:rFonts w:hint="eastAsia" w:ascii="宋体" w:hAnsi="宋体"/>
          <w:color w:val="auto"/>
          <w:sz w:val="24"/>
          <w:highlight w:val="none"/>
          <w:lang w:eastAsia="zh-CN"/>
        </w:rPr>
        <w:t>供应商</w:t>
      </w:r>
      <w:r>
        <w:rPr>
          <w:rFonts w:hint="eastAsia" w:ascii="宋体" w:hAnsi="宋体"/>
          <w:color w:val="auto"/>
          <w:sz w:val="24"/>
          <w:highlight w:val="none"/>
        </w:rPr>
        <w:t>应在</w:t>
      </w:r>
      <w:r>
        <w:rPr>
          <w:rFonts w:hint="eastAsia" w:ascii="宋体" w:hAnsi="宋体"/>
          <w:color w:val="auto"/>
          <w:sz w:val="24"/>
          <w:highlight w:val="none"/>
          <w:lang w:eastAsia="zh-CN"/>
        </w:rPr>
        <w:t>响应文件</w:t>
      </w:r>
      <w:r>
        <w:rPr>
          <w:rFonts w:hint="eastAsia" w:ascii="宋体" w:hAnsi="宋体"/>
          <w:color w:val="auto"/>
          <w:sz w:val="24"/>
          <w:highlight w:val="none"/>
        </w:rPr>
        <w:t>中明确是否在</w:t>
      </w:r>
      <w:r>
        <w:rPr>
          <w:rFonts w:hint="eastAsia" w:ascii="宋体" w:hAnsi="宋体"/>
          <w:color w:val="auto"/>
          <w:sz w:val="24"/>
          <w:highlight w:val="none"/>
          <w:lang w:eastAsia="zh-CN"/>
        </w:rPr>
        <w:t>成交后</w:t>
      </w:r>
      <w:r>
        <w:rPr>
          <w:rFonts w:hint="eastAsia" w:ascii="宋体" w:hAnsi="宋体"/>
          <w:color w:val="auto"/>
          <w:sz w:val="24"/>
          <w:highlight w:val="none"/>
        </w:rPr>
        <w:t>将中标项目的部分非主体、非关键性工作进行分包。未明确的视为不分包，在合同履行阶段将不得再提出分包。</w:t>
      </w:r>
      <w:r>
        <w:rPr>
          <w:rFonts w:hint="eastAsia" w:ascii="宋体" w:hAnsi="宋体"/>
          <w:color w:val="auto"/>
          <w:sz w:val="24"/>
          <w:highlight w:val="none"/>
          <w:lang w:eastAsia="zh-CN"/>
        </w:rPr>
        <w:t>供应商</w:t>
      </w:r>
      <w:r>
        <w:rPr>
          <w:rFonts w:hint="eastAsia" w:ascii="宋体" w:hAnsi="宋体"/>
          <w:color w:val="auto"/>
          <w:sz w:val="24"/>
          <w:highlight w:val="none"/>
        </w:rPr>
        <w:t>拟分包时，分包人应具备与分包工程的标准和规模相适应的资质和业绩，在人力、设备、资金等方面具有承担分包工程施工的能力。</w:t>
      </w:r>
      <w:r>
        <w:rPr>
          <w:rFonts w:hint="eastAsia" w:ascii="宋体" w:hAnsi="宋体"/>
          <w:color w:val="auto"/>
          <w:sz w:val="24"/>
          <w:highlight w:val="none"/>
          <w:lang w:eastAsia="zh-CN"/>
        </w:rPr>
        <w:t>供应商</w:t>
      </w:r>
      <w:r>
        <w:rPr>
          <w:rFonts w:hint="eastAsia" w:ascii="宋体" w:hAnsi="宋体"/>
          <w:color w:val="auto"/>
          <w:sz w:val="24"/>
          <w:highlight w:val="none"/>
        </w:rPr>
        <w:t>应在</w:t>
      </w:r>
      <w:r>
        <w:rPr>
          <w:rFonts w:hint="eastAsia" w:ascii="宋体" w:hAnsi="宋体"/>
          <w:color w:val="auto"/>
          <w:sz w:val="24"/>
          <w:highlight w:val="none"/>
          <w:lang w:eastAsia="zh-CN"/>
        </w:rPr>
        <w:t>响应文件</w:t>
      </w:r>
      <w:r>
        <w:rPr>
          <w:rFonts w:hint="eastAsia" w:ascii="宋体" w:hAnsi="宋体"/>
          <w:color w:val="auto"/>
          <w:sz w:val="24"/>
          <w:highlight w:val="none"/>
        </w:rPr>
        <w:t>中提供分包协议、分包人的资质证书及营业执照复印件、人员、设备和业绩资料表、分包的工程项目和工程量。</w:t>
      </w:r>
    </w:p>
    <w:p w14:paraId="7529F0A0">
      <w:pPr>
        <w:spacing w:line="440" w:lineRule="exact"/>
        <w:ind w:firstLine="482" w:firstLineChars="200"/>
        <w:rPr>
          <w:rFonts w:ascii="宋体" w:hAnsi="宋体"/>
          <w:color w:val="auto"/>
          <w:sz w:val="24"/>
          <w:highlight w:val="none"/>
        </w:rPr>
      </w:pPr>
      <w:r>
        <w:rPr>
          <w:rFonts w:hint="eastAsia" w:ascii="宋体" w:hAnsi="宋体"/>
          <w:b/>
          <w:color w:val="auto"/>
          <w:sz w:val="24"/>
          <w:highlight w:val="none"/>
        </w:rPr>
        <w:t>（2）</w:t>
      </w:r>
      <w:r>
        <w:rPr>
          <w:rFonts w:hint="eastAsia" w:ascii="宋体" w:hAnsi="宋体"/>
          <w:color w:val="auto"/>
          <w:sz w:val="24"/>
          <w:highlight w:val="none"/>
          <w:lang w:eastAsia="zh-CN"/>
        </w:rPr>
        <w:t>供应商</w:t>
      </w:r>
      <w:r>
        <w:rPr>
          <w:rFonts w:hint="eastAsia" w:ascii="宋体" w:hAnsi="宋体"/>
          <w:color w:val="auto"/>
          <w:sz w:val="24"/>
          <w:highlight w:val="none"/>
        </w:rPr>
        <w:t>须知前附表允许</w:t>
      </w:r>
      <w:r>
        <w:rPr>
          <w:rFonts w:hint="eastAsia" w:ascii="宋体" w:hAnsi="宋体"/>
          <w:color w:val="auto"/>
          <w:sz w:val="24"/>
          <w:highlight w:val="none"/>
          <w:lang w:eastAsia="zh-CN"/>
        </w:rPr>
        <w:t>响应文件</w:t>
      </w:r>
      <w:r>
        <w:rPr>
          <w:rFonts w:hint="eastAsia" w:ascii="宋体" w:hAnsi="宋体"/>
          <w:color w:val="auto"/>
          <w:sz w:val="24"/>
          <w:highlight w:val="none"/>
        </w:rPr>
        <w:t>偏离</w:t>
      </w:r>
      <w:r>
        <w:rPr>
          <w:rFonts w:hint="eastAsia" w:ascii="宋体" w:hAnsi="宋体"/>
          <w:color w:val="auto"/>
          <w:sz w:val="24"/>
          <w:highlight w:val="none"/>
          <w:lang w:eastAsia="zh-CN"/>
        </w:rPr>
        <w:t>磋商文件</w:t>
      </w:r>
      <w:r>
        <w:rPr>
          <w:rFonts w:hint="eastAsia" w:ascii="宋体" w:hAnsi="宋体"/>
          <w:color w:val="auto"/>
          <w:sz w:val="24"/>
          <w:highlight w:val="none"/>
        </w:rPr>
        <w:t>某些要求的，偏离应当符合</w:t>
      </w:r>
      <w:r>
        <w:rPr>
          <w:rFonts w:hint="eastAsia" w:ascii="宋体" w:hAnsi="宋体"/>
          <w:color w:val="auto"/>
          <w:sz w:val="24"/>
          <w:highlight w:val="none"/>
          <w:lang w:eastAsia="zh-CN"/>
        </w:rPr>
        <w:t>磋商文件</w:t>
      </w:r>
      <w:r>
        <w:rPr>
          <w:rFonts w:hint="eastAsia" w:ascii="宋体" w:hAnsi="宋体"/>
          <w:color w:val="auto"/>
          <w:sz w:val="24"/>
          <w:highlight w:val="none"/>
        </w:rPr>
        <w:t>规定的偏离范围和幅度。</w:t>
      </w:r>
    </w:p>
    <w:p w14:paraId="28F38669">
      <w:pPr>
        <w:spacing w:line="440" w:lineRule="exact"/>
        <w:ind w:firstLine="482" w:firstLineChars="200"/>
        <w:rPr>
          <w:rFonts w:ascii="宋体" w:hAnsi="宋体"/>
          <w:b/>
          <w:color w:val="auto"/>
          <w:sz w:val="24"/>
          <w:highlight w:val="none"/>
        </w:rPr>
      </w:pPr>
      <w:r>
        <w:rPr>
          <w:rFonts w:hint="eastAsia" w:ascii="宋体" w:hAnsi="宋体"/>
          <w:b/>
          <w:color w:val="auto"/>
          <w:sz w:val="24"/>
          <w:highlight w:val="none"/>
        </w:rPr>
        <w:t>（</w:t>
      </w:r>
      <w:r>
        <w:rPr>
          <w:rFonts w:hint="eastAsia" w:ascii="宋体" w:hAnsi="宋体"/>
          <w:b/>
          <w:color w:val="auto"/>
          <w:sz w:val="24"/>
          <w:highlight w:val="none"/>
          <w:lang w:val="en-US" w:eastAsia="zh-CN"/>
        </w:rPr>
        <w:t>3</w:t>
      </w:r>
      <w:r>
        <w:rPr>
          <w:rFonts w:hint="eastAsia" w:ascii="宋体" w:hAnsi="宋体"/>
          <w:b/>
          <w:color w:val="auto"/>
          <w:sz w:val="24"/>
          <w:highlight w:val="none"/>
        </w:rPr>
        <w:t>）</w:t>
      </w:r>
      <w:r>
        <w:rPr>
          <w:rFonts w:hint="eastAsia" w:ascii="宋体" w:hAnsi="宋体"/>
          <w:b/>
          <w:color w:val="auto"/>
          <w:sz w:val="24"/>
          <w:highlight w:val="none"/>
          <w:lang w:eastAsia="zh-CN"/>
        </w:rPr>
        <w:t>供应商</w:t>
      </w:r>
      <w:r>
        <w:rPr>
          <w:rFonts w:hint="eastAsia" w:ascii="宋体" w:hAnsi="宋体"/>
          <w:b/>
          <w:color w:val="auto"/>
          <w:sz w:val="24"/>
          <w:highlight w:val="none"/>
        </w:rPr>
        <w:t>存在下列情形之一的，拒绝其参加本次投标（已投标的按无效</w:t>
      </w:r>
      <w:r>
        <w:rPr>
          <w:rFonts w:hint="eastAsia" w:ascii="宋体" w:hAnsi="宋体"/>
          <w:b/>
          <w:color w:val="auto"/>
          <w:sz w:val="24"/>
          <w:highlight w:val="none"/>
          <w:lang w:eastAsia="zh-CN"/>
        </w:rPr>
        <w:t>（</w:t>
      </w:r>
      <w:r>
        <w:rPr>
          <w:rFonts w:hint="eastAsia" w:ascii="宋体" w:hAnsi="宋体"/>
          <w:b/>
          <w:color w:val="auto"/>
          <w:sz w:val="24"/>
          <w:highlight w:val="none"/>
        </w:rPr>
        <w:t>处理）：</w:t>
      </w:r>
    </w:p>
    <w:p w14:paraId="25D1B26A">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(l）不具有独立法人资格的附属机构（单位）</w:t>
      </w:r>
      <w:r>
        <w:rPr>
          <w:rFonts w:hint="eastAsia" w:ascii="宋体" w:hAnsi="宋体"/>
          <w:color w:val="auto"/>
          <w:sz w:val="24"/>
          <w:highlight w:val="none"/>
          <w:lang w:eastAsia="zh-CN"/>
        </w:rPr>
        <w:t>；</w:t>
      </w:r>
      <w:r>
        <w:rPr>
          <w:rFonts w:hint="eastAsia" w:ascii="宋体" w:hAnsi="宋体"/>
          <w:color w:val="auto"/>
          <w:sz w:val="24"/>
          <w:highlight w:val="none"/>
        </w:rPr>
        <w:t xml:space="preserve"> </w:t>
      </w:r>
    </w:p>
    <w:p w14:paraId="40D3DCEA">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2）为本标段前期准备提供设计或咨询服务的，但设计施工总承包的除外；</w:t>
      </w:r>
    </w:p>
    <w:p w14:paraId="4B91CE2F">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3）为本标段的监理人；</w:t>
      </w:r>
    </w:p>
    <w:p w14:paraId="547F01E8">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4）为本标段的代建人；</w:t>
      </w:r>
    </w:p>
    <w:p w14:paraId="3B01393B">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5）为本标段提供</w:t>
      </w:r>
      <w:r>
        <w:rPr>
          <w:rFonts w:hint="eastAsia" w:ascii="宋体" w:hAnsi="宋体"/>
          <w:color w:val="auto"/>
          <w:sz w:val="24"/>
          <w:highlight w:val="none"/>
          <w:lang w:eastAsia="zh-CN"/>
        </w:rPr>
        <w:t>采购代理</w:t>
      </w:r>
      <w:r>
        <w:rPr>
          <w:rFonts w:hint="eastAsia" w:ascii="宋体" w:hAnsi="宋体"/>
          <w:color w:val="auto"/>
          <w:sz w:val="24"/>
          <w:highlight w:val="none"/>
        </w:rPr>
        <w:t>服务的；</w:t>
      </w:r>
    </w:p>
    <w:p w14:paraId="15EA53C0">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6）与本标段的监理人或代建人或</w:t>
      </w:r>
      <w:r>
        <w:rPr>
          <w:rFonts w:hint="eastAsia" w:ascii="宋体" w:hAnsi="宋体"/>
          <w:color w:val="auto"/>
          <w:sz w:val="24"/>
          <w:highlight w:val="none"/>
          <w:lang w:eastAsia="zh-CN"/>
        </w:rPr>
        <w:t>采购代理机构</w:t>
      </w:r>
      <w:r>
        <w:rPr>
          <w:rFonts w:hint="eastAsia" w:ascii="宋体" w:hAnsi="宋体"/>
          <w:color w:val="auto"/>
          <w:sz w:val="24"/>
          <w:highlight w:val="none"/>
        </w:rPr>
        <w:t>同为一个法定代表人的；</w:t>
      </w:r>
    </w:p>
    <w:p w14:paraId="5C0788C8">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7）与本标段的监理人或代建人或</w:t>
      </w:r>
      <w:r>
        <w:rPr>
          <w:rFonts w:hint="eastAsia" w:ascii="宋体" w:hAnsi="宋体"/>
          <w:color w:val="auto"/>
          <w:sz w:val="24"/>
          <w:highlight w:val="none"/>
          <w:lang w:eastAsia="zh-CN"/>
        </w:rPr>
        <w:t>采购代理机构</w:t>
      </w:r>
      <w:r>
        <w:rPr>
          <w:rFonts w:hint="eastAsia" w:ascii="宋体" w:hAnsi="宋体"/>
          <w:color w:val="auto"/>
          <w:sz w:val="24"/>
          <w:highlight w:val="none"/>
        </w:rPr>
        <w:t>相互控股或参股的；</w:t>
      </w:r>
    </w:p>
    <w:p w14:paraId="77EF9B76">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8）与本标段的监理人或代建人或</w:t>
      </w:r>
      <w:r>
        <w:rPr>
          <w:rFonts w:hint="eastAsia" w:ascii="宋体" w:hAnsi="宋体"/>
          <w:color w:val="auto"/>
          <w:sz w:val="24"/>
          <w:highlight w:val="none"/>
          <w:lang w:eastAsia="zh-CN"/>
        </w:rPr>
        <w:t>采购代理机构</w:t>
      </w:r>
      <w:r>
        <w:rPr>
          <w:rFonts w:hint="eastAsia" w:ascii="宋体" w:hAnsi="宋体"/>
          <w:color w:val="auto"/>
          <w:sz w:val="24"/>
          <w:highlight w:val="none"/>
        </w:rPr>
        <w:t>相互任职或工作的；</w:t>
      </w:r>
    </w:p>
    <w:p w14:paraId="3FDE68EF">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9）被责令停业的；</w:t>
      </w:r>
    </w:p>
    <w:p w14:paraId="47F6EA79">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10）被暂停或取消投标资格的；</w:t>
      </w:r>
    </w:p>
    <w:p w14:paraId="39455E05">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11）财产被接管或冻结的；</w:t>
      </w:r>
    </w:p>
    <w:p w14:paraId="44C2B89D">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12）在最近三年内有骗取中标或严重违约或重大工程质量问题的。</w:t>
      </w:r>
    </w:p>
    <w:p w14:paraId="4C5E7528">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lang w:val="en-US" w:eastAsia="zh-CN"/>
        </w:rPr>
        <w:t>13</w:t>
      </w:r>
      <w:r>
        <w:rPr>
          <w:rFonts w:hint="eastAsia" w:ascii="宋体" w:hAnsi="宋体"/>
          <w:color w:val="auto"/>
          <w:sz w:val="24"/>
          <w:highlight w:val="none"/>
          <w:lang w:eastAsia="zh-CN"/>
        </w:rPr>
        <w:t>）</w:t>
      </w:r>
      <w:r>
        <w:rPr>
          <w:rFonts w:hint="eastAsia" w:ascii="宋体" w:hAnsi="宋体"/>
          <w:color w:val="auto"/>
          <w:sz w:val="24"/>
          <w:highlight w:val="none"/>
        </w:rPr>
        <w:t>同一标段投标</w:t>
      </w:r>
      <w:r>
        <w:rPr>
          <w:rFonts w:hint="eastAsia" w:ascii="宋体" w:hAnsi="宋体" w:cs="宋体"/>
          <w:color w:val="auto"/>
          <w:sz w:val="24"/>
          <w:highlight w:val="none"/>
        </w:rPr>
        <w:t>单位负责人为同一人或者存在控股、管理关系的不同单位，不得参加同一标段投标或者未划分标段的同一</w:t>
      </w:r>
      <w:r>
        <w:rPr>
          <w:rFonts w:hint="default" w:ascii="宋体" w:hAnsi="宋体" w:cs="宋体"/>
          <w:color w:val="auto"/>
          <w:sz w:val="24"/>
          <w:highlight w:val="none"/>
        </w:rPr>
        <w:t>采购项目</w:t>
      </w:r>
      <w:r>
        <w:rPr>
          <w:rFonts w:hint="eastAsia" w:ascii="宋体" w:hAnsi="宋体" w:cs="宋体"/>
          <w:color w:val="auto"/>
          <w:sz w:val="24"/>
          <w:highlight w:val="none"/>
        </w:rPr>
        <w:t>投标。</w:t>
      </w:r>
    </w:p>
    <w:p w14:paraId="67ADD17F">
      <w:pPr>
        <w:spacing w:line="440" w:lineRule="exact"/>
        <w:ind w:firstLine="361" w:firstLineChars="150"/>
        <w:rPr>
          <w:rFonts w:ascii="宋体" w:hAnsi="宋体"/>
          <w:b/>
          <w:color w:val="auto"/>
          <w:sz w:val="24"/>
          <w:highlight w:val="none"/>
        </w:rPr>
      </w:pPr>
      <w:r>
        <w:rPr>
          <w:rFonts w:hint="eastAsia" w:ascii="宋体" w:hAnsi="宋体"/>
          <w:b/>
          <w:color w:val="auto"/>
          <w:sz w:val="24"/>
          <w:highlight w:val="none"/>
        </w:rPr>
        <w:t>费用承担</w:t>
      </w:r>
    </w:p>
    <w:p w14:paraId="32682661">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供应商</w:t>
      </w:r>
      <w:r>
        <w:rPr>
          <w:rFonts w:hint="eastAsia" w:ascii="宋体" w:hAnsi="宋体"/>
          <w:color w:val="auto"/>
          <w:sz w:val="24"/>
          <w:highlight w:val="none"/>
        </w:rPr>
        <w:t>准备和参加投标活动发生的费用自理。</w:t>
      </w:r>
    </w:p>
    <w:p w14:paraId="3C10EAAD">
      <w:pPr>
        <w:spacing w:line="440" w:lineRule="exact"/>
        <w:ind w:firstLine="361" w:firstLineChars="150"/>
        <w:rPr>
          <w:rFonts w:ascii="宋体" w:hAnsi="宋体"/>
          <w:b/>
          <w:color w:val="auto"/>
          <w:sz w:val="24"/>
          <w:highlight w:val="none"/>
        </w:rPr>
      </w:pPr>
      <w:r>
        <w:rPr>
          <w:rFonts w:hint="eastAsia" w:ascii="宋体" w:hAnsi="宋体"/>
          <w:b/>
          <w:color w:val="auto"/>
          <w:sz w:val="24"/>
          <w:highlight w:val="none"/>
        </w:rPr>
        <w:t>保密</w:t>
      </w:r>
    </w:p>
    <w:p w14:paraId="5801F5F4">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参与招标投标活动的各方应对</w:t>
      </w:r>
      <w:r>
        <w:rPr>
          <w:rFonts w:hint="eastAsia" w:ascii="宋体" w:hAnsi="宋体"/>
          <w:color w:val="auto"/>
          <w:sz w:val="24"/>
          <w:highlight w:val="none"/>
          <w:lang w:eastAsia="zh-CN"/>
        </w:rPr>
        <w:t>磋商文件</w:t>
      </w:r>
      <w:r>
        <w:rPr>
          <w:rFonts w:hint="eastAsia" w:ascii="宋体" w:hAnsi="宋体"/>
          <w:color w:val="auto"/>
          <w:sz w:val="24"/>
          <w:highlight w:val="none"/>
        </w:rPr>
        <w:t>和</w:t>
      </w:r>
      <w:r>
        <w:rPr>
          <w:rFonts w:hint="eastAsia" w:ascii="宋体" w:hAnsi="宋体"/>
          <w:color w:val="auto"/>
          <w:sz w:val="24"/>
          <w:highlight w:val="none"/>
          <w:lang w:eastAsia="zh-CN"/>
        </w:rPr>
        <w:t>响应文件</w:t>
      </w:r>
      <w:r>
        <w:rPr>
          <w:rFonts w:hint="eastAsia" w:ascii="宋体" w:hAnsi="宋体"/>
          <w:color w:val="auto"/>
          <w:sz w:val="24"/>
          <w:highlight w:val="none"/>
        </w:rPr>
        <w:t>中的商业和技术等秘密保密，违者应对由此造成的后果承担法律责任。</w:t>
      </w:r>
    </w:p>
    <w:p w14:paraId="306712A3">
      <w:pPr>
        <w:spacing w:line="440" w:lineRule="exact"/>
        <w:ind w:firstLine="241" w:firstLineChars="100"/>
        <w:rPr>
          <w:rFonts w:ascii="宋体" w:hAnsi="宋体"/>
          <w:b/>
          <w:color w:val="auto"/>
          <w:sz w:val="24"/>
          <w:highlight w:val="none"/>
        </w:rPr>
      </w:pPr>
      <w:r>
        <w:rPr>
          <w:rFonts w:hint="eastAsia" w:ascii="宋体" w:hAnsi="宋体"/>
          <w:b/>
          <w:color w:val="auto"/>
          <w:sz w:val="24"/>
          <w:highlight w:val="none"/>
        </w:rPr>
        <w:t>计量单位</w:t>
      </w:r>
    </w:p>
    <w:p w14:paraId="5AD97CF4">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所有计量均采用中华人民共和国法定计量单位。</w:t>
      </w:r>
    </w:p>
    <w:p w14:paraId="6FB3DDF1">
      <w:pPr>
        <w:spacing w:line="440" w:lineRule="exact"/>
        <w:ind w:firstLine="482" w:firstLineChars="200"/>
        <w:outlineLvl w:val="2"/>
        <w:rPr>
          <w:rFonts w:hint="eastAsia" w:ascii="宋体" w:hAnsi="宋体" w:eastAsia="宋体"/>
          <w:b/>
          <w:color w:val="auto"/>
          <w:sz w:val="24"/>
          <w:highlight w:val="none"/>
          <w:lang w:eastAsia="zh-CN"/>
        </w:rPr>
      </w:pPr>
      <w:bookmarkStart w:id="40" w:name="_Toc229408464"/>
      <w:bookmarkStart w:id="41" w:name="_Toc222030985"/>
      <w:bookmarkStart w:id="42" w:name="_Toc309533320"/>
      <w:bookmarkStart w:id="43" w:name="_Toc221950136"/>
      <w:bookmarkStart w:id="44" w:name="_Toc222033834"/>
      <w:bookmarkStart w:id="45" w:name="_Toc309533716"/>
      <w:bookmarkStart w:id="46" w:name="_Toc222032652"/>
      <w:bookmarkStart w:id="47" w:name="_Toc168475657"/>
      <w:bookmarkStart w:id="48" w:name="_Toc144974510"/>
      <w:bookmarkStart w:id="49" w:name="_Toc310088824"/>
      <w:bookmarkStart w:id="50" w:name="_Toc26655"/>
      <w:bookmarkStart w:id="51" w:name="_Toc222029483"/>
      <w:bookmarkStart w:id="52" w:name="_Toc311205773"/>
      <w:bookmarkStart w:id="53" w:name="_Toc511746975"/>
      <w:bookmarkStart w:id="54" w:name="_Toc168476060"/>
      <w:bookmarkStart w:id="55" w:name="_Toc229305343"/>
      <w:r>
        <w:rPr>
          <w:rFonts w:hint="eastAsia" w:ascii="宋体" w:hAnsi="宋体"/>
          <w:b/>
          <w:color w:val="auto"/>
          <w:sz w:val="24"/>
          <w:highlight w:val="none"/>
        </w:rPr>
        <w:t xml:space="preserve">（二） </w:t>
      </w:r>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r>
        <w:rPr>
          <w:rFonts w:hint="eastAsia" w:ascii="宋体" w:hAnsi="宋体"/>
          <w:b/>
          <w:color w:val="auto"/>
          <w:sz w:val="24"/>
          <w:highlight w:val="none"/>
          <w:lang w:eastAsia="zh-CN"/>
        </w:rPr>
        <w:t>磋商文件</w:t>
      </w:r>
    </w:p>
    <w:p w14:paraId="6D30FAC7">
      <w:pPr>
        <w:spacing w:line="440" w:lineRule="exact"/>
        <w:ind w:firstLine="120" w:firstLineChars="50"/>
        <w:rPr>
          <w:rFonts w:ascii="宋体" w:hAnsi="宋体"/>
          <w:b/>
          <w:color w:val="auto"/>
          <w:sz w:val="24"/>
          <w:highlight w:val="none"/>
        </w:rPr>
      </w:pPr>
      <w:bookmarkStart w:id="56" w:name="_Toc221950142"/>
      <w:r>
        <w:rPr>
          <w:rFonts w:hint="eastAsia" w:ascii="宋体" w:hAnsi="宋体"/>
          <w:b/>
          <w:color w:val="auto"/>
          <w:sz w:val="24"/>
          <w:highlight w:val="none"/>
          <w:lang w:eastAsia="zh-CN"/>
        </w:rPr>
        <w:t>磋商文件</w:t>
      </w:r>
      <w:r>
        <w:rPr>
          <w:rFonts w:hint="eastAsia" w:ascii="宋体" w:hAnsi="宋体"/>
          <w:b/>
          <w:color w:val="auto"/>
          <w:sz w:val="24"/>
          <w:highlight w:val="none"/>
        </w:rPr>
        <w:t>的组成</w:t>
      </w:r>
    </w:p>
    <w:p w14:paraId="7D4E210B">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本</w:t>
      </w:r>
      <w:r>
        <w:rPr>
          <w:rFonts w:hint="eastAsia" w:ascii="宋体" w:hAnsi="宋体"/>
          <w:color w:val="auto"/>
          <w:sz w:val="24"/>
          <w:highlight w:val="none"/>
          <w:lang w:eastAsia="zh-CN"/>
        </w:rPr>
        <w:t>磋商文件</w:t>
      </w:r>
      <w:r>
        <w:rPr>
          <w:rFonts w:hint="eastAsia" w:ascii="宋体" w:hAnsi="宋体"/>
          <w:color w:val="auto"/>
          <w:sz w:val="24"/>
          <w:highlight w:val="none"/>
        </w:rPr>
        <w:t>包括：</w:t>
      </w:r>
    </w:p>
    <w:p w14:paraId="33B34FBC">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1）</w:t>
      </w:r>
      <w:r>
        <w:rPr>
          <w:rFonts w:hint="eastAsia" w:ascii="宋体" w:hAnsi="宋体"/>
          <w:color w:val="auto"/>
          <w:sz w:val="24"/>
          <w:highlight w:val="none"/>
          <w:lang w:eastAsia="zh-CN"/>
        </w:rPr>
        <w:t>竞争性磋商公告</w:t>
      </w:r>
      <w:r>
        <w:rPr>
          <w:rFonts w:hint="eastAsia" w:ascii="宋体" w:hAnsi="宋体"/>
          <w:color w:val="auto"/>
          <w:sz w:val="24"/>
          <w:highlight w:val="none"/>
        </w:rPr>
        <w:t xml:space="preserve">； </w:t>
      </w:r>
    </w:p>
    <w:p w14:paraId="73FD04B3">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2）</w:t>
      </w:r>
      <w:r>
        <w:rPr>
          <w:rFonts w:hint="eastAsia" w:ascii="宋体" w:hAnsi="宋体"/>
          <w:color w:val="auto"/>
          <w:sz w:val="24"/>
          <w:highlight w:val="none"/>
          <w:lang w:eastAsia="zh-CN"/>
        </w:rPr>
        <w:t>供应商</w:t>
      </w:r>
      <w:r>
        <w:rPr>
          <w:rFonts w:hint="eastAsia" w:ascii="宋体" w:hAnsi="宋体"/>
          <w:color w:val="auto"/>
          <w:sz w:val="24"/>
          <w:highlight w:val="none"/>
        </w:rPr>
        <w:t>须知；</w:t>
      </w:r>
    </w:p>
    <w:p w14:paraId="76DF651F">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3）</w:t>
      </w:r>
      <w:r>
        <w:rPr>
          <w:rFonts w:hint="eastAsia" w:ascii="宋体" w:hAnsi="宋体"/>
          <w:color w:val="auto"/>
          <w:sz w:val="24"/>
          <w:highlight w:val="none"/>
          <w:lang w:eastAsia="zh-CN"/>
        </w:rPr>
        <w:t>评审</w:t>
      </w:r>
      <w:r>
        <w:rPr>
          <w:rFonts w:hint="eastAsia" w:ascii="宋体" w:hAnsi="宋体"/>
          <w:color w:val="auto"/>
          <w:sz w:val="24"/>
          <w:highlight w:val="none"/>
        </w:rPr>
        <w:t>办法；</w:t>
      </w:r>
    </w:p>
    <w:p w14:paraId="211C7BBF">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4）合同条款及格式；</w:t>
      </w:r>
    </w:p>
    <w:p w14:paraId="1BE66E37">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5）工程量清单；</w:t>
      </w:r>
    </w:p>
    <w:p w14:paraId="2A6795E2">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6）图纸；</w:t>
      </w:r>
    </w:p>
    <w:p w14:paraId="6DE21172">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7）</w:t>
      </w:r>
      <w:r>
        <w:rPr>
          <w:rFonts w:hint="eastAsia" w:ascii="宋体" w:hAnsi="宋体"/>
          <w:bCs/>
          <w:caps/>
          <w:color w:val="auto"/>
          <w:kern w:val="0"/>
          <w:sz w:val="24"/>
          <w:highlight w:val="none"/>
          <w:lang w:val="zh-CN"/>
        </w:rPr>
        <w:t>技术标准和要求；</w:t>
      </w:r>
    </w:p>
    <w:p w14:paraId="17F03270">
      <w:pPr>
        <w:spacing w:line="440" w:lineRule="exact"/>
        <w:ind w:firstLine="360" w:firstLineChars="150"/>
        <w:rPr>
          <w:rFonts w:ascii="宋体" w:hAnsi="宋体"/>
          <w:color w:val="auto"/>
          <w:sz w:val="24"/>
          <w:highlight w:val="none"/>
        </w:rPr>
      </w:pPr>
      <w:r>
        <w:rPr>
          <w:rFonts w:hint="eastAsia" w:ascii="宋体" w:hAnsi="宋体"/>
          <w:color w:val="auto"/>
          <w:sz w:val="24"/>
          <w:highlight w:val="none"/>
        </w:rPr>
        <w:t>（8）</w:t>
      </w:r>
      <w:r>
        <w:rPr>
          <w:rFonts w:hint="eastAsia" w:ascii="宋体" w:hAnsi="宋体"/>
          <w:color w:val="auto"/>
          <w:sz w:val="24"/>
          <w:highlight w:val="none"/>
          <w:lang w:eastAsia="zh-CN"/>
        </w:rPr>
        <w:t>响应文件</w:t>
      </w:r>
      <w:r>
        <w:rPr>
          <w:rFonts w:hint="eastAsia" w:ascii="宋体" w:hAnsi="宋体"/>
          <w:color w:val="auto"/>
          <w:sz w:val="24"/>
          <w:highlight w:val="none"/>
        </w:rPr>
        <w:t>格式。</w:t>
      </w:r>
    </w:p>
    <w:p w14:paraId="14970F5A">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根据本章第19条对</w:t>
      </w:r>
      <w:r>
        <w:rPr>
          <w:rFonts w:hint="eastAsia" w:ascii="宋体" w:hAnsi="宋体"/>
          <w:color w:val="auto"/>
          <w:sz w:val="24"/>
          <w:highlight w:val="none"/>
          <w:lang w:eastAsia="zh-CN"/>
        </w:rPr>
        <w:t>磋商文件</w:t>
      </w:r>
      <w:r>
        <w:rPr>
          <w:rFonts w:hint="eastAsia" w:ascii="宋体" w:hAnsi="宋体"/>
          <w:color w:val="auto"/>
          <w:sz w:val="24"/>
          <w:highlight w:val="none"/>
        </w:rPr>
        <w:t>所作的澄清、修改，构成</w:t>
      </w:r>
      <w:r>
        <w:rPr>
          <w:rFonts w:hint="eastAsia" w:ascii="宋体" w:hAnsi="宋体"/>
          <w:color w:val="auto"/>
          <w:sz w:val="24"/>
          <w:highlight w:val="none"/>
          <w:lang w:eastAsia="zh-CN"/>
        </w:rPr>
        <w:t>磋商文件</w:t>
      </w:r>
      <w:r>
        <w:rPr>
          <w:rFonts w:hint="eastAsia" w:ascii="宋体" w:hAnsi="宋体"/>
          <w:color w:val="auto"/>
          <w:sz w:val="24"/>
          <w:highlight w:val="none"/>
        </w:rPr>
        <w:t>的组成部分。</w:t>
      </w:r>
    </w:p>
    <w:p w14:paraId="68C00CDC">
      <w:pPr>
        <w:spacing w:line="440" w:lineRule="exact"/>
        <w:rPr>
          <w:rFonts w:ascii="宋体" w:hAnsi="宋体"/>
          <w:b/>
          <w:color w:val="auto"/>
          <w:sz w:val="24"/>
          <w:highlight w:val="none"/>
        </w:rPr>
      </w:pPr>
      <w:r>
        <w:rPr>
          <w:rFonts w:hint="eastAsia" w:ascii="宋体" w:hAnsi="宋体"/>
          <w:b/>
          <w:color w:val="auto"/>
          <w:sz w:val="24"/>
          <w:highlight w:val="none"/>
        </w:rPr>
        <w:t xml:space="preserve"> </w:t>
      </w:r>
      <w:r>
        <w:rPr>
          <w:rFonts w:hint="eastAsia" w:ascii="宋体" w:hAnsi="宋体"/>
          <w:b/>
          <w:color w:val="auto"/>
          <w:sz w:val="24"/>
          <w:highlight w:val="none"/>
          <w:lang w:eastAsia="zh-CN"/>
        </w:rPr>
        <w:t>磋商文件</w:t>
      </w:r>
      <w:r>
        <w:rPr>
          <w:rFonts w:hint="eastAsia" w:ascii="宋体" w:hAnsi="宋体"/>
          <w:b/>
          <w:color w:val="auto"/>
          <w:sz w:val="24"/>
          <w:highlight w:val="none"/>
        </w:rPr>
        <w:t>的澄清</w:t>
      </w:r>
    </w:p>
    <w:p w14:paraId="67D9D51C">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1）</w:t>
      </w:r>
      <w:r>
        <w:rPr>
          <w:rFonts w:hint="eastAsia" w:ascii="宋体" w:hAnsi="宋体"/>
          <w:color w:val="auto"/>
          <w:sz w:val="24"/>
          <w:highlight w:val="none"/>
          <w:lang w:eastAsia="zh-CN"/>
        </w:rPr>
        <w:t>供应商</w:t>
      </w:r>
      <w:r>
        <w:rPr>
          <w:rFonts w:hint="eastAsia" w:ascii="宋体" w:hAnsi="宋体"/>
          <w:color w:val="auto"/>
          <w:sz w:val="24"/>
          <w:highlight w:val="none"/>
        </w:rPr>
        <w:t>应仔细阅读和检查</w:t>
      </w:r>
      <w:r>
        <w:rPr>
          <w:rFonts w:hint="eastAsia" w:ascii="宋体" w:hAnsi="宋体"/>
          <w:color w:val="auto"/>
          <w:sz w:val="24"/>
          <w:highlight w:val="none"/>
          <w:lang w:eastAsia="zh-CN"/>
        </w:rPr>
        <w:t>磋商文件</w:t>
      </w:r>
      <w:r>
        <w:rPr>
          <w:rFonts w:hint="eastAsia" w:ascii="宋体" w:hAnsi="宋体"/>
          <w:color w:val="auto"/>
          <w:sz w:val="24"/>
          <w:highlight w:val="none"/>
        </w:rPr>
        <w:t>的全部内容。如发现缺页或附件不全，应及时向</w:t>
      </w:r>
      <w:r>
        <w:rPr>
          <w:rFonts w:hint="eastAsia" w:ascii="宋体" w:hAnsi="宋体"/>
          <w:color w:val="auto"/>
          <w:sz w:val="24"/>
          <w:highlight w:val="none"/>
          <w:lang w:eastAsia="zh-CN"/>
        </w:rPr>
        <w:t>采购人</w:t>
      </w:r>
      <w:r>
        <w:rPr>
          <w:rFonts w:hint="eastAsia" w:ascii="宋体" w:hAnsi="宋体"/>
          <w:color w:val="auto"/>
          <w:sz w:val="24"/>
          <w:highlight w:val="none"/>
        </w:rPr>
        <w:t>提出，以便补齐。如有疑问，应在投标截止时间</w:t>
      </w:r>
      <w:r>
        <w:rPr>
          <w:rFonts w:hint="eastAsia" w:ascii="宋体" w:hAnsi="宋体"/>
          <w:color w:val="auto"/>
          <w:sz w:val="24"/>
          <w:highlight w:val="none"/>
          <w:lang w:val="en-US" w:eastAsia="zh-CN"/>
        </w:rPr>
        <w:t>5</w:t>
      </w:r>
      <w:r>
        <w:rPr>
          <w:rFonts w:hint="eastAsia" w:ascii="宋体" w:hAnsi="宋体"/>
          <w:color w:val="auto"/>
          <w:sz w:val="24"/>
          <w:highlight w:val="none"/>
        </w:rPr>
        <w:t>天前以书面的形式提出澄清申请，要求</w:t>
      </w:r>
      <w:r>
        <w:rPr>
          <w:rFonts w:hint="eastAsia" w:ascii="宋体" w:hAnsi="宋体"/>
          <w:color w:val="auto"/>
          <w:sz w:val="24"/>
          <w:highlight w:val="none"/>
          <w:lang w:eastAsia="zh-CN"/>
        </w:rPr>
        <w:t>采购人</w:t>
      </w:r>
      <w:r>
        <w:rPr>
          <w:rFonts w:hint="eastAsia" w:ascii="宋体" w:hAnsi="宋体"/>
          <w:color w:val="auto"/>
          <w:sz w:val="24"/>
          <w:highlight w:val="none"/>
        </w:rPr>
        <w:t>对</w:t>
      </w:r>
      <w:r>
        <w:rPr>
          <w:rFonts w:hint="eastAsia" w:ascii="宋体" w:hAnsi="宋体"/>
          <w:color w:val="auto"/>
          <w:sz w:val="24"/>
          <w:highlight w:val="none"/>
          <w:lang w:eastAsia="zh-CN"/>
        </w:rPr>
        <w:t>磋商文件</w:t>
      </w:r>
      <w:r>
        <w:rPr>
          <w:rFonts w:hint="eastAsia" w:ascii="宋体" w:hAnsi="宋体"/>
          <w:color w:val="auto"/>
          <w:sz w:val="24"/>
          <w:highlight w:val="none"/>
        </w:rPr>
        <w:t>予以澄清。</w:t>
      </w:r>
    </w:p>
    <w:bookmarkEnd w:id="56"/>
    <w:p w14:paraId="1AF5BDFF">
      <w:pPr>
        <w:spacing w:line="440" w:lineRule="exact"/>
        <w:ind w:firstLine="480" w:firstLineChars="200"/>
        <w:rPr>
          <w:rFonts w:ascii="宋体" w:hAnsi="宋体"/>
          <w:color w:val="auto"/>
          <w:sz w:val="24"/>
          <w:highlight w:val="none"/>
        </w:rPr>
      </w:pPr>
      <w:bookmarkStart w:id="57" w:name="_Toc221950144"/>
      <w:r>
        <w:rPr>
          <w:rFonts w:hint="eastAsia" w:ascii="宋体" w:hAnsi="宋体"/>
          <w:color w:val="auto"/>
          <w:sz w:val="24"/>
          <w:highlight w:val="none"/>
          <w:lang w:eastAsia="zh-CN"/>
        </w:rPr>
        <w:t>（</w:t>
      </w:r>
      <w:r>
        <w:rPr>
          <w:rFonts w:hint="eastAsia" w:ascii="宋体" w:hAnsi="宋体"/>
          <w:color w:val="auto"/>
          <w:sz w:val="24"/>
          <w:highlight w:val="none"/>
        </w:rPr>
        <w:t>2）</w:t>
      </w:r>
      <w:r>
        <w:rPr>
          <w:rFonts w:hint="eastAsia" w:ascii="宋体" w:hAnsi="宋体"/>
          <w:color w:val="auto"/>
          <w:sz w:val="24"/>
          <w:highlight w:val="none"/>
          <w:lang w:eastAsia="zh-CN"/>
        </w:rPr>
        <w:t>磋商文件</w:t>
      </w:r>
      <w:r>
        <w:rPr>
          <w:rFonts w:hint="eastAsia" w:ascii="宋体" w:hAnsi="宋体"/>
          <w:color w:val="auto"/>
          <w:sz w:val="24"/>
          <w:highlight w:val="none"/>
        </w:rPr>
        <w:t>的澄清将在</w:t>
      </w:r>
      <w:r>
        <w:rPr>
          <w:rFonts w:hint="eastAsia" w:ascii="宋体" w:hAnsi="宋体"/>
          <w:color w:val="auto"/>
          <w:sz w:val="24"/>
          <w:highlight w:val="none"/>
          <w:lang w:eastAsia="zh-CN"/>
        </w:rPr>
        <w:t>供应商</w:t>
      </w:r>
      <w:r>
        <w:rPr>
          <w:rFonts w:hint="eastAsia" w:ascii="宋体" w:hAnsi="宋体"/>
          <w:color w:val="auto"/>
          <w:sz w:val="24"/>
          <w:highlight w:val="none"/>
        </w:rPr>
        <w:t>须知前附表规定的投标截止时间</w:t>
      </w:r>
      <w:r>
        <w:rPr>
          <w:rFonts w:hint="eastAsia" w:ascii="宋体" w:hAnsi="宋体"/>
          <w:color w:val="auto"/>
          <w:sz w:val="24"/>
          <w:highlight w:val="none"/>
          <w:lang w:val="en-US" w:eastAsia="zh-CN"/>
        </w:rPr>
        <w:t>5</w:t>
      </w:r>
      <w:r>
        <w:rPr>
          <w:rFonts w:hint="eastAsia" w:ascii="宋体" w:hAnsi="宋体"/>
          <w:color w:val="auto"/>
          <w:sz w:val="24"/>
          <w:highlight w:val="none"/>
        </w:rPr>
        <w:t>天前，以书面的形式进行统一解答，但不指明澄清问题的来源。如果澄清发出的时间距投标截止时间不足</w:t>
      </w:r>
      <w:r>
        <w:rPr>
          <w:rFonts w:hint="eastAsia" w:ascii="宋体" w:hAnsi="宋体"/>
          <w:color w:val="auto"/>
          <w:sz w:val="24"/>
          <w:highlight w:val="none"/>
          <w:lang w:val="en-US" w:eastAsia="zh-CN"/>
        </w:rPr>
        <w:t>5</w:t>
      </w:r>
      <w:r>
        <w:rPr>
          <w:rFonts w:hint="eastAsia" w:ascii="宋体" w:hAnsi="宋体"/>
          <w:color w:val="auto"/>
          <w:sz w:val="24"/>
          <w:highlight w:val="none"/>
        </w:rPr>
        <w:t>天，投标截止时间应相应延长。</w:t>
      </w:r>
    </w:p>
    <w:bookmarkEnd w:id="57"/>
    <w:p w14:paraId="593C68D8">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3）所有</w:t>
      </w:r>
      <w:r>
        <w:rPr>
          <w:rFonts w:hint="eastAsia" w:ascii="宋体" w:hAnsi="宋体"/>
          <w:color w:val="auto"/>
          <w:sz w:val="24"/>
          <w:highlight w:val="none"/>
          <w:lang w:eastAsia="zh-CN"/>
        </w:rPr>
        <w:t>获取磋商文件</w:t>
      </w:r>
      <w:r>
        <w:rPr>
          <w:rFonts w:hint="eastAsia" w:ascii="宋体" w:hAnsi="宋体"/>
          <w:color w:val="auto"/>
          <w:sz w:val="24"/>
          <w:highlight w:val="none"/>
        </w:rPr>
        <w:t>的</w:t>
      </w:r>
      <w:r>
        <w:rPr>
          <w:rFonts w:hint="eastAsia" w:ascii="宋体" w:hAnsi="宋体"/>
          <w:color w:val="auto"/>
          <w:sz w:val="24"/>
          <w:highlight w:val="none"/>
          <w:lang w:eastAsia="zh-CN"/>
        </w:rPr>
        <w:t>供应商</w:t>
      </w:r>
      <w:r>
        <w:rPr>
          <w:rFonts w:hint="eastAsia" w:ascii="宋体" w:hAnsi="宋体"/>
          <w:color w:val="auto"/>
          <w:sz w:val="24"/>
          <w:highlight w:val="none"/>
        </w:rPr>
        <w:t>有义务以书面的形式回复。</w:t>
      </w:r>
    </w:p>
    <w:p w14:paraId="1FDDB1D0">
      <w:pPr>
        <w:spacing w:line="440" w:lineRule="exact"/>
        <w:outlineLvl w:val="2"/>
        <w:rPr>
          <w:rFonts w:ascii="宋体" w:hAnsi="宋体"/>
          <w:b/>
          <w:color w:val="auto"/>
          <w:sz w:val="24"/>
          <w:highlight w:val="none"/>
        </w:rPr>
      </w:pPr>
      <w:bookmarkStart w:id="58" w:name="_Toc309533321"/>
      <w:bookmarkStart w:id="59" w:name="_Toc310088825"/>
      <w:bookmarkStart w:id="60" w:name="_Toc168475661"/>
      <w:bookmarkStart w:id="61" w:name="_Toc222032653"/>
      <w:bookmarkStart w:id="62" w:name="_Toc229408465"/>
      <w:bookmarkStart w:id="63" w:name="_Toc511746976"/>
      <w:bookmarkStart w:id="64" w:name="_Toc19476"/>
      <w:bookmarkStart w:id="65" w:name="_Toc221950151"/>
      <w:bookmarkStart w:id="66" w:name="_Toc311205774"/>
      <w:bookmarkStart w:id="67" w:name="_Toc222029484"/>
      <w:bookmarkStart w:id="68" w:name="_Toc309533717"/>
      <w:bookmarkStart w:id="69" w:name="_Toc229305344"/>
      <w:bookmarkStart w:id="70" w:name="_Toc222033835"/>
      <w:bookmarkStart w:id="71" w:name="_Toc144974514"/>
      <w:bookmarkStart w:id="72" w:name="_Toc222030986"/>
      <w:bookmarkStart w:id="73" w:name="_Toc168476064"/>
      <w:r>
        <w:rPr>
          <w:rFonts w:hint="eastAsia" w:ascii="宋体" w:hAnsi="宋体"/>
          <w:b/>
          <w:color w:val="auto"/>
          <w:sz w:val="24"/>
          <w:highlight w:val="none"/>
        </w:rPr>
        <w:t>（三） 投标</w:t>
      </w:r>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p>
    <w:p w14:paraId="10DF66C8">
      <w:pPr>
        <w:autoSpaceDE w:val="0"/>
        <w:autoSpaceDN w:val="0"/>
        <w:adjustRightInd w:val="0"/>
        <w:spacing w:line="360" w:lineRule="auto"/>
        <w:ind w:left="-147" w:leftChars="-70"/>
        <w:jc w:val="left"/>
        <w:rPr>
          <w:rFonts w:ascii="宋体" w:hAnsi="宋体" w:cs="宋体"/>
          <w:b/>
          <w:color w:val="auto"/>
          <w:sz w:val="24"/>
          <w:highlight w:val="none"/>
          <w:lang w:val="zh-CN"/>
        </w:rPr>
      </w:pPr>
      <w:r>
        <w:rPr>
          <w:rFonts w:hint="eastAsia" w:ascii="宋体" w:hAnsi="宋体" w:cs="宋体"/>
          <w:b/>
          <w:color w:val="auto"/>
          <w:sz w:val="24"/>
          <w:highlight w:val="none"/>
          <w:lang w:val="zh-CN"/>
        </w:rPr>
        <w:t>1、响应文件的语言</w:t>
      </w:r>
    </w:p>
    <w:p w14:paraId="072C4485">
      <w:pPr>
        <w:spacing w:line="360" w:lineRule="auto"/>
        <w:ind w:left="-109" w:leftChars="-52" w:firstLine="240" w:firstLineChars="100"/>
        <w:rPr>
          <w:rFonts w:ascii="宋体" w:hAnsi="宋体" w:cs="宋体"/>
          <w:color w:val="auto"/>
          <w:sz w:val="24"/>
          <w:highlight w:val="none"/>
        </w:rPr>
      </w:pPr>
      <w:r>
        <w:rPr>
          <w:rFonts w:hint="eastAsia" w:ascii="宋体" w:hAnsi="宋体" w:cs="宋体"/>
          <w:color w:val="auto"/>
          <w:sz w:val="24"/>
          <w:highlight w:val="none"/>
        </w:rPr>
        <w:t>与投标有关的所有文件必须使用中文。</w:t>
      </w:r>
    </w:p>
    <w:p w14:paraId="7CAD3446">
      <w:pPr>
        <w:spacing w:line="360" w:lineRule="auto"/>
        <w:ind w:left="-28" w:leftChars="-102" w:hanging="186" w:hangingChars="77"/>
        <w:rPr>
          <w:rFonts w:ascii="宋体" w:hAnsi="宋体" w:cs="宋体"/>
          <w:b/>
          <w:bCs/>
          <w:color w:val="auto"/>
          <w:sz w:val="24"/>
          <w:highlight w:val="none"/>
        </w:rPr>
      </w:pPr>
      <w:r>
        <w:rPr>
          <w:rFonts w:hint="eastAsia" w:ascii="宋体" w:hAnsi="宋体" w:cs="宋体"/>
          <w:b/>
          <w:bCs/>
          <w:color w:val="auto"/>
          <w:sz w:val="24"/>
          <w:highlight w:val="none"/>
        </w:rPr>
        <w:t>2、</w:t>
      </w:r>
      <w:r>
        <w:rPr>
          <w:rFonts w:hint="eastAsia" w:ascii="宋体" w:hAnsi="宋体" w:cs="宋体"/>
          <w:b/>
          <w:bCs/>
          <w:color w:val="auto"/>
          <w:sz w:val="24"/>
          <w:highlight w:val="none"/>
          <w:lang w:eastAsia="zh-CN"/>
        </w:rPr>
        <w:t>响应文件</w:t>
      </w:r>
      <w:r>
        <w:rPr>
          <w:rFonts w:hint="eastAsia" w:ascii="宋体" w:hAnsi="宋体" w:cs="宋体"/>
          <w:b/>
          <w:bCs/>
          <w:color w:val="auto"/>
          <w:sz w:val="24"/>
          <w:highlight w:val="none"/>
        </w:rPr>
        <w:t>的组成</w:t>
      </w:r>
    </w:p>
    <w:p w14:paraId="08FF1EFF">
      <w:pPr>
        <w:spacing w:line="360" w:lineRule="auto"/>
        <w:contextualSpacing/>
        <w:rPr>
          <w:rFonts w:ascii="宋体"/>
          <w:color w:val="auto"/>
          <w:sz w:val="24"/>
          <w:highlight w:val="none"/>
        </w:rPr>
      </w:pPr>
      <w:bookmarkStart w:id="74" w:name="_Toc445473486"/>
      <w:bookmarkStart w:id="75" w:name="_Toc504654683"/>
      <w:bookmarkStart w:id="76" w:name="_Toc504479647"/>
      <w:bookmarkStart w:id="77" w:name="_Toc504479196"/>
      <w:r>
        <w:rPr>
          <w:rFonts w:hint="eastAsia" w:ascii="宋体"/>
          <w:color w:val="auto"/>
          <w:sz w:val="24"/>
          <w:highlight w:val="none"/>
        </w:rPr>
        <w:t>2.1</w:t>
      </w:r>
      <w:r>
        <w:rPr>
          <w:rFonts w:hint="eastAsia" w:ascii="宋体"/>
          <w:color w:val="auto"/>
          <w:sz w:val="24"/>
          <w:highlight w:val="none"/>
          <w:lang w:eastAsia="zh-CN"/>
        </w:rPr>
        <w:t>响应文件</w:t>
      </w:r>
      <w:r>
        <w:rPr>
          <w:rFonts w:hint="eastAsia" w:ascii="宋体"/>
          <w:color w:val="auto"/>
          <w:sz w:val="24"/>
          <w:highlight w:val="none"/>
        </w:rPr>
        <w:t>应由价格部分、商务部分、技术部分三部分组成。</w:t>
      </w:r>
      <w:r>
        <w:rPr>
          <w:rFonts w:hint="eastAsia" w:ascii="宋体"/>
          <w:color w:val="auto"/>
          <w:sz w:val="24"/>
          <w:highlight w:val="none"/>
          <w:lang w:eastAsia="zh-CN"/>
        </w:rPr>
        <w:t>响应文件</w:t>
      </w:r>
      <w:r>
        <w:rPr>
          <w:rFonts w:hint="eastAsia" w:ascii="宋体"/>
          <w:color w:val="auto"/>
          <w:sz w:val="24"/>
          <w:highlight w:val="none"/>
        </w:rPr>
        <w:t>严格按第六章</w:t>
      </w:r>
      <w:r>
        <w:rPr>
          <w:rFonts w:hint="eastAsia" w:ascii="宋体"/>
          <w:color w:val="auto"/>
          <w:sz w:val="24"/>
          <w:highlight w:val="none"/>
          <w:lang w:eastAsia="zh-CN"/>
        </w:rPr>
        <w:t>响应文件</w:t>
      </w:r>
      <w:r>
        <w:rPr>
          <w:rFonts w:hint="eastAsia" w:ascii="宋体"/>
          <w:color w:val="auto"/>
          <w:sz w:val="24"/>
          <w:highlight w:val="none"/>
        </w:rPr>
        <w:t>格式填写。</w:t>
      </w:r>
    </w:p>
    <w:p w14:paraId="09233574">
      <w:pPr>
        <w:spacing w:before="120" w:line="360" w:lineRule="auto"/>
        <w:contextualSpacing/>
        <w:rPr>
          <w:rFonts w:ascii="宋体"/>
          <w:color w:val="auto"/>
          <w:sz w:val="24"/>
          <w:highlight w:val="none"/>
        </w:rPr>
      </w:pPr>
      <w:r>
        <w:rPr>
          <w:rFonts w:hint="eastAsia" w:ascii="宋体"/>
          <w:color w:val="auto"/>
          <w:sz w:val="24"/>
          <w:highlight w:val="none"/>
        </w:rPr>
        <w:t>2.2价格部分应包括：</w:t>
      </w:r>
    </w:p>
    <w:p w14:paraId="7063E56B">
      <w:pPr>
        <w:spacing w:line="360" w:lineRule="auto"/>
        <w:ind w:firstLine="426"/>
        <w:contextualSpacing/>
        <w:rPr>
          <w:rFonts w:ascii="宋体"/>
          <w:color w:val="auto"/>
          <w:sz w:val="24"/>
          <w:highlight w:val="none"/>
        </w:rPr>
      </w:pPr>
      <w:r>
        <w:rPr>
          <w:rFonts w:hint="eastAsia" w:ascii="宋体"/>
          <w:color w:val="auto"/>
          <w:sz w:val="24"/>
          <w:highlight w:val="none"/>
        </w:rPr>
        <w:t>（1）</w:t>
      </w:r>
      <w:r>
        <w:rPr>
          <w:rFonts w:hint="eastAsia" w:ascii="宋体"/>
          <w:color w:val="auto"/>
          <w:sz w:val="24"/>
          <w:highlight w:val="none"/>
          <w:lang w:eastAsia="zh-CN"/>
        </w:rPr>
        <w:t>开启一览表</w:t>
      </w:r>
      <w:r>
        <w:rPr>
          <w:rFonts w:hint="eastAsia" w:ascii="宋体"/>
          <w:color w:val="auto"/>
          <w:sz w:val="24"/>
          <w:highlight w:val="none"/>
        </w:rPr>
        <w:t>；</w:t>
      </w:r>
    </w:p>
    <w:p w14:paraId="4650DB99">
      <w:pPr>
        <w:spacing w:line="360" w:lineRule="auto"/>
        <w:ind w:left="426"/>
        <w:contextualSpacing/>
        <w:rPr>
          <w:rFonts w:ascii="宋体"/>
          <w:color w:val="auto"/>
          <w:sz w:val="24"/>
          <w:highlight w:val="none"/>
        </w:rPr>
      </w:pPr>
      <w:r>
        <w:rPr>
          <w:rFonts w:hint="eastAsia" w:ascii="宋体"/>
          <w:color w:val="auto"/>
          <w:sz w:val="24"/>
          <w:highlight w:val="none"/>
        </w:rPr>
        <w:t>（2）已标价工程量清单。</w:t>
      </w:r>
    </w:p>
    <w:p w14:paraId="1F884E12">
      <w:pPr>
        <w:tabs>
          <w:tab w:val="left" w:pos="770"/>
        </w:tabs>
        <w:spacing w:line="360" w:lineRule="auto"/>
        <w:contextualSpacing/>
        <w:rPr>
          <w:rFonts w:ascii="宋体"/>
          <w:color w:val="auto"/>
          <w:sz w:val="24"/>
          <w:highlight w:val="none"/>
        </w:rPr>
      </w:pPr>
      <w:r>
        <w:rPr>
          <w:rFonts w:hint="eastAsia" w:ascii="宋体"/>
          <w:color w:val="auto"/>
          <w:sz w:val="24"/>
          <w:highlight w:val="none"/>
        </w:rPr>
        <w:t>2.3商务部分应包括：</w:t>
      </w:r>
    </w:p>
    <w:p w14:paraId="143CF1D5">
      <w:pPr>
        <w:tabs>
          <w:tab w:val="left" w:pos="770"/>
        </w:tabs>
        <w:spacing w:line="360" w:lineRule="auto"/>
        <w:ind w:firstLine="480" w:firstLineChars="200"/>
        <w:contextualSpacing/>
        <w:rPr>
          <w:rFonts w:ascii="宋体"/>
          <w:color w:val="auto"/>
          <w:sz w:val="24"/>
          <w:highlight w:val="none"/>
        </w:rPr>
      </w:pPr>
      <w:r>
        <w:rPr>
          <w:rFonts w:hint="eastAsia" w:ascii="宋体"/>
          <w:color w:val="auto"/>
          <w:sz w:val="24"/>
          <w:highlight w:val="none"/>
        </w:rPr>
        <w:t>（1）投标函及投标函附录；</w:t>
      </w:r>
    </w:p>
    <w:p w14:paraId="19309BC2">
      <w:pPr>
        <w:tabs>
          <w:tab w:val="left" w:pos="770"/>
        </w:tabs>
        <w:spacing w:line="360" w:lineRule="auto"/>
        <w:ind w:firstLine="480" w:firstLineChars="200"/>
        <w:contextualSpacing/>
        <w:rPr>
          <w:rFonts w:ascii="宋体"/>
          <w:color w:val="auto"/>
          <w:sz w:val="24"/>
          <w:highlight w:val="none"/>
        </w:rPr>
      </w:pPr>
      <w:r>
        <w:rPr>
          <w:rFonts w:hint="eastAsia" w:ascii="宋体"/>
          <w:color w:val="auto"/>
          <w:sz w:val="24"/>
          <w:highlight w:val="none"/>
        </w:rPr>
        <w:t>（2）</w:t>
      </w:r>
      <w:r>
        <w:rPr>
          <w:rFonts w:hint="eastAsia" w:ascii="宋体"/>
          <w:color w:val="auto"/>
          <w:sz w:val="24"/>
          <w:highlight w:val="none"/>
          <w:lang w:eastAsia="zh-CN"/>
        </w:rPr>
        <w:t>磋商保证金</w:t>
      </w:r>
      <w:r>
        <w:rPr>
          <w:rFonts w:hint="eastAsia" w:ascii="宋体"/>
          <w:color w:val="auto"/>
          <w:sz w:val="24"/>
          <w:highlight w:val="none"/>
        </w:rPr>
        <w:t>；</w:t>
      </w:r>
    </w:p>
    <w:p w14:paraId="70A2AFC3">
      <w:pPr>
        <w:tabs>
          <w:tab w:val="left" w:pos="770"/>
        </w:tabs>
        <w:spacing w:line="360" w:lineRule="auto"/>
        <w:ind w:firstLine="480" w:firstLineChars="200"/>
        <w:contextualSpacing/>
        <w:rPr>
          <w:rFonts w:ascii="宋体"/>
          <w:color w:val="auto"/>
          <w:sz w:val="24"/>
          <w:highlight w:val="none"/>
        </w:rPr>
      </w:pPr>
      <w:r>
        <w:rPr>
          <w:rFonts w:hint="eastAsia" w:ascii="宋体"/>
          <w:color w:val="auto"/>
          <w:sz w:val="24"/>
          <w:highlight w:val="none"/>
        </w:rPr>
        <w:t>（3）法定代表人身份证明书；</w:t>
      </w:r>
    </w:p>
    <w:p w14:paraId="598C5DD8">
      <w:pPr>
        <w:tabs>
          <w:tab w:val="left" w:pos="770"/>
        </w:tabs>
        <w:spacing w:line="360" w:lineRule="auto"/>
        <w:ind w:firstLine="480" w:firstLineChars="200"/>
        <w:contextualSpacing/>
        <w:rPr>
          <w:rFonts w:ascii="宋体"/>
          <w:color w:val="auto"/>
          <w:sz w:val="24"/>
          <w:highlight w:val="none"/>
        </w:rPr>
      </w:pPr>
      <w:r>
        <w:rPr>
          <w:rFonts w:hint="eastAsia" w:ascii="宋体"/>
          <w:color w:val="auto"/>
          <w:sz w:val="24"/>
          <w:highlight w:val="none"/>
        </w:rPr>
        <w:t>（4）法定代表人授权委托书；</w:t>
      </w:r>
    </w:p>
    <w:p w14:paraId="76CE2C41">
      <w:pPr>
        <w:tabs>
          <w:tab w:val="left" w:pos="770"/>
        </w:tabs>
        <w:spacing w:line="360" w:lineRule="auto"/>
        <w:ind w:firstLine="480" w:firstLineChars="200"/>
        <w:contextualSpacing/>
        <w:rPr>
          <w:rFonts w:ascii="宋体"/>
          <w:color w:val="auto"/>
          <w:sz w:val="24"/>
          <w:highlight w:val="none"/>
        </w:rPr>
      </w:pPr>
      <w:r>
        <w:rPr>
          <w:rFonts w:hint="eastAsia" w:ascii="宋体"/>
          <w:color w:val="auto"/>
          <w:sz w:val="24"/>
          <w:highlight w:val="none"/>
        </w:rPr>
        <w:t>（5）</w:t>
      </w:r>
      <w:r>
        <w:rPr>
          <w:rFonts w:hint="eastAsia" w:ascii="宋体" w:hAnsi="宋体" w:cs="宋体"/>
          <w:bCs/>
          <w:color w:val="auto"/>
          <w:sz w:val="24"/>
          <w:highlight w:val="none"/>
          <w:lang w:val="zh-CN"/>
        </w:rPr>
        <w:t>项目管理机构</w:t>
      </w:r>
      <w:r>
        <w:rPr>
          <w:rFonts w:hint="eastAsia" w:ascii="宋体"/>
          <w:color w:val="auto"/>
          <w:sz w:val="24"/>
          <w:highlight w:val="none"/>
        </w:rPr>
        <w:t>；</w:t>
      </w:r>
    </w:p>
    <w:p w14:paraId="74066DB9">
      <w:pPr>
        <w:tabs>
          <w:tab w:val="left" w:pos="770"/>
        </w:tabs>
        <w:spacing w:line="360" w:lineRule="auto"/>
        <w:ind w:firstLine="480" w:firstLineChars="200"/>
        <w:contextualSpacing/>
        <w:rPr>
          <w:rFonts w:ascii="宋体"/>
          <w:color w:val="auto"/>
          <w:sz w:val="24"/>
          <w:highlight w:val="none"/>
        </w:rPr>
      </w:pPr>
      <w:r>
        <w:rPr>
          <w:rFonts w:hint="eastAsia" w:ascii="宋体"/>
          <w:color w:val="auto"/>
          <w:sz w:val="24"/>
          <w:highlight w:val="none"/>
        </w:rPr>
        <w:t>（6</w:t>
      </w:r>
      <w:r>
        <w:rPr>
          <w:rFonts w:hint="eastAsia" w:cs="宋体"/>
          <w:color w:val="auto"/>
          <w:sz w:val="24"/>
          <w:highlight w:val="none"/>
        </w:rPr>
        <w:t>）</w:t>
      </w:r>
      <w:r>
        <w:rPr>
          <w:rFonts w:hint="eastAsia" w:ascii="宋体"/>
          <w:color w:val="auto"/>
          <w:sz w:val="24"/>
          <w:highlight w:val="none"/>
        </w:rPr>
        <w:t>拟分包项目情况表；</w:t>
      </w:r>
    </w:p>
    <w:p w14:paraId="5EF76DF9">
      <w:pPr>
        <w:tabs>
          <w:tab w:val="left" w:pos="770"/>
        </w:tabs>
        <w:spacing w:line="360" w:lineRule="auto"/>
        <w:ind w:firstLine="480" w:firstLineChars="200"/>
        <w:contextualSpacing/>
        <w:rPr>
          <w:rFonts w:ascii="宋体"/>
          <w:color w:val="auto"/>
          <w:sz w:val="24"/>
          <w:highlight w:val="none"/>
        </w:rPr>
      </w:pPr>
      <w:r>
        <w:rPr>
          <w:rFonts w:hint="eastAsia" w:ascii="宋体"/>
          <w:color w:val="auto"/>
          <w:sz w:val="24"/>
          <w:highlight w:val="none"/>
        </w:rPr>
        <w:t>（7）</w:t>
      </w:r>
      <w:r>
        <w:rPr>
          <w:rFonts w:hint="eastAsia" w:cs="宋体"/>
          <w:color w:val="auto"/>
          <w:sz w:val="24"/>
          <w:highlight w:val="none"/>
        </w:rPr>
        <w:t>资格审查资料</w:t>
      </w:r>
      <w:r>
        <w:rPr>
          <w:rFonts w:hint="eastAsia" w:ascii="宋体"/>
          <w:color w:val="auto"/>
          <w:sz w:val="24"/>
          <w:highlight w:val="none"/>
        </w:rPr>
        <w:t>。</w:t>
      </w:r>
    </w:p>
    <w:p w14:paraId="7338599C">
      <w:pPr>
        <w:tabs>
          <w:tab w:val="left" w:pos="770"/>
        </w:tabs>
        <w:spacing w:line="360" w:lineRule="auto"/>
        <w:contextualSpacing/>
        <w:rPr>
          <w:rFonts w:ascii="宋体"/>
          <w:color w:val="auto"/>
          <w:sz w:val="24"/>
          <w:highlight w:val="none"/>
        </w:rPr>
      </w:pPr>
      <w:r>
        <w:rPr>
          <w:rFonts w:hint="eastAsia" w:ascii="宋体"/>
          <w:color w:val="auto"/>
          <w:sz w:val="24"/>
          <w:highlight w:val="none"/>
        </w:rPr>
        <w:t>2.4技术部分应包括：</w:t>
      </w:r>
    </w:p>
    <w:p w14:paraId="2115AF75">
      <w:pPr>
        <w:tabs>
          <w:tab w:val="left" w:pos="770"/>
        </w:tabs>
        <w:spacing w:line="360" w:lineRule="auto"/>
        <w:ind w:firstLine="480" w:firstLineChars="200"/>
        <w:contextualSpacing/>
        <w:rPr>
          <w:rFonts w:ascii="宋体"/>
          <w:color w:val="auto"/>
          <w:sz w:val="24"/>
          <w:highlight w:val="none"/>
        </w:rPr>
      </w:pPr>
      <w:r>
        <w:rPr>
          <w:rFonts w:hint="eastAsia" w:ascii="宋体"/>
          <w:color w:val="auto"/>
          <w:sz w:val="24"/>
          <w:highlight w:val="none"/>
        </w:rPr>
        <w:t>（1）工程基本概况；</w:t>
      </w:r>
    </w:p>
    <w:p w14:paraId="7665C0D1">
      <w:pPr>
        <w:tabs>
          <w:tab w:val="left" w:pos="770"/>
        </w:tabs>
        <w:spacing w:line="360" w:lineRule="auto"/>
        <w:ind w:firstLine="480" w:firstLineChars="200"/>
        <w:contextualSpacing/>
        <w:rPr>
          <w:rFonts w:ascii="宋体"/>
          <w:color w:val="auto"/>
          <w:sz w:val="24"/>
          <w:highlight w:val="none"/>
        </w:rPr>
      </w:pPr>
      <w:r>
        <w:rPr>
          <w:rFonts w:hint="eastAsia" w:ascii="宋体"/>
          <w:color w:val="auto"/>
          <w:sz w:val="24"/>
          <w:highlight w:val="none"/>
        </w:rPr>
        <w:t>（2）施工总体布置；</w:t>
      </w:r>
    </w:p>
    <w:p w14:paraId="1057493E">
      <w:pPr>
        <w:tabs>
          <w:tab w:val="left" w:pos="770"/>
        </w:tabs>
        <w:spacing w:line="360" w:lineRule="auto"/>
        <w:ind w:firstLine="480" w:firstLineChars="200"/>
        <w:contextualSpacing/>
        <w:rPr>
          <w:rFonts w:ascii="宋体"/>
          <w:color w:val="auto"/>
          <w:sz w:val="24"/>
          <w:highlight w:val="none"/>
        </w:rPr>
      </w:pPr>
      <w:r>
        <w:rPr>
          <w:rFonts w:hint="eastAsia" w:ascii="宋体"/>
          <w:color w:val="auto"/>
          <w:sz w:val="24"/>
          <w:highlight w:val="none"/>
        </w:rPr>
        <w:t>（3）整体工程施工方案；</w:t>
      </w:r>
    </w:p>
    <w:p w14:paraId="2D724849">
      <w:pPr>
        <w:tabs>
          <w:tab w:val="left" w:pos="770"/>
        </w:tabs>
        <w:spacing w:line="360" w:lineRule="auto"/>
        <w:ind w:firstLine="480" w:firstLineChars="200"/>
        <w:contextualSpacing/>
        <w:rPr>
          <w:rFonts w:ascii="宋体"/>
          <w:color w:val="auto"/>
          <w:sz w:val="24"/>
          <w:highlight w:val="none"/>
        </w:rPr>
      </w:pPr>
      <w:r>
        <w:rPr>
          <w:rFonts w:hint="eastAsia" w:ascii="宋体"/>
          <w:color w:val="auto"/>
          <w:sz w:val="24"/>
          <w:highlight w:val="none"/>
        </w:rPr>
        <w:t>（4）</w:t>
      </w:r>
      <w:r>
        <w:rPr>
          <w:rFonts w:hint="eastAsia" w:ascii="宋体" w:hAnsi="宋体" w:cs="宋体"/>
          <w:bCs/>
          <w:color w:val="auto"/>
          <w:sz w:val="24"/>
          <w:highlight w:val="none"/>
          <w:lang w:val="zh-CN"/>
        </w:rPr>
        <w:t>施工测量控制</w:t>
      </w:r>
      <w:r>
        <w:rPr>
          <w:rFonts w:hint="eastAsia" w:ascii="宋体"/>
          <w:color w:val="auto"/>
          <w:sz w:val="24"/>
          <w:highlight w:val="none"/>
        </w:rPr>
        <w:t>；</w:t>
      </w:r>
    </w:p>
    <w:p w14:paraId="33B5115C">
      <w:pPr>
        <w:tabs>
          <w:tab w:val="left" w:pos="770"/>
        </w:tabs>
        <w:spacing w:line="360" w:lineRule="auto"/>
        <w:ind w:firstLine="480" w:firstLineChars="200"/>
        <w:contextualSpacing/>
        <w:rPr>
          <w:rFonts w:ascii="宋体"/>
          <w:color w:val="auto"/>
          <w:sz w:val="24"/>
          <w:highlight w:val="none"/>
        </w:rPr>
      </w:pPr>
      <w:r>
        <w:rPr>
          <w:rFonts w:hint="eastAsia" w:ascii="宋体"/>
          <w:color w:val="auto"/>
          <w:sz w:val="24"/>
          <w:highlight w:val="none"/>
        </w:rPr>
        <w:t>（5）</w:t>
      </w:r>
      <w:r>
        <w:rPr>
          <w:rFonts w:hint="eastAsia" w:ascii="宋体" w:hAnsi="宋体" w:cs="宋体"/>
          <w:bCs/>
          <w:color w:val="auto"/>
          <w:sz w:val="24"/>
          <w:highlight w:val="none"/>
          <w:lang w:val="zh-CN"/>
        </w:rPr>
        <w:t>主体工程和重要临时工程施工方法和措施</w:t>
      </w:r>
      <w:r>
        <w:rPr>
          <w:rFonts w:hint="eastAsia" w:ascii="宋体"/>
          <w:color w:val="auto"/>
          <w:sz w:val="24"/>
          <w:highlight w:val="none"/>
        </w:rPr>
        <w:t>；</w:t>
      </w:r>
    </w:p>
    <w:p w14:paraId="7FA01B34">
      <w:pPr>
        <w:tabs>
          <w:tab w:val="left" w:pos="770"/>
        </w:tabs>
        <w:spacing w:line="360" w:lineRule="auto"/>
        <w:ind w:firstLine="480" w:firstLineChars="200"/>
        <w:contextualSpacing/>
        <w:rPr>
          <w:rFonts w:ascii="宋体"/>
          <w:color w:val="auto"/>
          <w:sz w:val="24"/>
          <w:highlight w:val="none"/>
        </w:rPr>
      </w:pPr>
      <w:r>
        <w:rPr>
          <w:rFonts w:hint="eastAsia" w:ascii="宋体"/>
          <w:color w:val="auto"/>
          <w:sz w:val="24"/>
          <w:highlight w:val="none"/>
        </w:rPr>
        <w:t>（6）</w:t>
      </w:r>
      <w:r>
        <w:rPr>
          <w:rFonts w:hint="eastAsia" w:ascii="宋体" w:hAnsi="宋体" w:cs="宋体"/>
          <w:bCs/>
          <w:color w:val="auto"/>
          <w:sz w:val="24"/>
          <w:highlight w:val="none"/>
          <w:lang w:val="zh-CN"/>
        </w:rPr>
        <w:t>施工进度计划和保证工期的措施</w:t>
      </w:r>
      <w:r>
        <w:rPr>
          <w:rFonts w:hint="eastAsia" w:ascii="宋体"/>
          <w:color w:val="auto"/>
          <w:sz w:val="24"/>
          <w:highlight w:val="none"/>
        </w:rPr>
        <w:t>；</w:t>
      </w:r>
    </w:p>
    <w:p w14:paraId="0F2E2648">
      <w:pPr>
        <w:tabs>
          <w:tab w:val="left" w:pos="770"/>
        </w:tabs>
        <w:spacing w:line="360" w:lineRule="auto"/>
        <w:ind w:firstLine="480" w:firstLineChars="200"/>
        <w:contextualSpacing/>
        <w:rPr>
          <w:rFonts w:ascii="宋体"/>
          <w:color w:val="auto"/>
          <w:sz w:val="24"/>
          <w:highlight w:val="none"/>
        </w:rPr>
      </w:pPr>
      <w:r>
        <w:rPr>
          <w:rFonts w:hint="eastAsia" w:ascii="宋体"/>
          <w:color w:val="auto"/>
          <w:sz w:val="24"/>
          <w:highlight w:val="none"/>
        </w:rPr>
        <w:t>（7）</w:t>
      </w:r>
      <w:r>
        <w:rPr>
          <w:rFonts w:hint="eastAsia" w:ascii="宋体" w:hAnsi="宋体" w:cs="宋体"/>
          <w:bCs/>
          <w:color w:val="auto"/>
          <w:sz w:val="24"/>
          <w:highlight w:val="none"/>
          <w:lang w:val="zh-CN"/>
        </w:rPr>
        <w:t>主要机械设备计划安排</w:t>
      </w:r>
      <w:r>
        <w:rPr>
          <w:rFonts w:hint="eastAsia" w:ascii="宋体"/>
          <w:color w:val="auto"/>
          <w:sz w:val="24"/>
          <w:highlight w:val="none"/>
        </w:rPr>
        <w:t>；</w:t>
      </w:r>
    </w:p>
    <w:p w14:paraId="27E895B1">
      <w:pPr>
        <w:tabs>
          <w:tab w:val="left" w:pos="770"/>
        </w:tabs>
        <w:spacing w:line="360" w:lineRule="auto"/>
        <w:ind w:firstLine="480" w:firstLineChars="200"/>
        <w:contextualSpacing/>
        <w:rPr>
          <w:rFonts w:ascii="宋体"/>
          <w:color w:val="auto"/>
          <w:sz w:val="24"/>
          <w:highlight w:val="none"/>
        </w:rPr>
      </w:pPr>
      <w:r>
        <w:rPr>
          <w:rFonts w:hint="eastAsia" w:ascii="宋体"/>
          <w:color w:val="auto"/>
          <w:sz w:val="24"/>
          <w:highlight w:val="none"/>
        </w:rPr>
        <w:t>（8）</w:t>
      </w:r>
      <w:r>
        <w:rPr>
          <w:rFonts w:hint="eastAsia" w:ascii="宋体" w:hAnsi="宋体" w:cs="宋体"/>
          <w:bCs/>
          <w:color w:val="auto"/>
          <w:sz w:val="24"/>
          <w:highlight w:val="none"/>
          <w:lang w:val="zh-CN"/>
        </w:rPr>
        <w:t>质量控制措施</w:t>
      </w:r>
      <w:r>
        <w:rPr>
          <w:rFonts w:hint="eastAsia" w:ascii="宋体"/>
          <w:color w:val="auto"/>
          <w:sz w:val="24"/>
          <w:highlight w:val="none"/>
        </w:rPr>
        <w:t>；</w:t>
      </w:r>
    </w:p>
    <w:p w14:paraId="34C687FC">
      <w:pPr>
        <w:tabs>
          <w:tab w:val="left" w:pos="770"/>
        </w:tabs>
        <w:spacing w:line="360" w:lineRule="auto"/>
        <w:ind w:firstLine="480" w:firstLineChars="200"/>
        <w:contextualSpacing/>
        <w:rPr>
          <w:rFonts w:ascii="宋体"/>
          <w:color w:val="auto"/>
          <w:sz w:val="24"/>
          <w:highlight w:val="none"/>
        </w:rPr>
      </w:pPr>
      <w:r>
        <w:rPr>
          <w:rFonts w:hint="eastAsia" w:ascii="宋体"/>
          <w:color w:val="auto"/>
          <w:sz w:val="24"/>
          <w:highlight w:val="none"/>
        </w:rPr>
        <w:t>（9）</w:t>
      </w:r>
      <w:r>
        <w:rPr>
          <w:rFonts w:hint="eastAsia" w:ascii="宋体" w:hAnsi="宋体" w:cs="宋体"/>
          <w:bCs/>
          <w:color w:val="auto"/>
          <w:sz w:val="24"/>
          <w:highlight w:val="none"/>
          <w:lang w:val="zh-CN"/>
        </w:rPr>
        <w:t>安全度汛措施</w:t>
      </w:r>
      <w:r>
        <w:rPr>
          <w:rFonts w:hint="eastAsia" w:ascii="宋体"/>
          <w:color w:val="auto"/>
          <w:sz w:val="24"/>
          <w:highlight w:val="none"/>
        </w:rPr>
        <w:t>；</w:t>
      </w:r>
    </w:p>
    <w:p w14:paraId="0E896984">
      <w:pPr>
        <w:tabs>
          <w:tab w:val="left" w:pos="770"/>
        </w:tabs>
        <w:spacing w:line="360" w:lineRule="auto"/>
        <w:ind w:firstLine="480" w:firstLineChars="200"/>
        <w:contextualSpacing/>
        <w:rPr>
          <w:rFonts w:ascii="宋体"/>
          <w:color w:val="auto"/>
          <w:sz w:val="24"/>
          <w:highlight w:val="none"/>
        </w:rPr>
      </w:pPr>
      <w:r>
        <w:rPr>
          <w:rFonts w:hint="eastAsia" w:ascii="宋体"/>
          <w:color w:val="auto"/>
          <w:sz w:val="24"/>
          <w:highlight w:val="none"/>
        </w:rPr>
        <w:t>（10）</w:t>
      </w:r>
      <w:r>
        <w:rPr>
          <w:rFonts w:hint="eastAsia" w:ascii="宋体" w:hAnsi="宋体" w:cs="宋体"/>
          <w:bCs/>
          <w:color w:val="auto"/>
          <w:sz w:val="24"/>
          <w:highlight w:val="none"/>
          <w:lang w:val="zh-CN"/>
        </w:rPr>
        <w:t>安全生产措施</w:t>
      </w:r>
      <w:r>
        <w:rPr>
          <w:rFonts w:hint="eastAsia" w:ascii="宋体"/>
          <w:color w:val="auto"/>
          <w:sz w:val="24"/>
          <w:highlight w:val="none"/>
        </w:rPr>
        <w:t>；</w:t>
      </w:r>
    </w:p>
    <w:p w14:paraId="3BB3DAFC">
      <w:pPr>
        <w:tabs>
          <w:tab w:val="left" w:pos="770"/>
        </w:tabs>
        <w:spacing w:line="360" w:lineRule="auto"/>
        <w:ind w:firstLine="480" w:firstLineChars="200"/>
        <w:contextualSpacing/>
        <w:rPr>
          <w:rFonts w:ascii="宋体"/>
          <w:color w:val="auto"/>
          <w:sz w:val="24"/>
          <w:highlight w:val="none"/>
        </w:rPr>
      </w:pPr>
      <w:r>
        <w:rPr>
          <w:rFonts w:hint="eastAsia" w:ascii="宋体"/>
          <w:color w:val="auto"/>
          <w:sz w:val="24"/>
          <w:highlight w:val="none"/>
        </w:rPr>
        <w:t>（11）</w:t>
      </w:r>
      <w:r>
        <w:rPr>
          <w:rFonts w:hint="eastAsia" w:ascii="宋体" w:hAnsi="宋体" w:cs="宋体"/>
          <w:bCs/>
          <w:color w:val="auto"/>
          <w:sz w:val="24"/>
          <w:highlight w:val="none"/>
          <w:lang w:val="zh-CN"/>
        </w:rPr>
        <w:t>文明施工技术措施</w:t>
      </w:r>
      <w:r>
        <w:rPr>
          <w:rFonts w:hint="eastAsia" w:ascii="宋体"/>
          <w:color w:val="auto"/>
          <w:sz w:val="24"/>
          <w:highlight w:val="none"/>
        </w:rPr>
        <w:t>；</w:t>
      </w:r>
    </w:p>
    <w:p w14:paraId="28E61D5C">
      <w:pPr>
        <w:tabs>
          <w:tab w:val="left" w:pos="770"/>
        </w:tabs>
        <w:spacing w:line="360" w:lineRule="auto"/>
        <w:ind w:firstLine="480" w:firstLineChars="200"/>
        <w:contextualSpacing/>
        <w:rPr>
          <w:rFonts w:ascii="宋体"/>
          <w:color w:val="auto"/>
          <w:sz w:val="24"/>
          <w:highlight w:val="none"/>
        </w:rPr>
      </w:pPr>
      <w:r>
        <w:rPr>
          <w:rFonts w:hint="eastAsia" w:ascii="宋体"/>
          <w:color w:val="auto"/>
          <w:sz w:val="24"/>
          <w:highlight w:val="none"/>
        </w:rPr>
        <w:t>（12）</w:t>
      </w:r>
      <w:r>
        <w:rPr>
          <w:rFonts w:hint="eastAsia" w:ascii="宋体" w:hAnsi="宋体" w:cs="宋体"/>
          <w:bCs/>
          <w:color w:val="auto"/>
          <w:sz w:val="24"/>
          <w:highlight w:val="none"/>
          <w:lang w:val="zh-CN"/>
        </w:rPr>
        <w:t>水土保持和环境保护措施</w:t>
      </w:r>
      <w:r>
        <w:rPr>
          <w:rFonts w:hint="eastAsia" w:ascii="宋体"/>
          <w:color w:val="auto"/>
          <w:sz w:val="24"/>
          <w:highlight w:val="none"/>
        </w:rPr>
        <w:t>；</w:t>
      </w:r>
    </w:p>
    <w:p w14:paraId="5F69A683">
      <w:pPr>
        <w:tabs>
          <w:tab w:val="left" w:pos="770"/>
        </w:tabs>
        <w:spacing w:line="360" w:lineRule="auto"/>
        <w:ind w:firstLine="480" w:firstLineChars="200"/>
        <w:contextualSpacing/>
        <w:rPr>
          <w:rFonts w:ascii="宋体"/>
          <w:color w:val="auto"/>
          <w:sz w:val="24"/>
          <w:highlight w:val="none"/>
        </w:rPr>
      </w:pPr>
      <w:r>
        <w:rPr>
          <w:rFonts w:hint="eastAsia" w:ascii="宋体"/>
          <w:color w:val="auto"/>
          <w:sz w:val="24"/>
          <w:highlight w:val="none"/>
        </w:rPr>
        <w:t>（13）</w:t>
      </w:r>
      <w:r>
        <w:rPr>
          <w:rFonts w:hint="eastAsia" w:ascii="宋体" w:hAnsi="宋体" w:cs="宋体"/>
          <w:bCs/>
          <w:color w:val="auto"/>
          <w:sz w:val="24"/>
          <w:highlight w:val="none"/>
          <w:lang w:val="zh-CN"/>
        </w:rPr>
        <w:t>保修承诺、保修措施及优惠条件</w:t>
      </w:r>
      <w:r>
        <w:rPr>
          <w:rFonts w:hint="eastAsia" w:ascii="宋体"/>
          <w:color w:val="auto"/>
          <w:sz w:val="24"/>
          <w:highlight w:val="none"/>
        </w:rPr>
        <w:t>。</w:t>
      </w:r>
    </w:p>
    <w:p w14:paraId="1094C0DB">
      <w:pPr>
        <w:tabs>
          <w:tab w:val="left" w:pos="770"/>
        </w:tabs>
        <w:spacing w:line="360" w:lineRule="auto"/>
        <w:ind w:firstLine="720" w:firstLineChars="300"/>
        <w:contextualSpacing/>
        <w:rPr>
          <w:rFonts w:ascii="宋体"/>
          <w:color w:val="auto"/>
          <w:sz w:val="24"/>
          <w:highlight w:val="none"/>
        </w:rPr>
      </w:pPr>
      <w:r>
        <w:rPr>
          <w:rFonts w:hint="eastAsia" w:ascii="宋体"/>
          <w:color w:val="auto"/>
          <w:sz w:val="24"/>
          <w:highlight w:val="none"/>
        </w:rPr>
        <w:t>附表一：拟投入本标段的主要施工设备表</w:t>
      </w:r>
    </w:p>
    <w:p w14:paraId="2897F70D">
      <w:pPr>
        <w:tabs>
          <w:tab w:val="left" w:pos="770"/>
        </w:tabs>
        <w:spacing w:line="360" w:lineRule="auto"/>
        <w:ind w:firstLine="720" w:firstLineChars="300"/>
        <w:contextualSpacing/>
        <w:rPr>
          <w:rFonts w:ascii="宋体"/>
          <w:color w:val="auto"/>
          <w:sz w:val="24"/>
          <w:highlight w:val="none"/>
        </w:rPr>
      </w:pPr>
      <w:r>
        <w:rPr>
          <w:rFonts w:hint="eastAsia" w:ascii="宋体"/>
          <w:color w:val="auto"/>
          <w:sz w:val="24"/>
          <w:highlight w:val="none"/>
        </w:rPr>
        <w:t>附表二：拟投入本标段的试验和检测仪器设备表</w:t>
      </w:r>
    </w:p>
    <w:p w14:paraId="20E11522">
      <w:pPr>
        <w:tabs>
          <w:tab w:val="left" w:pos="1530"/>
        </w:tabs>
        <w:spacing w:line="360" w:lineRule="auto"/>
        <w:ind w:firstLine="720" w:firstLineChars="300"/>
        <w:contextualSpacing/>
        <w:rPr>
          <w:rFonts w:ascii="宋体"/>
          <w:color w:val="auto"/>
          <w:sz w:val="24"/>
          <w:highlight w:val="none"/>
        </w:rPr>
      </w:pPr>
      <w:r>
        <w:rPr>
          <w:rFonts w:hint="eastAsia" w:ascii="宋体"/>
          <w:color w:val="auto"/>
          <w:sz w:val="24"/>
          <w:highlight w:val="none"/>
        </w:rPr>
        <w:t>附表三：拟投入本标段的劳动力计划表</w:t>
      </w:r>
    </w:p>
    <w:p w14:paraId="48284A9B">
      <w:pPr>
        <w:tabs>
          <w:tab w:val="left" w:pos="1530"/>
        </w:tabs>
        <w:spacing w:line="360" w:lineRule="auto"/>
        <w:ind w:firstLine="720" w:firstLineChars="300"/>
        <w:contextualSpacing/>
        <w:rPr>
          <w:rFonts w:ascii="宋体"/>
          <w:color w:val="auto"/>
          <w:sz w:val="24"/>
          <w:highlight w:val="none"/>
        </w:rPr>
      </w:pPr>
      <w:r>
        <w:rPr>
          <w:rFonts w:hint="eastAsia" w:ascii="宋体"/>
          <w:color w:val="auto"/>
          <w:sz w:val="24"/>
          <w:highlight w:val="none"/>
        </w:rPr>
        <w:t>附图一：计划开工日期、完工日期和施工进度计划横道图</w:t>
      </w:r>
    </w:p>
    <w:p w14:paraId="29EAEA25">
      <w:pPr>
        <w:tabs>
          <w:tab w:val="left" w:pos="1530"/>
        </w:tabs>
        <w:spacing w:line="360" w:lineRule="auto"/>
        <w:ind w:firstLine="720" w:firstLineChars="300"/>
        <w:contextualSpacing/>
        <w:rPr>
          <w:rFonts w:ascii="宋体"/>
          <w:color w:val="auto"/>
          <w:sz w:val="24"/>
          <w:highlight w:val="none"/>
        </w:rPr>
      </w:pPr>
      <w:r>
        <w:rPr>
          <w:rFonts w:hint="eastAsia" w:ascii="宋体"/>
          <w:color w:val="auto"/>
          <w:sz w:val="24"/>
          <w:highlight w:val="none"/>
        </w:rPr>
        <w:t>附图二：施工总平面图</w:t>
      </w:r>
    </w:p>
    <w:p w14:paraId="443C4179">
      <w:pPr>
        <w:spacing w:line="360" w:lineRule="auto"/>
        <w:ind w:left="2" w:leftChars="-202" w:hanging="426" w:hangingChars="177"/>
        <w:rPr>
          <w:rFonts w:ascii="宋体" w:hAnsi="宋体" w:cs="宋体"/>
          <w:b/>
          <w:bCs/>
          <w:color w:val="auto"/>
          <w:sz w:val="24"/>
          <w:highlight w:val="none"/>
        </w:rPr>
      </w:pPr>
      <w:r>
        <w:rPr>
          <w:rFonts w:hint="eastAsia" w:ascii="宋体" w:hAnsi="宋体" w:cs="宋体"/>
          <w:b/>
          <w:bCs/>
          <w:color w:val="auto"/>
          <w:sz w:val="24"/>
          <w:highlight w:val="none"/>
        </w:rPr>
        <w:t>3、投标报价</w:t>
      </w:r>
      <w:bookmarkEnd w:id="74"/>
      <w:bookmarkEnd w:id="75"/>
      <w:bookmarkEnd w:id="76"/>
      <w:bookmarkEnd w:id="77"/>
    </w:p>
    <w:p w14:paraId="7709FD27">
      <w:pPr>
        <w:pStyle w:val="46"/>
        <w:spacing w:before="0" w:after="0" w:line="360" w:lineRule="auto"/>
        <w:jc w:val="left"/>
        <w:outlineLvl w:val="9"/>
        <w:rPr>
          <w:rFonts w:ascii="宋体" w:hAnsi="宋体" w:cs="宋体"/>
          <w:b w:val="0"/>
          <w:bCs w:val="0"/>
          <w:color w:val="auto"/>
          <w:kern w:val="2"/>
          <w:sz w:val="24"/>
          <w:szCs w:val="24"/>
          <w:highlight w:val="none"/>
        </w:rPr>
      </w:pPr>
      <w:bookmarkStart w:id="78" w:name="_Toc445473487"/>
      <w:bookmarkStart w:id="79" w:name="_Toc504479197"/>
      <w:bookmarkStart w:id="80" w:name="_Toc504479648"/>
      <w:bookmarkStart w:id="81" w:name="_Toc25958"/>
      <w:bookmarkStart w:id="82" w:name="_Toc504654684"/>
      <w:r>
        <w:rPr>
          <w:rFonts w:hint="eastAsia" w:ascii="宋体" w:hAnsi="宋体" w:cs="宋体"/>
          <w:b w:val="0"/>
          <w:bCs w:val="0"/>
          <w:color w:val="auto"/>
          <w:kern w:val="2"/>
          <w:sz w:val="24"/>
          <w:szCs w:val="24"/>
          <w:highlight w:val="none"/>
        </w:rPr>
        <w:t>3.1投标报价根据本次发包项目的范围、答疑纪要、</w:t>
      </w:r>
      <w:r>
        <w:rPr>
          <w:rFonts w:hint="eastAsia" w:ascii="宋体" w:hAnsi="宋体" w:cs="宋体"/>
          <w:b w:val="0"/>
          <w:bCs w:val="0"/>
          <w:color w:val="auto"/>
          <w:kern w:val="2"/>
          <w:sz w:val="24"/>
          <w:szCs w:val="24"/>
          <w:highlight w:val="none"/>
          <w:lang w:eastAsia="zh-CN"/>
        </w:rPr>
        <w:t>磋商文件</w:t>
      </w:r>
      <w:r>
        <w:rPr>
          <w:rFonts w:hint="eastAsia" w:ascii="宋体" w:hAnsi="宋体" w:cs="宋体"/>
          <w:b w:val="0"/>
          <w:bCs w:val="0"/>
          <w:color w:val="auto"/>
          <w:kern w:val="2"/>
          <w:sz w:val="24"/>
          <w:szCs w:val="24"/>
          <w:highlight w:val="none"/>
        </w:rPr>
        <w:t>的要求，</w:t>
      </w:r>
      <w:r>
        <w:rPr>
          <w:rFonts w:hint="eastAsia" w:ascii="宋体" w:hAnsi="宋体" w:cs="宋体"/>
          <w:b w:val="0"/>
          <w:bCs w:val="0"/>
          <w:color w:val="auto"/>
          <w:kern w:val="2"/>
          <w:sz w:val="24"/>
          <w:szCs w:val="24"/>
          <w:highlight w:val="none"/>
          <w:lang w:eastAsia="zh-CN"/>
        </w:rPr>
        <w:t>供应商</w:t>
      </w:r>
      <w:r>
        <w:rPr>
          <w:rFonts w:hint="eastAsia" w:ascii="宋体" w:hAnsi="宋体" w:cs="宋体"/>
          <w:b w:val="0"/>
          <w:bCs w:val="0"/>
          <w:color w:val="auto"/>
          <w:kern w:val="2"/>
          <w:sz w:val="24"/>
          <w:szCs w:val="24"/>
          <w:highlight w:val="none"/>
        </w:rPr>
        <w:t>根据现场情况并应结合企业情况自主报价进行编制。</w:t>
      </w:r>
      <w:bookmarkEnd w:id="78"/>
      <w:bookmarkEnd w:id="79"/>
      <w:bookmarkEnd w:id="80"/>
      <w:bookmarkEnd w:id="81"/>
      <w:bookmarkEnd w:id="82"/>
    </w:p>
    <w:p w14:paraId="7CECBE0B">
      <w:pPr>
        <w:pStyle w:val="46"/>
        <w:spacing w:before="0" w:after="0" w:line="360" w:lineRule="auto"/>
        <w:jc w:val="left"/>
        <w:outlineLvl w:val="9"/>
        <w:rPr>
          <w:rFonts w:ascii="宋体" w:hAnsi="宋体" w:cs="宋体"/>
          <w:b w:val="0"/>
          <w:bCs w:val="0"/>
          <w:color w:val="auto"/>
          <w:kern w:val="2"/>
          <w:sz w:val="24"/>
          <w:szCs w:val="24"/>
          <w:highlight w:val="none"/>
        </w:rPr>
      </w:pPr>
      <w:bookmarkStart w:id="83" w:name="_Toc504479198"/>
      <w:bookmarkStart w:id="84" w:name="_Toc504654685"/>
      <w:bookmarkStart w:id="85" w:name="_Toc504479649"/>
      <w:bookmarkStart w:id="86" w:name="_Toc5199"/>
      <w:bookmarkStart w:id="87" w:name="_Toc445473488"/>
      <w:r>
        <w:rPr>
          <w:rFonts w:hint="eastAsia" w:ascii="宋体" w:hAnsi="宋体" w:cs="宋体"/>
          <w:b w:val="0"/>
          <w:bCs w:val="0"/>
          <w:color w:val="auto"/>
          <w:kern w:val="2"/>
          <w:sz w:val="24"/>
          <w:szCs w:val="24"/>
          <w:highlight w:val="none"/>
        </w:rPr>
        <w:t>3.2</w:t>
      </w:r>
      <w:r>
        <w:rPr>
          <w:rFonts w:hint="eastAsia" w:ascii="宋体" w:hAnsi="宋体" w:cs="宋体"/>
          <w:b w:val="0"/>
          <w:bCs w:val="0"/>
          <w:color w:val="auto"/>
          <w:kern w:val="2"/>
          <w:sz w:val="24"/>
          <w:szCs w:val="24"/>
          <w:highlight w:val="none"/>
          <w:lang w:eastAsia="zh-CN"/>
        </w:rPr>
        <w:t>供应商</w:t>
      </w:r>
      <w:r>
        <w:rPr>
          <w:rFonts w:hint="eastAsia" w:ascii="宋体" w:hAnsi="宋体" w:cs="宋体"/>
          <w:b w:val="0"/>
          <w:bCs w:val="0"/>
          <w:color w:val="auto"/>
          <w:kern w:val="2"/>
          <w:sz w:val="24"/>
          <w:szCs w:val="24"/>
          <w:highlight w:val="none"/>
        </w:rPr>
        <w:t>在报价时还应充分考虑项目实施期间包括物价变动在内的各种风险因素。</w:t>
      </w:r>
      <w:bookmarkEnd w:id="83"/>
      <w:bookmarkEnd w:id="84"/>
      <w:bookmarkEnd w:id="85"/>
      <w:bookmarkEnd w:id="86"/>
      <w:bookmarkEnd w:id="87"/>
    </w:p>
    <w:p w14:paraId="183FD163">
      <w:pPr>
        <w:pStyle w:val="46"/>
        <w:spacing w:before="0" w:after="0" w:line="360" w:lineRule="auto"/>
        <w:jc w:val="left"/>
        <w:outlineLvl w:val="9"/>
        <w:rPr>
          <w:rFonts w:ascii="宋体" w:hAnsi="宋体" w:cs="宋体"/>
          <w:b w:val="0"/>
          <w:bCs w:val="0"/>
          <w:color w:val="auto"/>
          <w:kern w:val="2"/>
          <w:sz w:val="24"/>
          <w:szCs w:val="24"/>
          <w:highlight w:val="none"/>
        </w:rPr>
      </w:pPr>
      <w:bookmarkStart w:id="88" w:name="_Toc504479199"/>
      <w:bookmarkStart w:id="89" w:name="_Toc504479650"/>
      <w:bookmarkStart w:id="90" w:name="_Toc445473489"/>
      <w:bookmarkStart w:id="91" w:name="_Toc504654686"/>
      <w:bookmarkStart w:id="92" w:name="_Toc30627"/>
      <w:r>
        <w:rPr>
          <w:rFonts w:hint="eastAsia" w:ascii="宋体" w:hAnsi="宋体" w:cs="宋体"/>
          <w:b w:val="0"/>
          <w:bCs w:val="0"/>
          <w:color w:val="auto"/>
          <w:kern w:val="2"/>
          <w:sz w:val="24"/>
          <w:szCs w:val="24"/>
          <w:highlight w:val="none"/>
        </w:rPr>
        <w:t>3.3投标报价为本项目全部费用，本项目中投标队伍的工作和生活等费用，以及在工作过程中因投标队伍需要第三方配合而产生的相关费用，由</w:t>
      </w:r>
      <w:r>
        <w:rPr>
          <w:rFonts w:hint="eastAsia" w:ascii="宋体" w:hAnsi="宋体" w:cs="宋体"/>
          <w:b w:val="0"/>
          <w:bCs w:val="0"/>
          <w:color w:val="auto"/>
          <w:kern w:val="2"/>
          <w:sz w:val="24"/>
          <w:szCs w:val="24"/>
          <w:highlight w:val="none"/>
          <w:lang w:eastAsia="zh-CN"/>
        </w:rPr>
        <w:t>供应商</w:t>
      </w:r>
      <w:r>
        <w:rPr>
          <w:rFonts w:hint="eastAsia" w:ascii="宋体" w:hAnsi="宋体" w:cs="宋体"/>
          <w:b w:val="0"/>
          <w:bCs w:val="0"/>
          <w:color w:val="auto"/>
          <w:kern w:val="2"/>
          <w:sz w:val="24"/>
          <w:szCs w:val="24"/>
          <w:highlight w:val="none"/>
        </w:rPr>
        <w:t>自行解决。</w:t>
      </w:r>
      <w:bookmarkEnd w:id="88"/>
      <w:bookmarkEnd w:id="89"/>
      <w:bookmarkEnd w:id="90"/>
      <w:bookmarkEnd w:id="91"/>
      <w:bookmarkEnd w:id="92"/>
    </w:p>
    <w:p w14:paraId="0D646E8D">
      <w:pPr>
        <w:pStyle w:val="46"/>
        <w:spacing w:before="0" w:after="0" w:line="360" w:lineRule="auto"/>
        <w:jc w:val="left"/>
        <w:outlineLvl w:val="9"/>
        <w:rPr>
          <w:rFonts w:ascii="宋体" w:hAnsi="宋体" w:cs="宋体"/>
          <w:b w:val="0"/>
          <w:bCs w:val="0"/>
          <w:color w:val="auto"/>
          <w:kern w:val="2"/>
          <w:sz w:val="24"/>
          <w:szCs w:val="24"/>
          <w:highlight w:val="none"/>
        </w:rPr>
      </w:pPr>
      <w:bookmarkStart w:id="93" w:name="_Toc435021075"/>
      <w:bookmarkStart w:id="94" w:name="_Toc429224645"/>
      <w:bookmarkStart w:id="95" w:name="_Toc445473490"/>
      <w:bookmarkStart w:id="96" w:name="_Toc504654687"/>
      <w:bookmarkStart w:id="97" w:name="_Toc504479200"/>
      <w:bookmarkStart w:id="98" w:name="_Toc7019"/>
      <w:bookmarkStart w:id="99" w:name="_Toc504479651"/>
      <w:r>
        <w:rPr>
          <w:rFonts w:hint="eastAsia" w:ascii="宋体" w:hAnsi="宋体" w:cs="宋体"/>
          <w:b w:val="0"/>
          <w:bCs w:val="0"/>
          <w:color w:val="auto"/>
          <w:kern w:val="2"/>
          <w:sz w:val="24"/>
          <w:szCs w:val="24"/>
          <w:highlight w:val="none"/>
        </w:rPr>
        <w:t>3.4投标和支付所使用的货币：</w:t>
      </w:r>
      <w:bookmarkEnd w:id="93"/>
      <w:bookmarkEnd w:id="94"/>
      <w:r>
        <w:rPr>
          <w:rFonts w:hint="eastAsia" w:ascii="宋体" w:hAnsi="宋体" w:cs="宋体"/>
          <w:b w:val="0"/>
          <w:bCs w:val="0"/>
          <w:color w:val="auto"/>
          <w:kern w:val="2"/>
          <w:sz w:val="24"/>
          <w:szCs w:val="24"/>
          <w:highlight w:val="none"/>
          <w:lang w:eastAsia="zh-CN"/>
        </w:rPr>
        <w:t>供应商</w:t>
      </w:r>
      <w:r>
        <w:rPr>
          <w:rFonts w:hint="eastAsia" w:ascii="宋体" w:hAnsi="宋体" w:cs="宋体"/>
          <w:b w:val="0"/>
          <w:bCs w:val="0"/>
          <w:color w:val="auto"/>
          <w:kern w:val="2"/>
          <w:sz w:val="24"/>
          <w:szCs w:val="24"/>
          <w:highlight w:val="none"/>
        </w:rPr>
        <w:t>填报的投标报价均以人民币为计价依据，合同实施时亦以人民币支付。</w:t>
      </w:r>
      <w:bookmarkEnd w:id="95"/>
      <w:bookmarkEnd w:id="96"/>
      <w:bookmarkEnd w:id="97"/>
      <w:bookmarkEnd w:id="98"/>
      <w:bookmarkEnd w:id="99"/>
    </w:p>
    <w:p w14:paraId="56BC3CB2">
      <w:pPr>
        <w:pStyle w:val="46"/>
        <w:spacing w:before="0" w:after="0" w:line="360" w:lineRule="auto"/>
        <w:ind w:left="2" w:leftChars="-202" w:hanging="426" w:hangingChars="177"/>
        <w:jc w:val="left"/>
        <w:outlineLvl w:val="9"/>
        <w:rPr>
          <w:rFonts w:ascii="宋体" w:hAnsi="宋体" w:cs="宋体"/>
          <w:color w:val="auto"/>
          <w:kern w:val="2"/>
          <w:sz w:val="24"/>
          <w:szCs w:val="24"/>
          <w:highlight w:val="none"/>
        </w:rPr>
      </w:pPr>
      <w:bookmarkStart w:id="100" w:name="_Toc504479652"/>
      <w:bookmarkStart w:id="101" w:name="_Toc11513"/>
      <w:bookmarkStart w:id="102" w:name="_Toc504654688"/>
      <w:bookmarkStart w:id="103" w:name="_Toc504479201"/>
      <w:r>
        <w:rPr>
          <w:rFonts w:hint="eastAsia" w:ascii="宋体" w:hAnsi="宋体" w:cs="宋体"/>
          <w:color w:val="auto"/>
          <w:kern w:val="2"/>
          <w:sz w:val="24"/>
          <w:szCs w:val="24"/>
          <w:highlight w:val="none"/>
        </w:rPr>
        <w:t>4、</w:t>
      </w:r>
      <w:r>
        <w:rPr>
          <w:rFonts w:hint="eastAsia" w:ascii="宋体" w:hAnsi="宋体" w:cs="宋体"/>
          <w:color w:val="auto"/>
          <w:kern w:val="2"/>
          <w:sz w:val="24"/>
          <w:szCs w:val="24"/>
          <w:highlight w:val="none"/>
          <w:lang w:eastAsia="zh-CN"/>
        </w:rPr>
        <w:t>响应文件</w:t>
      </w:r>
      <w:r>
        <w:rPr>
          <w:rFonts w:hint="eastAsia" w:ascii="宋体" w:hAnsi="宋体" w:cs="宋体"/>
          <w:color w:val="auto"/>
          <w:kern w:val="2"/>
          <w:sz w:val="24"/>
          <w:szCs w:val="24"/>
          <w:highlight w:val="none"/>
        </w:rPr>
        <w:t>的递交</w:t>
      </w:r>
      <w:bookmarkEnd w:id="100"/>
      <w:bookmarkEnd w:id="101"/>
      <w:bookmarkEnd w:id="102"/>
      <w:bookmarkEnd w:id="103"/>
    </w:p>
    <w:p w14:paraId="0F2C886F">
      <w:pPr>
        <w:pStyle w:val="46"/>
        <w:spacing w:before="0" w:after="0" w:line="360" w:lineRule="auto"/>
        <w:jc w:val="left"/>
        <w:outlineLvl w:val="9"/>
        <w:rPr>
          <w:rFonts w:ascii="宋体" w:hAnsi="宋体" w:cs="宋体"/>
          <w:b w:val="0"/>
          <w:bCs w:val="0"/>
          <w:color w:val="auto"/>
          <w:kern w:val="2"/>
          <w:sz w:val="24"/>
          <w:szCs w:val="24"/>
          <w:highlight w:val="none"/>
        </w:rPr>
      </w:pPr>
      <w:bookmarkStart w:id="104" w:name="_Toc504654689"/>
      <w:bookmarkStart w:id="105" w:name="_Toc504479653"/>
      <w:bookmarkStart w:id="106" w:name="_Toc3856"/>
      <w:bookmarkStart w:id="107" w:name="_Toc504479202"/>
      <w:r>
        <w:rPr>
          <w:rFonts w:hint="eastAsia" w:ascii="宋体" w:hAnsi="宋体" w:cs="宋体"/>
          <w:b w:val="0"/>
          <w:bCs w:val="0"/>
          <w:color w:val="auto"/>
          <w:kern w:val="2"/>
          <w:sz w:val="24"/>
          <w:szCs w:val="24"/>
          <w:highlight w:val="none"/>
        </w:rPr>
        <w:t>4.1</w:t>
      </w:r>
      <w:r>
        <w:rPr>
          <w:rFonts w:hint="eastAsia" w:ascii="宋体" w:hAnsi="宋体" w:cs="宋体"/>
          <w:b w:val="0"/>
          <w:bCs w:val="0"/>
          <w:color w:val="auto"/>
          <w:kern w:val="2"/>
          <w:sz w:val="24"/>
          <w:szCs w:val="24"/>
          <w:highlight w:val="none"/>
          <w:lang w:eastAsia="zh-CN"/>
        </w:rPr>
        <w:t>响应文件</w:t>
      </w:r>
      <w:r>
        <w:rPr>
          <w:rFonts w:hint="eastAsia" w:ascii="宋体" w:hAnsi="宋体" w:cs="宋体"/>
          <w:b w:val="0"/>
          <w:bCs w:val="0"/>
          <w:color w:val="auto"/>
          <w:kern w:val="2"/>
          <w:sz w:val="24"/>
          <w:szCs w:val="24"/>
          <w:highlight w:val="none"/>
        </w:rPr>
        <w:t>的密封与标志</w:t>
      </w:r>
      <w:bookmarkEnd w:id="104"/>
      <w:bookmarkEnd w:id="105"/>
      <w:bookmarkEnd w:id="106"/>
      <w:bookmarkEnd w:id="107"/>
    </w:p>
    <w:p w14:paraId="147E41E7">
      <w:pPr>
        <w:pStyle w:val="46"/>
        <w:spacing w:before="0" w:after="0" w:line="360" w:lineRule="auto"/>
        <w:jc w:val="left"/>
        <w:outlineLvl w:val="9"/>
        <w:rPr>
          <w:rFonts w:ascii="宋体" w:hAnsi="宋体" w:cs="宋体"/>
          <w:b w:val="0"/>
          <w:bCs w:val="0"/>
          <w:color w:val="auto"/>
          <w:kern w:val="2"/>
          <w:sz w:val="24"/>
          <w:szCs w:val="24"/>
          <w:highlight w:val="none"/>
        </w:rPr>
      </w:pPr>
      <w:bookmarkStart w:id="108" w:name="_Toc504479654"/>
      <w:bookmarkStart w:id="109" w:name="_Toc504654690"/>
      <w:bookmarkStart w:id="110" w:name="_Toc15414"/>
      <w:bookmarkStart w:id="111" w:name="_Toc504479203"/>
      <w:r>
        <w:rPr>
          <w:rFonts w:hint="eastAsia" w:ascii="宋体" w:hAnsi="宋体" w:cs="宋体"/>
          <w:b w:val="0"/>
          <w:bCs w:val="0"/>
          <w:color w:val="auto"/>
          <w:kern w:val="2"/>
          <w:sz w:val="24"/>
          <w:szCs w:val="24"/>
          <w:highlight w:val="none"/>
        </w:rPr>
        <w:t>4.1.1</w:t>
      </w:r>
      <w:bookmarkEnd w:id="108"/>
      <w:bookmarkEnd w:id="109"/>
      <w:bookmarkEnd w:id="110"/>
      <w:bookmarkEnd w:id="111"/>
      <w:bookmarkStart w:id="112" w:name="_Toc504479205"/>
      <w:bookmarkStart w:id="113" w:name="_Toc504479656"/>
      <w:r>
        <w:rPr>
          <w:rFonts w:hint="eastAsia" w:ascii="宋体" w:hAnsi="宋体" w:cs="宋体"/>
          <w:b w:val="0"/>
          <w:bCs w:val="0"/>
          <w:color w:val="auto"/>
          <w:kern w:val="2"/>
          <w:sz w:val="24"/>
          <w:szCs w:val="24"/>
          <w:highlight w:val="none"/>
        </w:rPr>
        <w:t>在响应文件提交截止时间前通过有效数字证书（CA认证锁）进行电子签章、加密，然后通过网络将加密的电子响应文件递交至“政采云”平台，逾期不予受理。</w:t>
      </w:r>
    </w:p>
    <w:p w14:paraId="5012D0F5">
      <w:pPr>
        <w:pStyle w:val="46"/>
        <w:spacing w:before="0" w:after="0" w:line="360" w:lineRule="auto"/>
        <w:jc w:val="left"/>
        <w:outlineLvl w:val="9"/>
        <w:rPr>
          <w:rFonts w:ascii="宋体" w:hAnsi="宋体" w:cs="宋体"/>
          <w:b w:val="0"/>
          <w:bCs w:val="0"/>
          <w:color w:val="auto"/>
          <w:sz w:val="24"/>
          <w:highlight w:val="none"/>
          <w:lang w:val="zh-CN"/>
        </w:rPr>
      </w:pPr>
      <w:bookmarkStart w:id="114" w:name="_Toc13175"/>
      <w:bookmarkStart w:id="115" w:name="_Toc504654691"/>
      <w:r>
        <w:rPr>
          <w:rFonts w:hint="eastAsia" w:ascii="宋体" w:hAnsi="宋体" w:cs="宋体"/>
          <w:b w:val="0"/>
          <w:bCs w:val="0"/>
          <w:color w:val="auto"/>
          <w:kern w:val="2"/>
          <w:sz w:val="24"/>
          <w:szCs w:val="24"/>
          <w:highlight w:val="none"/>
        </w:rPr>
        <w:t>4.1.2</w:t>
      </w:r>
      <w:bookmarkEnd w:id="112"/>
      <w:bookmarkEnd w:id="113"/>
      <w:bookmarkEnd w:id="114"/>
      <w:bookmarkEnd w:id="115"/>
      <w:bookmarkStart w:id="116" w:name="_Toc504654692"/>
      <w:bookmarkStart w:id="117" w:name="_Toc504479657"/>
      <w:bookmarkStart w:id="118" w:name="_Toc504479206"/>
      <w:r>
        <w:rPr>
          <w:rFonts w:hint="eastAsia" w:ascii="宋体" w:hAnsi="宋体" w:cs="宋体"/>
          <w:b w:val="0"/>
          <w:bCs w:val="0"/>
          <w:color w:val="auto"/>
          <w:sz w:val="24"/>
          <w:highlight w:val="none"/>
          <w:lang w:val="zh-CN"/>
        </w:rPr>
        <w:t>如果用数字表示的数额与文字表示的数额不一致时，以文字表示的数额为准。</w:t>
      </w:r>
      <w:bookmarkEnd w:id="116"/>
      <w:bookmarkEnd w:id="117"/>
      <w:bookmarkEnd w:id="118"/>
    </w:p>
    <w:p w14:paraId="38D30F3B">
      <w:pPr>
        <w:autoSpaceDE w:val="0"/>
        <w:autoSpaceDN w:val="0"/>
        <w:adjustRightInd w:val="0"/>
        <w:spacing w:line="360" w:lineRule="auto"/>
        <w:jc w:val="left"/>
        <w:rPr>
          <w:rFonts w:ascii="宋体" w:hAnsi="宋体" w:cs="宋体"/>
          <w:bCs/>
          <w:color w:val="auto"/>
          <w:sz w:val="24"/>
          <w:highlight w:val="none"/>
          <w:lang w:val="zh-CN"/>
        </w:rPr>
      </w:pPr>
      <w:bookmarkStart w:id="119" w:name="_Toc504654693"/>
      <w:bookmarkStart w:id="120" w:name="_Toc504479658"/>
      <w:bookmarkStart w:id="121" w:name="_Toc504479207"/>
      <w:r>
        <w:rPr>
          <w:rFonts w:hint="eastAsia" w:ascii="宋体" w:hAnsi="宋体" w:cs="宋体"/>
          <w:bCs/>
          <w:color w:val="auto"/>
          <w:sz w:val="24"/>
          <w:highlight w:val="none"/>
          <w:lang w:val="zh-CN"/>
        </w:rPr>
        <w:t>4.1.</w:t>
      </w:r>
      <w:r>
        <w:rPr>
          <w:rFonts w:hint="eastAsia" w:ascii="宋体" w:hAnsi="宋体" w:cs="宋体"/>
          <w:bCs/>
          <w:color w:val="auto"/>
          <w:sz w:val="24"/>
          <w:highlight w:val="none"/>
          <w:lang w:val="en-US" w:eastAsia="zh-CN"/>
        </w:rPr>
        <w:t>3</w:t>
      </w:r>
      <w:r>
        <w:rPr>
          <w:rFonts w:hint="eastAsia" w:ascii="宋体" w:hAnsi="宋体" w:cs="宋体"/>
          <w:bCs/>
          <w:color w:val="auto"/>
          <w:sz w:val="24"/>
          <w:highlight w:val="none"/>
          <w:lang w:val="zh-CN"/>
        </w:rPr>
        <w:t xml:space="preserve"> 全套响应文件应无涂改和行间插字，如有修改须在修改处加盖供应商的企业印章、企业法定代表人或被委托人签字。</w:t>
      </w:r>
      <w:bookmarkEnd w:id="119"/>
      <w:bookmarkEnd w:id="120"/>
      <w:bookmarkEnd w:id="121"/>
      <w:bookmarkStart w:id="122" w:name="_Toc504654694"/>
      <w:bookmarkStart w:id="123" w:name="_Toc504479208"/>
      <w:bookmarkStart w:id="124" w:name="_Toc504479659"/>
    </w:p>
    <w:bookmarkEnd w:id="122"/>
    <w:bookmarkEnd w:id="123"/>
    <w:bookmarkEnd w:id="124"/>
    <w:p w14:paraId="3F754F64">
      <w:pPr>
        <w:autoSpaceDE w:val="0"/>
        <w:autoSpaceDN w:val="0"/>
        <w:adjustRightInd w:val="0"/>
        <w:spacing w:line="360" w:lineRule="auto"/>
        <w:ind w:leftChars="-40" w:hanging="84" w:hangingChars="35"/>
        <w:jc w:val="left"/>
        <w:rPr>
          <w:rFonts w:ascii="宋体" w:hAnsi="宋体" w:cs="宋体"/>
          <w:bCs/>
          <w:color w:val="auto"/>
          <w:sz w:val="24"/>
          <w:highlight w:val="none"/>
          <w:lang w:val="zh-CN"/>
        </w:rPr>
      </w:pPr>
      <w:bookmarkStart w:id="125" w:name="_Toc504654695"/>
      <w:bookmarkStart w:id="126" w:name="_Toc504479209"/>
      <w:bookmarkStart w:id="127" w:name="_Toc504479660"/>
      <w:r>
        <w:rPr>
          <w:rFonts w:hint="eastAsia" w:ascii="宋体" w:hAnsi="宋体" w:cs="宋体"/>
          <w:bCs/>
          <w:color w:val="auto"/>
          <w:sz w:val="24"/>
          <w:highlight w:val="none"/>
          <w:lang w:val="zh-CN"/>
        </w:rPr>
        <w:t>4.2 响应文件的递交</w:t>
      </w:r>
      <w:bookmarkEnd w:id="125"/>
      <w:bookmarkEnd w:id="126"/>
      <w:bookmarkEnd w:id="127"/>
    </w:p>
    <w:p w14:paraId="0EA9D061">
      <w:pPr>
        <w:autoSpaceDE w:val="0"/>
        <w:autoSpaceDN w:val="0"/>
        <w:adjustRightInd w:val="0"/>
        <w:spacing w:line="360" w:lineRule="auto"/>
        <w:ind w:leftChars="-40" w:hanging="84" w:hangingChars="35"/>
        <w:jc w:val="left"/>
        <w:rPr>
          <w:rFonts w:ascii="宋体" w:hAnsi="宋体" w:cs="宋体"/>
          <w:bCs/>
          <w:color w:val="auto"/>
          <w:sz w:val="24"/>
          <w:highlight w:val="none"/>
          <w:lang w:val="zh-CN"/>
        </w:rPr>
      </w:pPr>
      <w:bookmarkStart w:id="128" w:name="_Toc504479210"/>
      <w:bookmarkStart w:id="129" w:name="_Toc504654696"/>
      <w:bookmarkStart w:id="130" w:name="_Toc504479661"/>
      <w:r>
        <w:rPr>
          <w:rFonts w:hint="eastAsia" w:ascii="宋体" w:hAnsi="宋体" w:cs="宋体"/>
          <w:bCs/>
          <w:color w:val="auto"/>
          <w:sz w:val="24"/>
          <w:highlight w:val="none"/>
          <w:lang w:val="zh-CN"/>
        </w:rPr>
        <w:t>4.2.1 供应商应在前附表所规定的响应文件递交截止时间之前将</w:t>
      </w:r>
      <w:r>
        <w:rPr>
          <w:rFonts w:hint="eastAsia" w:ascii="宋体" w:hAnsi="宋体" w:cs="宋体"/>
          <w:bCs/>
          <w:color w:val="auto"/>
          <w:sz w:val="24"/>
          <w:highlight w:val="none"/>
          <w:lang w:val="en-US" w:eastAsia="zh-CN"/>
        </w:rPr>
        <w:t>提交</w:t>
      </w:r>
      <w:r>
        <w:rPr>
          <w:rFonts w:hint="eastAsia" w:ascii="宋体" w:hAnsi="宋体" w:cs="宋体"/>
          <w:bCs/>
          <w:color w:val="auto"/>
          <w:sz w:val="24"/>
          <w:highlight w:val="none"/>
          <w:lang w:val="zh-CN"/>
        </w:rPr>
        <w:t>响应文件。</w:t>
      </w:r>
      <w:bookmarkEnd w:id="128"/>
      <w:bookmarkEnd w:id="129"/>
      <w:bookmarkEnd w:id="130"/>
    </w:p>
    <w:p w14:paraId="33F28881">
      <w:pPr>
        <w:autoSpaceDE w:val="0"/>
        <w:autoSpaceDN w:val="0"/>
        <w:adjustRightInd w:val="0"/>
        <w:spacing w:line="360" w:lineRule="auto"/>
        <w:ind w:leftChars="-40" w:hanging="84" w:hangingChars="35"/>
        <w:jc w:val="left"/>
        <w:rPr>
          <w:rFonts w:ascii="宋体" w:hAnsi="宋体" w:cs="宋体"/>
          <w:bCs/>
          <w:color w:val="auto"/>
          <w:sz w:val="24"/>
          <w:highlight w:val="none"/>
          <w:lang w:val="zh-CN"/>
        </w:rPr>
      </w:pPr>
      <w:bookmarkStart w:id="131" w:name="_Toc504479662"/>
      <w:bookmarkStart w:id="132" w:name="_Toc504479211"/>
      <w:bookmarkStart w:id="133" w:name="_Toc504654697"/>
      <w:r>
        <w:rPr>
          <w:rFonts w:hint="eastAsia" w:ascii="宋体" w:hAnsi="宋体" w:cs="宋体"/>
          <w:bCs/>
          <w:color w:val="auto"/>
          <w:sz w:val="24"/>
          <w:highlight w:val="none"/>
          <w:lang w:val="zh-CN"/>
        </w:rPr>
        <w:t>4.2.2 在响应文件递交截止时间以后</w:t>
      </w:r>
      <w:r>
        <w:rPr>
          <w:rFonts w:hint="eastAsia" w:ascii="宋体" w:hAnsi="宋体" w:cs="宋体"/>
          <w:bCs/>
          <w:color w:val="auto"/>
          <w:sz w:val="24"/>
          <w:highlight w:val="none"/>
          <w:lang w:val="en-US" w:eastAsia="zh-CN"/>
        </w:rPr>
        <w:t>提交</w:t>
      </w:r>
      <w:r>
        <w:rPr>
          <w:rFonts w:hint="eastAsia" w:ascii="宋体" w:hAnsi="宋体" w:cs="宋体"/>
          <w:bCs/>
          <w:color w:val="auto"/>
          <w:sz w:val="24"/>
          <w:highlight w:val="none"/>
          <w:lang w:val="zh-CN"/>
        </w:rPr>
        <w:t>的响应文件为无效的响应文件，采购人不予受理。</w:t>
      </w:r>
      <w:bookmarkEnd w:id="131"/>
      <w:bookmarkEnd w:id="132"/>
      <w:bookmarkEnd w:id="133"/>
    </w:p>
    <w:p w14:paraId="44766203">
      <w:pPr>
        <w:autoSpaceDE w:val="0"/>
        <w:autoSpaceDN w:val="0"/>
        <w:adjustRightInd w:val="0"/>
        <w:spacing w:line="360" w:lineRule="auto"/>
        <w:ind w:left="2" w:leftChars="-270" w:hanging="569" w:hangingChars="236"/>
        <w:jc w:val="left"/>
        <w:rPr>
          <w:rFonts w:ascii="宋体" w:hAnsi="宋体" w:cs="宋体"/>
          <w:b/>
          <w:color w:val="auto"/>
          <w:sz w:val="24"/>
          <w:highlight w:val="none"/>
          <w:lang w:val="zh-CN"/>
        </w:rPr>
      </w:pPr>
      <w:bookmarkStart w:id="134" w:name="_Toc504479212"/>
      <w:bookmarkStart w:id="135" w:name="_Toc504654698"/>
      <w:bookmarkStart w:id="136" w:name="_Toc504479663"/>
      <w:r>
        <w:rPr>
          <w:rFonts w:hint="eastAsia" w:ascii="宋体" w:hAnsi="宋体" w:cs="宋体"/>
          <w:b/>
          <w:color w:val="auto"/>
          <w:sz w:val="24"/>
          <w:highlight w:val="none"/>
          <w:lang w:val="zh-CN"/>
        </w:rPr>
        <w:t>5、</w:t>
      </w:r>
      <w:bookmarkEnd w:id="134"/>
      <w:bookmarkEnd w:id="135"/>
      <w:bookmarkEnd w:id="136"/>
      <w:r>
        <w:rPr>
          <w:rFonts w:hint="eastAsia" w:ascii="宋体" w:hAnsi="宋体" w:cs="宋体"/>
          <w:b/>
          <w:color w:val="auto"/>
          <w:sz w:val="24"/>
          <w:highlight w:val="none"/>
          <w:lang w:val="zh-CN"/>
        </w:rPr>
        <w:t>磋商有效期</w:t>
      </w:r>
    </w:p>
    <w:p w14:paraId="32B2A040">
      <w:pPr>
        <w:autoSpaceDE w:val="0"/>
        <w:autoSpaceDN w:val="0"/>
        <w:adjustRightInd w:val="0"/>
        <w:spacing w:line="360" w:lineRule="auto"/>
        <w:ind w:leftChars="-40" w:hanging="84" w:hangingChars="35"/>
        <w:jc w:val="left"/>
        <w:rPr>
          <w:rFonts w:ascii="宋体" w:hAnsi="宋体" w:cs="宋体"/>
          <w:bCs/>
          <w:color w:val="auto"/>
          <w:sz w:val="24"/>
          <w:highlight w:val="none"/>
          <w:lang w:val="zh-CN"/>
        </w:rPr>
      </w:pPr>
      <w:bookmarkStart w:id="137" w:name="_Toc504479213"/>
      <w:bookmarkStart w:id="138" w:name="_Toc504654699"/>
      <w:bookmarkStart w:id="139" w:name="_Toc504479664"/>
      <w:r>
        <w:rPr>
          <w:rFonts w:hint="eastAsia" w:ascii="宋体" w:hAnsi="宋体" w:cs="宋体"/>
          <w:bCs/>
          <w:color w:val="auto"/>
          <w:sz w:val="24"/>
          <w:highlight w:val="none"/>
          <w:lang w:val="zh-CN"/>
        </w:rPr>
        <w:t>5.1 磋商有效期从本须知前附表所规定的响应文件递交截止时间起开始计算。响应文件在本须知前附表所规定的日历天内保持有效。</w:t>
      </w:r>
      <w:bookmarkEnd w:id="137"/>
      <w:bookmarkEnd w:id="138"/>
      <w:bookmarkEnd w:id="139"/>
    </w:p>
    <w:p w14:paraId="06C3505D">
      <w:pPr>
        <w:autoSpaceDE w:val="0"/>
        <w:autoSpaceDN w:val="0"/>
        <w:adjustRightInd w:val="0"/>
        <w:spacing w:line="360" w:lineRule="auto"/>
        <w:ind w:leftChars="-40" w:hanging="84" w:hangingChars="35"/>
        <w:jc w:val="left"/>
        <w:rPr>
          <w:rFonts w:ascii="宋体" w:hAnsi="宋体" w:cs="宋体"/>
          <w:bCs/>
          <w:color w:val="auto"/>
          <w:sz w:val="24"/>
          <w:highlight w:val="none"/>
          <w:lang w:val="zh-CN"/>
        </w:rPr>
      </w:pPr>
      <w:bookmarkStart w:id="140" w:name="_Toc504479214"/>
      <w:bookmarkStart w:id="141" w:name="_Toc504479665"/>
      <w:bookmarkStart w:id="142" w:name="_Toc504654700"/>
      <w:r>
        <w:rPr>
          <w:rFonts w:hint="eastAsia" w:ascii="宋体" w:hAnsi="宋体" w:cs="宋体"/>
          <w:bCs/>
          <w:color w:val="auto"/>
          <w:sz w:val="24"/>
          <w:highlight w:val="none"/>
          <w:lang w:val="zh-CN"/>
        </w:rPr>
        <w:t>5.2 如果出现特殊情况，采购人可要求供应商将磋商有效期延长一段时间。这种要求和供应商的答复均应以书面形式进行。同意延期的供应商不需要也不允许修改其响应文件。</w:t>
      </w:r>
      <w:bookmarkEnd w:id="140"/>
      <w:bookmarkEnd w:id="141"/>
      <w:bookmarkEnd w:id="142"/>
    </w:p>
    <w:p w14:paraId="2F5D8354">
      <w:pPr>
        <w:autoSpaceDE w:val="0"/>
        <w:autoSpaceDN w:val="0"/>
        <w:adjustRightInd w:val="0"/>
        <w:spacing w:line="360" w:lineRule="auto"/>
        <w:ind w:left="2" w:leftChars="-270" w:hanging="569" w:hangingChars="236"/>
        <w:jc w:val="left"/>
        <w:rPr>
          <w:rFonts w:ascii="宋体" w:hAnsi="宋体" w:cs="宋体"/>
          <w:b/>
          <w:color w:val="auto"/>
          <w:sz w:val="24"/>
          <w:highlight w:val="none"/>
          <w:lang w:val="zh-CN"/>
        </w:rPr>
      </w:pPr>
      <w:r>
        <w:rPr>
          <w:rFonts w:hint="eastAsia" w:ascii="宋体" w:hAnsi="宋体" w:cs="宋体"/>
          <w:b/>
          <w:color w:val="auto"/>
          <w:sz w:val="24"/>
          <w:highlight w:val="none"/>
          <w:lang w:val="zh-CN"/>
        </w:rPr>
        <w:t>6、磋商保证金</w:t>
      </w:r>
    </w:p>
    <w:p w14:paraId="234333DA">
      <w:pPr>
        <w:autoSpaceDE w:val="0"/>
        <w:autoSpaceDN w:val="0"/>
        <w:adjustRightInd w:val="0"/>
        <w:spacing w:line="360" w:lineRule="auto"/>
        <w:ind w:leftChars="-40" w:hanging="84" w:hangingChars="35"/>
        <w:jc w:val="left"/>
        <w:rPr>
          <w:rFonts w:ascii="宋体" w:hAnsi="宋体" w:cs="宋体"/>
          <w:bCs/>
          <w:color w:val="auto"/>
          <w:sz w:val="24"/>
          <w:highlight w:val="none"/>
          <w:lang w:val="zh-CN"/>
        </w:rPr>
      </w:pPr>
      <w:r>
        <w:rPr>
          <w:rFonts w:hint="eastAsia" w:ascii="宋体" w:hAnsi="宋体" w:cs="宋体"/>
          <w:bCs/>
          <w:color w:val="auto"/>
          <w:sz w:val="24"/>
          <w:highlight w:val="none"/>
          <w:lang w:val="zh-CN"/>
        </w:rPr>
        <w:t>6.1 磋商保证金是参加本项目的必要条件，交纳金额按磋商文件要求执行。为了保护采购人免遭因供应商的行为而蒙受的损失，在因供应商的行为使采购人的权益受到损害时，磋商保证金将不予退还。</w:t>
      </w:r>
    </w:p>
    <w:p w14:paraId="37C8BB63">
      <w:pPr>
        <w:autoSpaceDE w:val="0"/>
        <w:autoSpaceDN w:val="0"/>
        <w:adjustRightInd w:val="0"/>
        <w:spacing w:line="360" w:lineRule="auto"/>
        <w:ind w:leftChars="-40" w:hanging="84" w:hangingChars="35"/>
        <w:jc w:val="left"/>
        <w:rPr>
          <w:rFonts w:hint="eastAsia" w:ascii="宋体" w:hAnsi="宋体" w:eastAsia="宋体" w:cs="宋体"/>
          <w:b w:val="0"/>
          <w:bCs w:val="0"/>
          <w:color w:val="auto"/>
          <w:sz w:val="24"/>
          <w:highlight w:val="none"/>
          <w:lang w:val="zh-CN" w:eastAsia="zh-CN"/>
        </w:rPr>
      </w:pPr>
      <w:bookmarkStart w:id="143" w:name="_Toc504479215"/>
      <w:bookmarkStart w:id="144" w:name="_Toc504479666"/>
      <w:bookmarkStart w:id="145" w:name="_Toc504654701"/>
      <w:r>
        <w:rPr>
          <w:rFonts w:hint="eastAsia" w:ascii="宋体" w:hAnsi="宋体" w:cs="宋体"/>
          <w:bCs/>
          <w:color w:val="auto"/>
          <w:sz w:val="24"/>
          <w:highlight w:val="none"/>
          <w:lang w:val="zh-CN"/>
        </w:rPr>
        <w:t>6.2 磋商保证金额：</w:t>
      </w:r>
      <w:bookmarkEnd w:id="143"/>
      <w:bookmarkEnd w:id="144"/>
      <w:bookmarkEnd w:id="145"/>
      <w:r>
        <w:rPr>
          <w:rFonts w:hint="eastAsia" w:ascii="宋体" w:hAnsi="宋体"/>
          <w:color w:val="auto"/>
          <w:sz w:val="24"/>
          <w:highlight w:val="none"/>
        </w:rPr>
        <w:t>详见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424A5D71">
      <w:pPr>
        <w:autoSpaceDE w:val="0"/>
        <w:autoSpaceDN w:val="0"/>
        <w:adjustRightInd w:val="0"/>
        <w:spacing w:line="360" w:lineRule="auto"/>
        <w:ind w:leftChars="-40" w:hanging="84" w:hangingChars="35"/>
        <w:jc w:val="left"/>
        <w:rPr>
          <w:rFonts w:hint="eastAsia" w:ascii="宋体" w:hAnsi="宋体"/>
          <w:b w:val="0"/>
          <w:bCs w:val="0"/>
          <w:color w:val="auto"/>
          <w:sz w:val="24"/>
          <w:highlight w:val="none"/>
          <w:lang w:eastAsia="zh-CN"/>
        </w:rPr>
      </w:pPr>
      <w:bookmarkStart w:id="146" w:name="_Toc504654702"/>
      <w:bookmarkStart w:id="147" w:name="_Toc504479216"/>
      <w:bookmarkStart w:id="148" w:name="_Toc504479667"/>
      <w:r>
        <w:rPr>
          <w:rFonts w:hint="eastAsia" w:ascii="宋体" w:hAnsi="宋体" w:cs="宋体"/>
          <w:bCs/>
          <w:color w:val="auto"/>
          <w:sz w:val="24"/>
          <w:highlight w:val="none"/>
          <w:lang w:val="zh-CN"/>
        </w:rPr>
        <w:t>6.3 交纳方式：</w:t>
      </w:r>
      <w:bookmarkEnd w:id="146"/>
      <w:bookmarkEnd w:id="147"/>
      <w:bookmarkEnd w:id="148"/>
      <w:r>
        <w:rPr>
          <w:rFonts w:hint="eastAsia" w:ascii="宋体" w:hAnsi="宋体"/>
          <w:color w:val="auto"/>
          <w:sz w:val="24"/>
          <w:highlight w:val="none"/>
        </w:rPr>
        <w:t>详见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1AF8E72B">
      <w:pPr>
        <w:autoSpaceDE w:val="0"/>
        <w:autoSpaceDN w:val="0"/>
        <w:adjustRightInd w:val="0"/>
        <w:spacing w:line="360" w:lineRule="auto"/>
        <w:ind w:leftChars="-40" w:hanging="84" w:hangingChars="35"/>
        <w:jc w:val="left"/>
        <w:rPr>
          <w:rFonts w:hint="eastAsia" w:ascii="宋体" w:hAnsi="宋体" w:eastAsia="宋体" w:cs="宋体"/>
          <w:color w:val="auto"/>
          <w:sz w:val="24"/>
          <w:highlight w:val="none"/>
          <w:lang w:val="zh-CN"/>
        </w:rPr>
      </w:pPr>
      <w:r>
        <w:rPr>
          <w:rFonts w:hint="eastAsia" w:ascii="宋体" w:hAnsi="宋体" w:cs="宋体"/>
          <w:bCs/>
          <w:color w:val="auto"/>
          <w:sz w:val="24"/>
          <w:highlight w:val="none"/>
          <w:lang w:val="zh-CN"/>
        </w:rPr>
        <w:t>6.4</w:t>
      </w:r>
      <w:bookmarkStart w:id="149" w:name="_Toc435021094"/>
      <w:bookmarkStart w:id="150" w:name="_Toc429224664"/>
      <w:r>
        <w:rPr>
          <w:rFonts w:hint="eastAsia" w:ascii="宋体" w:hAnsi="宋体" w:cs="宋体"/>
          <w:bCs/>
          <w:color w:val="auto"/>
          <w:sz w:val="24"/>
          <w:highlight w:val="none"/>
          <w:lang w:val="zh-CN"/>
        </w:rPr>
        <w:t xml:space="preserve"> </w:t>
      </w:r>
      <w:r>
        <w:rPr>
          <w:rFonts w:hint="eastAsia" w:ascii="宋体" w:hAnsi="宋体" w:eastAsia="宋体" w:cs="宋体"/>
          <w:color w:val="auto"/>
          <w:sz w:val="24"/>
          <w:highlight w:val="none"/>
          <w:lang w:val="zh-CN"/>
        </w:rPr>
        <w:t>磋商保证金的递交时间及地点：</w:t>
      </w:r>
      <w:r>
        <w:rPr>
          <w:rFonts w:hint="eastAsia" w:ascii="宋体" w:hAnsi="宋体"/>
          <w:color w:val="auto"/>
          <w:sz w:val="24"/>
          <w:highlight w:val="none"/>
        </w:rPr>
        <w:t>详见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bookmarkEnd w:id="149"/>
    <w:bookmarkEnd w:id="150"/>
    <w:p w14:paraId="10D5EB62">
      <w:pPr>
        <w:autoSpaceDE w:val="0"/>
        <w:autoSpaceDN w:val="0"/>
        <w:adjustRightInd w:val="0"/>
        <w:spacing w:line="360" w:lineRule="auto"/>
        <w:ind w:leftChars="-40" w:hanging="84" w:hangingChars="35"/>
        <w:jc w:val="left"/>
        <w:rPr>
          <w:rFonts w:ascii="宋体" w:hAnsi="宋体" w:cs="宋体"/>
          <w:bCs/>
          <w:color w:val="auto"/>
          <w:sz w:val="24"/>
          <w:highlight w:val="none"/>
          <w:lang w:val="zh-CN"/>
        </w:rPr>
      </w:pPr>
      <w:r>
        <w:rPr>
          <w:rFonts w:hint="eastAsia" w:ascii="宋体" w:hAnsi="宋体" w:cs="宋体"/>
          <w:bCs/>
          <w:color w:val="auto"/>
          <w:sz w:val="24"/>
          <w:highlight w:val="none"/>
          <w:lang w:val="zh-CN"/>
        </w:rPr>
        <w:t>6.5 未按前述各款要求提交磋商保证金，或所提交保证金不完全符合上述各项要求的，将被视为无效投标。</w:t>
      </w:r>
    </w:p>
    <w:p w14:paraId="510974CC">
      <w:pPr>
        <w:autoSpaceDE w:val="0"/>
        <w:autoSpaceDN w:val="0"/>
        <w:adjustRightInd w:val="0"/>
        <w:spacing w:line="360" w:lineRule="auto"/>
        <w:ind w:leftChars="-40" w:hanging="84" w:hangingChars="35"/>
        <w:jc w:val="left"/>
        <w:rPr>
          <w:rFonts w:ascii="宋体" w:hAnsi="宋体" w:cs="宋体"/>
          <w:bCs/>
          <w:color w:val="auto"/>
          <w:sz w:val="24"/>
          <w:highlight w:val="none"/>
          <w:lang w:val="zh-CN"/>
        </w:rPr>
      </w:pPr>
      <w:r>
        <w:rPr>
          <w:rFonts w:hint="eastAsia" w:ascii="宋体" w:hAnsi="宋体" w:cs="宋体"/>
          <w:bCs/>
          <w:color w:val="auto"/>
          <w:sz w:val="24"/>
          <w:highlight w:val="none"/>
          <w:lang w:val="zh-CN"/>
        </w:rPr>
        <w:t>6.6 保证金的退还方式：</w:t>
      </w:r>
    </w:p>
    <w:p w14:paraId="3CFC353E">
      <w:pPr>
        <w:pStyle w:val="20"/>
        <w:spacing w:line="360" w:lineRule="auto"/>
        <w:ind w:left="-120" w:leftChars="-57" w:firstLine="360" w:firstLineChars="150"/>
        <w:jc w:val="left"/>
        <w:rPr>
          <w:rFonts w:ascii="宋体" w:hAnsi="宋体" w:cs="宋体"/>
          <w:b w:val="0"/>
          <w:color w:val="auto"/>
          <w:sz w:val="24"/>
          <w:szCs w:val="24"/>
          <w:highlight w:val="none"/>
        </w:rPr>
      </w:pPr>
      <w:r>
        <w:rPr>
          <w:rFonts w:hint="eastAsia" w:ascii="宋体" w:hAnsi="宋体" w:cs="宋体"/>
          <w:b w:val="0"/>
          <w:color w:val="auto"/>
          <w:sz w:val="24"/>
          <w:szCs w:val="24"/>
          <w:highlight w:val="none"/>
          <w:lang w:eastAsia="zh-CN"/>
        </w:rPr>
        <w:t>供应商</w:t>
      </w:r>
      <w:r>
        <w:rPr>
          <w:rFonts w:hint="eastAsia" w:ascii="宋体" w:hAnsi="宋体" w:cs="宋体"/>
          <w:b w:val="0"/>
          <w:color w:val="auto"/>
          <w:sz w:val="24"/>
          <w:szCs w:val="24"/>
          <w:highlight w:val="none"/>
        </w:rPr>
        <w:t>的</w:t>
      </w:r>
      <w:r>
        <w:rPr>
          <w:rFonts w:hint="eastAsia" w:ascii="宋体" w:hAnsi="宋体" w:cs="宋体"/>
          <w:b w:val="0"/>
          <w:color w:val="auto"/>
          <w:sz w:val="24"/>
          <w:szCs w:val="24"/>
          <w:highlight w:val="none"/>
          <w:lang w:eastAsia="zh-CN"/>
        </w:rPr>
        <w:t>磋商保证金</w:t>
      </w:r>
      <w:r>
        <w:rPr>
          <w:rFonts w:hint="eastAsia" w:ascii="宋体" w:hAnsi="宋体" w:cs="宋体"/>
          <w:b w:val="0"/>
          <w:color w:val="auto"/>
          <w:sz w:val="24"/>
          <w:szCs w:val="24"/>
          <w:highlight w:val="none"/>
        </w:rPr>
        <w:t>一律</w:t>
      </w:r>
      <w:r>
        <w:rPr>
          <w:rFonts w:hint="eastAsia" w:ascii="宋体" w:hAnsi="宋体" w:cs="宋体"/>
          <w:b w:val="0"/>
          <w:color w:val="auto"/>
          <w:sz w:val="24"/>
          <w:szCs w:val="24"/>
          <w:highlight w:val="none"/>
          <w:lang w:eastAsia="zh-CN"/>
        </w:rPr>
        <w:t>采用</w:t>
      </w:r>
      <w:r>
        <w:rPr>
          <w:rFonts w:hint="eastAsia" w:ascii="宋体" w:hAnsi="宋体" w:cs="宋体"/>
          <w:b w:val="0"/>
          <w:color w:val="auto"/>
          <w:sz w:val="24"/>
          <w:szCs w:val="24"/>
          <w:highlight w:val="none"/>
        </w:rPr>
        <w:t>电汇方式退还至</w:t>
      </w:r>
      <w:r>
        <w:rPr>
          <w:rFonts w:hint="eastAsia" w:ascii="宋体" w:hAnsi="宋体" w:cs="宋体"/>
          <w:b w:val="0"/>
          <w:color w:val="auto"/>
          <w:sz w:val="24"/>
          <w:szCs w:val="24"/>
          <w:highlight w:val="none"/>
          <w:lang w:eastAsia="zh-CN"/>
        </w:rPr>
        <w:t>供应商</w:t>
      </w:r>
      <w:r>
        <w:rPr>
          <w:rFonts w:hint="eastAsia" w:ascii="宋体" w:hAnsi="宋体" w:cs="宋体"/>
          <w:b w:val="0"/>
          <w:color w:val="auto"/>
          <w:sz w:val="24"/>
          <w:szCs w:val="24"/>
          <w:highlight w:val="none"/>
        </w:rPr>
        <w:t>名称相一致的账号。</w:t>
      </w:r>
    </w:p>
    <w:p w14:paraId="36D93230">
      <w:pPr>
        <w:autoSpaceDE w:val="0"/>
        <w:autoSpaceDN w:val="0"/>
        <w:adjustRightInd w:val="0"/>
        <w:spacing w:line="360" w:lineRule="auto"/>
        <w:ind w:left="-12" w:leftChars="-57" w:hanging="108" w:hangingChars="45"/>
        <w:jc w:val="left"/>
        <w:rPr>
          <w:rFonts w:ascii="宋体" w:hAnsi="宋体" w:cs="宋体"/>
          <w:color w:val="auto"/>
          <w:sz w:val="24"/>
          <w:highlight w:val="none"/>
          <w:lang w:val="zh-CN"/>
        </w:rPr>
      </w:pPr>
      <w:r>
        <w:rPr>
          <w:rFonts w:hint="eastAsia" w:ascii="宋体" w:hAnsi="宋体" w:cs="宋体"/>
          <w:color w:val="auto"/>
          <w:sz w:val="24"/>
          <w:highlight w:val="none"/>
        </w:rPr>
        <w:t>6.7 落标人的</w:t>
      </w:r>
      <w:r>
        <w:rPr>
          <w:rFonts w:hint="eastAsia" w:ascii="宋体" w:hAnsi="宋体" w:cs="宋体"/>
          <w:color w:val="auto"/>
          <w:sz w:val="24"/>
          <w:highlight w:val="none"/>
          <w:lang w:eastAsia="zh-CN"/>
        </w:rPr>
        <w:t>磋商保证金</w:t>
      </w:r>
      <w:r>
        <w:rPr>
          <w:rFonts w:hint="eastAsia" w:ascii="宋体" w:hAnsi="宋体" w:cs="宋体"/>
          <w:color w:val="auto"/>
          <w:sz w:val="24"/>
          <w:highlight w:val="none"/>
        </w:rPr>
        <w:t>将在中标通知书发出后</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个工作日内退还；</w:t>
      </w:r>
      <w:r>
        <w:rPr>
          <w:rFonts w:hint="eastAsia" w:ascii="宋体" w:hAnsi="宋体" w:cs="宋体"/>
          <w:color w:val="auto"/>
          <w:sz w:val="24"/>
          <w:highlight w:val="none"/>
          <w:lang w:eastAsia="zh-CN"/>
        </w:rPr>
        <w:t>成交供应商</w:t>
      </w:r>
      <w:r>
        <w:rPr>
          <w:rFonts w:hint="eastAsia" w:ascii="宋体" w:hAnsi="宋体" w:cs="宋体"/>
          <w:color w:val="auto"/>
          <w:sz w:val="24"/>
          <w:highlight w:val="none"/>
        </w:rPr>
        <w:t>的</w:t>
      </w:r>
      <w:r>
        <w:rPr>
          <w:rFonts w:hint="eastAsia" w:ascii="宋体" w:hAnsi="宋体" w:cs="宋体"/>
          <w:color w:val="auto"/>
          <w:sz w:val="24"/>
          <w:highlight w:val="none"/>
          <w:lang w:eastAsia="zh-CN"/>
        </w:rPr>
        <w:t>磋商保证金</w:t>
      </w:r>
      <w:r>
        <w:rPr>
          <w:rFonts w:hint="eastAsia" w:ascii="宋体" w:hAnsi="宋体" w:cs="宋体"/>
          <w:color w:val="auto"/>
          <w:sz w:val="24"/>
          <w:highlight w:val="none"/>
        </w:rPr>
        <w:t>，在</w:t>
      </w:r>
      <w:r>
        <w:rPr>
          <w:rFonts w:hint="eastAsia" w:ascii="宋体" w:hAnsi="宋体" w:cs="宋体"/>
          <w:color w:val="auto"/>
          <w:sz w:val="24"/>
          <w:highlight w:val="none"/>
          <w:lang w:eastAsia="zh-CN"/>
        </w:rPr>
        <w:t>成交供应商</w:t>
      </w:r>
      <w:r>
        <w:rPr>
          <w:rFonts w:hint="eastAsia" w:ascii="宋体" w:hAnsi="宋体" w:cs="宋体"/>
          <w:color w:val="auto"/>
          <w:sz w:val="24"/>
          <w:highlight w:val="none"/>
        </w:rPr>
        <w:t>按本须知</w:t>
      </w:r>
      <w:r>
        <w:rPr>
          <w:rFonts w:hint="eastAsia" w:ascii="宋体" w:hAnsi="宋体" w:cs="宋体"/>
          <w:color w:val="auto"/>
          <w:sz w:val="24"/>
          <w:highlight w:val="none"/>
          <w:lang w:val="zh-CN"/>
        </w:rPr>
        <w:t>规定签署合同，并按规定交纳了履约保证金后5个工作日内退还。</w:t>
      </w:r>
    </w:p>
    <w:p w14:paraId="0B5F93A9">
      <w:pPr>
        <w:autoSpaceDE w:val="0"/>
        <w:autoSpaceDN w:val="0"/>
        <w:adjustRightInd w:val="0"/>
        <w:spacing w:line="360" w:lineRule="auto"/>
        <w:jc w:val="left"/>
        <w:rPr>
          <w:rFonts w:ascii="宋体" w:hAnsi="宋体" w:cs="宋体"/>
          <w:color w:val="auto"/>
          <w:sz w:val="24"/>
          <w:highlight w:val="none"/>
          <w:lang w:val="zh-CN"/>
        </w:rPr>
      </w:pPr>
      <w:r>
        <w:rPr>
          <w:rFonts w:hint="eastAsia" w:ascii="宋体" w:hAnsi="宋体" w:cs="宋体"/>
          <w:color w:val="auto"/>
          <w:sz w:val="24"/>
          <w:highlight w:val="none"/>
          <w:lang w:val="zh-CN"/>
        </w:rPr>
        <w:t>6.8 下列情况之一发生时，磋商保证金将不予退还：</w:t>
      </w:r>
    </w:p>
    <w:p w14:paraId="6035011A">
      <w:pPr>
        <w:pStyle w:val="46"/>
        <w:spacing w:before="0" w:after="0" w:line="360" w:lineRule="auto"/>
        <w:ind w:left="3" w:leftChars="-107" w:hanging="228" w:hangingChars="95"/>
        <w:jc w:val="left"/>
        <w:outlineLvl w:val="9"/>
        <w:rPr>
          <w:rFonts w:hint="eastAsia" w:ascii="宋体" w:hAnsi="宋体" w:cs="宋体"/>
          <w:b w:val="0"/>
          <w:bCs w:val="0"/>
          <w:color w:val="auto"/>
          <w:kern w:val="2"/>
          <w:sz w:val="24"/>
          <w:szCs w:val="24"/>
          <w:highlight w:val="none"/>
        </w:rPr>
      </w:pPr>
      <w:r>
        <w:rPr>
          <w:rFonts w:hint="eastAsia" w:ascii="宋体" w:hAnsi="宋体" w:cs="宋体"/>
          <w:b w:val="0"/>
          <w:bCs w:val="0"/>
          <w:color w:val="auto"/>
          <w:kern w:val="2"/>
          <w:sz w:val="24"/>
          <w:szCs w:val="24"/>
          <w:highlight w:val="none"/>
        </w:rPr>
        <w:t>（</w:t>
      </w:r>
      <w:r>
        <w:rPr>
          <w:rFonts w:hint="eastAsia" w:ascii="宋体" w:hAnsi="宋体" w:cs="宋体"/>
          <w:b w:val="0"/>
          <w:bCs w:val="0"/>
          <w:color w:val="auto"/>
          <w:kern w:val="2"/>
          <w:sz w:val="24"/>
          <w:szCs w:val="24"/>
          <w:highlight w:val="none"/>
          <w:lang w:val="en-US" w:eastAsia="zh-CN"/>
        </w:rPr>
        <w:t>1</w:t>
      </w:r>
      <w:r>
        <w:rPr>
          <w:rFonts w:hint="eastAsia" w:ascii="宋体" w:hAnsi="宋体" w:cs="宋体"/>
          <w:b w:val="0"/>
          <w:bCs w:val="0"/>
          <w:color w:val="auto"/>
          <w:kern w:val="2"/>
          <w:sz w:val="24"/>
          <w:szCs w:val="24"/>
          <w:highlight w:val="none"/>
        </w:rPr>
        <w:t>）</w:t>
      </w:r>
      <w:r>
        <w:rPr>
          <w:rFonts w:hint="eastAsia" w:ascii="宋体" w:hAnsi="宋体" w:cs="宋体"/>
          <w:b w:val="0"/>
          <w:bCs w:val="0"/>
          <w:color w:val="auto"/>
          <w:kern w:val="2"/>
          <w:sz w:val="24"/>
          <w:szCs w:val="24"/>
          <w:highlight w:val="none"/>
          <w:lang w:eastAsia="zh-CN"/>
        </w:rPr>
        <w:t>供应商</w:t>
      </w:r>
      <w:r>
        <w:rPr>
          <w:rFonts w:hint="eastAsia" w:ascii="宋体" w:hAnsi="宋体" w:cs="宋体"/>
          <w:b w:val="0"/>
          <w:bCs w:val="0"/>
          <w:color w:val="auto"/>
          <w:kern w:val="2"/>
          <w:sz w:val="24"/>
          <w:szCs w:val="24"/>
          <w:highlight w:val="none"/>
        </w:rPr>
        <w:t>在提交响应文件截止时间后撤回响应文件的；</w:t>
      </w:r>
    </w:p>
    <w:p w14:paraId="6AB31065">
      <w:pPr>
        <w:pStyle w:val="46"/>
        <w:spacing w:before="0" w:after="0" w:line="360" w:lineRule="auto"/>
        <w:ind w:left="3" w:leftChars="-107" w:hanging="228" w:hangingChars="95"/>
        <w:jc w:val="left"/>
        <w:outlineLvl w:val="9"/>
        <w:rPr>
          <w:rFonts w:hint="eastAsia" w:ascii="宋体" w:hAnsi="宋体" w:eastAsia="宋体" w:cs="宋体"/>
          <w:b w:val="0"/>
          <w:bCs w:val="0"/>
          <w:color w:val="auto"/>
          <w:kern w:val="2"/>
          <w:sz w:val="24"/>
          <w:szCs w:val="24"/>
          <w:highlight w:val="none"/>
        </w:rPr>
      </w:pPr>
      <w:r>
        <w:rPr>
          <w:rFonts w:hint="eastAsia" w:ascii="宋体" w:hAnsi="宋体" w:eastAsia="宋体" w:cs="宋体"/>
          <w:b w:val="0"/>
          <w:bCs w:val="0"/>
          <w:color w:val="auto"/>
          <w:kern w:val="2"/>
          <w:sz w:val="24"/>
          <w:szCs w:val="24"/>
          <w:highlight w:val="none"/>
        </w:rPr>
        <w:t>（</w:t>
      </w:r>
      <w:r>
        <w:rPr>
          <w:rFonts w:hint="eastAsia" w:ascii="宋体" w:hAnsi="宋体" w:eastAsia="宋体" w:cs="宋体"/>
          <w:b w:val="0"/>
          <w:bCs w:val="0"/>
          <w:color w:val="auto"/>
          <w:kern w:val="2"/>
          <w:sz w:val="24"/>
          <w:szCs w:val="24"/>
          <w:highlight w:val="none"/>
          <w:lang w:val="en-US" w:eastAsia="zh-CN"/>
        </w:rPr>
        <w:t>2</w:t>
      </w:r>
      <w:r>
        <w:rPr>
          <w:rFonts w:hint="eastAsia" w:ascii="宋体" w:hAnsi="宋体" w:eastAsia="宋体" w:cs="宋体"/>
          <w:b w:val="0"/>
          <w:bCs w:val="0"/>
          <w:color w:val="auto"/>
          <w:kern w:val="2"/>
          <w:sz w:val="24"/>
          <w:szCs w:val="24"/>
          <w:highlight w:val="none"/>
        </w:rPr>
        <w:t>）</w:t>
      </w:r>
      <w:r>
        <w:rPr>
          <w:rFonts w:hint="eastAsia" w:ascii="宋体" w:hAnsi="宋体" w:eastAsia="宋体" w:cs="宋体"/>
          <w:b w:val="0"/>
          <w:bCs w:val="0"/>
          <w:color w:val="auto"/>
          <w:kern w:val="2"/>
          <w:sz w:val="24"/>
          <w:szCs w:val="24"/>
          <w:highlight w:val="none"/>
          <w:lang w:eastAsia="zh-CN"/>
        </w:rPr>
        <w:t>供应商</w:t>
      </w:r>
      <w:r>
        <w:rPr>
          <w:rFonts w:hint="eastAsia" w:ascii="宋体" w:hAnsi="宋体" w:eastAsia="宋体" w:cs="宋体"/>
          <w:b w:val="0"/>
          <w:bCs w:val="0"/>
          <w:color w:val="auto"/>
          <w:kern w:val="2"/>
          <w:sz w:val="24"/>
          <w:szCs w:val="24"/>
          <w:highlight w:val="none"/>
        </w:rPr>
        <w:t>在响应文件中提供虚假材料的；</w:t>
      </w:r>
    </w:p>
    <w:p w14:paraId="5BCA7907">
      <w:pPr>
        <w:pStyle w:val="46"/>
        <w:spacing w:before="0" w:after="0" w:line="360" w:lineRule="auto"/>
        <w:ind w:left="3" w:leftChars="-107" w:hanging="228" w:hangingChars="95"/>
        <w:jc w:val="left"/>
        <w:outlineLvl w:val="9"/>
        <w:rPr>
          <w:rFonts w:hint="eastAsia" w:ascii="宋体" w:hAnsi="宋体" w:eastAsia="宋体" w:cs="宋体"/>
          <w:b w:val="0"/>
          <w:bCs w:val="0"/>
          <w:color w:val="auto"/>
          <w:kern w:val="2"/>
          <w:sz w:val="24"/>
          <w:szCs w:val="24"/>
          <w:highlight w:val="none"/>
        </w:rPr>
      </w:pPr>
      <w:r>
        <w:rPr>
          <w:rFonts w:hint="eastAsia" w:ascii="宋体" w:hAnsi="宋体" w:eastAsia="宋体" w:cs="宋体"/>
          <w:b w:val="0"/>
          <w:bCs w:val="0"/>
          <w:color w:val="auto"/>
          <w:kern w:val="2"/>
          <w:sz w:val="24"/>
          <w:szCs w:val="24"/>
          <w:highlight w:val="none"/>
        </w:rPr>
        <w:t>（</w:t>
      </w:r>
      <w:r>
        <w:rPr>
          <w:rFonts w:hint="eastAsia" w:ascii="宋体" w:hAnsi="宋体" w:eastAsia="宋体" w:cs="宋体"/>
          <w:b w:val="0"/>
          <w:bCs w:val="0"/>
          <w:color w:val="auto"/>
          <w:kern w:val="2"/>
          <w:sz w:val="24"/>
          <w:szCs w:val="24"/>
          <w:highlight w:val="none"/>
          <w:lang w:val="en-US" w:eastAsia="zh-CN"/>
        </w:rPr>
        <w:t>3</w:t>
      </w:r>
      <w:r>
        <w:rPr>
          <w:rFonts w:hint="eastAsia" w:ascii="宋体" w:hAnsi="宋体" w:eastAsia="宋体" w:cs="宋体"/>
          <w:b w:val="0"/>
          <w:bCs w:val="0"/>
          <w:color w:val="auto"/>
          <w:kern w:val="2"/>
          <w:sz w:val="24"/>
          <w:szCs w:val="24"/>
          <w:highlight w:val="none"/>
        </w:rPr>
        <w:t>）除因不可抗力或磋商文件认可的情形以外，成交</w:t>
      </w:r>
      <w:r>
        <w:rPr>
          <w:rFonts w:hint="eastAsia" w:ascii="宋体" w:hAnsi="宋体" w:eastAsia="宋体" w:cs="宋体"/>
          <w:b w:val="0"/>
          <w:bCs w:val="0"/>
          <w:color w:val="auto"/>
          <w:kern w:val="2"/>
          <w:sz w:val="24"/>
          <w:szCs w:val="24"/>
          <w:highlight w:val="none"/>
          <w:lang w:eastAsia="zh-CN"/>
        </w:rPr>
        <w:t>供应商</w:t>
      </w:r>
      <w:r>
        <w:rPr>
          <w:rFonts w:hint="eastAsia" w:ascii="宋体" w:hAnsi="宋体" w:eastAsia="宋体" w:cs="宋体"/>
          <w:b w:val="0"/>
          <w:bCs w:val="0"/>
          <w:color w:val="auto"/>
          <w:kern w:val="2"/>
          <w:sz w:val="24"/>
          <w:szCs w:val="24"/>
          <w:highlight w:val="none"/>
        </w:rPr>
        <w:t>不与采购人签订合同的；</w:t>
      </w:r>
    </w:p>
    <w:p w14:paraId="0E1E3D3C">
      <w:pPr>
        <w:pStyle w:val="46"/>
        <w:spacing w:before="0" w:after="0" w:line="360" w:lineRule="auto"/>
        <w:ind w:left="3" w:leftChars="-107" w:hanging="228" w:hangingChars="95"/>
        <w:jc w:val="left"/>
        <w:outlineLvl w:val="9"/>
        <w:rPr>
          <w:rFonts w:hint="eastAsia" w:ascii="宋体" w:hAnsi="宋体" w:eastAsia="宋体" w:cs="宋体"/>
          <w:b w:val="0"/>
          <w:bCs w:val="0"/>
          <w:color w:val="auto"/>
          <w:kern w:val="2"/>
          <w:sz w:val="24"/>
          <w:szCs w:val="24"/>
          <w:highlight w:val="none"/>
        </w:rPr>
      </w:pPr>
      <w:r>
        <w:rPr>
          <w:rFonts w:hint="eastAsia" w:ascii="宋体" w:hAnsi="宋体" w:eastAsia="宋体" w:cs="宋体"/>
          <w:b w:val="0"/>
          <w:bCs w:val="0"/>
          <w:color w:val="auto"/>
          <w:kern w:val="2"/>
          <w:sz w:val="24"/>
          <w:szCs w:val="24"/>
          <w:highlight w:val="none"/>
        </w:rPr>
        <w:t>（</w:t>
      </w:r>
      <w:r>
        <w:rPr>
          <w:rFonts w:hint="eastAsia" w:ascii="宋体" w:hAnsi="宋体" w:eastAsia="宋体" w:cs="宋体"/>
          <w:b w:val="0"/>
          <w:bCs w:val="0"/>
          <w:color w:val="auto"/>
          <w:kern w:val="2"/>
          <w:sz w:val="24"/>
          <w:szCs w:val="24"/>
          <w:highlight w:val="none"/>
          <w:lang w:val="en-US" w:eastAsia="zh-CN"/>
        </w:rPr>
        <w:t>4</w:t>
      </w:r>
      <w:r>
        <w:rPr>
          <w:rFonts w:hint="eastAsia" w:ascii="宋体" w:hAnsi="宋体" w:eastAsia="宋体" w:cs="宋体"/>
          <w:b w:val="0"/>
          <w:bCs w:val="0"/>
          <w:color w:val="auto"/>
          <w:kern w:val="2"/>
          <w:sz w:val="24"/>
          <w:szCs w:val="24"/>
          <w:highlight w:val="none"/>
        </w:rPr>
        <w:t>）</w:t>
      </w:r>
      <w:r>
        <w:rPr>
          <w:rFonts w:hint="eastAsia" w:ascii="宋体" w:hAnsi="宋体" w:eastAsia="宋体" w:cs="宋体"/>
          <w:b w:val="0"/>
          <w:bCs w:val="0"/>
          <w:color w:val="auto"/>
          <w:kern w:val="2"/>
          <w:sz w:val="24"/>
          <w:szCs w:val="24"/>
          <w:highlight w:val="none"/>
          <w:lang w:eastAsia="zh-CN"/>
        </w:rPr>
        <w:t>供应商</w:t>
      </w:r>
      <w:r>
        <w:rPr>
          <w:rFonts w:hint="eastAsia" w:ascii="宋体" w:hAnsi="宋体" w:eastAsia="宋体" w:cs="宋体"/>
          <w:b w:val="0"/>
          <w:bCs w:val="0"/>
          <w:color w:val="auto"/>
          <w:kern w:val="2"/>
          <w:sz w:val="24"/>
          <w:szCs w:val="24"/>
          <w:highlight w:val="none"/>
        </w:rPr>
        <w:t>与采购人、其他</w:t>
      </w:r>
      <w:r>
        <w:rPr>
          <w:rFonts w:hint="eastAsia" w:ascii="宋体" w:hAnsi="宋体" w:eastAsia="宋体" w:cs="宋体"/>
          <w:b w:val="0"/>
          <w:bCs w:val="0"/>
          <w:color w:val="auto"/>
          <w:kern w:val="2"/>
          <w:sz w:val="24"/>
          <w:szCs w:val="24"/>
          <w:highlight w:val="none"/>
          <w:lang w:eastAsia="zh-CN"/>
        </w:rPr>
        <w:t>供应商</w:t>
      </w:r>
      <w:r>
        <w:rPr>
          <w:rFonts w:hint="eastAsia" w:ascii="宋体" w:hAnsi="宋体" w:eastAsia="宋体" w:cs="宋体"/>
          <w:b w:val="0"/>
          <w:bCs w:val="0"/>
          <w:color w:val="auto"/>
          <w:kern w:val="2"/>
          <w:sz w:val="24"/>
          <w:szCs w:val="24"/>
          <w:highlight w:val="none"/>
        </w:rPr>
        <w:t>或者采购代理机构恶意串通的；</w:t>
      </w:r>
    </w:p>
    <w:p w14:paraId="3EC3099F">
      <w:pPr>
        <w:pStyle w:val="46"/>
        <w:spacing w:before="0" w:after="0" w:line="360" w:lineRule="auto"/>
        <w:ind w:left="3" w:leftChars="-107" w:hanging="228" w:hangingChars="95"/>
        <w:jc w:val="left"/>
        <w:outlineLvl w:val="9"/>
        <w:rPr>
          <w:rFonts w:hint="eastAsia" w:ascii="宋体" w:hAnsi="宋体" w:eastAsia="宋体" w:cs="宋体"/>
          <w:b w:val="0"/>
          <w:bCs w:val="0"/>
          <w:color w:val="auto"/>
          <w:kern w:val="2"/>
          <w:sz w:val="24"/>
          <w:szCs w:val="24"/>
          <w:highlight w:val="none"/>
          <w:lang w:eastAsia="zh-CN"/>
        </w:rPr>
      </w:pPr>
      <w:r>
        <w:rPr>
          <w:rFonts w:hint="eastAsia" w:ascii="宋体" w:hAnsi="宋体" w:eastAsia="宋体" w:cs="宋体"/>
          <w:b w:val="0"/>
          <w:bCs w:val="0"/>
          <w:color w:val="auto"/>
          <w:kern w:val="2"/>
          <w:sz w:val="24"/>
          <w:szCs w:val="24"/>
          <w:highlight w:val="none"/>
        </w:rPr>
        <w:t>（</w:t>
      </w:r>
      <w:r>
        <w:rPr>
          <w:rFonts w:hint="eastAsia" w:ascii="宋体" w:hAnsi="宋体" w:eastAsia="宋体" w:cs="宋体"/>
          <w:b w:val="0"/>
          <w:bCs w:val="0"/>
          <w:color w:val="auto"/>
          <w:kern w:val="2"/>
          <w:sz w:val="24"/>
          <w:szCs w:val="24"/>
          <w:highlight w:val="none"/>
          <w:lang w:val="en-US" w:eastAsia="zh-CN"/>
        </w:rPr>
        <w:t>5</w:t>
      </w:r>
      <w:r>
        <w:rPr>
          <w:rFonts w:hint="eastAsia" w:ascii="宋体" w:hAnsi="宋体" w:eastAsia="宋体" w:cs="宋体"/>
          <w:b w:val="0"/>
          <w:bCs w:val="0"/>
          <w:color w:val="auto"/>
          <w:kern w:val="2"/>
          <w:sz w:val="24"/>
          <w:szCs w:val="24"/>
          <w:highlight w:val="none"/>
        </w:rPr>
        <w:t>）磋商文件规定的其他情形</w:t>
      </w:r>
      <w:r>
        <w:rPr>
          <w:rFonts w:hint="eastAsia" w:ascii="宋体" w:hAnsi="宋体" w:eastAsia="宋体" w:cs="宋体"/>
          <w:b w:val="0"/>
          <w:bCs w:val="0"/>
          <w:color w:val="auto"/>
          <w:kern w:val="2"/>
          <w:sz w:val="24"/>
          <w:szCs w:val="24"/>
          <w:highlight w:val="none"/>
          <w:lang w:eastAsia="zh-CN"/>
        </w:rPr>
        <w:t>；</w:t>
      </w:r>
    </w:p>
    <w:p w14:paraId="5970F9C9">
      <w:pPr>
        <w:pStyle w:val="46"/>
        <w:spacing w:before="0" w:after="0" w:line="360" w:lineRule="auto"/>
        <w:ind w:left="3" w:leftChars="-107" w:hanging="228" w:hangingChars="95"/>
        <w:jc w:val="left"/>
        <w:outlineLvl w:val="9"/>
        <w:rPr>
          <w:rFonts w:ascii="宋体" w:hAnsi="宋体" w:cs="宋体"/>
          <w:b w:val="0"/>
          <w:bCs w:val="0"/>
          <w:color w:val="auto"/>
          <w:kern w:val="2"/>
          <w:sz w:val="24"/>
          <w:szCs w:val="24"/>
          <w:highlight w:val="none"/>
        </w:rPr>
      </w:pPr>
      <w:bookmarkStart w:id="151" w:name="_Toc504479223"/>
      <w:bookmarkStart w:id="152" w:name="_Toc8806"/>
      <w:bookmarkStart w:id="153" w:name="_Toc504654709"/>
      <w:bookmarkStart w:id="154" w:name="_Toc445473514"/>
      <w:bookmarkStart w:id="155" w:name="_Toc504479674"/>
      <w:r>
        <w:rPr>
          <w:rFonts w:hint="eastAsia" w:ascii="宋体" w:hAnsi="宋体" w:cs="宋体"/>
          <w:b w:val="0"/>
          <w:bCs w:val="0"/>
          <w:color w:val="auto"/>
          <w:kern w:val="2"/>
          <w:sz w:val="24"/>
          <w:szCs w:val="24"/>
          <w:highlight w:val="none"/>
        </w:rPr>
        <w:t>（</w:t>
      </w:r>
      <w:r>
        <w:rPr>
          <w:rFonts w:hint="eastAsia" w:ascii="宋体" w:hAnsi="宋体" w:cs="宋体"/>
          <w:b w:val="0"/>
          <w:bCs w:val="0"/>
          <w:color w:val="auto"/>
          <w:kern w:val="2"/>
          <w:sz w:val="24"/>
          <w:szCs w:val="24"/>
          <w:highlight w:val="none"/>
          <w:lang w:val="en-US" w:eastAsia="zh-CN"/>
        </w:rPr>
        <w:t>6</w:t>
      </w:r>
      <w:r>
        <w:rPr>
          <w:rFonts w:hint="eastAsia" w:ascii="宋体" w:hAnsi="宋体" w:cs="宋体"/>
          <w:b w:val="0"/>
          <w:bCs w:val="0"/>
          <w:color w:val="auto"/>
          <w:kern w:val="2"/>
          <w:sz w:val="24"/>
          <w:szCs w:val="24"/>
          <w:highlight w:val="none"/>
        </w:rPr>
        <w:t>）违反政府</w:t>
      </w:r>
      <w:r>
        <w:rPr>
          <w:rFonts w:hint="eastAsia" w:ascii="宋体" w:hAnsi="宋体" w:cs="宋体"/>
          <w:b w:val="0"/>
          <w:bCs w:val="0"/>
          <w:color w:val="auto"/>
          <w:kern w:val="2"/>
          <w:sz w:val="24"/>
          <w:szCs w:val="24"/>
          <w:highlight w:val="none"/>
          <w:lang w:eastAsia="zh-CN"/>
        </w:rPr>
        <w:t>采购</w:t>
      </w:r>
      <w:r>
        <w:rPr>
          <w:rFonts w:hint="eastAsia" w:ascii="宋体" w:hAnsi="宋体" w:cs="宋体"/>
          <w:b w:val="0"/>
          <w:bCs w:val="0"/>
          <w:color w:val="auto"/>
          <w:kern w:val="2"/>
          <w:sz w:val="24"/>
          <w:szCs w:val="24"/>
          <w:highlight w:val="none"/>
        </w:rPr>
        <w:t>法及有关</w:t>
      </w:r>
      <w:r>
        <w:rPr>
          <w:rFonts w:hint="eastAsia" w:ascii="宋体" w:hAnsi="宋体" w:cs="宋体"/>
          <w:b w:val="0"/>
          <w:bCs w:val="0"/>
          <w:color w:val="auto"/>
          <w:kern w:val="2"/>
          <w:sz w:val="24"/>
          <w:szCs w:val="24"/>
          <w:highlight w:val="none"/>
          <w:lang w:eastAsia="zh-CN"/>
        </w:rPr>
        <w:t>法律法规</w:t>
      </w:r>
      <w:r>
        <w:rPr>
          <w:rFonts w:hint="eastAsia" w:ascii="宋体" w:hAnsi="宋体" w:cs="宋体"/>
          <w:b w:val="0"/>
          <w:bCs w:val="0"/>
          <w:color w:val="auto"/>
          <w:kern w:val="2"/>
          <w:sz w:val="24"/>
          <w:szCs w:val="24"/>
          <w:highlight w:val="none"/>
        </w:rPr>
        <w:t>的。</w:t>
      </w:r>
      <w:bookmarkEnd w:id="151"/>
      <w:bookmarkEnd w:id="152"/>
      <w:bookmarkEnd w:id="153"/>
      <w:bookmarkEnd w:id="154"/>
      <w:bookmarkEnd w:id="155"/>
    </w:p>
    <w:p w14:paraId="4A0F1902">
      <w:pPr>
        <w:pStyle w:val="46"/>
        <w:spacing w:before="0" w:after="0" w:line="360" w:lineRule="auto"/>
        <w:ind w:left="2" w:leftChars="-270" w:hanging="569" w:hangingChars="236"/>
        <w:jc w:val="left"/>
        <w:outlineLvl w:val="9"/>
        <w:rPr>
          <w:rFonts w:ascii="宋体" w:hAnsi="宋体" w:cs="宋体"/>
          <w:color w:val="auto"/>
          <w:kern w:val="2"/>
          <w:sz w:val="24"/>
          <w:szCs w:val="24"/>
          <w:highlight w:val="none"/>
        </w:rPr>
      </w:pPr>
      <w:bookmarkStart w:id="156" w:name="_Toc504654710"/>
      <w:bookmarkStart w:id="157" w:name="_Toc5713"/>
      <w:bookmarkStart w:id="158" w:name="_Toc504479224"/>
      <w:bookmarkStart w:id="159" w:name="_Toc504479675"/>
      <w:bookmarkStart w:id="160" w:name="_Toc445473515"/>
      <w:r>
        <w:rPr>
          <w:rFonts w:hint="eastAsia" w:ascii="宋体" w:hAnsi="宋体" w:cs="宋体"/>
          <w:color w:val="auto"/>
          <w:kern w:val="2"/>
          <w:sz w:val="24"/>
          <w:szCs w:val="24"/>
          <w:highlight w:val="none"/>
        </w:rPr>
        <w:t>7、</w:t>
      </w:r>
      <w:r>
        <w:rPr>
          <w:rFonts w:hint="eastAsia" w:ascii="宋体" w:hAnsi="宋体" w:cs="宋体"/>
          <w:color w:val="auto"/>
          <w:kern w:val="2"/>
          <w:sz w:val="24"/>
          <w:szCs w:val="24"/>
          <w:highlight w:val="none"/>
          <w:lang w:eastAsia="zh-CN"/>
        </w:rPr>
        <w:t>响应文件</w:t>
      </w:r>
      <w:r>
        <w:rPr>
          <w:rFonts w:hint="eastAsia" w:ascii="宋体" w:hAnsi="宋体" w:cs="宋体"/>
          <w:color w:val="auto"/>
          <w:kern w:val="2"/>
          <w:sz w:val="24"/>
          <w:szCs w:val="24"/>
          <w:highlight w:val="none"/>
        </w:rPr>
        <w:t>的修改、补充与撤回</w:t>
      </w:r>
      <w:bookmarkEnd w:id="156"/>
      <w:bookmarkEnd w:id="157"/>
      <w:bookmarkEnd w:id="158"/>
      <w:bookmarkEnd w:id="159"/>
      <w:bookmarkEnd w:id="160"/>
    </w:p>
    <w:p w14:paraId="3D80D46D">
      <w:pPr>
        <w:pStyle w:val="46"/>
        <w:spacing w:before="0" w:after="0" w:line="360" w:lineRule="auto"/>
        <w:ind w:leftChars="-40" w:hanging="84" w:hangingChars="35"/>
        <w:jc w:val="left"/>
        <w:outlineLvl w:val="9"/>
        <w:rPr>
          <w:rFonts w:ascii="宋体" w:hAnsi="宋体" w:cs="宋体"/>
          <w:b w:val="0"/>
          <w:bCs w:val="0"/>
          <w:color w:val="auto"/>
          <w:kern w:val="2"/>
          <w:sz w:val="24"/>
          <w:szCs w:val="24"/>
          <w:highlight w:val="none"/>
        </w:rPr>
      </w:pPr>
      <w:bookmarkStart w:id="161" w:name="_Toc504479676"/>
      <w:bookmarkStart w:id="162" w:name="_Toc504479225"/>
      <w:bookmarkStart w:id="163" w:name="_Toc504654711"/>
      <w:bookmarkStart w:id="164" w:name="_Toc445473516"/>
      <w:bookmarkStart w:id="165" w:name="_Toc28794"/>
      <w:bookmarkStart w:id="166" w:name="_Toc429224675"/>
      <w:bookmarkStart w:id="167" w:name="_Toc435021105"/>
      <w:r>
        <w:rPr>
          <w:rFonts w:hint="eastAsia" w:ascii="宋体" w:hAnsi="宋体" w:cs="宋体"/>
          <w:b w:val="0"/>
          <w:bCs w:val="0"/>
          <w:color w:val="auto"/>
          <w:kern w:val="2"/>
          <w:sz w:val="24"/>
          <w:szCs w:val="24"/>
          <w:highlight w:val="none"/>
        </w:rPr>
        <w:t>7.1</w:t>
      </w:r>
      <w:bookmarkEnd w:id="161"/>
      <w:bookmarkEnd w:id="162"/>
      <w:bookmarkEnd w:id="163"/>
      <w:bookmarkEnd w:id="164"/>
      <w:bookmarkEnd w:id="165"/>
      <w:bookmarkEnd w:id="166"/>
      <w:bookmarkEnd w:id="167"/>
      <w:r>
        <w:rPr>
          <w:rFonts w:hint="eastAsia" w:ascii="宋体" w:hAnsi="宋体" w:cs="宋体"/>
          <w:b w:val="0"/>
          <w:bCs w:val="0"/>
          <w:color w:val="auto"/>
          <w:kern w:val="2"/>
          <w:sz w:val="24"/>
          <w:szCs w:val="24"/>
          <w:highlight w:val="none"/>
        </w:rPr>
        <w:t>在投标截止时间前，供应商可以补充、修改或撤回已递交的响应文件，补充或者修改响应文件的，应当先行撤回原文件，补充、修改后重新传输递交。响应文件提交截止时间前未完成传输的，视为撤回响应文件。响应文件提交截止时间后递交的响应文件，“政采云”平台将拒收。</w:t>
      </w:r>
    </w:p>
    <w:p w14:paraId="03AA42CF">
      <w:pPr>
        <w:pStyle w:val="46"/>
        <w:spacing w:before="0" w:after="0" w:line="360" w:lineRule="auto"/>
        <w:ind w:leftChars="-40" w:hanging="84" w:hangingChars="35"/>
        <w:jc w:val="left"/>
        <w:outlineLvl w:val="9"/>
        <w:rPr>
          <w:rFonts w:hint="eastAsia" w:ascii="宋体" w:hAnsi="宋体" w:cs="宋体"/>
          <w:b w:val="0"/>
          <w:bCs w:val="0"/>
          <w:color w:val="auto"/>
          <w:kern w:val="2"/>
          <w:sz w:val="24"/>
          <w:szCs w:val="24"/>
          <w:highlight w:val="none"/>
          <w:lang w:val="en-US" w:eastAsia="zh-CN"/>
        </w:rPr>
      </w:pPr>
      <w:bookmarkStart w:id="168" w:name="_Toc445473518"/>
      <w:bookmarkStart w:id="169" w:name="_Toc504479227"/>
      <w:bookmarkStart w:id="170" w:name="_Toc17073"/>
      <w:bookmarkStart w:id="171" w:name="_Toc504654713"/>
      <w:bookmarkStart w:id="172" w:name="_Toc504479678"/>
      <w:r>
        <w:rPr>
          <w:rFonts w:hint="eastAsia" w:ascii="宋体" w:hAnsi="宋体" w:cs="宋体"/>
          <w:b w:val="0"/>
          <w:bCs w:val="0"/>
          <w:color w:val="auto"/>
          <w:kern w:val="2"/>
          <w:sz w:val="24"/>
          <w:szCs w:val="24"/>
          <w:highlight w:val="none"/>
        </w:rPr>
        <w:t>7.</w:t>
      </w:r>
      <w:r>
        <w:rPr>
          <w:rFonts w:hint="eastAsia" w:ascii="宋体" w:hAnsi="宋体" w:cs="宋体"/>
          <w:b w:val="0"/>
          <w:bCs w:val="0"/>
          <w:color w:val="auto"/>
          <w:kern w:val="2"/>
          <w:sz w:val="24"/>
          <w:szCs w:val="24"/>
          <w:highlight w:val="none"/>
          <w:lang w:val="en-US" w:eastAsia="zh-CN"/>
        </w:rPr>
        <w:t>2供应商修改或撤回已递交响应文件的书面通知应按照要求签字或盖章。</w:t>
      </w:r>
    </w:p>
    <w:bookmarkEnd w:id="168"/>
    <w:bookmarkEnd w:id="169"/>
    <w:bookmarkEnd w:id="170"/>
    <w:bookmarkEnd w:id="171"/>
    <w:bookmarkEnd w:id="172"/>
    <w:p w14:paraId="568FAA67">
      <w:pPr>
        <w:pStyle w:val="46"/>
        <w:spacing w:before="0" w:after="0" w:line="360" w:lineRule="auto"/>
        <w:ind w:leftChars="-40" w:hanging="84" w:hangingChars="35"/>
        <w:jc w:val="left"/>
        <w:outlineLvl w:val="2"/>
        <w:rPr>
          <w:rFonts w:ascii="宋体" w:hAnsi="宋体" w:cs="宋体"/>
          <w:b w:val="0"/>
          <w:bCs w:val="0"/>
          <w:color w:val="auto"/>
          <w:kern w:val="2"/>
          <w:sz w:val="24"/>
          <w:szCs w:val="24"/>
          <w:highlight w:val="none"/>
        </w:rPr>
      </w:pPr>
      <w:bookmarkStart w:id="173" w:name="_Toc229305345"/>
      <w:bookmarkStart w:id="174" w:name="_Toc511746978"/>
      <w:bookmarkStart w:id="175" w:name="_Toc309533323"/>
      <w:bookmarkStart w:id="176" w:name="_Toc221950189"/>
      <w:bookmarkStart w:id="177" w:name="_Toc11447"/>
      <w:bookmarkStart w:id="178" w:name="_Toc229408467"/>
      <w:bookmarkStart w:id="179" w:name="_Toc222033836"/>
      <w:bookmarkStart w:id="180" w:name="_Toc310088827"/>
      <w:bookmarkStart w:id="181" w:name="_Toc168476077"/>
      <w:bookmarkStart w:id="182" w:name="_Toc309533719"/>
      <w:bookmarkStart w:id="183" w:name="_Toc168475674"/>
      <w:bookmarkStart w:id="184" w:name="_Toc222030987"/>
      <w:bookmarkStart w:id="185" w:name="_Toc311205776"/>
      <w:bookmarkStart w:id="186" w:name="_Toc222032654"/>
      <w:bookmarkStart w:id="187" w:name="_Toc222029485"/>
      <w:bookmarkStart w:id="188" w:name="_Toc144974527"/>
      <w:r>
        <w:rPr>
          <w:rFonts w:hint="eastAsia" w:ascii="宋体" w:hAnsi="宋体"/>
          <w:color w:val="auto"/>
          <w:sz w:val="24"/>
          <w:szCs w:val="24"/>
          <w:highlight w:val="none"/>
        </w:rPr>
        <w:t>（四）开标</w:t>
      </w:r>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p>
    <w:p w14:paraId="59A4913B">
      <w:pPr>
        <w:spacing w:line="440" w:lineRule="exact"/>
        <w:rPr>
          <w:rFonts w:ascii="宋体" w:hAnsi="宋体"/>
          <w:b/>
          <w:color w:val="auto"/>
          <w:sz w:val="24"/>
          <w:highlight w:val="none"/>
        </w:rPr>
      </w:pPr>
      <w:bookmarkStart w:id="189" w:name="_Toc221950192"/>
      <w:r>
        <w:rPr>
          <w:rFonts w:hint="eastAsia" w:ascii="宋体" w:hAnsi="宋体"/>
          <w:b/>
          <w:color w:val="auto"/>
          <w:sz w:val="24"/>
          <w:highlight w:val="none"/>
        </w:rPr>
        <w:t>4.1 开标时间和地点</w:t>
      </w:r>
    </w:p>
    <w:p w14:paraId="39C050AE">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采购人</w:t>
      </w:r>
      <w:r>
        <w:rPr>
          <w:rFonts w:hint="eastAsia" w:ascii="宋体" w:hAnsi="宋体"/>
          <w:color w:val="auto"/>
          <w:sz w:val="24"/>
          <w:highlight w:val="none"/>
        </w:rPr>
        <w:t>在</w:t>
      </w:r>
      <w:r>
        <w:rPr>
          <w:rFonts w:hint="eastAsia" w:ascii="宋体" w:hAnsi="宋体"/>
          <w:color w:val="auto"/>
          <w:sz w:val="24"/>
          <w:highlight w:val="none"/>
          <w:lang w:val="en-US" w:eastAsia="zh-CN"/>
        </w:rPr>
        <w:t>供应商须知前附表</w:t>
      </w:r>
      <w:r>
        <w:rPr>
          <w:rFonts w:hint="eastAsia" w:ascii="宋体" w:hAnsi="宋体"/>
          <w:color w:val="auto"/>
          <w:sz w:val="24"/>
          <w:highlight w:val="none"/>
        </w:rPr>
        <w:t>规定的投标截止时间（开标时间）和</w:t>
      </w:r>
      <w:r>
        <w:rPr>
          <w:rFonts w:hint="eastAsia" w:ascii="宋体" w:hAnsi="宋体"/>
          <w:color w:val="auto"/>
          <w:sz w:val="24"/>
          <w:highlight w:val="none"/>
          <w:lang w:eastAsia="zh-CN"/>
        </w:rPr>
        <w:t>供应商</w:t>
      </w:r>
      <w:r>
        <w:rPr>
          <w:rFonts w:hint="eastAsia" w:ascii="宋体" w:hAnsi="宋体"/>
          <w:color w:val="auto"/>
          <w:sz w:val="24"/>
          <w:highlight w:val="none"/>
        </w:rPr>
        <w:t>须知前附表规定的地点公开开标。</w:t>
      </w:r>
      <w:bookmarkEnd w:id="189"/>
      <w:r>
        <w:rPr>
          <w:rFonts w:hint="eastAsia" w:ascii="宋体" w:hAnsi="宋体"/>
          <w:color w:val="auto"/>
          <w:sz w:val="24"/>
          <w:highlight w:val="none"/>
          <w:lang w:eastAsia="zh-CN"/>
        </w:rPr>
        <w:t>供应商</w:t>
      </w:r>
      <w:r>
        <w:rPr>
          <w:rFonts w:hint="eastAsia" w:ascii="宋体" w:hAnsi="宋体"/>
          <w:color w:val="auto"/>
          <w:sz w:val="24"/>
          <w:highlight w:val="none"/>
        </w:rPr>
        <w:t>有关人员参加开标会的要求见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73578432">
      <w:pPr>
        <w:spacing w:line="440" w:lineRule="exact"/>
        <w:rPr>
          <w:rFonts w:ascii="宋体" w:hAnsi="宋体"/>
          <w:b/>
          <w:color w:val="auto"/>
          <w:sz w:val="24"/>
          <w:highlight w:val="none"/>
        </w:rPr>
      </w:pPr>
      <w:bookmarkStart w:id="190" w:name="_Toc221950196"/>
      <w:r>
        <w:rPr>
          <w:rFonts w:hint="eastAsia" w:ascii="宋体" w:hAnsi="宋体"/>
          <w:b/>
          <w:color w:val="auto"/>
          <w:sz w:val="24"/>
          <w:highlight w:val="none"/>
        </w:rPr>
        <w:t>4.2 开标程序</w:t>
      </w:r>
    </w:p>
    <w:p w14:paraId="01BB9C45">
      <w:pPr>
        <w:spacing w:line="440" w:lineRule="exact"/>
        <w:ind w:firstLine="236" w:firstLineChars="98"/>
        <w:rPr>
          <w:rFonts w:ascii="宋体" w:hAnsi="宋体"/>
          <w:color w:val="auto"/>
          <w:sz w:val="24"/>
          <w:highlight w:val="none"/>
        </w:rPr>
      </w:pPr>
      <w:r>
        <w:rPr>
          <w:rFonts w:hint="eastAsia" w:ascii="宋体" w:hAnsi="宋体"/>
          <w:b/>
          <w:color w:val="auto"/>
          <w:sz w:val="24"/>
          <w:highlight w:val="none"/>
        </w:rPr>
        <w:t xml:space="preserve"> </w:t>
      </w:r>
      <w:r>
        <w:rPr>
          <w:rFonts w:hint="eastAsia" w:ascii="宋体" w:hAnsi="宋体"/>
          <w:color w:val="auto"/>
          <w:sz w:val="24"/>
          <w:highlight w:val="none"/>
        </w:rPr>
        <w:t>主持人按下列程序进行开标：</w:t>
      </w:r>
    </w:p>
    <w:p w14:paraId="5E268AB9">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l）宣布开标纪律；</w:t>
      </w:r>
    </w:p>
    <w:p w14:paraId="39F6937E">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2）宣布主持人、开标人、唱标人、监标人等有关人员；</w:t>
      </w:r>
    </w:p>
    <w:p w14:paraId="61D3FF38">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3）公布在投标截止时间前递交</w:t>
      </w:r>
      <w:r>
        <w:rPr>
          <w:rFonts w:hint="eastAsia" w:ascii="宋体" w:hAnsi="宋体"/>
          <w:color w:val="auto"/>
          <w:sz w:val="24"/>
          <w:highlight w:val="none"/>
          <w:lang w:eastAsia="zh-CN"/>
        </w:rPr>
        <w:t>响应文件</w:t>
      </w:r>
      <w:r>
        <w:rPr>
          <w:rFonts w:hint="eastAsia" w:ascii="宋体" w:hAnsi="宋体"/>
          <w:color w:val="auto"/>
          <w:sz w:val="24"/>
          <w:highlight w:val="none"/>
        </w:rPr>
        <w:t>的</w:t>
      </w:r>
      <w:r>
        <w:rPr>
          <w:rFonts w:hint="eastAsia" w:ascii="宋体" w:hAnsi="宋体"/>
          <w:color w:val="auto"/>
          <w:sz w:val="24"/>
          <w:highlight w:val="none"/>
          <w:lang w:eastAsia="zh-CN"/>
        </w:rPr>
        <w:t>供应商</w:t>
      </w:r>
      <w:r>
        <w:rPr>
          <w:rFonts w:hint="eastAsia" w:ascii="宋体" w:hAnsi="宋体"/>
          <w:color w:val="auto"/>
          <w:sz w:val="24"/>
          <w:highlight w:val="none"/>
        </w:rPr>
        <w:t>名称；</w:t>
      </w:r>
    </w:p>
    <w:p w14:paraId="0257D325">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4）</w:t>
      </w:r>
      <w:r>
        <w:rPr>
          <w:rFonts w:hint="eastAsia" w:ascii="宋体" w:hAnsi="宋体"/>
          <w:color w:val="auto"/>
          <w:sz w:val="24"/>
          <w:highlight w:val="none"/>
          <w:lang w:val="en-US" w:eastAsia="zh-CN"/>
        </w:rPr>
        <w:t>供应商进行解密；</w:t>
      </w:r>
      <w:r>
        <w:rPr>
          <w:rFonts w:hint="eastAsia" w:ascii="宋体" w:hAnsi="宋体"/>
          <w:color w:val="auto"/>
          <w:sz w:val="24"/>
          <w:highlight w:val="none"/>
        </w:rPr>
        <w:t>全流程电子化项目没有现场递交响应文件环节。所有供应商均应当准时在线参加。供应商如不参加开标大会的，视同认可开标结果，事后不得对采购相关人员、开标过程和开标结果提出异议，同时供应商因未在线参加开标会议而导致响应文件无法按时解密等一切后果由供应商自己承担。如供应商成功解密响应文件，但未在“政采云”电子截标大厅参加截标的，视同认可截标过程和结果，由此产生的后果由供应商自行负责。 供应商</w:t>
      </w:r>
      <w:r>
        <w:rPr>
          <w:rFonts w:hint="eastAsia" w:ascii="宋体" w:hAnsi="宋体"/>
          <w:color w:val="auto"/>
          <w:sz w:val="24"/>
          <w:highlight w:val="none"/>
          <w:lang w:val="en-US" w:eastAsia="zh-CN"/>
        </w:rPr>
        <w:t>对</w:t>
      </w:r>
      <w:r>
        <w:rPr>
          <w:rFonts w:hint="eastAsia" w:ascii="宋体" w:hAnsi="宋体"/>
          <w:color w:val="auto"/>
          <w:sz w:val="24"/>
          <w:highlight w:val="none"/>
        </w:rPr>
        <w:t>开标有异议的，应当在开标现场提出，采购人当场作出答复，并制作记录。</w:t>
      </w:r>
    </w:p>
    <w:p w14:paraId="68D6E588">
      <w:pPr>
        <w:spacing w:line="440" w:lineRule="exact"/>
        <w:ind w:firstLine="528" w:firstLineChars="22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5）按照宣布的开标顺序当众开标，公布</w:t>
      </w:r>
      <w:r>
        <w:rPr>
          <w:rFonts w:hint="eastAsia" w:ascii="宋体" w:hAnsi="宋体"/>
          <w:color w:val="auto"/>
          <w:sz w:val="24"/>
          <w:highlight w:val="none"/>
          <w:lang w:eastAsia="zh-CN"/>
        </w:rPr>
        <w:t>供应商</w:t>
      </w:r>
      <w:r>
        <w:rPr>
          <w:rFonts w:hint="eastAsia" w:ascii="宋体" w:hAnsi="宋体"/>
          <w:color w:val="auto"/>
          <w:sz w:val="24"/>
          <w:highlight w:val="none"/>
        </w:rPr>
        <w:t>名称、资质等级、投标报价、质量目标、工期</w:t>
      </w:r>
      <w:r>
        <w:rPr>
          <w:rFonts w:hint="eastAsia" w:ascii="宋体" w:hAnsi="宋体"/>
          <w:color w:val="auto"/>
          <w:sz w:val="24"/>
          <w:highlight w:val="none"/>
          <w:lang w:eastAsia="zh-CN"/>
        </w:rPr>
        <w:t>及其他磋商文件</w:t>
      </w:r>
      <w:r>
        <w:rPr>
          <w:rFonts w:hint="eastAsia" w:ascii="宋体" w:hAnsi="宋体"/>
          <w:color w:val="auto"/>
          <w:sz w:val="24"/>
          <w:highlight w:val="none"/>
        </w:rPr>
        <w:t>规定开标时公布的内容；</w:t>
      </w:r>
    </w:p>
    <w:p w14:paraId="3830BA94">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lang w:val="en-US" w:eastAsia="zh-CN"/>
        </w:rPr>
        <w:t>6</w:t>
      </w:r>
      <w:r>
        <w:rPr>
          <w:rFonts w:hint="eastAsia" w:ascii="宋体" w:hAnsi="宋体"/>
          <w:color w:val="auto"/>
          <w:sz w:val="24"/>
          <w:highlight w:val="none"/>
        </w:rPr>
        <w:t>）监标人、</w:t>
      </w:r>
      <w:r>
        <w:rPr>
          <w:rFonts w:hint="eastAsia" w:ascii="宋体" w:hAnsi="宋体"/>
          <w:color w:val="auto"/>
          <w:sz w:val="24"/>
          <w:highlight w:val="none"/>
          <w:lang w:eastAsia="zh-CN"/>
        </w:rPr>
        <w:t>采购人</w:t>
      </w:r>
      <w:r>
        <w:rPr>
          <w:rFonts w:hint="eastAsia" w:ascii="宋体" w:hAnsi="宋体"/>
          <w:color w:val="auto"/>
          <w:sz w:val="24"/>
          <w:highlight w:val="none"/>
        </w:rPr>
        <w:t>代表</w:t>
      </w:r>
      <w:r>
        <w:rPr>
          <w:rFonts w:hint="eastAsia" w:ascii="宋体" w:hAnsi="宋体"/>
          <w:color w:val="auto"/>
          <w:sz w:val="24"/>
          <w:highlight w:val="none"/>
          <w:lang w:val="en-US" w:eastAsia="zh-CN"/>
        </w:rPr>
        <w:t>等</w:t>
      </w:r>
      <w:r>
        <w:rPr>
          <w:rFonts w:hint="eastAsia" w:ascii="宋体" w:hAnsi="宋体"/>
          <w:color w:val="auto"/>
          <w:sz w:val="24"/>
          <w:highlight w:val="none"/>
        </w:rPr>
        <w:t>有关人员在开标记录表上签字确认；</w:t>
      </w:r>
    </w:p>
    <w:p w14:paraId="2947A022">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lang w:val="en-US" w:eastAsia="zh-CN"/>
        </w:rPr>
        <w:t>7</w:t>
      </w:r>
      <w:r>
        <w:rPr>
          <w:rFonts w:hint="eastAsia" w:ascii="宋体" w:hAnsi="宋体"/>
          <w:color w:val="auto"/>
          <w:sz w:val="24"/>
          <w:highlight w:val="none"/>
        </w:rPr>
        <w:t>）开标结束。</w:t>
      </w:r>
    </w:p>
    <w:p w14:paraId="4007B55E">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对出席开标会议人员，开标顺序、</w:t>
      </w:r>
      <w:r>
        <w:rPr>
          <w:rFonts w:hint="eastAsia" w:ascii="宋体" w:hAnsi="宋体"/>
          <w:color w:val="auto"/>
          <w:sz w:val="24"/>
          <w:highlight w:val="none"/>
          <w:lang w:eastAsia="zh-CN"/>
        </w:rPr>
        <w:t>响应文件</w:t>
      </w:r>
      <w:r>
        <w:rPr>
          <w:rFonts w:hint="eastAsia" w:ascii="宋体" w:hAnsi="宋体"/>
          <w:color w:val="auto"/>
          <w:sz w:val="24"/>
          <w:highlight w:val="none"/>
        </w:rPr>
        <w:t>密封情况以及开标现场公开的其他主要情况有疑义的，开标现场的人员应当场提出。</w:t>
      </w:r>
      <w:bookmarkEnd w:id="190"/>
      <w:bookmarkStart w:id="191" w:name="_Toc311205777"/>
      <w:bookmarkStart w:id="192" w:name="_Toc222029486"/>
      <w:bookmarkStart w:id="193" w:name="_Toc222030988"/>
      <w:bookmarkStart w:id="194" w:name="_Toc221950200"/>
      <w:bookmarkStart w:id="195" w:name="_Toc168475677"/>
      <w:bookmarkStart w:id="196" w:name="_Toc309533720"/>
      <w:bookmarkStart w:id="197" w:name="_Toc222032655"/>
      <w:bookmarkStart w:id="198" w:name="_Toc229408468"/>
      <w:bookmarkStart w:id="199" w:name="_Toc310088828"/>
      <w:bookmarkStart w:id="200" w:name="_Toc144974530"/>
      <w:bookmarkStart w:id="201" w:name="_Toc229305346"/>
      <w:bookmarkStart w:id="202" w:name="_Toc222033837"/>
      <w:bookmarkStart w:id="203" w:name="_Toc309533324"/>
      <w:bookmarkStart w:id="204" w:name="_Toc168476080"/>
      <w:bookmarkStart w:id="205" w:name="_Toc511746979"/>
    </w:p>
    <w:p w14:paraId="0C504698">
      <w:pPr>
        <w:spacing w:line="440" w:lineRule="exact"/>
        <w:ind w:firstLine="482" w:firstLineChars="200"/>
        <w:outlineLvl w:val="2"/>
        <w:rPr>
          <w:rFonts w:hint="eastAsia" w:ascii="宋体" w:hAnsi="宋体" w:eastAsia="宋体"/>
          <w:b/>
          <w:color w:val="auto"/>
          <w:sz w:val="24"/>
          <w:highlight w:val="none"/>
          <w:lang w:eastAsia="zh-CN"/>
        </w:rPr>
      </w:pPr>
      <w:bookmarkStart w:id="206" w:name="_Toc1716"/>
      <w:r>
        <w:rPr>
          <w:rFonts w:hint="eastAsia" w:ascii="宋体" w:hAnsi="宋体"/>
          <w:b/>
          <w:color w:val="auto"/>
          <w:sz w:val="24"/>
          <w:highlight w:val="none"/>
        </w:rPr>
        <w:t>（五）</w:t>
      </w:r>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r>
        <w:rPr>
          <w:rFonts w:hint="eastAsia" w:ascii="宋体" w:hAnsi="宋体"/>
          <w:b/>
          <w:color w:val="auto"/>
          <w:sz w:val="24"/>
          <w:highlight w:val="none"/>
          <w:lang w:eastAsia="zh-CN"/>
        </w:rPr>
        <w:t>评审</w:t>
      </w:r>
    </w:p>
    <w:p w14:paraId="1C0D644D">
      <w:pPr>
        <w:spacing w:line="440" w:lineRule="exact"/>
        <w:rPr>
          <w:rFonts w:hint="eastAsia" w:ascii="宋体" w:hAnsi="宋体" w:eastAsia="宋体"/>
          <w:b/>
          <w:color w:val="auto"/>
          <w:sz w:val="24"/>
          <w:highlight w:val="none"/>
          <w:lang w:eastAsia="zh-CN"/>
        </w:rPr>
      </w:pPr>
      <w:r>
        <w:rPr>
          <w:rFonts w:hint="eastAsia" w:ascii="宋体" w:hAnsi="宋体"/>
          <w:b/>
          <w:color w:val="auto"/>
          <w:sz w:val="24"/>
          <w:highlight w:val="none"/>
        </w:rPr>
        <w:t xml:space="preserve">5.1 </w:t>
      </w:r>
      <w:r>
        <w:rPr>
          <w:rFonts w:hint="eastAsia" w:ascii="宋体" w:hAnsi="宋体"/>
          <w:b/>
          <w:color w:val="auto"/>
          <w:sz w:val="24"/>
          <w:highlight w:val="none"/>
          <w:lang w:eastAsia="zh-CN"/>
        </w:rPr>
        <w:t>磋商小组</w:t>
      </w:r>
    </w:p>
    <w:p w14:paraId="510D4498">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 xml:space="preserve">5.1.1 </w:t>
      </w:r>
      <w:r>
        <w:rPr>
          <w:rFonts w:hint="eastAsia" w:ascii="宋体" w:hAnsi="宋体"/>
          <w:color w:val="auto"/>
          <w:sz w:val="24"/>
          <w:highlight w:val="none"/>
          <w:lang w:eastAsia="zh-CN"/>
        </w:rPr>
        <w:t>评审</w:t>
      </w:r>
      <w:r>
        <w:rPr>
          <w:rFonts w:hint="eastAsia" w:ascii="宋体" w:hAnsi="宋体"/>
          <w:color w:val="auto"/>
          <w:sz w:val="24"/>
          <w:highlight w:val="none"/>
        </w:rPr>
        <w:t>由</w:t>
      </w:r>
      <w:r>
        <w:rPr>
          <w:rFonts w:hint="eastAsia" w:ascii="宋体" w:hAnsi="宋体"/>
          <w:color w:val="auto"/>
          <w:sz w:val="24"/>
          <w:highlight w:val="none"/>
          <w:lang w:eastAsia="zh-CN"/>
        </w:rPr>
        <w:t>采购人</w:t>
      </w:r>
      <w:r>
        <w:rPr>
          <w:rFonts w:hint="eastAsia" w:ascii="宋体" w:hAnsi="宋体"/>
          <w:color w:val="auto"/>
          <w:sz w:val="24"/>
          <w:highlight w:val="none"/>
        </w:rPr>
        <w:t>依法组建的</w:t>
      </w:r>
      <w:r>
        <w:rPr>
          <w:rFonts w:hint="eastAsia" w:ascii="宋体" w:hAnsi="宋体"/>
          <w:color w:val="auto"/>
          <w:sz w:val="24"/>
          <w:highlight w:val="none"/>
          <w:lang w:eastAsia="zh-CN"/>
        </w:rPr>
        <w:t>磋商小组</w:t>
      </w:r>
      <w:r>
        <w:rPr>
          <w:rFonts w:hint="eastAsia" w:ascii="宋体" w:hAnsi="宋体"/>
          <w:color w:val="auto"/>
          <w:sz w:val="24"/>
          <w:highlight w:val="none"/>
        </w:rPr>
        <w:t>负责。</w:t>
      </w:r>
      <w:r>
        <w:rPr>
          <w:rFonts w:hint="eastAsia" w:ascii="宋体" w:hAnsi="宋体"/>
          <w:color w:val="auto"/>
          <w:sz w:val="24"/>
          <w:highlight w:val="none"/>
          <w:lang w:eastAsia="zh-CN"/>
        </w:rPr>
        <w:t>磋商小组</w:t>
      </w:r>
      <w:r>
        <w:rPr>
          <w:rFonts w:hint="eastAsia" w:ascii="宋体" w:hAnsi="宋体"/>
          <w:color w:val="auto"/>
          <w:sz w:val="24"/>
          <w:highlight w:val="none"/>
        </w:rPr>
        <w:t>由</w:t>
      </w:r>
      <w:r>
        <w:rPr>
          <w:rFonts w:hint="eastAsia" w:ascii="宋体" w:hAnsi="宋体"/>
          <w:color w:val="auto"/>
          <w:sz w:val="24"/>
          <w:highlight w:val="none"/>
          <w:lang w:val="en-US" w:eastAsia="zh-CN"/>
        </w:rPr>
        <w:t>3</w:t>
      </w:r>
      <w:r>
        <w:rPr>
          <w:rFonts w:hint="eastAsia" w:ascii="宋体" w:hAnsi="宋体"/>
          <w:color w:val="auto"/>
          <w:sz w:val="24"/>
          <w:highlight w:val="none"/>
        </w:rPr>
        <w:t>名有关技术、经济等方面的专家组成。</w:t>
      </w:r>
      <w:r>
        <w:rPr>
          <w:rFonts w:hint="eastAsia" w:ascii="宋体" w:hAnsi="宋体"/>
          <w:color w:val="auto"/>
          <w:sz w:val="24"/>
          <w:highlight w:val="none"/>
          <w:lang w:eastAsia="zh-CN"/>
        </w:rPr>
        <w:t>磋商小组</w:t>
      </w:r>
      <w:r>
        <w:rPr>
          <w:rFonts w:hint="eastAsia" w:ascii="宋体" w:hAnsi="宋体"/>
          <w:color w:val="auto"/>
          <w:sz w:val="24"/>
          <w:highlight w:val="none"/>
        </w:rPr>
        <w:t>成员人数以及技术、经济等方面专家的确定方式见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27CCC2A4">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 xml:space="preserve">5.1.2 </w:t>
      </w:r>
      <w:r>
        <w:rPr>
          <w:rFonts w:hint="eastAsia" w:ascii="宋体" w:hAnsi="宋体"/>
          <w:color w:val="auto"/>
          <w:sz w:val="24"/>
          <w:highlight w:val="none"/>
          <w:lang w:eastAsia="zh-CN"/>
        </w:rPr>
        <w:t>磋商小组</w:t>
      </w:r>
      <w:r>
        <w:rPr>
          <w:rFonts w:hint="eastAsia" w:ascii="宋体" w:hAnsi="宋体"/>
          <w:color w:val="auto"/>
          <w:sz w:val="24"/>
          <w:highlight w:val="none"/>
        </w:rPr>
        <w:t>成员有下列情形之一的，应当回避：</w:t>
      </w:r>
    </w:p>
    <w:p w14:paraId="6484AA44">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1）</w:t>
      </w:r>
      <w:r>
        <w:rPr>
          <w:rFonts w:hint="eastAsia" w:ascii="宋体" w:hAnsi="宋体"/>
          <w:color w:val="auto"/>
          <w:sz w:val="24"/>
          <w:highlight w:val="none"/>
          <w:lang w:eastAsia="zh-CN"/>
        </w:rPr>
        <w:t>采购人</w:t>
      </w:r>
      <w:r>
        <w:rPr>
          <w:rFonts w:hint="eastAsia" w:ascii="宋体" w:hAnsi="宋体"/>
          <w:color w:val="auto"/>
          <w:sz w:val="24"/>
          <w:highlight w:val="none"/>
        </w:rPr>
        <w:t>或</w:t>
      </w:r>
      <w:r>
        <w:rPr>
          <w:rFonts w:hint="eastAsia" w:ascii="宋体" w:hAnsi="宋体"/>
          <w:color w:val="auto"/>
          <w:sz w:val="24"/>
          <w:highlight w:val="none"/>
          <w:lang w:eastAsia="zh-CN"/>
        </w:rPr>
        <w:t>供应商</w:t>
      </w:r>
      <w:r>
        <w:rPr>
          <w:rFonts w:hint="eastAsia" w:ascii="宋体" w:hAnsi="宋体"/>
          <w:color w:val="auto"/>
          <w:sz w:val="24"/>
          <w:highlight w:val="none"/>
        </w:rPr>
        <w:t>的主要负责人的近亲属；</w:t>
      </w:r>
    </w:p>
    <w:p w14:paraId="4A0222C6">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2）项目主管部门或者行政监督部门的人员；</w:t>
      </w:r>
    </w:p>
    <w:p w14:paraId="715209E0">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3）与</w:t>
      </w:r>
      <w:r>
        <w:rPr>
          <w:rFonts w:hint="eastAsia" w:ascii="宋体" w:hAnsi="宋体"/>
          <w:color w:val="auto"/>
          <w:sz w:val="24"/>
          <w:highlight w:val="none"/>
          <w:lang w:eastAsia="zh-CN"/>
        </w:rPr>
        <w:t>供应商</w:t>
      </w:r>
      <w:r>
        <w:rPr>
          <w:rFonts w:hint="eastAsia" w:ascii="宋体" w:hAnsi="宋体"/>
          <w:color w:val="auto"/>
          <w:sz w:val="24"/>
          <w:highlight w:val="none"/>
        </w:rPr>
        <w:t>有经济利益关系，可能影响对投标公正评审的；</w:t>
      </w:r>
    </w:p>
    <w:p w14:paraId="3647FAA9">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4）曾因在招标、</w:t>
      </w:r>
      <w:r>
        <w:rPr>
          <w:rFonts w:hint="eastAsia" w:ascii="宋体" w:hAnsi="宋体"/>
          <w:color w:val="auto"/>
          <w:sz w:val="24"/>
          <w:highlight w:val="none"/>
          <w:lang w:eastAsia="zh-CN"/>
        </w:rPr>
        <w:t>评审</w:t>
      </w:r>
      <w:r>
        <w:rPr>
          <w:rFonts w:hint="eastAsia" w:ascii="宋体" w:hAnsi="宋体"/>
          <w:color w:val="auto"/>
          <w:sz w:val="24"/>
          <w:highlight w:val="none"/>
        </w:rPr>
        <w:t>以及其他与招标投标有关活动中从事违法行为而受过行政处罚或刑事处罚的；</w:t>
      </w:r>
    </w:p>
    <w:p w14:paraId="37C65BC5">
      <w:pPr>
        <w:spacing w:line="440" w:lineRule="exact"/>
        <w:ind w:firstLine="360" w:firstLineChars="150"/>
        <w:rPr>
          <w:rFonts w:ascii="宋体" w:hAnsi="宋体"/>
          <w:color w:val="auto"/>
          <w:sz w:val="24"/>
          <w:highlight w:val="none"/>
        </w:rPr>
      </w:pPr>
      <w:r>
        <w:rPr>
          <w:rFonts w:hint="eastAsia" w:ascii="宋体" w:hAnsi="宋体"/>
          <w:color w:val="auto"/>
          <w:sz w:val="24"/>
          <w:highlight w:val="none"/>
        </w:rPr>
        <w:t>（5）其他可能影响公正</w:t>
      </w:r>
      <w:r>
        <w:rPr>
          <w:rFonts w:hint="eastAsia" w:ascii="宋体" w:hAnsi="宋体"/>
          <w:color w:val="auto"/>
          <w:sz w:val="24"/>
          <w:highlight w:val="none"/>
          <w:lang w:eastAsia="zh-CN"/>
        </w:rPr>
        <w:t>评审</w:t>
      </w:r>
      <w:r>
        <w:rPr>
          <w:rFonts w:hint="eastAsia" w:ascii="宋体" w:hAnsi="宋体"/>
          <w:color w:val="auto"/>
          <w:sz w:val="24"/>
          <w:highlight w:val="none"/>
        </w:rPr>
        <w:t>的情形。</w:t>
      </w:r>
    </w:p>
    <w:p w14:paraId="1BB48F30">
      <w:pPr>
        <w:spacing w:line="440" w:lineRule="exact"/>
        <w:rPr>
          <w:rFonts w:ascii="宋体" w:hAnsi="宋体"/>
          <w:b/>
          <w:color w:val="auto"/>
          <w:sz w:val="24"/>
          <w:highlight w:val="none"/>
        </w:rPr>
      </w:pPr>
      <w:r>
        <w:rPr>
          <w:rFonts w:hint="eastAsia" w:ascii="宋体" w:hAnsi="宋体"/>
          <w:b/>
          <w:color w:val="auto"/>
          <w:sz w:val="24"/>
          <w:highlight w:val="none"/>
        </w:rPr>
        <w:t xml:space="preserve">5.2 </w:t>
      </w:r>
      <w:r>
        <w:rPr>
          <w:rFonts w:hint="eastAsia" w:ascii="宋体" w:hAnsi="宋体"/>
          <w:b/>
          <w:color w:val="auto"/>
          <w:sz w:val="24"/>
          <w:highlight w:val="none"/>
          <w:lang w:eastAsia="zh-CN"/>
        </w:rPr>
        <w:t>评审</w:t>
      </w:r>
      <w:r>
        <w:rPr>
          <w:rFonts w:hint="eastAsia" w:ascii="宋体" w:hAnsi="宋体"/>
          <w:b/>
          <w:color w:val="auto"/>
          <w:sz w:val="24"/>
          <w:highlight w:val="none"/>
        </w:rPr>
        <w:t>原则</w:t>
      </w:r>
    </w:p>
    <w:p w14:paraId="472BE8BF">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评审活动</w:t>
      </w:r>
      <w:r>
        <w:rPr>
          <w:rFonts w:hint="eastAsia" w:ascii="宋体" w:hAnsi="宋体"/>
          <w:color w:val="auto"/>
          <w:sz w:val="24"/>
          <w:highlight w:val="none"/>
        </w:rPr>
        <w:t>遵循公平、公正、科学和择优的原则。</w:t>
      </w:r>
    </w:p>
    <w:p w14:paraId="6B5C2304">
      <w:pPr>
        <w:spacing w:line="440" w:lineRule="exact"/>
        <w:rPr>
          <w:rFonts w:hint="eastAsia" w:ascii="宋体" w:hAnsi="宋体" w:eastAsia="宋体"/>
          <w:b/>
          <w:color w:val="auto"/>
          <w:sz w:val="24"/>
          <w:highlight w:val="none"/>
          <w:lang w:eastAsia="zh-CN"/>
        </w:rPr>
      </w:pPr>
      <w:r>
        <w:rPr>
          <w:rFonts w:hint="eastAsia" w:ascii="宋体" w:hAnsi="宋体"/>
          <w:b/>
          <w:color w:val="auto"/>
          <w:sz w:val="24"/>
          <w:highlight w:val="none"/>
        </w:rPr>
        <w:t xml:space="preserve">5.3 </w:t>
      </w:r>
      <w:r>
        <w:rPr>
          <w:rFonts w:hint="eastAsia" w:ascii="宋体" w:hAnsi="宋体"/>
          <w:b/>
          <w:color w:val="auto"/>
          <w:sz w:val="24"/>
          <w:highlight w:val="none"/>
          <w:lang w:eastAsia="zh-CN"/>
        </w:rPr>
        <w:t>评审</w:t>
      </w:r>
    </w:p>
    <w:p w14:paraId="271E1E00">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磋商小组</w:t>
      </w:r>
      <w:r>
        <w:rPr>
          <w:rFonts w:hint="eastAsia" w:ascii="宋体" w:hAnsi="宋体"/>
          <w:color w:val="auto"/>
          <w:sz w:val="24"/>
          <w:highlight w:val="none"/>
        </w:rPr>
        <w:t>按照第三章“</w:t>
      </w:r>
      <w:r>
        <w:rPr>
          <w:rFonts w:hint="eastAsia" w:ascii="宋体" w:hAnsi="宋体"/>
          <w:color w:val="auto"/>
          <w:sz w:val="24"/>
          <w:highlight w:val="none"/>
          <w:lang w:eastAsia="zh-CN"/>
        </w:rPr>
        <w:t>评审</w:t>
      </w:r>
      <w:r>
        <w:rPr>
          <w:rFonts w:hint="eastAsia" w:ascii="宋体" w:hAnsi="宋体"/>
          <w:color w:val="auto"/>
          <w:sz w:val="24"/>
          <w:highlight w:val="none"/>
        </w:rPr>
        <w:t>办法”规定的方法、评审因素、标准和程序对</w:t>
      </w:r>
      <w:r>
        <w:rPr>
          <w:rFonts w:hint="eastAsia" w:ascii="宋体" w:hAnsi="宋体"/>
          <w:color w:val="auto"/>
          <w:sz w:val="24"/>
          <w:highlight w:val="none"/>
          <w:lang w:eastAsia="zh-CN"/>
        </w:rPr>
        <w:t>响应文件</w:t>
      </w:r>
      <w:r>
        <w:rPr>
          <w:rFonts w:hint="eastAsia" w:ascii="宋体" w:hAnsi="宋体"/>
          <w:color w:val="auto"/>
          <w:sz w:val="24"/>
          <w:highlight w:val="none"/>
        </w:rPr>
        <w:t>进行评审。第三章“</w:t>
      </w:r>
      <w:r>
        <w:rPr>
          <w:rFonts w:hint="eastAsia" w:ascii="宋体" w:hAnsi="宋体"/>
          <w:color w:val="auto"/>
          <w:sz w:val="24"/>
          <w:highlight w:val="none"/>
          <w:lang w:eastAsia="zh-CN"/>
        </w:rPr>
        <w:t>评审</w:t>
      </w:r>
      <w:r>
        <w:rPr>
          <w:rFonts w:hint="eastAsia" w:ascii="宋体" w:hAnsi="宋体"/>
          <w:color w:val="auto"/>
          <w:sz w:val="24"/>
          <w:highlight w:val="none"/>
        </w:rPr>
        <w:t>办法”没有规定的方法、评审因素和标准，不作为</w:t>
      </w:r>
      <w:r>
        <w:rPr>
          <w:rFonts w:hint="eastAsia" w:ascii="宋体" w:hAnsi="宋体"/>
          <w:color w:val="auto"/>
          <w:sz w:val="24"/>
          <w:highlight w:val="none"/>
          <w:lang w:eastAsia="zh-CN"/>
        </w:rPr>
        <w:t>评审</w:t>
      </w:r>
      <w:r>
        <w:rPr>
          <w:rFonts w:hint="eastAsia" w:ascii="宋体" w:hAnsi="宋体"/>
          <w:color w:val="auto"/>
          <w:sz w:val="24"/>
          <w:highlight w:val="none"/>
        </w:rPr>
        <w:t>依据。</w:t>
      </w:r>
      <w:bookmarkStart w:id="207" w:name="_Toc144974534"/>
      <w:bookmarkStart w:id="208" w:name="_Toc309533721"/>
      <w:bookmarkStart w:id="209" w:name="_Toc511746980"/>
      <w:bookmarkStart w:id="210" w:name="_Toc168475681"/>
      <w:bookmarkStart w:id="211" w:name="_Toc310088829"/>
      <w:bookmarkStart w:id="212" w:name="_Toc222029487"/>
      <w:bookmarkStart w:id="213" w:name="_Toc222032656"/>
      <w:bookmarkStart w:id="214" w:name="_Toc311205778"/>
      <w:bookmarkStart w:id="215" w:name="_Toc309533325"/>
      <w:bookmarkStart w:id="216" w:name="_Toc229305347"/>
      <w:bookmarkStart w:id="217" w:name="_Toc229408469"/>
      <w:bookmarkStart w:id="218" w:name="_Toc221950208"/>
      <w:bookmarkStart w:id="219" w:name="_Toc222033838"/>
      <w:bookmarkStart w:id="220" w:name="_Toc168476084"/>
      <w:bookmarkStart w:id="221" w:name="_Toc222030989"/>
    </w:p>
    <w:p w14:paraId="55699FEE">
      <w:pPr>
        <w:spacing w:line="440" w:lineRule="exact"/>
        <w:ind w:firstLine="482" w:firstLineChars="200"/>
        <w:outlineLvl w:val="2"/>
        <w:rPr>
          <w:rFonts w:ascii="宋体" w:hAnsi="宋体"/>
          <w:b/>
          <w:color w:val="auto"/>
          <w:sz w:val="24"/>
          <w:highlight w:val="none"/>
        </w:rPr>
      </w:pPr>
      <w:bookmarkStart w:id="222" w:name="_Toc10750"/>
      <w:r>
        <w:rPr>
          <w:rFonts w:hint="eastAsia" w:ascii="宋体" w:hAnsi="宋体"/>
          <w:b/>
          <w:color w:val="auto"/>
          <w:sz w:val="24"/>
          <w:highlight w:val="none"/>
        </w:rPr>
        <w:t>（六）合同授予</w:t>
      </w:r>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p>
    <w:p w14:paraId="25CD594A">
      <w:pPr>
        <w:spacing w:line="440" w:lineRule="exact"/>
        <w:rPr>
          <w:rFonts w:ascii="宋体" w:hAnsi="宋体"/>
          <w:b/>
          <w:color w:val="auto"/>
          <w:sz w:val="24"/>
          <w:highlight w:val="none"/>
        </w:rPr>
      </w:pPr>
      <w:bookmarkStart w:id="223" w:name="_Toc221950211"/>
      <w:r>
        <w:rPr>
          <w:rFonts w:hint="eastAsia" w:ascii="宋体" w:hAnsi="宋体"/>
          <w:b/>
          <w:color w:val="auto"/>
          <w:sz w:val="24"/>
          <w:highlight w:val="none"/>
        </w:rPr>
        <w:t>6.1 定标方式</w:t>
      </w:r>
    </w:p>
    <w:p w14:paraId="46DD24DF">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磋商小组</w:t>
      </w:r>
      <w:r>
        <w:rPr>
          <w:rFonts w:hint="eastAsia" w:ascii="宋体" w:hAnsi="宋体"/>
          <w:color w:val="auto"/>
          <w:sz w:val="24"/>
          <w:highlight w:val="none"/>
        </w:rPr>
        <w:t>按得分由高到低的顺序推荐3名中标候选人</w:t>
      </w:r>
      <w:r>
        <w:rPr>
          <w:rFonts w:hint="eastAsia" w:ascii="宋体" w:hAnsi="宋体"/>
          <w:color w:val="auto"/>
          <w:sz w:val="24"/>
          <w:highlight w:val="none"/>
          <w:lang w:eastAsia="zh-CN"/>
        </w:rPr>
        <w:t>，</w:t>
      </w:r>
      <w:r>
        <w:rPr>
          <w:rFonts w:hint="eastAsia" w:ascii="宋体" w:hAnsi="宋体"/>
          <w:color w:val="auto"/>
          <w:sz w:val="24"/>
          <w:highlight w:val="none"/>
        </w:rPr>
        <w:t>并标明排列顺序。</w:t>
      </w:r>
      <w:r>
        <w:rPr>
          <w:rFonts w:hint="eastAsia" w:ascii="宋体" w:hAnsi="宋体"/>
          <w:color w:val="auto"/>
          <w:sz w:val="24"/>
          <w:highlight w:val="none"/>
          <w:lang w:eastAsia="zh-CN"/>
        </w:rPr>
        <w:t>采购人</w:t>
      </w:r>
      <w:r>
        <w:rPr>
          <w:rFonts w:hint="eastAsia" w:ascii="宋体" w:hAnsi="宋体"/>
          <w:color w:val="auto"/>
          <w:sz w:val="24"/>
          <w:highlight w:val="none"/>
        </w:rPr>
        <w:t>依据</w:t>
      </w:r>
      <w:r>
        <w:rPr>
          <w:rFonts w:hint="eastAsia" w:ascii="宋体" w:hAnsi="宋体"/>
          <w:color w:val="auto"/>
          <w:sz w:val="24"/>
          <w:highlight w:val="none"/>
          <w:lang w:eastAsia="zh-CN"/>
        </w:rPr>
        <w:t>磋商小组</w:t>
      </w:r>
      <w:r>
        <w:rPr>
          <w:rFonts w:hint="eastAsia" w:ascii="宋体" w:hAnsi="宋体"/>
          <w:color w:val="auto"/>
          <w:sz w:val="24"/>
          <w:highlight w:val="none"/>
        </w:rPr>
        <w:t>推荐的中标候选人确定</w:t>
      </w:r>
      <w:r>
        <w:rPr>
          <w:rFonts w:hint="eastAsia" w:ascii="宋体" w:hAnsi="宋体"/>
          <w:color w:val="auto"/>
          <w:sz w:val="24"/>
          <w:highlight w:val="none"/>
          <w:lang w:eastAsia="zh-CN"/>
        </w:rPr>
        <w:t>成交供应商</w:t>
      </w:r>
      <w:r>
        <w:rPr>
          <w:rFonts w:hint="eastAsia" w:ascii="宋体" w:hAnsi="宋体"/>
          <w:color w:val="auto"/>
          <w:sz w:val="24"/>
          <w:highlight w:val="none"/>
        </w:rPr>
        <w:t>。</w:t>
      </w:r>
      <w:bookmarkEnd w:id="223"/>
    </w:p>
    <w:p w14:paraId="08BA76A9">
      <w:pPr>
        <w:spacing w:line="440" w:lineRule="exact"/>
        <w:rPr>
          <w:rFonts w:ascii="宋体" w:hAnsi="宋体"/>
          <w:b/>
          <w:color w:val="auto"/>
          <w:sz w:val="24"/>
          <w:highlight w:val="none"/>
        </w:rPr>
      </w:pPr>
      <w:r>
        <w:rPr>
          <w:rFonts w:hint="eastAsia" w:ascii="宋体" w:hAnsi="宋体"/>
          <w:b/>
          <w:color w:val="auto"/>
          <w:sz w:val="24"/>
          <w:highlight w:val="none"/>
        </w:rPr>
        <w:t>6.2 中标通知</w:t>
      </w:r>
    </w:p>
    <w:p w14:paraId="612F0751">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在规定的</w:t>
      </w:r>
      <w:r>
        <w:rPr>
          <w:rFonts w:hint="eastAsia" w:ascii="宋体" w:hAnsi="宋体"/>
          <w:color w:val="auto"/>
          <w:sz w:val="24"/>
          <w:highlight w:val="none"/>
          <w:lang w:eastAsia="zh-CN"/>
        </w:rPr>
        <w:t>磋商有效期</w:t>
      </w:r>
      <w:r>
        <w:rPr>
          <w:rFonts w:hint="eastAsia" w:ascii="宋体" w:hAnsi="宋体"/>
          <w:color w:val="auto"/>
          <w:sz w:val="24"/>
          <w:highlight w:val="none"/>
        </w:rPr>
        <w:t>内，</w:t>
      </w:r>
      <w:r>
        <w:rPr>
          <w:rFonts w:hint="eastAsia" w:ascii="宋体" w:hAnsi="宋体"/>
          <w:color w:val="auto"/>
          <w:sz w:val="24"/>
          <w:highlight w:val="none"/>
          <w:lang w:eastAsia="zh-CN"/>
        </w:rPr>
        <w:t>采购人</w:t>
      </w:r>
      <w:r>
        <w:rPr>
          <w:rFonts w:hint="eastAsia" w:ascii="宋体" w:hAnsi="宋体"/>
          <w:color w:val="auto"/>
          <w:sz w:val="24"/>
          <w:highlight w:val="none"/>
        </w:rPr>
        <w:t>以书面形式向</w:t>
      </w:r>
      <w:r>
        <w:rPr>
          <w:rFonts w:hint="eastAsia" w:ascii="宋体" w:hAnsi="宋体"/>
          <w:color w:val="auto"/>
          <w:sz w:val="24"/>
          <w:highlight w:val="none"/>
          <w:lang w:eastAsia="zh-CN"/>
        </w:rPr>
        <w:t>成交供应商</w:t>
      </w:r>
      <w:r>
        <w:rPr>
          <w:rFonts w:hint="eastAsia" w:ascii="宋体" w:hAnsi="宋体"/>
          <w:color w:val="auto"/>
          <w:sz w:val="24"/>
          <w:highlight w:val="none"/>
        </w:rPr>
        <w:t>发出中标通知书，同时将中标结果通知未中标的</w:t>
      </w:r>
      <w:r>
        <w:rPr>
          <w:rFonts w:hint="eastAsia" w:ascii="宋体" w:hAnsi="宋体"/>
          <w:color w:val="auto"/>
          <w:sz w:val="24"/>
          <w:highlight w:val="none"/>
          <w:lang w:eastAsia="zh-CN"/>
        </w:rPr>
        <w:t>供应商</w:t>
      </w:r>
      <w:r>
        <w:rPr>
          <w:rFonts w:hint="eastAsia" w:ascii="宋体" w:hAnsi="宋体"/>
          <w:color w:val="auto"/>
          <w:sz w:val="24"/>
          <w:highlight w:val="none"/>
        </w:rPr>
        <w:t>。</w:t>
      </w:r>
    </w:p>
    <w:p w14:paraId="0B6CBB77">
      <w:pPr>
        <w:spacing w:line="440" w:lineRule="exact"/>
        <w:rPr>
          <w:rFonts w:ascii="宋体" w:hAnsi="宋体"/>
          <w:b/>
          <w:color w:val="auto"/>
          <w:sz w:val="24"/>
          <w:highlight w:val="none"/>
        </w:rPr>
      </w:pPr>
      <w:r>
        <w:rPr>
          <w:rFonts w:hint="eastAsia" w:ascii="宋体" w:hAnsi="宋体"/>
          <w:b/>
          <w:color w:val="auto"/>
          <w:sz w:val="24"/>
          <w:highlight w:val="none"/>
        </w:rPr>
        <w:t>6.3 履约担保</w:t>
      </w:r>
    </w:p>
    <w:p w14:paraId="315E22F9">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6.3.1 在签订合同前，</w:t>
      </w:r>
      <w:r>
        <w:rPr>
          <w:rFonts w:hint="eastAsia" w:ascii="宋体" w:hAnsi="宋体"/>
          <w:color w:val="auto"/>
          <w:sz w:val="24"/>
          <w:highlight w:val="none"/>
          <w:lang w:eastAsia="zh-CN"/>
        </w:rPr>
        <w:t>成交供应商</w:t>
      </w:r>
      <w:r>
        <w:rPr>
          <w:rFonts w:hint="eastAsia" w:ascii="宋体" w:hAnsi="宋体"/>
          <w:color w:val="auto"/>
          <w:sz w:val="24"/>
          <w:highlight w:val="none"/>
        </w:rPr>
        <w:t>应按</w:t>
      </w:r>
      <w:r>
        <w:rPr>
          <w:rFonts w:hint="eastAsia" w:ascii="宋体" w:hAnsi="宋体"/>
          <w:color w:val="auto"/>
          <w:sz w:val="24"/>
          <w:highlight w:val="none"/>
          <w:lang w:eastAsia="zh-CN"/>
        </w:rPr>
        <w:t>供应商</w:t>
      </w:r>
      <w:r>
        <w:rPr>
          <w:rFonts w:hint="eastAsia" w:ascii="宋体" w:hAnsi="宋体"/>
          <w:color w:val="auto"/>
          <w:sz w:val="24"/>
          <w:highlight w:val="none"/>
        </w:rPr>
        <w:t>须知前附表规定的金额、担保形式和</w:t>
      </w:r>
      <w:r>
        <w:rPr>
          <w:rFonts w:hint="eastAsia" w:ascii="宋体" w:hAnsi="宋体"/>
          <w:color w:val="auto"/>
          <w:sz w:val="24"/>
          <w:highlight w:val="none"/>
          <w:lang w:eastAsia="zh-CN"/>
        </w:rPr>
        <w:t>磋商文件</w:t>
      </w:r>
      <w:r>
        <w:rPr>
          <w:rFonts w:hint="eastAsia" w:ascii="宋体" w:hAnsi="宋体"/>
          <w:color w:val="auto"/>
          <w:sz w:val="24"/>
          <w:highlight w:val="none"/>
        </w:rPr>
        <w:t>第4章“合同条款及格式”规定的履约担保格式向</w:t>
      </w:r>
      <w:r>
        <w:rPr>
          <w:rFonts w:hint="eastAsia" w:ascii="宋体" w:hAnsi="宋体"/>
          <w:color w:val="auto"/>
          <w:sz w:val="24"/>
          <w:highlight w:val="none"/>
          <w:lang w:eastAsia="zh-CN"/>
        </w:rPr>
        <w:t>采购人</w:t>
      </w:r>
      <w:r>
        <w:rPr>
          <w:rFonts w:hint="eastAsia" w:ascii="宋体" w:hAnsi="宋体"/>
          <w:color w:val="auto"/>
          <w:sz w:val="24"/>
          <w:highlight w:val="none"/>
        </w:rPr>
        <w:t>提交履约担保。联合体中标的，其履约担保由牵头人递交，并应符合</w:t>
      </w:r>
      <w:r>
        <w:rPr>
          <w:rFonts w:hint="eastAsia" w:ascii="宋体" w:hAnsi="宋体"/>
          <w:color w:val="auto"/>
          <w:sz w:val="24"/>
          <w:highlight w:val="none"/>
          <w:lang w:eastAsia="zh-CN"/>
        </w:rPr>
        <w:t>供应商</w:t>
      </w:r>
      <w:r>
        <w:rPr>
          <w:rFonts w:hint="eastAsia" w:ascii="宋体" w:hAnsi="宋体"/>
          <w:color w:val="auto"/>
          <w:sz w:val="24"/>
          <w:highlight w:val="none"/>
        </w:rPr>
        <w:t>须知前附表规定的金额、担保形式和</w:t>
      </w:r>
      <w:r>
        <w:rPr>
          <w:rFonts w:hint="eastAsia" w:ascii="宋体" w:hAnsi="宋体"/>
          <w:color w:val="auto"/>
          <w:sz w:val="24"/>
          <w:highlight w:val="none"/>
          <w:lang w:eastAsia="zh-CN"/>
        </w:rPr>
        <w:t>磋商文件</w:t>
      </w:r>
      <w:r>
        <w:rPr>
          <w:rFonts w:hint="eastAsia" w:ascii="宋体" w:hAnsi="宋体"/>
          <w:color w:val="auto"/>
          <w:sz w:val="24"/>
          <w:highlight w:val="none"/>
        </w:rPr>
        <w:t>第四章“合同条款及格式”规定的履约担保格式要求。</w:t>
      </w:r>
    </w:p>
    <w:p w14:paraId="3461132C">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 xml:space="preserve">6.3.2 </w:t>
      </w:r>
      <w:r>
        <w:rPr>
          <w:rFonts w:hint="eastAsia" w:ascii="宋体" w:hAnsi="宋体"/>
          <w:color w:val="auto"/>
          <w:sz w:val="24"/>
          <w:highlight w:val="none"/>
          <w:lang w:eastAsia="zh-CN"/>
        </w:rPr>
        <w:t>成交供应商</w:t>
      </w:r>
      <w:r>
        <w:rPr>
          <w:rFonts w:hint="eastAsia" w:ascii="宋体" w:hAnsi="宋体"/>
          <w:color w:val="auto"/>
          <w:sz w:val="24"/>
          <w:highlight w:val="none"/>
        </w:rPr>
        <w:t>不能按要求提交履约担保的，视为放弃中标，其</w:t>
      </w:r>
      <w:r>
        <w:rPr>
          <w:rFonts w:hint="eastAsia" w:ascii="宋体" w:hAnsi="宋体"/>
          <w:color w:val="auto"/>
          <w:sz w:val="24"/>
          <w:highlight w:val="none"/>
          <w:lang w:eastAsia="zh-CN"/>
        </w:rPr>
        <w:t>磋商保证金</w:t>
      </w:r>
      <w:r>
        <w:rPr>
          <w:rFonts w:hint="eastAsia" w:ascii="宋体" w:hAnsi="宋体"/>
          <w:color w:val="auto"/>
          <w:sz w:val="24"/>
          <w:highlight w:val="none"/>
        </w:rPr>
        <w:t>不予退还，给</w:t>
      </w:r>
      <w:r>
        <w:rPr>
          <w:rFonts w:hint="eastAsia" w:ascii="宋体" w:hAnsi="宋体"/>
          <w:color w:val="auto"/>
          <w:sz w:val="24"/>
          <w:highlight w:val="none"/>
          <w:lang w:eastAsia="zh-CN"/>
        </w:rPr>
        <w:t>采购人</w:t>
      </w:r>
      <w:r>
        <w:rPr>
          <w:rFonts w:hint="eastAsia" w:ascii="宋体" w:hAnsi="宋体"/>
          <w:color w:val="auto"/>
          <w:sz w:val="24"/>
          <w:highlight w:val="none"/>
        </w:rPr>
        <w:t>造成的损失超过</w:t>
      </w:r>
      <w:r>
        <w:rPr>
          <w:rFonts w:hint="eastAsia" w:ascii="宋体" w:hAnsi="宋体"/>
          <w:color w:val="auto"/>
          <w:sz w:val="24"/>
          <w:highlight w:val="none"/>
          <w:lang w:eastAsia="zh-CN"/>
        </w:rPr>
        <w:t>磋商保证金</w:t>
      </w:r>
      <w:r>
        <w:rPr>
          <w:rFonts w:hint="eastAsia" w:ascii="宋体" w:hAnsi="宋体"/>
          <w:color w:val="auto"/>
          <w:sz w:val="24"/>
          <w:highlight w:val="none"/>
        </w:rPr>
        <w:t>数额的，</w:t>
      </w:r>
      <w:r>
        <w:rPr>
          <w:rFonts w:hint="eastAsia" w:ascii="宋体" w:hAnsi="宋体"/>
          <w:color w:val="auto"/>
          <w:sz w:val="24"/>
          <w:highlight w:val="none"/>
          <w:lang w:eastAsia="zh-CN"/>
        </w:rPr>
        <w:t>成交供应商</w:t>
      </w:r>
      <w:r>
        <w:rPr>
          <w:rFonts w:hint="eastAsia" w:ascii="宋体" w:hAnsi="宋体"/>
          <w:color w:val="auto"/>
          <w:sz w:val="24"/>
          <w:highlight w:val="none"/>
        </w:rPr>
        <w:t>还应当对超过部分予以赔偿。</w:t>
      </w:r>
    </w:p>
    <w:p w14:paraId="3B959A5B">
      <w:pPr>
        <w:spacing w:line="440" w:lineRule="exact"/>
        <w:rPr>
          <w:rFonts w:ascii="宋体" w:hAnsi="宋体"/>
          <w:b/>
          <w:color w:val="auto"/>
          <w:sz w:val="24"/>
          <w:highlight w:val="none"/>
        </w:rPr>
      </w:pPr>
      <w:r>
        <w:rPr>
          <w:rFonts w:hint="eastAsia" w:ascii="宋体" w:hAnsi="宋体"/>
          <w:b/>
          <w:color w:val="auto"/>
          <w:sz w:val="24"/>
          <w:highlight w:val="none"/>
        </w:rPr>
        <w:t>6.4签订合同</w:t>
      </w:r>
    </w:p>
    <w:p w14:paraId="4F8C4E96">
      <w:pPr>
        <w:spacing w:line="440" w:lineRule="exact"/>
        <w:ind w:firstLine="480" w:firstLineChars="200"/>
        <w:rPr>
          <w:rFonts w:ascii="宋体" w:hAnsi="宋体"/>
          <w:color w:val="auto"/>
          <w:sz w:val="24"/>
          <w:highlight w:val="none"/>
        </w:rPr>
      </w:pPr>
      <w:bookmarkStart w:id="224" w:name="_Toc221950219"/>
      <w:r>
        <w:rPr>
          <w:rFonts w:hint="eastAsia" w:ascii="宋体" w:hAnsi="宋体"/>
          <w:color w:val="auto"/>
          <w:sz w:val="24"/>
          <w:highlight w:val="none"/>
        </w:rPr>
        <w:t xml:space="preserve">6.4.1 </w:t>
      </w:r>
      <w:r>
        <w:rPr>
          <w:rFonts w:hint="eastAsia" w:ascii="宋体" w:hAnsi="宋体"/>
          <w:color w:val="auto"/>
          <w:sz w:val="24"/>
          <w:highlight w:val="none"/>
          <w:lang w:eastAsia="zh-CN"/>
        </w:rPr>
        <w:t>采购人</w:t>
      </w:r>
      <w:r>
        <w:rPr>
          <w:rFonts w:hint="eastAsia" w:ascii="宋体" w:hAnsi="宋体"/>
          <w:color w:val="auto"/>
          <w:sz w:val="24"/>
          <w:highlight w:val="none"/>
        </w:rPr>
        <w:t>和</w:t>
      </w:r>
      <w:r>
        <w:rPr>
          <w:rFonts w:hint="eastAsia" w:ascii="宋体" w:hAnsi="宋体"/>
          <w:color w:val="auto"/>
          <w:sz w:val="24"/>
          <w:highlight w:val="none"/>
          <w:lang w:eastAsia="zh-CN"/>
        </w:rPr>
        <w:t>成交供应商</w:t>
      </w:r>
      <w:r>
        <w:rPr>
          <w:rFonts w:hint="eastAsia" w:ascii="宋体" w:hAnsi="宋体"/>
          <w:color w:val="auto"/>
          <w:sz w:val="24"/>
          <w:highlight w:val="none"/>
        </w:rPr>
        <w:t>应当自中标通知书发出之日起30 天内，根据</w:t>
      </w:r>
      <w:r>
        <w:rPr>
          <w:rFonts w:hint="eastAsia" w:ascii="宋体" w:hAnsi="宋体"/>
          <w:color w:val="auto"/>
          <w:sz w:val="24"/>
          <w:highlight w:val="none"/>
          <w:lang w:eastAsia="zh-CN"/>
        </w:rPr>
        <w:t>磋商文件</w:t>
      </w:r>
      <w:r>
        <w:rPr>
          <w:rFonts w:hint="eastAsia" w:ascii="宋体" w:hAnsi="宋体"/>
          <w:color w:val="auto"/>
          <w:sz w:val="24"/>
          <w:highlight w:val="none"/>
        </w:rPr>
        <w:t>和</w:t>
      </w:r>
      <w:r>
        <w:rPr>
          <w:rFonts w:hint="eastAsia" w:ascii="宋体" w:hAnsi="宋体"/>
          <w:color w:val="auto"/>
          <w:sz w:val="24"/>
          <w:highlight w:val="none"/>
          <w:lang w:eastAsia="zh-CN"/>
        </w:rPr>
        <w:t>成交供应商</w:t>
      </w:r>
      <w:r>
        <w:rPr>
          <w:rFonts w:hint="eastAsia" w:ascii="宋体" w:hAnsi="宋体"/>
          <w:color w:val="auto"/>
          <w:sz w:val="24"/>
          <w:highlight w:val="none"/>
        </w:rPr>
        <w:t>的</w:t>
      </w:r>
      <w:r>
        <w:rPr>
          <w:rFonts w:hint="eastAsia" w:ascii="宋体" w:hAnsi="宋体"/>
          <w:color w:val="auto"/>
          <w:sz w:val="24"/>
          <w:highlight w:val="none"/>
          <w:lang w:eastAsia="zh-CN"/>
        </w:rPr>
        <w:t>响应文件</w:t>
      </w:r>
      <w:r>
        <w:rPr>
          <w:rFonts w:hint="eastAsia" w:ascii="宋体" w:hAnsi="宋体"/>
          <w:color w:val="auto"/>
          <w:sz w:val="24"/>
          <w:highlight w:val="none"/>
        </w:rPr>
        <w:t>订立书面合同。</w:t>
      </w:r>
      <w:r>
        <w:rPr>
          <w:rFonts w:hint="eastAsia" w:ascii="宋体" w:hAnsi="宋体"/>
          <w:color w:val="auto"/>
          <w:sz w:val="24"/>
          <w:highlight w:val="none"/>
          <w:lang w:eastAsia="zh-CN"/>
        </w:rPr>
        <w:t>成交供应商</w:t>
      </w:r>
      <w:r>
        <w:rPr>
          <w:rFonts w:hint="eastAsia" w:ascii="宋体" w:hAnsi="宋体"/>
          <w:color w:val="auto"/>
          <w:sz w:val="24"/>
          <w:highlight w:val="none"/>
        </w:rPr>
        <w:t>无正当理由拒签合同的，</w:t>
      </w:r>
      <w:r>
        <w:rPr>
          <w:rFonts w:hint="eastAsia" w:ascii="宋体" w:hAnsi="宋体"/>
          <w:color w:val="auto"/>
          <w:sz w:val="24"/>
          <w:highlight w:val="none"/>
          <w:lang w:eastAsia="zh-CN"/>
        </w:rPr>
        <w:t>采购人</w:t>
      </w:r>
      <w:r>
        <w:rPr>
          <w:rFonts w:hint="eastAsia" w:ascii="宋体" w:hAnsi="宋体"/>
          <w:color w:val="auto"/>
          <w:sz w:val="24"/>
          <w:highlight w:val="none"/>
        </w:rPr>
        <w:t>取消其中标资格，其</w:t>
      </w:r>
      <w:r>
        <w:rPr>
          <w:rFonts w:hint="eastAsia" w:ascii="宋体" w:hAnsi="宋体"/>
          <w:color w:val="auto"/>
          <w:sz w:val="24"/>
          <w:highlight w:val="none"/>
          <w:lang w:eastAsia="zh-CN"/>
        </w:rPr>
        <w:t>磋商保证金</w:t>
      </w:r>
      <w:r>
        <w:rPr>
          <w:rFonts w:hint="eastAsia" w:ascii="宋体" w:hAnsi="宋体"/>
          <w:color w:val="auto"/>
          <w:sz w:val="24"/>
          <w:highlight w:val="none"/>
        </w:rPr>
        <w:t>不予退还；给</w:t>
      </w:r>
      <w:r>
        <w:rPr>
          <w:rFonts w:hint="eastAsia" w:ascii="宋体" w:hAnsi="宋体"/>
          <w:color w:val="auto"/>
          <w:sz w:val="24"/>
          <w:highlight w:val="none"/>
          <w:lang w:eastAsia="zh-CN"/>
        </w:rPr>
        <w:t>采购人</w:t>
      </w:r>
      <w:r>
        <w:rPr>
          <w:rFonts w:hint="eastAsia" w:ascii="宋体" w:hAnsi="宋体"/>
          <w:color w:val="auto"/>
          <w:sz w:val="24"/>
          <w:highlight w:val="none"/>
        </w:rPr>
        <w:t>造成的损失超过</w:t>
      </w:r>
      <w:r>
        <w:rPr>
          <w:rFonts w:hint="eastAsia" w:ascii="宋体" w:hAnsi="宋体"/>
          <w:color w:val="auto"/>
          <w:sz w:val="24"/>
          <w:highlight w:val="none"/>
          <w:lang w:eastAsia="zh-CN"/>
        </w:rPr>
        <w:t>磋商保证金</w:t>
      </w:r>
      <w:r>
        <w:rPr>
          <w:rFonts w:hint="eastAsia" w:ascii="宋体" w:hAnsi="宋体"/>
          <w:color w:val="auto"/>
          <w:sz w:val="24"/>
          <w:highlight w:val="none"/>
        </w:rPr>
        <w:t>数额的，</w:t>
      </w:r>
      <w:r>
        <w:rPr>
          <w:rFonts w:hint="eastAsia" w:ascii="宋体" w:hAnsi="宋体"/>
          <w:color w:val="auto"/>
          <w:sz w:val="24"/>
          <w:highlight w:val="none"/>
          <w:lang w:eastAsia="zh-CN"/>
        </w:rPr>
        <w:t>成交供应商</w:t>
      </w:r>
      <w:r>
        <w:rPr>
          <w:rFonts w:hint="eastAsia" w:ascii="宋体" w:hAnsi="宋体"/>
          <w:color w:val="auto"/>
          <w:sz w:val="24"/>
          <w:highlight w:val="none"/>
        </w:rPr>
        <w:t>还应当对超过部分予以赔偿。</w:t>
      </w:r>
    </w:p>
    <w:p w14:paraId="008C150B">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6.4.2 发出中标通知书后，</w:t>
      </w:r>
      <w:r>
        <w:rPr>
          <w:rFonts w:hint="eastAsia" w:ascii="宋体" w:hAnsi="宋体"/>
          <w:color w:val="auto"/>
          <w:sz w:val="24"/>
          <w:highlight w:val="none"/>
          <w:lang w:eastAsia="zh-CN"/>
        </w:rPr>
        <w:t>采购人</w:t>
      </w:r>
      <w:r>
        <w:rPr>
          <w:rFonts w:hint="eastAsia" w:ascii="宋体" w:hAnsi="宋体"/>
          <w:color w:val="auto"/>
          <w:sz w:val="24"/>
          <w:highlight w:val="none"/>
        </w:rPr>
        <w:t>无正当理由拒签合同的，</w:t>
      </w:r>
      <w:r>
        <w:rPr>
          <w:rFonts w:hint="eastAsia" w:ascii="宋体" w:hAnsi="宋体"/>
          <w:color w:val="auto"/>
          <w:sz w:val="24"/>
          <w:highlight w:val="none"/>
          <w:lang w:eastAsia="zh-CN"/>
        </w:rPr>
        <w:t>采购人</w:t>
      </w:r>
      <w:r>
        <w:rPr>
          <w:rFonts w:hint="eastAsia" w:ascii="宋体" w:hAnsi="宋体"/>
          <w:color w:val="auto"/>
          <w:sz w:val="24"/>
          <w:highlight w:val="none"/>
        </w:rPr>
        <w:t>向</w:t>
      </w:r>
      <w:r>
        <w:rPr>
          <w:rFonts w:hint="eastAsia" w:ascii="宋体" w:hAnsi="宋体"/>
          <w:color w:val="auto"/>
          <w:sz w:val="24"/>
          <w:highlight w:val="none"/>
          <w:lang w:eastAsia="zh-CN"/>
        </w:rPr>
        <w:t>成交供应商</w:t>
      </w:r>
      <w:r>
        <w:rPr>
          <w:rFonts w:hint="eastAsia" w:ascii="宋体" w:hAnsi="宋体"/>
          <w:color w:val="auto"/>
          <w:sz w:val="24"/>
          <w:highlight w:val="none"/>
        </w:rPr>
        <w:t>退还</w:t>
      </w:r>
      <w:r>
        <w:rPr>
          <w:rFonts w:hint="eastAsia" w:ascii="宋体" w:hAnsi="宋体"/>
          <w:color w:val="auto"/>
          <w:sz w:val="24"/>
          <w:highlight w:val="none"/>
          <w:lang w:eastAsia="zh-CN"/>
        </w:rPr>
        <w:t>磋商保证金</w:t>
      </w:r>
      <w:r>
        <w:rPr>
          <w:rFonts w:hint="eastAsia" w:ascii="宋体" w:hAnsi="宋体"/>
          <w:color w:val="auto"/>
          <w:sz w:val="24"/>
          <w:highlight w:val="none"/>
        </w:rPr>
        <w:t>，并按</w:t>
      </w:r>
      <w:r>
        <w:rPr>
          <w:rFonts w:hint="eastAsia" w:ascii="宋体" w:hAnsi="宋体"/>
          <w:color w:val="auto"/>
          <w:sz w:val="24"/>
          <w:highlight w:val="none"/>
          <w:lang w:eastAsia="zh-CN"/>
        </w:rPr>
        <w:t>磋商保证金</w:t>
      </w:r>
      <w:r>
        <w:rPr>
          <w:rFonts w:hint="eastAsia" w:ascii="宋体" w:hAnsi="宋体"/>
          <w:color w:val="auto"/>
          <w:sz w:val="24"/>
          <w:highlight w:val="none"/>
        </w:rPr>
        <w:t>双倍的金额补偿</w:t>
      </w:r>
      <w:r>
        <w:rPr>
          <w:rFonts w:hint="eastAsia" w:ascii="宋体" w:hAnsi="宋体"/>
          <w:color w:val="auto"/>
          <w:sz w:val="24"/>
          <w:highlight w:val="none"/>
          <w:lang w:eastAsia="zh-CN"/>
        </w:rPr>
        <w:t>供应商</w:t>
      </w:r>
      <w:r>
        <w:rPr>
          <w:rFonts w:hint="eastAsia" w:ascii="宋体" w:hAnsi="宋体"/>
          <w:color w:val="auto"/>
          <w:sz w:val="24"/>
          <w:highlight w:val="none"/>
        </w:rPr>
        <w:t>损失。</w:t>
      </w:r>
      <w:bookmarkEnd w:id="224"/>
      <w:r>
        <w:rPr>
          <w:rFonts w:hint="eastAsia" w:ascii="宋体" w:hAnsi="宋体"/>
          <w:color w:val="auto"/>
          <w:sz w:val="24"/>
          <w:highlight w:val="none"/>
        </w:rPr>
        <w:t xml:space="preserve"> </w:t>
      </w:r>
      <w:bookmarkStart w:id="225" w:name="_Toc511746981"/>
      <w:bookmarkStart w:id="226" w:name="_Toc409101666"/>
      <w:bookmarkStart w:id="227" w:name="_Toc309533326"/>
      <w:bookmarkStart w:id="228" w:name="_Toc222029488"/>
      <w:bookmarkStart w:id="229" w:name="_Toc311205779"/>
      <w:bookmarkStart w:id="230" w:name="_Toc168476089"/>
      <w:bookmarkStart w:id="231" w:name="_Toc229305348"/>
      <w:bookmarkStart w:id="232" w:name="_Toc222033839"/>
      <w:bookmarkStart w:id="233" w:name="_Toc309533722"/>
      <w:bookmarkStart w:id="234" w:name="_Toc310088830"/>
      <w:bookmarkStart w:id="235" w:name="_Toc221950220"/>
      <w:bookmarkStart w:id="236" w:name="_Toc229408470"/>
      <w:bookmarkStart w:id="237" w:name="_Toc144974539"/>
      <w:bookmarkStart w:id="238" w:name="_Toc222030990"/>
      <w:bookmarkStart w:id="239" w:name="_Toc168475686"/>
      <w:bookmarkStart w:id="240" w:name="_Toc222032657"/>
    </w:p>
    <w:p w14:paraId="2CCB55FD">
      <w:pPr>
        <w:spacing w:line="440" w:lineRule="exact"/>
        <w:ind w:firstLine="482" w:firstLineChars="200"/>
        <w:outlineLvl w:val="2"/>
        <w:rPr>
          <w:rFonts w:ascii="宋体" w:hAnsi="宋体"/>
          <w:b/>
          <w:color w:val="auto"/>
          <w:sz w:val="24"/>
          <w:highlight w:val="none"/>
        </w:rPr>
      </w:pPr>
      <w:bookmarkStart w:id="241" w:name="_Toc13"/>
      <w:r>
        <w:rPr>
          <w:rFonts w:hint="eastAsia" w:ascii="宋体" w:hAnsi="宋体"/>
          <w:b/>
          <w:color w:val="auto"/>
          <w:sz w:val="24"/>
          <w:highlight w:val="none"/>
        </w:rPr>
        <w:t>（七）重新招标</w:t>
      </w:r>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p>
    <w:p w14:paraId="5CA5E5AA">
      <w:pPr>
        <w:spacing w:line="440" w:lineRule="exact"/>
        <w:rPr>
          <w:rFonts w:ascii="宋体" w:hAnsi="宋体"/>
          <w:color w:val="auto"/>
          <w:sz w:val="24"/>
          <w:highlight w:val="none"/>
        </w:rPr>
      </w:pPr>
      <w:bookmarkStart w:id="242" w:name="_Toc221950225"/>
      <w:r>
        <w:rPr>
          <w:rFonts w:hint="eastAsia" w:ascii="宋体" w:hAnsi="宋体"/>
          <w:color w:val="auto"/>
          <w:sz w:val="24"/>
          <w:highlight w:val="none"/>
        </w:rPr>
        <w:t>有下列情形之一的，</w:t>
      </w:r>
      <w:r>
        <w:rPr>
          <w:rFonts w:hint="eastAsia" w:ascii="宋体" w:hAnsi="宋体"/>
          <w:color w:val="auto"/>
          <w:sz w:val="24"/>
          <w:highlight w:val="none"/>
          <w:lang w:eastAsia="zh-CN"/>
        </w:rPr>
        <w:t>采购人</w:t>
      </w:r>
      <w:r>
        <w:rPr>
          <w:rFonts w:hint="eastAsia" w:ascii="宋体" w:hAnsi="宋体"/>
          <w:color w:val="auto"/>
          <w:sz w:val="24"/>
          <w:highlight w:val="none"/>
        </w:rPr>
        <w:t>将重新招标：</w:t>
      </w:r>
    </w:p>
    <w:p w14:paraId="4C20F96A">
      <w:pPr>
        <w:spacing w:line="440" w:lineRule="exact"/>
        <w:ind w:firstLine="360" w:firstLineChars="15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l）投标截止时间止，</w:t>
      </w:r>
      <w:r>
        <w:rPr>
          <w:rFonts w:hint="eastAsia" w:ascii="宋体" w:hAnsi="宋体"/>
          <w:color w:val="auto"/>
          <w:sz w:val="24"/>
          <w:highlight w:val="none"/>
          <w:lang w:eastAsia="zh-CN"/>
        </w:rPr>
        <w:t>供应商</w:t>
      </w:r>
      <w:r>
        <w:rPr>
          <w:rFonts w:hint="eastAsia" w:ascii="宋体" w:hAnsi="宋体"/>
          <w:color w:val="auto"/>
          <w:sz w:val="24"/>
          <w:highlight w:val="none"/>
        </w:rPr>
        <w:t>少于3个的；</w:t>
      </w:r>
    </w:p>
    <w:p w14:paraId="26E7E423">
      <w:pPr>
        <w:spacing w:line="440" w:lineRule="exact"/>
        <w:ind w:firstLine="360" w:firstLineChars="15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2）</w:t>
      </w:r>
      <w:r>
        <w:rPr>
          <w:rFonts w:hint="eastAsia" w:ascii="宋体" w:hAnsi="宋体"/>
          <w:color w:val="auto"/>
          <w:sz w:val="24"/>
          <w:highlight w:val="none"/>
          <w:lang w:eastAsia="zh-CN"/>
        </w:rPr>
        <w:t>磋商小组</w:t>
      </w:r>
      <w:r>
        <w:rPr>
          <w:rFonts w:hint="eastAsia" w:ascii="宋体" w:hAnsi="宋体"/>
          <w:color w:val="auto"/>
          <w:sz w:val="24"/>
          <w:highlight w:val="none"/>
        </w:rPr>
        <w:t>否决不合格投标或者界定为无效标后因有效投标不足3个，且</w:t>
      </w:r>
      <w:r>
        <w:rPr>
          <w:rFonts w:hint="eastAsia" w:ascii="宋体" w:hAnsi="宋体"/>
          <w:color w:val="auto"/>
          <w:sz w:val="24"/>
          <w:highlight w:val="none"/>
          <w:lang w:eastAsia="zh-CN"/>
        </w:rPr>
        <w:t>磋商小组</w:t>
      </w:r>
      <w:r>
        <w:rPr>
          <w:rFonts w:hint="eastAsia" w:ascii="宋体" w:hAnsi="宋体"/>
          <w:color w:val="auto"/>
          <w:sz w:val="24"/>
          <w:highlight w:val="none"/>
        </w:rPr>
        <w:t>书面说明投标明显缺乏竞争的；</w:t>
      </w:r>
    </w:p>
    <w:p w14:paraId="79C8DDE5">
      <w:pPr>
        <w:spacing w:line="440" w:lineRule="exact"/>
        <w:ind w:firstLine="360" w:firstLineChars="15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3）中标候选人均未与</w:t>
      </w:r>
      <w:r>
        <w:rPr>
          <w:rFonts w:hint="eastAsia" w:ascii="宋体" w:hAnsi="宋体"/>
          <w:color w:val="auto"/>
          <w:sz w:val="24"/>
          <w:highlight w:val="none"/>
          <w:lang w:eastAsia="zh-CN"/>
        </w:rPr>
        <w:t>采购人</w:t>
      </w:r>
      <w:r>
        <w:rPr>
          <w:rFonts w:hint="eastAsia" w:ascii="宋体" w:hAnsi="宋体"/>
          <w:color w:val="auto"/>
          <w:sz w:val="24"/>
          <w:highlight w:val="none"/>
        </w:rPr>
        <w:t>签订合同的。</w:t>
      </w:r>
      <w:bookmarkEnd w:id="242"/>
      <w:bookmarkStart w:id="243" w:name="_Toc309533723"/>
      <w:bookmarkStart w:id="244" w:name="_Toc229408471"/>
      <w:bookmarkStart w:id="245" w:name="_Toc221950226"/>
      <w:bookmarkStart w:id="246" w:name="_Toc222030991"/>
      <w:bookmarkStart w:id="247" w:name="_Toc310088831"/>
      <w:bookmarkStart w:id="248" w:name="_Toc222032658"/>
      <w:bookmarkStart w:id="249" w:name="_Toc311205780"/>
      <w:bookmarkStart w:id="250" w:name="_Toc229305349"/>
      <w:bookmarkStart w:id="251" w:name="_Toc144974542"/>
      <w:bookmarkStart w:id="252" w:name="_Toc222029489"/>
      <w:bookmarkStart w:id="253" w:name="_Toc511746982"/>
      <w:bookmarkStart w:id="254" w:name="_Toc168475689"/>
      <w:bookmarkStart w:id="255" w:name="_Toc168476092"/>
      <w:bookmarkStart w:id="256" w:name="_Toc309533327"/>
      <w:bookmarkStart w:id="257" w:name="_Toc222033840"/>
    </w:p>
    <w:p w14:paraId="4DEFD525">
      <w:pPr>
        <w:spacing w:line="440" w:lineRule="exact"/>
        <w:ind w:firstLine="361" w:firstLineChars="150"/>
        <w:outlineLvl w:val="2"/>
        <w:rPr>
          <w:rFonts w:ascii="宋体" w:hAnsi="宋体"/>
          <w:b/>
          <w:color w:val="auto"/>
          <w:sz w:val="24"/>
          <w:highlight w:val="none"/>
        </w:rPr>
      </w:pPr>
      <w:bookmarkStart w:id="258" w:name="_Toc778"/>
      <w:r>
        <w:rPr>
          <w:rFonts w:hint="eastAsia" w:ascii="宋体" w:hAnsi="宋体"/>
          <w:b/>
          <w:color w:val="auto"/>
          <w:sz w:val="24"/>
          <w:highlight w:val="none"/>
        </w:rPr>
        <w:t>（八）纪律和监督</w:t>
      </w:r>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p>
    <w:p w14:paraId="7ABAAB5B">
      <w:pPr>
        <w:spacing w:line="440" w:lineRule="exact"/>
        <w:rPr>
          <w:rFonts w:ascii="宋体" w:hAnsi="宋体"/>
          <w:b/>
          <w:color w:val="auto"/>
          <w:sz w:val="24"/>
          <w:highlight w:val="none"/>
        </w:rPr>
      </w:pPr>
      <w:bookmarkStart w:id="259" w:name="_Toc221950229"/>
      <w:r>
        <w:rPr>
          <w:rFonts w:hint="eastAsia" w:ascii="宋体" w:hAnsi="宋体"/>
          <w:b/>
          <w:color w:val="auto"/>
          <w:sz w:val="24"/>
          <w:highlight w:val="none"/>
        </w:rPr>
        <w:t>8.1对</w:t>
      </w:r>
      <w:r>
        <w:rPr>
          <w:rFonts w:hint="eastAsia" w:ascii="宋体" w:hAnsi="宋体"/>
          <w:b/>
          <w:color w:val="auto"/>
          <w:sz w:val="24"/>
          <w:highlight w:val="none"/>
          <w:lang w:eastAsia="zh-CN"/>
        </w:rPr>
        <w:t>采购人</w:t>
      </w:r>
      <w:r>
        <w:rPr>
          <w:rFonts w:hint="eastAsia" w:ascii="宋体" w:hAnsi="宋体"/>
          <w:b/>
          <w:color w:val="auto"/>
          <w:sz w:val="24"/>
          <w:highlight w:val="none"/>
        </w:rPr>
        <w:t>的纪律要求</w:t>
      </w:r>
    </w:p>
    <w:p w14:paraId="0BCDD182">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采购人</w:t>
      </w:r>
      <w:r>
        <w:rPr>
          <w:rFonts w:hint="eastAsia" w:ascii="宋体" w:hAnsi="宋体"/>
          <w:color w:val="auto"/>
          <w:sz w:val="24"/>
          <w:highlight w:val="none"/>
        </w:rPr>
        <w:t>不得泄漏招标投标活动中应当保密的情况和资料，不得与</w:t>
      </w:r>
      <w:r>
        <w:rPr>
          <w:rFonts w:hint="eastAsia" w:ascii="宋体" w:hAnsi="宋体"/>
          <w:color w:val="auto"/>
          <w:sz w:val="24"/>
          <w:highlight w:val="none"/>
          <w:lang w:eastAsia="zh-CN"/>
        </w:rPr>
        <w:t>供应商</w:t>
      </w:r>
      <w:r>
        <w:rPr>
          <w:rFonts w:hint="eastAsia" w:ascii="宋体" w:hAnsi="宋体"/>
          <w:color w:val="auto"/>
          <w:sz w:val="24"/>
          <w:highlight w:val="none"/>
        </w:rPr>
        <w:t>串通损害国家利益、社会公共利益或者他人合法权益。</w:t>
      </w:r>
    </w:p>
    <w:bookmarkEnd w:id="259"/>
    <w:p w14:paraId="5561DC08">
      <w:pPr>
        <w:spacing w:line="440" w:lineRule="exact"/>
        <w:ind w:firstLine="480" w:firstLineChars="200"/>
        <w:rPr>
          <w:rFonts w:ascii="宋体" w:hAnsi="宋体"/>
          <w:color w:val="auto"/>
          <w:sz w:val="24"/>
          <w:highlight w:val="none"/>
        </w:rPr>
      </w:pPr>
      <w:bookmarkStart w:id="260" w:name="_Toc221950230"/>
      <w:r>
        <w:rPr>
          <w:rFonts w:hint="eastAsia" w:ascii="宋体" w:hAnsi="宋体"/>
          <w:color w:val="auto"/>
          <w:sz w:val="24"/>
          <w:highlight w:val="none"/>
        </w:rPr>
        <w:t>禁止</w:t>
      </w:r>
      <w:r>
        <w:rPr>
          <w:rFonts w:hint="eastAsia" w:ascii="宋体" w:hAnsi="宋体"/>
          <w:color w:val="auto"/>
          <w:sz w:val="24"/>
          <w:highlight w:val="none"/>
          <w:lang w:eastAsia="zh-CN"/>
        </w:rPr>
        <w:t>采购人</w:t>
      </w:r>
      <w:r>
        <w:rPr>
          <w:rFonts w:hint="eastAsia" w:ascii="宋体" w:hAnsi="宋体"/>
          <w:color w:val="auto"/>
          <w:sz w:val="24"/>
          <w:highlight w:val="none"/>
        </w:rPr>
        <w:t>与</w:t>
      </w:r>
      <w:r>
        <w:rPr>
          <w:rFonts w:hint="eastAsia" w:ascii="宋体" w:hAnsi="宋体"/>
          <w:color w:val="auto"/>
          <w:sz w:val="24"/>
          <w:highlight w:val="none"/>
          <w:lang w:eastAsia="zh-CN"/>
        </w:rPr>
        <w:t>供应商</w:t>
      </w:r>
      <w:r>
        <w:rPr>
          <w:rFonts w:hint="eastAsia" w:ascii="宋体" w:hAnsi="宋体"/>
          <w:color w:val="auto"/>
          <w:sz w:val="24"/>
          <w:highlight w:val="none"/>
        </w:rPr>
        <w:t>串通投标。有下列情形之一，属于</w:t>
      </w:r>
      <w:r>
        <w:rPr>
          <w:rFonts w:hint="eastAsia" w:ascii="宋体" w:hAnsi="宋体"/>
          <w:color w:val="auto"/>
          <w:sz w:val="24"/>
          <w:highlight w:val="none"/>
          <w:lang w:eastAsia="zh-CN"/>
        </w:rPr>
        <w:t>采购人</w:t>
      </w:r>
      <w:r>
        <w:rPr>
          <w:rFonts w:hint="eastAsia" w:ascii="宋体" w:hAnsi="宋体"/>
          <w:color w:val="auto"/>
          <w:sz w:val="24"/>
          <w:highlight w:val="none"/>
        </w:rPr>
        <w:t>和投标串通投标：</w:t>
      </w:r>
    </w:p>
    <w:p w14:paraId="2E2257A2">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（1）</w:t>
      </w:r>
      <w:bookmarkEnd w:id="260"/>
      <w:bookmarkStart w:id="261" w:name="_Toc221950234"/>
      <w:r>
        <w:rPr>
          <w:rFonts w:hint="eastAsia" w:ascii="宋体" w:hAnsi="宋体"/>
          <w:color w:val="auto"/>
          <w:sz w:val="24"/>
          <w:highlight w:val="none"/>
          <w:lang w:eastAsia="zh-CN"/>
        </w:rPr>
        <w:t>采购人</w:t>
      </w:r>
      <w:r>
        <w:rPr>
          <w:rFonts w:hint="eastAsia" w:ascii="宋体" w:hAnsi="宋体"/>
          <w:color w:val="auto"/>
          <w:sz w:val="24"/>
          <w:highlight w:val="none"/>
        </w:rPr>
        <w:t>在开标前开启</w:t>
      </w:r>
      <w:r>
        <w:rPr>
          <w:rFonts w:hint="eastAsia" w:ascii="宋体" w:hAnsi="宋体"/>
          <w:color w:val="auto"/>
          <w:sz w:val="24"/>
          <w:highlight w:val="none"/>
          <w:lang w:eastAsia="zh-CN"/>
        </w:rPr>
        <w:t>响应文件</w:t>
      </w:r>
      <w:r>
        <w:rPr>
          <w:rFonts w:hint="eastAsia" w:ascii="宋体" w:hAnsi="宋体"/>
          <w:color w:val="auto"/>
          <w:sz w:val="24"/>
          <w:highlight w:val="none"/>
        </w:rPr>
        <w:t>并将有关信息泄露给其他</w:t>
      </w:r>
      <w:r>
        <w:rPr>
          <w:rFonts w:hint="eastAsia" w:ascii="宋体" w:hAnsi="宋体"/>
          <w:color w:val="auto"/>
          <w:sz w:val="24"/>
          <w:highlight w:val="none"/>
          <w:lang w:eastAsia="zh-CN"/>
        </w:rPr>
        <w:t>供应商</w:t>
      </w:r>
      <w:r>
        <w:rPr>
          <w:rFonts w:hint="eastAsia" w:ascii="宋体" w:hAnsi="宋体"/>
          <w:color w:val="auto"/>
          <w:sz w:val="24"/>
          <w:highlight w:val="none"/>
        </w:rPr>
        <w:t>的；</w:t>
      </w:r>
    </w:p>
    <w:p w14:paraId="6129A91B">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（2）</w:t>
      </w:r>
      <w:r>
        <w:rPr>
          <w:rFonts w:hint="eastAsia" w:ascii="宋体" w:hAnsi="宋体"/>
          <w:color w:val="auto"/>
          <w:sz w:val="24"/>
          <w:highlight w:val="none"/>
          <w:lang w:eastAsia="zh-CN"/>
        </w:rPr>
        <w:t>采购人</w:t>
      </w:r>
      <w:r>
        <w:rPr>
          <w:rFonts w:hint="eastAsia" w:ascii="宋体" w:hAnsi="宋体"/>
          <w:color w:val="auto"/>
          <w:sz w:val="24"/>
          <w:highlight w:val="none"/>
        </w:rPr>
        <w:t>直接或者间接向</w:t>
      </w:r>
      <w:r>
        <w:rPr>
          <w:rFonts w:hint="eastAsia" w:ascii="宋体" w:hAnsi="宋体"/>
          <w:color w:val="auto"/>
          <w:sz w:val="24"/>
          <w:highlight w:val="none"/>
          <w:lang w:eastAsia="zh-CN"/>
        </w:rPr>
        <w:t>供应商</w:t>
      </w:r>
      <w:r>
        <w:rPr>
          <w:rFonts w:hint="eastAsia" w:ascii="宋体" w:hAnsi="宋体"/>
          <w:color w:val="auto"/>
          <w:sz w:val="24"/>
          <w:highlight w:val="none"/>
        </w:rPr>
        <w:t>泄露</w:t>
      </w:r>
      <w:r>
        <w:rPr>
          <w:rFonts w:hint="eastAsia" w:ascii="宋体" w:hAnsi="宋体"/>
          <w:color w:val="auto"/>
          <w:sz w:val="24"/>
          <w:highlight w:val="none"/>
          <w:lang w:eastAsia="zh-CN"/>
        </w:rPr>
        <w:t>磋商小组</w:t>
      </w:r>
      <w:r>
        <w:rPr>
          <w:rFonts w:hint="eastAsia" w:ascii="宋体" w:hAnsi="宋体"/>
          <w:color w:val="auto"/>
          <w:sz w:val="24"/>
          <w:highlight w:val="none"/>
        </w:rPr>
        <w:t>成员等信息的；</w:t>
      </w:r>
    </w:p>
    <w:p w14:paraId="4D8F5ABD">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（3）</w:t>
      </w:r>
      <w:r>
        <w:rPr>
          <w:rFonts w:hint="eastAsia" w:ascii="宋体" w:hAnsi="宋体"/>
          <w:color w:val="auto"/>
          <w:sz w:val="24"/>
          <w:highlight w:val="none"/>
          <w:lang w:eastAsia="zh-CN"/>
        </w:rPr>
        <w:t>采购人</w:t>
      </w:r>
      <w:r>
        <w:rPr>
          <w:rFonts w:hint="eastAsia" w:ascii="宋体" w:hAnsi="宋体"/>
          <w:color w:val="auto"/>
          <w:sz w:val="24"/>
          <w:highlight w:val="none"/>
        </w:rPr>
        <w:t>明示或者暗示</w:t>
      </w:r>
      <w:r>
        <w:rPr>
          <w:rFonts w:hint="eastAsia" w:ascii="宋体" w:hAnsi="宋体"/>
          <w:color w:val="auto"/>
          <w:sz w:val="24"/>
          <w:highlight w:val="none"/>
          <w:lang w:eastAsia="zh-CN"/>
        </w:rPr>
        <w:t>供应商</w:t>
      </w:r>
      <w:r>
        <w:rPr>
          <w:rFonts w:hint="eastAsia" w:ascii="宋体" w:hAnsi="宋体"/>
          <w:color w:val="auto"/>
          <w:sz w:val="24"/>
          <w:highlight w:val="none"/>
        </w:rPr>
        <w:t>压低或者抬高投标报价的；</w:t>
      </w:r>
    </w:p>
    <w:p w14:paraId="6F26A905">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（4）</w:t>
      </w:r>
      <w:r>
        <w:rPr>
          <w:rFonts w:hint="eastAsia" w:ascii="宋体" w:hAnsi="宋体"/>
          <w:color w:val="auto"/>
          <w:sz w:val="24"/>
          <w:highlight w:val="none"/>
          <w:lang w:eastAsia="zh-CN"/>
        </w:rPr>
        <w:t>采购人</w:t>
      </w:r>
      <w:r>
        <w:rPr>
          <w:rFonts w:hint="eastAsia" w:ascii="宋体" w:hAnsi="宋体"/>
          <w:color w:val="auto"/>
          <w:sz w:val="24"/>
          <w:highlight w:val="none"/>
        </w:rPr>
        <w:t>授意</w:t>
      </w:r>
      <w:r>
        <w:rPr>
          <w:rFonts w:hint="eastAsia" w:ascii="宋体" w:hAnsi="宋体"/>
          <w:color w:val="auto"/>
          <w:sz w:val="24"/>
          <w:highlight w:val="none"/>
          <w:lang w:eastAsia="zh-CN"/>
        </w:rPr>
        <w:t>供应商</w:t>
      </w:r>
      <w:r>
        <w:rPr>
          <w:rFonts w:hint="eastAsia" w:ascii="宋体" w:hAnsi="宋体"/>
          <w:color w:val="auto"/>
          <w:sz w:val="24"/>
          <w:highlight w:val="none"/>
        </w:rPr>
        <w:t>撤换、修改</w:t>
      </w:r>
      <w:r>
        <w:rPr>
          <w:rFonts w:hint="eastAsia" w:ascii="宋体" w:hAnsi="宋体"/>
          <w:color w:val="auto"/>
          <w:sz w:val="24"/>
          <w:highlight w:val="none"/>
          <w:lang w:eastAsia="zh-CN"/>
        </w:rPr>
        <w:t>响应文件</w:t>
      </w:r>
      <w:r>
        <w:rPr>
          <w:rFonts w:hint="eastAsia" w:ascii="宋体" w:hAnsi="宋体"/>
          <w:color w:val="auto"/>
          <w:sz w:val="24"/>
          <w:highlight w:val="none"/>
        </w:rPr>
        <w:t>的；</w:t>
      </w:r>
    </w:p>
    <w:p w14:paraId="5BF87B68">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（5）</w:t>
      </w:r>
      <w:r>
        <w:rPr>
          <w:rFonts w:hint="eastAsia" w:ascii="宋体" w:hAnsi="宋体"/>
          <w:color w:val="auto"/>
          <w:sz w:val="24"/>
          <w:highlight w:val="none"/>
          <w:lang w:eastAsia="zh-CN"/>
        </w:rPr>
        <w:t>采购人</w:t>
      </w:r>
      <w:r>
        <w:rPr>
          <w:rFonts w:hint="eastAsia" w:ascii="宋体" w:hAnsi="宋体"/>
          <w:color w:val="auto"/>
          <w:sz w:val="24"/>
          <w:highlight w:val="none"/>
        </w:rPr>
        <w:t>明示或者暗示</w:t>
      </w:r>
      <w:r>
        <w:rPr>
          <w:rFonts w:hint="eastAsia" w:ascii="宋体" w:hAnsi="宋体"/>
          <w:color w:val="auto"/>
          <w:sz w:val="24"/>
          <w:highlight w:val="none"/>
          <w:lang w:eastAsia="zh-CN"/>
        </w:rPr>
        <w:t>供应商</w:t>
      </w:r>
      <w:r>
        <w:rPr>
          <w:rFonts w:hint="eastAsia" w:ascii="宋体" w:hAnsi="宋体"/>
          <w:color w:val="auto"/>
          <w:sz w:val="24"/>
          <w:highlight w:val="none"/>
        </w:rPr>
        <w:t>为特定</w:t>
      </w:r>
      <w:r>
        <w:rPr>
          <w:rFonts w:hint="eastAsia" w:ascii="宋体" w:hAnsi="宋体"/>
          <w:color w:val="auto"/>
          <w:sz w:val="24"/>
          <w:highlight w:val="none"/>
          <w:lang w:eastAsia="zh-CN"/>
        </w:rPr>
        <w:t>供应商</w:t>
      </w:r>
      <w:r>
        <w:rPr>
          <w:rFonts w:hint="eastAsia" w:ascii="宋体" w:hAnsi="宋体"/>
          <w:color w:val="auto"/>
          <w:sz w:val="24"/>
          <w:highlight w:val="none"/>
        </w:rPr>
        <w:t>中标提供方便的；</w:t>
      </w:r>
    </w:p>
    <w:p w14:paraId="47ADFB80">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（6）</w:t>
      </w:r>
      <w:r>
        <w:rPr>
          <w:rFonts w:hint="eastAsia" w:ascii="宋体" w:hAnsi="宋体"/>
          <w:color w:val="auto"/>
          <w:sz w:val="24"/>
          <w:highlight w:val="none"/>
          <w:lang w:eastAsia="zh-CN"/>
        </w:rPr>
        <w:t>采购人</w:t>
      </w:r>
      <w:r>
        <w:rPr>
          <w:rFonts w:hint="eastAsia" w:ascii="宋体" w:hAnsi="宋体"/>
          <w:color w:val="auto"/>
          <w:sz w:val="24"/>
          <w:highlight w:val="none"/>
        </w:rPr>
        <w:t>与</w:t>
      </w:r>
      <w:r>
        <w:rPr>
          <w:rFonts w:hint="eastAsia" w:ascii="宋体" w:hAnsi="宋体"/>
          <w:color w:val="auto"/>
          <w:sz w:val="24"/>
          <w:highlight w:val="none"/>
          <w:lang w:eastAsia="zh-CN"/>
        </w:rPr>
        <w:t>供应商</w:t>
      </w:r>
      <w:r>
        <w:rPr>
          <w:rFonts w:hint="eastAsia" w:ascii="宋体" w:hAnsi="宋体"/>
          <w:color w:val="auto"/>
          <w:sz w:val="24"/>
          <w:highlight w:val="none"/>
        </w:rPr>
        <w:t>为谋求特定</w:t>
      </w:r>
      <w:r>
        <w:rPr>
          <w:rFonts w:hint="eastAsia" w:ascii="宋体" w:hAnsi="宋体"/>
          <w:color w:val="auto"/>
          <w:sz w:val="24"/>
          <w:highlight w:val="none"/>
          <w:lang w:eastAsia="zh-CN"/>
        </w:rPr>
        <w:t>供应商</w:t>
      </w:r>
      <w:r>
        <w:rPr>
          <w:rFonts w:hint="eastAsia" w:ascii="宋体" w:hAnsi="宋体"/>
          <w:color w:val="auto"/>
          <w:sz w:val="24"/>
          <w:highlight w:val="none"/>
        </w:rPr>
        <w:t>中标而采取的其他串通行为。</w:t>
      </w:r>
    </w:p>
    <w:bookmarkEnd w:id="261"/>
    <w:p w14:paraId="2229688E">
      <w:pPr>
        <w:spacing w:line="440" w:lineRule="exact"/>
        <w:rPr>
          <w:rFonts w:ascii="宋体" w:hAnsi="宋体"/>
          <w:b/>
          <w:color w:val="auto"/>
          <w:sz w:val="24"/>
          <w:highlight w:val="none"/>
        </w:rPr>
      </w:pPr>
      <w:r>
        <w:rPr>
          <w:rFonts w:hint="eastAsia" w:ascii="宋体" w:hAnsi="宋体"/>
          <w:b/>
          <w:color w:val="auto"/>
          <w:sz w:val="24"/>
          <w:highlight w:val="none"/>
        </w:rPr>
        <w:t>8.2对</w:t>
      </w:r>
      <w:r>
        <w:rPr>
          <w:rFonts w:hint="eastAsia" w:ascii="宋体" w:hAnsi="宋体"/>
          <w:b/>
          <w:color w:val="auto"/>
          <w:sz w:val="24"/>
          <w:highlight w:val="none"/>
          <w:lang w:eastAsia="zh-CN"/>
        </w:rPr>
        <w:t>供应商</w:t>
      </w:r>
      <w:r>
        <w:rPr>
          <w:rFonts w:hint="eastAsia" w:ascii="宋体" w:hAnsi="宋体"/>
          <w:b/>
          <w:color w:val="auto"/>
          <w:sz w:val="24"/>
          <w:highlight w:val="none"/>
        </w:rPr>
        <w:t>的纪律要求</w:t>
      </w:r>
    </w:p>
    <w:p w14:paraId="36BF47F8">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供应商</w:t>
      </w:r>
      <w:r>
        <w:rPr>
          <w:rFonts w:hint="eastAsia" w:ascii="宋体" w:hAnsi="宋体"/>
          <w:color w:val="auto"/>
          <w:sz w:val="24"/>
          <w:highlight w:val="none"/>
        </w:rPr>
        <w:t>不得相互串通投标或者与</w:t>
      </w:r>
      <w:r>
        <w:rPr>
          <w:rFonts w:hint="eastAsia" w:ascii="宋体" w:hAnsi="宋体"/>
          <w:color w:val="auto"/>
          <w:sz w:val="24"/>
          <w:highlight w:val="none"/>
          <w:lang w:eastAsia="zh-CN"/>
        </w:rPr>
        <w:t>采购人</w:t>
      </w:r>
      <w:r>
        <w:rPr>
          <w:rFonts w:hint="eastAsia" w:ascii="宋体" w:hAnsi="宋体"/>
          <w:color w:val="auto"/>
          <w:sz w:val="24"/>
          <w:highlight w:val="none"/>
        </w:rPr>
        <w:t>串通投标，不得向</w:t>
      </w:r>
      <w:r>
        <w:rPr>
          <w:rFonts w:hint="eastAsia" w:ascii="宋体" w:hAnsi="宋体"/>
          <w:color w:val="auto"/>
          <w:sz w:val="24"/>
          <w:highlight w:val="none"/>
          <w:lang w:eastAsia="zh-CN"/>
        </w:rPr>
        <w:t>采购人</w:t>
      </w:r>
      <w:r>
        <w:rPr>
          <w:rFonts w:hint="eastAsia" w:ascii="宋体" w:hAnsi="宋体"/>
          <w:color w:val="auto"/>
          <w:sz w:val="24"/>
          <w:highlight w:val="none"/>
        </w:rPr>
        <w:t>或者</w:t>
      </w:r>
      <w:r>
        <w:rPr>
          <w:rFonts w:hint="eastAsia" w:ascii="宋体" w:hAnsi="宋体"/>
          <w:color w:val="auto"/>
          <w:sz w:val="24"/>
          <w:highlight w:val="none"/>
          <w:lang w:eastAsia="zh-CN"/>
        </w:rPr>
        <w:t>磋商小组</w:t>
      </w:r>
      <w:r>
        <w:rPr>
          <w:rFonts w:hint="eastAsia" w:ascii="宋体" w:hAnsi="宋体"/>
          <w:color w:val="auto"/>
          <w:sz w:val="24"/>
          <w:highlight w:val="none"/>
        </w:rPr>
        <w:t>成员行贿谋取中标，不得以他人名义投标或者以其他方式弄虚作假骗取中标；</w:t>
      </w:r>
      <w:r>
        <w:rPr>
          <w:rFonts w:hint="eastAsia" w:ascii="宋体" w:hAnsi="宋体"/>
          <w:color w:val="auto"/>
          <w:sz w:val="24"/>
          <w:highlight w:val="none"/>
          <w:lang w:eastAsia="zh-CN"/>
        </w:rPr>
        <w:t>供应商</w:t>
      </w:r>
      <w:r>
        <w:rPr>
          <w:rFonts w:hint="eastAsia" w:ascii="宋体" w:hAnsi="宋体"/>
          <w:color w:val="auto"/>
          <w:sz w:val="24"/>
          <w:highlight w:val="none"/>
        </w:rPr>
        <w:t>不得以任何方式干扰、影响</w:t>
      </w:r>
      <w:r>
        <w:rPr>
          <w:rFonts w:hint="eastAsia" w:ascii="宋体" w:hAnsi="宋体"/>
          <w:color w:val="auto"/>
          <w:sz w:val="24"/>
          <w:highlight w:val="none"/>
          <w:lang w:eastAsia="zh-CN"/>
        </w:rPr>
        <w:t>评审</w:t>
      </w:r>
      <w:r>
        <w:rPr>
          <w:rFonts w:hint="eastAsia" w:ascii="宋体" w:hAnsi="宋体"/>
          <w:color w:val="auto"/>
          <w:sz w:val="24"/>
          <w:highlight w:val="none"/>
        </w:rPr>
        <w:t>工作。</w:t>
      </w:r>
    </w:p>
    <w:p w14:paraId="29B17D64">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8.2</w:t>
      </w:r>
      <w:bookmarkStart w:id="262" w:name="_Toc221950237"/>
      <w:r>
        <w:rPr>
          <w:rFonts w:hint="eastAsia" w:ascii="宋体" w:hAnsi="宋体"/>
          <w:color w:val="auto"/>
          <w:sz w:val="24"/>
          <w:highlight w:val="none"/>
        </w:rPr>
        <w:t>.1禁止</w:t>
      </w:r>
      <w:r>
        <w:rPr>
          <w:rFonts w:hint="eastAsia" w:ascii="宋体" w:hAnsi="宋体"/>
          <w:color w:val="auto"/>
          <w:sz w:val="24"/>
          <w:highlight w:val="none"/>
          <w:lang w:eastAsia="zh-CN"/>
        </w:rPr>
        <w:t>供应商</w:t>
      </w:r>
      <w:r>
        <w:rPr>
          <w:rFonts w:hint="eastAsia" w:ascii="宋体" w:hAnsi="宋体"/>
          <w:color w:val="auto"/>
          <w:sz w:val="24"/>
          <w:highlight w:val="none"/>
        </w:rPr>
        <w:t>以他人名义投标。有下列情形之一，应当认定为以他人名义投标：</w:t>
      </w:r>
    </w:p>
    <w:p w14:paraId="105F6243">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（1）</w:t>
      </w:r>
      <w:bookmarkEnd w:id="262"/>
      <w:r>
        <w:rPr>
          <w:rFonts w:hint="eastAsia" w:ascii="宋体" w:hAnsi="宋体"/>
          <w:color w:val="auto"/>
          <w:sz w:val="24"/>
          <w:highlight w:val="none"/>
          <w:lang w:eastAsia="zh-CN"/>
        </w:rPr>
        <w:t>供应商</w:t>
      </w:r>
      <w:r>
        <w:rPr>
          <w:rFonts w:hint="eastAsia" w:ascii="宋体" w:hAnsi="宋体"/>
          <w:color w:val="auto"/>
          <w:sz w:val="24"/>
          <w:highlight w:val="none"/>
        </w:rPr>
        <w:t>挂靠其他施工单位的；</w:t>
      </w:r>
    </w:p>
    <w:p w14:paraId="31CF0233">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（2）</w:t>
      </w:r>
      <w:r>
        <w:rPr>
          <w:rFonts w:hint="eastAsia" w:ascii="宋体" w:hAnsi="宋体"/>
          <w:color w:val="auto"/>
          <w:sz w:val="24"/>
          <w:highlight w:val="none"/>
          <w:lang w:eastAsia="zh-CN"/>
        </w:rPr>
        <w:t>供应商</w:t>
      </w:r>
      <w:r>
        <w:rPr>
          <w:rFonts w:hint="eastAsia" w:ascii="宋体" w:hAnsi="宋体"/>
          <w:color w:val="auto"/>
          <w:sz w:val="24"/>
          <w:highlight w:val="none"/>
        </w:rPr>
        <w:t>从其他单位通过转让或者租借等方式获取资格或者资质证书的；</w:t>
      </w:r>
    </w:p>
    <w:p w14:paraId="3545BB3B">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（3）由其他单位或者其他单位负责人在自己编制的</w:t>
      </w:r>
      <w:r>
        <w:rPr>
          <w:rFonts w:hint="eastAsia" w:ascii="宋体" w:hAnsi="宋体"/>
          <w:color w:val="auto"/>
          <w:sz w:val="24"/>
          <w:highlight w:val="none"/>
          <w:lang w:eastAsia="zh-CN"/>
        </w:rPr>
        <w:t>响应文件</w:t>
      </w:r>
      <w:r>
        <w:rPr>
          <w:rFonts w:hint="eastAsia" w:ascii="宋体" w:hAnsi="宋体"/>
          <w:color w:val="auto"/>
          <w:sz w:val="24"/>
          <w:highlight w:val="none"/>
        </w:rPr>
        <w:t>上加盖印章或者签字的；</w:t>
      </w:r>
    </w:p>
    <w:p w14:paraId="59ADF17F">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（4）</w:t>
      </w:r>
      <w:r>
        <w:rPr>
          <w:rFonts w:hint="eastAsia" w:ascii="宋体" w:hAnsi="宋体"/>
          <w:color w:val="auto"/>
          <w:sz w:val="24"/>
          <w:highlight w:val="none"/>
          <w:lang w:eastAsia="zh-CN"/>
        </w:rPr>
        <w:t>响应文件</w:t>
      </w:r>
      <w:r>
        <w:rPr>
          <w:rFonts w:hint="eastAsia" w:ascii="宋体" w:hAnsi="宋体"/>
          <w:color w:val="auto"/>
          <w:sz w:val="24"/>
          <w:highlight w:val="none"/>
        </w:rPr>
        <w:t>中拟派的项目经理、技术负责人、财务负责人、质量管理人员、安全管理人员等主要管理人员不是本单位人员的；</w:t>
      </w:r>
    </w:p>
    <w:p w14:paraId="50CB98CF">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（5）其他以他人名义投标的行为。</w:t>
      </w:r>
    </w:p>
    <w:p w14:paraId="45987687">
      <w:pPr>
        <w:spacing w:line="440" w:lineRule="exact"/>
        <w:ind w:firstLine="480" w:firstLineChars="200"/>
        <w:rPr>
          <w:rFonts w:ascii="宋体" w:hAnsi="宋体"/>
          <w:color w:val="auto"/>
          <w:sz w:val="24"/>
          <w:highlight w:val="none"/>
        </w:rPr>
      </w:pPr>
      <w:bookmarkStart w:id="263" w:name="_Toc221950238"/>
      <w:r>
        <w:rPr>
          <w:rFonts w:hint="eastAsia" w:ascii="宋体" w:hAnsi="宋体"/>
          <w:color w:val="auto"/>
          <w:sz w:val="24"/>
          <w:highlight w:val="none"/>
        </w:rPr>
        <w:t>8.2.2</w:t>
      </w:r>
      <w:bookmarkEnd w:id="263"/>
      <w:r>
        <w:rPr>
          <w:rFonts w:hint="eastAsia" w:ascii="宋体" w:hAnsi="宋体"/>
          <w:color w:val="auto"/>
          <w:sz w:val="24"/>
          <w:highlight w:val="none"/>
        </w:rPr>
        <w:t>下列行为，视为允许他人以本单位名义承揽工程：</w:t>
      </w:r>
    </w:p>
    <w:p w14:paraId="2CA345C5">
      <w:pPr>
        <w:spacing w:line="440" w:lineRule="exact"/>
        <w:ind w:firstLine="480" w:firstLineChars="200"/>
        <w:rPr>
          <w:rFonts w:ascii="宋体" w:hAnsi="宋体"/>
          <w:color w:val="auto"/>
          <w:sz w:val="24"/>
          <w:highlight w:val="none"/>
        </w:rPr>
      </w:pPr>
      <w:bookmarkStart w:id="264" w:name="_Toc221950239"/>
      <w:r>
        <w:rPr>
          <w:rFonts w:hint="eastAsia" w:ascii="宋体" w:hAnsi="宋体"/>
          <w:color w:val="auto"/>
          <w:sz w:val="24"/>
          <w:highlight w:val="none"/>
        </w:rPr>
        <w:t>（1）</w:t>
      </w:r>
      <w:r>
        <w:rPr>
          <w:rFonts w:hint="eastAsia" w:ascii="宋体" w:hAnsi="宋体"/>
          <w:color w:val="auto"/>
          <w:sz w:val="24"/>
          <w:highlight w:val="none"/>
          <w:lang w:eastAsia="zh-CN"/>
        </w:rPr>
        <w:t>供应商</w:t>
      </w:r>
      <w:r>
        <w:rPr>
          <w:rFonts w:hint="eastAsia" w:ascii="宋体" w:hAnsi="宋体"/>
          <w:color w:val="auto"/>
          <w:sz w:val="24"/>
          <w:highlight w:val="none"/>
        </w:rPr>
        <w:t>的法定代表人的委托代理人不是</w:t>
      </w:r>
      <w:r>
        <w:rPr>
          <w:rFonts w:hint="eastAsia" w:ascii="宋体" w:hAnsi="宋体"/>
          <w:color w:val="auto"/>
          <w:sz w:val="24"/>
          <w:highlight w:val="none"/>
          <w:lang w:eastAsia="zh-CN"/>
        </w:rPr>
        <w:t>供应商</w:t>
      </w:r>
      <w:r>
        <w:rPr>
          <w:rFonts w:hint="eastAsia" w:ascii="宋体" w:hAnsi="宋体"/>
          <w:color w:val="auto"/>
          <w:sz w:val="24"/>
          <w:highlight w:val="none"/>
        </w:rPr>
        <w:t>本单位人员；</w:t>
      </w:r>
      <w:bookmarkEnd w:id="264"/>
    </w:p>
    <w:p w14:paraId="2268FA39">
      <w:pPr>
        <w:spacing w:line="440" w:lineRule="exact"/>
        <w:ind w:firstLine="480" w:firstLineChars="200"/>
        <w:rPr>
          <w:rFonts w:ascii="宋体" w:hAnsi="宋体"/>
          <w:color w:val="auto"/>
          <w:sz w:val="24"/>
          <w:highlight w:val="none"/>
        </w:rPr>
      </w:pPr>
      <w:bookmarkStart w:id="265" w:name="_Toc221950240"/>
      <w:r>
        <w:rPr>
          <w:rFonts w:hint="eastAsia" w:ascii="宋体" w:hAnsi="宋体"/>
          <w:color w:val="auto"/>
          <w:sz w:val="24"/>
          <w:highlight w:val="none"/>
        </w:rPr>
        <w:t>（2）</w:t>
      </w:r>
      <w:r>
        <w:rPr>
          <w:rFonts w:hint="eastAsia" w:ascii="宋体" w:hAnsi="宋体"/>
          <w:color w:val="auto"/>
          <w:sz w:val="24"/>
          <w:highlight w:val="none"/>
          <w:lang w:eastAsia="zh-CN"/>
        </w:rPr>
        <w:t>供应商</w:t>
      </w:r>
      <w:r>
        <w:rPr>
          <w:rFonts w:hint="eastAsia" w:ascii="宋体" w:hAnsi="宋体"/>
          <w:color w:val="auto"/>
          <w:sz w:val="24"/>
          <w:highlight w:val="none"/>
        </w:rPr>
        <w:t>拟在施工现场所设项目管理机构的项目负责人、技术负责人、财务负责人、质量管理人员、安全管理人员（专职安全生产管理人员）不是本单位人员；</w:t>
      </w:r>
      <w:bookmarkEnd w:id="265"/>
    </w:p>
    <w:p w14:paraId="29EC44C8">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（3）通过出租、出借资质证书或者收取管理费等方式允许他人以本单位名义承揽工程；</w:t>
      </w:r>
    </w:p>
    <w:p w14:paraId="2A21EF29">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（4）</w:t>
      </w:r>
      <w:r>
        <w:rPr>
          <w:rFonts w:hint="eastAsia" w:ascii="宋体" w:hAnsi="宋体"/>
          <w:color w:val="auto"/>
          <w:sz w:val="24"/>
          <w:highlight w:val="none"/>
          <w:lang w:eastAsia="zh-CN"/>
        </w:rPr>
        <w:t>磋商保证金</w:t>
      </w:r>
      <w:r>
        <w:rPr>
          <w:rFonts w:hint="eastAsia" w:ascii="宋体" w:hAnsi="宋体"/>
          <w:color w:val="auto"/>
          <w:sz w:val="24"/>
          <w:highlight w:val="none"/>
        </w:rPr>
        <w:t>不是从</w:t>
      </w:r>
      <w:r>
        <w:rPr>
          <w:rFonts w:hint="eastAsia" w:ascii="宋体" w:hAnsi="宋体"/>
          <w:color w:val="auto"/>
          <w:sz w:val="24"/>
          <w:highlight w:val="none"/>
          <w:lang w:eastAsia="zh-CN"/>
        </w:rPr>
        <w:t>供应商</w:t>
      </w:r>
      <w:r>
        <w:rPr>
          <w:rFonts w:hint="eastAsia" w:ascii="宋体" w:hAnsi="宋体"/>
          <w:color w:val="auto"/>
          <w:sz w:val="24"/>
          <w:highlight w:val="none"/>
        </w:rPr>
        <w:t>基本账户划转的，或虽由</w:t>
      </w:r>
      <w:r>
        <w:rPr>
          <w:rFonts w:hint="eastAsia" w:ascii="宋体" w:hAnsi="宋体"/>
          <w:color w:val="auto"/>
          <w:sz w:val="24"/>
          <w:highlight w:val="none"/>
          <w:lang w:eastAsia="zh-CN"/>
        </w:rPr>
        <w:t>供应商</w:t>
      </w:r>
      <w:r>
        <w:rPr>
          <w:rFonts w:hint="eastAsia" w:ascii="宋体" w:hAnsi="宋体"/>
          <w:color w:val="auto"/>
          <w:sz w:val="24"/>
          <w:highlight w:val="none"/>
        </w:rPr>
        <w:t>基本账户划转，但先由非投标单位人员将</w:t>
      </w:r>
      <w:r>
        <w:rPr>
          <w:rFonts w:hint="eastAsia" w:ascii="宋体" w:hAnsi="宋体"/>
          <w:color w:val="auto"/>
          <w:sz w:val="24"/>
          <w:highlight w:val="none"/>
          <w:lang w:eastAsia="zh-CN"/>
        </w:rPr>
        <w:t>磋商保证金</w:t>
      </w:r>
      <w:r>
        <w:rPr>
          <w:rFonts w:hint="eastAsia" w:ascii="宋体" w:hAnsi="宋体"/>
          <w:color w:val="auto"/>
          <w:sz w:val="24"/>
          <w:highlight w:val="none"/>
        </w:rPr>
        <w:t>存入</w:t>
      </w:r>
      <w:r>
        <w:rPr>
          <w:rFonts w:hint="eastAsia" w:ascii="宋体" w:hAnsi="宋体"/>
          <w:color w:val="auto"/>
          <w:sz w:val="24"/>
          <w:highlight w:val="none"/>
          <w:lang w:eastAsia="zh-CN"/>
        </w:rPr>
        <w:t>供应商</w:t>
      </w:r>
      <w:r>
        <w:rPr>
          <w:rFonts w:hint="eastAsia" w:ascii="宋体" w:hAnsi="宋体"/>
          <w:color w:val="auto"/>
          <w:sz w:val="24"/>
          <w:highlight w:val="none"/>
        </w:rPr>
        <w:t>或有关人员账户，或以其他方式抵押的；</w:t>
      </w:r>
    </w:p>
    <w:p w14:paraId="56ACF4CA">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（5）</w:t>
      </w:r>
      <w:r>
        <w:rPr>
          <w:rFonts w:hint="eastAsia" w:ascii="宋体" w:hAnsi="宋体"/>
          <w:color w:val="auto"/>
          <w:sz w:val="24"/>
          <w:highlight w:val="none"/>
          <w:lang w:eastAsia="zh-CN"/>
        </w:rPr>
        <w:t>成交后</w:t>
      </w:r>
      <w:r>
        <w:rPr>
          <w:rFonts w:hint="eastAsia" w:ascii="宋体" w:hAnsi="宋体"/>
          <w:color w:val="auto"/>
          <w:sz w:val="24"/>
          <w:highlight w:val="none"/>
        </w:rPr>
        <w:t>，财务管理人员（财务主管和出纳）非本单位人员，或项目资金的使用未经项目经理本人签字、审批的；</w:t>
      </w:r>
    </w:p>
    <w:p w14:paraId="2AFAE719">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（6）</w:t>
      </w:r>
      <w:r>
        <w:rPr>
          <w:rFonts w:hint="eastAsia" w:ascii="宋体" w:hAnsi="宋体"/>
          <w:color w:val="auto"/>
          <w:sz w:val="24"/>
          <w:highlight w:val="none"/>
          <w:lang w:eastAsia="zh-CN"/>
        </w:rPr>
        <w:t>成交后</w:t>
      </w:r>
      <w:r>
        <w:rPr>
          <w:rFonts w:hint="eastAsia" w:ascii="宋体" w:hAnsi="宋体"/>
          <w:color w:val="auto"/>
          <w:sz w:val="24"/>
          <w:highlight w:val="none"/>
        </w:rPr>
        <w:t>，合同约定的施工项目主要管理人员不到岗或严重缺岗（主要施工时段2/3以上的时间缺岗），而实际由他人履行职责且他人非本单位人员的（项目经理换为非本单位人员，或其他主要管理人员有3个及以上换为非本单位人员）；或合同约定的施工项目主要管理人员虽到岗，而实际由他人履行职责且他人非本单位人员的；</w:t>
      </w:r>
    </w:p>
    <w:p w14:paraId="5B688269">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（7）法律法规规定的其他情形。</w:t>
      </w:r>
    </w:p>
    <w:p w14:paraId="156E4437">
      <w:pPr>
        <w:spacing w:line="440" w:lineRule="exact"/>
        <w:ind w:firstLine="480" w:firstLineChars="200"/>
        <w:rPr>
          <w:rFonts w:ascii="宋体" w:hAnsi="宋体"/>
          <w:color w:val="auto"/>
          <w:sz w:val="24"/>
          <w:highlight w:val="none"/>
        </w:rPr>
      </w:pPr>
      <w:bookmarkStart w:id="266" w:name="_Toc221950245"/>
      <w:r>
        <w:rPr>
          <w:rFonts w:hint="eastAsia" w:ascii="宋体" w:hAnsi="宋体"/>
          <w:color w:val="auto"/>
          <w:sz w:val="24"/>
          <w:highlight w:val="none"/>
        </w:rPr>
        <w:t>8.2.3有下列情形之一，视为</w:t>
      </w:r>
      <w:r>
        <w:rPr>
          <w:rFonts w:hint="eastAsia" w:ascii="宋体" w:hAnsi="宋体"/>
          <w:color w:val="auto"/>
          <w:sz w:val="24"/>
          <w:highlight w:val="none"/>
          <w:lang w:eastAsia="zh-CN"/>
        </w:rPr>
        <w:t>供应商</w:t>
      </w:r>
      <w:r>
        <w:rPr>
          <w:rFonts w:hint="eastAsia" w:ascii="宋体" w:hAnsi="宋体"/>
          <w:color w:val="auto"/>
          <w:sz w:val="24"/>
          <w:highlight w:val="none"/>
        </w:rPr>
        <w:t>相互串通投标：</w:t>
      </w:r>
      <w:bookmarkEnd w:id="266"/>
      <w:bookmarkStart w:id="267" w:name="_Toc221950246"/>
    </w:p>
    <w:p w14:paraId="781EB8CA">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（1）</w:t>
      </w:r>
      <w:bookmarkEnd w:id="267"/>
      <w:r>
        <w:rPr>
          <w:rFonts w:hint="eastAsia" w:ascii="宋体" w:hAnsi="宋体"/>
          <w:color w:val="auto"/>
          <w:sz w:val="24"/>
          <w:highlight w:val="none"/>
        </w:rPr>
        <w:t>不同</w:t>
      </w:r>
      <w:r>
        <w:rPr>
          <w:rFonts w:hint="eastAsia" w:ascii="宋体" w:hAnsi="宋体"/>
          <w:color w:val="auto"/>
          <w:sz w:val="24"/>
          <w:highlight w:val="none"/>
          <w:lang w:eastAsia="zh-CN"/>
        </w:rPr>
        <w:t>供应商</w:t>
      </w:r>
      <w:r>
        <w:rPr>
          <w:rFonts w:hint="eastAsia" w:ascii="宋体" w:hAnsi="宋体"/>
          <w:color w:val="auto"/>
          <w:sz w:val="24"/>
          <w:highlight w:val="none"/>
        </w:rPr>
        <w:t>的</w:t>
      </w:r>
      <w:r>
        <w:rPr>
          <w:rFonts w:hint="eastAsia" w:ascii="宋体" w:hAnsi="宋体"/>
          <w:color w:val="auto"/>
          <w:sz w:val="24"/>
          <w:highlight w:val="none"/>
          <w:lang w:eastAsia="zh-CN"/>
        </w:rPr>
        <w:t>响应文件</w:t>
      </w:r>
      <w:r>
        <w:rPr>
          <w:rFonts w:hint="eastAsia" w:ascii="宋体" w:hAnsi="宋体"/>
          <w:color w:val="auto"/>
          <w:sz w:val="24"/>
          <w:highlight w:val="none"/>
        </w:rPr>
        <w:t>由同一单位或者个人编制的；</w:t>
      </w:r>
      <w:bookmarkStart w:id="268" w:name="_Toc485127763"/>
      <w:bookmarkStart w:id="269" w:name="_Toc484700757"/>
      <w:bookmarkStart w:id="270" w:name="_Toc485128722"/>
    </w:p>
    <w:p w14:paraId="1D79C148">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（2）不同</w:t>
      </w:r>
      <w:r>
        <w:rPr>
          <w:rFonts w:hint="eastAsia" w:ascii="宋体" w:hAnsi="宋体"/>
          <w:color w:val="auto"/>
          <w:sz w:val="24"/>
          <w:highlight w:val="none"/>
          <w:lang w:eastAsia="zh-CN"/>
        </w:rPr>
        <w:t>供应商</w:t>
      </w:r>
      <w:r>
        <w:rPr>
          <w:rFonts w:hint="eastAsia" w:ascii="宋体" w:hAnsi="宋体"/>
          <w:color w:val="auto"/>
          <w:sz w:val="24"/>
          <w:highlight w:val="none"/>
        </w:rPr>
        <w:t>委托同一单位或者个人办理投标事宜的；</w:t>
      </w:r>
      <w:bookmarkEnd w:id="268"/>
      <w:bookmarkEnd w:id="269"/>
      <w:bookmarkEnd w:id="270"/>
      <w:bookmarkStart w:id="271" w:name="_Toc485127764"/>
      <w:bookmarkStart w:id="272" w:name="_Toc484700758"/>
      <w:bookmarkStart w:id="273" w:name="_Toc485128723"/>
    </w:p>
    <w:p w14:paraId="5DD177EE">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（3）不同</w:t>
      </w:r>
      <w:r>
        <w:rPr>
          <w:rFonts w:hint="eastAsia" w:ascii="宋体" w:hAnsi="宋体"/>
          <w:color w:val="auto"/>
          <w:sz w:val="24"/>
          <w:highlight w:val="none"/>
          <w:lang w:eastAsia="zh-CN"/>
        </w:rPr>
        <w:t>供应商</w:t>
      </w:r>
      <w:r>
        <w:rPr>
          <w:rFonts w:hint="eastAsia" w:ascii="宋体" w:hAnsi="宋体"/>
          <w:color w:val="auto"/>
          <w:sz w:val="24"/>
          <w:highlight w:val="none"/>
        </w:rPr>
        <w:t>的</w:t>
      </w:r>
      <w:r>
        <w:rPr>
          <w:rFonts w:hint="eastAsia" w:ascii="宋体" w:hAnsi="宋体"/>
          <w:color w:val="auto"/>
          <w:sz w:val="24"/>
          <w:highlight w:val="none"/>
          <w:lang w:eastAsia="zh-CN"/>
        </w:rPr>
        <w:t>响应文件</w:t>
      </w:r>
      <w:r>
        <w:rPr>
          <w:rFonts w:hint="eastAsia" w:ascii="宋体" w:hAnsi="宋体"/>
          <w:color w:val="auto"/>
          <w:sz w:val="24"/>
          <w:highlight w:val="none"/>
        </w:rPr>
        <w:t>载明的项目管理成员为同一人的；</w:t>
      </w:r>
      <w:bookmarkEnd w:id="271"/>
      <w:bookmarkEnd w:id="272"/>
      <w:bookmarkEnd w:id="273"/>
      <w:bookmarkStart w:id="274" w:name="_Toc485127765"/>
      <w:bookmarkStart w:id="275" w:name="_Toc484700759"/>
      <w:bookmarkStart w:id="276" w:name="_Toc485128724"/>
    </w:p>
    <w:p w14:paraId="4D9F3DC8">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（4）不同</w:t>
      </w:r>
      <w:r>
        <w:rPr>
          <w:rFonts w:hint="eastAsia" w:ascii="宋体" w:hAnsi="宋体"/>
          <w:color w:val="auto"/>
          <w:sz w:val="24"/>
          <w:highlight w:val="none"/>
          <w:lang w:eastAsia="zh-CN"/>
        </w:rPr>
        <w:t>供应商</w:t>
      </w:r>
      <w:r>
        <w:rPr>
          <w:rFonts w:hint="eastAsia" w:ascii="宋体" w:hAnsi="宋体"/>
          <w:color w:val="auto"/>
          <w:sz w:val="24"/>
          <w:highlight w:val="none"/>
        </w:rPr>
        <w:t>的</w:t>
      </w:r>
      <w:r>
        <w:rPr>
          <w:rFonts w:hint="eastAsia" w:ascii="宋体" w:hAnsi="宋体"/>
          <w:color w:val="auto"/>
          <w:sz w:val="24"/>
          <w:highlight w:val="none"/>
          <w:lang w:eastAsia="zh-CN"/>
        </w:rPr>
        <w:t>响应文件</w:t>
      </w:r>
      <w:r>
        <w:rPr>
          <w:rFonts w:hint="eastAsia" w:ascii="宋体" w:hAnsi="宋体"/>
          <w:color w:val="auto"/>
          <w:sz w:val="24"/>
          <w:highlight w:val="none"/>
        </w:rPr>
        <w:t>异常一致或者投标报价呈规律性差异的；</w:t>
      </w:r>
      <w:bookmarkEnd w:id="274"/>
      <w:bookmarkEnd w:id="275"/>
      <w:bookmarkEnd w:id="276"/>
      <w:bookmarkStart w:id="277" w:name="_Toc485128725"/>
      <w:bookmarkStart w:id="278" w:name="_Toc484700760"/>
      <w:bookmarkStart w:id="279" w:name="_Toc485127766"/>
    </w:p>
    <w:p w14:paraId="0B8E208F">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（5）不同</w:t>
      </w:r>
      <w:r>
        <w:rPr>
          <w:rFonts w:hint="eastAsia" w:ascii="宋体" w:hAnsi="宋体"/>
          <w:color w:val="auto"/>
          <w:sz w:val="24"/>
          <w:highlight w:val="none"/>
          <w:lang w:eastAsia="zh-CN"/>
        </w:rPr>
        <w:t>供应商</w:t>
      </w:r>
      <w:r>
        <w:rPr>
          <w:rFonts w:hint="eastAsia" w:ascii="宋体" w:hAnsi="宋体"/>
          <w:color w:val="auto"/>
          <w:sz w:val="24"/>
          <w:highlight w:val="none"/>
        </w:rPr>
        <w:t>的</w:t>
      </w:r>
      <w:r>
        <w:rPr>
          <w:rFonts w:hint="eastAsia" w:ascii="宋体" w:hAnsi="宋体"/>
          <w:color w:val="auto"/>
          <w:sz w:val="24"/>
          <w:highlight w:val="none"/>
          <w:lang w:eastAsia="zh-CN"/>
        </w:rPr>
        <w:t>响应文件</w:t>
      </w:r>
      <w:r>
        <w:rPr>
          <w:rFonts w:hint="eastAsia" w:ascii="宋体" w:hAnsi="宋体"/>
          <w:color w:val="auto"/>
          <w:sz w:val="24"/>
          <w:highlight w:val="none"/>
        </w:rPr>
        <w:t>相互混装的；</w:t>
      </w:r>
      <w:bookmarkEnd w:id="277"/>
      <w:bookmarkEnd w:id="278"/>
      <w:bookmarkEnd w:id="279"/>
      <w:bookmarkStart w:id="280" w:name="_Toc484700761"/>
      <w:bookmarkStart w:id="281" w:name="_Toc485128726"/>
      <w:bookmarkStart w:id="282" w:name="_Toc485127767"/>
    </w:p>
    <w:p w14:paraId="29881AA7">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（6）不同</w:t>
      </w:r>
      <w:r>
        <w:rPr>
          <w:rFonts w:hint="eastAsia" w:ascii="宋体" w:hAnsi="宋体"/>
          <w:color w:val="auto"/>
          <w:sz w:val="24"/>
          <w:highlight w:val="none"/>
          <w:lang w:eastAsia="zh-CN"/>
        </w:rPr>
        <w:t>供应商</w:t>
      </w:r>
      <w:r>
        <w:rPr>
          <w:rFonts w:hint="eastAsia" w:ascii="宋体" w:hAnsi="宋体"/>
          <w:color w:val="auto"/>
          <w:sz w:val="24"/>
          <w:highlight w:val="none"/>
        </w:rPr>
        <w:t>的</w:t>
      </w:r>
      <w:r>
        <w:rPr>
          <w:rFonts w:hint="eastAsia" w:ascii="宋体" w:hAnsi="宋体"/>
          <w:color w:val="auto"/>
          <w:sz w:val="24"/>
          <w:highlight w:val="none"/>
          <w:lang w:eastAsia="zh-CN"/>
        </w:rPr>
        <w:t>磋商保证金</w:t>
      </w:r>
      <w:r>
        <w:rPr>
          <w:rFonts w:hint="eastAsia" w:ascii="宋体" w:hAnsi="宋体"/>
          <w:color w:val="auto"/>
          <w:sz w:val="24"/>
          <w:highlight w:val="none"/>
        </w:rPr>
        <w:t>从同一单位或者个人账户转出</w:t>
      </w:r>
      <w:bookmarkEnd w:id="280"/>
      <w:bookmarkEnd w:id="281"/>
      <w:bookmarkEnd w:id="282"/>
      <w:bookmarkStart w:id="283" w:name="_Toc485127768"/>
      <w:bookmarkStart w:id="284" w:name="_Toc485128727"/>
      <w:bookmarkStart w:id="285" w:name="_Toc484700762"/>
      <w:r>
        <w:rPr>
          <w:rFonts w:hint="eastAsia" w:ascii="宋体" w:hAnsi="宋体"/>
          <w:color w:val="auto"/>
          <w:sz w:val="24"/>
          <w:highlight w:val="none"/>
        </w:rPr>
        <w:t>的。</w:t>
      </w:r>
      <w:bookmarkEnd w:id="283"/>
      <w:bookmarkEnd w:id="284"/>
      <w:bookmarkEnd w:id="285"/>
    </w:p>
    <w:p w14:paraId="077C78E8">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8.2.4禁止</w:t>
      </w:r>
      <w:r>
        <w:rPr>
          <w:rFonts w:hint="eastAsia" w:ascii="宋体" w:hAnsi="宋体"/>
          <w:color w:val="auto"/>
          <w:sz w:val="24"/>
          <w:highlight w:val="none"/>
          <w:lang w:eastAsia="zh-CN"/>
        </w:rPr>
        <w:t>供应商</w:t>
      </w:r>
      <w:r>
        <w:rPr>
          <w:rFonts w:hint="eastAsia" w:ascii="宋体" w:hAnsi="宋体"/>
          <w:color w:val="auto"/>
          <w:sz w:val="24"/>
          <w:highlight w:val="none"/>
        </w:rPr>
        <w:t>有弄虚作假行为。有下列情形之一，应当认定为弄虚作假行为：</w:t>
      </w:r>
    </w:p>
    <w:p w14:paraId="26EEF8BA">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（1）使用伪造、变造的许可证件的；</w:t>
      </w:r>
      <w:bookmarkStart w:id="286" w:name="_Toc485127774"/>
      <w:bookmarkStart w:id="287" w:name="_Toc485128733"/>
      <w:bookmarkStart w:id="288" w:name="_Toc484700768"/>
    </w:p>
    <w:p w14:paraId="5A6496B3">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（2）提供虚假的财务状况或者业绩的；</w:t>
      </w:r>
      <w:bookmarkEnd w:id="286"/>
      <w:bookmarkEnd w:id="287"/>
      <w:bookmarkEnd w:id="288"/>
      <w:bookmarkStart w:id="289" w:name="_Toc485128734"/>
      <w:bookmarkStart w:id="290" w:name="_Toc485127775"/>
      <w:bookmarkStart w:id="291" w:name="_Toc484700769"/>
    </w:p>
    <w:p w14:paraId="735A5A9E">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（3）提供虚假的项目负责人或者主要技术人员简历、劳动关系证明的；</w:t>
      </w:r>
      <w:bookmarkEnd w:id="289"/>
      <w:bookmarkEnd w:id="290"/>
      <w:bookmarkEnd w:id="291"/>
      <w:bookmarkStart w:id="292" w:name="_Toc484700770"/>
      <w:bookmarkStart w:id="293" w:name="_Toc485128735"/>
      <w:bookmarkStart w:id="294" w:name="_Toc485127776"/>
    </w:p>
    <w:p w14:paraId="0EFD7C66">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（4）提供虚假的信用状况的；</w:t>
      </w:r>
      <w:bookmarkEnd w:id="292"/>
      <w:bookmarkEnd w:id="293"/>
      <w:bookmarkEnd w:id="294"/>
      <w:bookmarkStart w:id="295" w:name="_Toc485127777"/>
      <w:bookmarkStart w:id="296" w:name="_Toc484700771"/>
      <w:bookmarkStart w:id="297" w:name="_Toc485128736"/>
    </w:p>
    <w:p w14:paraId="4C3F8F83">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（5）其他弄虚作假行为。</w:t>
      </w:r>
      <w:bookmarkEnd w:id="295"/>
      <w:bookmarkEnd w:id="296"/>
      <w:bookmarkEnd w:id="297"/>
    </w:p>
    <w:p w14:paraId="2F8A2A8F">
      <w:pPr>
        <w:spacing w:line="440" w:lineRule="exact"/>
        <w:rPr>
          <w:rFonts w:ascii="宋体" w:hAnsi="宋体"/>
          <w:b/>
          <w:color w:val="auto"/>
          <w:sz w:val="24"/>
          <w:highlight w:val="none"/>
        </w:rPr>
      </w:pPr>
      <w:r>
        <w:rPr>
          <w:rFonts w:hint="eastAsia" w:ascii="宋体" w:hAnsi="宋体"/>
          <w:b/>
          <w:color w:val="auto"/>
          <w:sz w:val="24"/>
          <w:highlight w:val="none"/>
        </w:rPr>
        <w:t>8.3 对</w:t>
      </w:r>
      <w:r>
        <w:rPr>
          <w:rFonts w:hint="eastAsia" w:ascii="宋体" w:hAnsi="宋体"/>
          <w:b/>
          <w:color w:val="auto"/>
          <w:sz w:val="24"/>
          <w:highlight w:val="none"/>
          <w:lang w:eastAsia="zh-CN"/>
        </w:rPr>
        <w:t>磋商小组</w:t>
      </w:r>
      <w:r>
        <w:rPr>
          <w:rFonts w:hint="eastAsia" w:ascii="宋体" w:hAnsi="宋体"/>
          <w:b/>
          <w:color w:val="auto"/>
          <w:sz w:val="24"/>
          <w:highlight w:val="none"/>
        </w:rPr>
        <w:t>成员的纪律要求</w:t>
      </w:r>
    </w:p>
    <w:p w14:paraId="1355CE39">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磋商小组</w:t>
      </w:r>
      <w:r>
        <w:rPr>
          <w:rFonts w:hint="eastAsia" w:ascii="宋体" w:hAnsi="宋体"/>
          <w:color w:val="auto"/>
          <w:sz w:val="24"/>
          <w:highlight w:val="none"/>
        </w:rPr>
        <w:t>成员不得收受他人的财物或者其他好处，不得向他人透漏对</w:t>
      </w:r>
      <w:r>
        <w:rPr>
          <w:rFonts w:hint="eastAsia" w:ascii="宋体" w:hAnsi="宋体"/>
          <w:color w:val="auto"/>
          <w:sz w:val="24"/>
          <w:highlight w:val="none"/>
          <w:lang w:eastAsia="zh-CN"/>
        </w:rPr>
        <w:t>响应文件</w:t>
      </w:r>
      <w:r>
        <w:rPr>
          <w:rFonts w:hint="eastAsia" w:ascii="宋体" w:hAnsi="宋体"/>
          <w:color w:val="auto"/>
          <w:sz w:val="24"/>
          <w:highlight w:val="none"/>
        </w:rPr>
        <w:t>的评审和比较、中标候选人的推荐情况以及</w:t>
      </w:r>
      <w:r>
        <w:rPr>
          <w:rFonts w:hint="eastAsia" w:ascii="宋体" w:hAnsi="宋体"/>
          <w:color w:val="auto"/>
          <w:sz w:val="24"/>
          <w:highlight w:val="none"/>
          <w:lang w:eastAsia="zh-CN"/>
        </w:rPr>
        <w:t>评审</w:t>
      </w:r>
      <w:r>
        <w:rPr>
          <w:rFonts w:hint="eastAsia" w:ascii="宋体" w:hAnsi="宋体"/>
          <w:color w:val="auto"/>
          <w:sz w:val="24"/>
          <w:highlight w:val="none"/>
        </w:rPr>
        <w:t>有关的其他情况。在</w:t>
      </w:r>
      <w:r>
        <w:rPr>
          <w:rFonts w:hint="eastAsia" w:ascii="宋体" w:hAnsi="宋体"/>
          <w:color w:val="auto"/>
          <w:sz w:val="24"/>
          <w:highlight w:val="none"/>
          <w:lang w:eastAsia="zh-CN"/>
        </w:rPr>
        <w:t>评审活动</w:t>
      </w:r>
      <w:r>
        <w:rPr>
          <w:rFonts w:hint="eastAsia" w:ascii="宋体" w:hAnsi="宋体"/>
          <w:color w:val="auto"/>
          <w:sz w:val="24"/>
          <w:highlight w:val="none"/>
        </w:rPr>
        <w:t>中，</w:t>
      </w:r>
      <w:r>
        <w:rPr>
          <w:rFonts w:hint="eastAsia" w:ascii="宋体" w:hAnsi="宋体"/>
          <w:color w:val="auto"/>
          <w:sz w:val="24"/>
          <w:highlight w:val="none"/>
          <w:lang w:eastAsia="zh-CN"/>
        </w:rPr>
        <w:t>磋商小组</w:t>
      </w:r>
      <w:r>
        <w:rPr>
          <w:rFonts w:hint="eastAsia" w:ascii="宋体" w:hAnsi="宋体"/>
          <w:color w:val="auto"/>
          <w:sz w:val="24"/>
          <w:highlight w:val="none"/>
        </w:rPr>
        <w:t>成员不得擅离职守，影响</w:t>
      </w:r>
      <w:r>
        <w:rPr>
          <w:rFonts w:hint="eastAsia" w:ascii="宋体" w:hAnsi="宋体"/>
          <w:color w:val="auto"/>
          <w:sz w:val="24"/>
          <w:highlight w:val="none"/>
          <w:lang w:eastAsia="zh-CN"/>
        </w:rPr>
        <w:t>评审</w:t>
      </w:r>
      <w:r>
        <w:rPr>
          <w:rFonts w:hint="eastAsia" w:ascii="宋体" w:hAnsi="宋体"/>
          <w:color w:val="auto"/>
          <w:sz w:val="24"/>
          <w:highlight w:val="none"/>
        </w:rPr>
        <w:t>程序正常进行，不得使用第三章“</w:t>
      </w:r>
      <w:r>
        <w:rPr>
          <w:rFonts w:hint="eastAsia" w:ascii="宋体" w:hAnsi="宋体"/>
          <w:color w:val="auto"/>
          <w:sz w:val="24"/>
          <w:highlight w:val="none"/>
          <w:lang w:eastAsia="zh-CN"/>
        </w:rPr>
        <w:t>评审</w:t>
      </w:r>
      <w:r>
        <w:rPr>
          <w:rFonts w:hint="eastAsia" w:ascii="宋体" w:hAnsi="宋体"/>
          <w:color w:val="auto"/>
          <w:sz w:val="24"/>
          <w:highlight w:val="none"/>
        </w:rPr>
        <w:t>办法”没有规定的评审因素和标准进行</w:t>
      </w:r>
      <w:r>
        <w:rPr>
          <w:rFonts w:hint="eastAsia" w:ascii="宋体" w:hAnsi="宋体"/>
          <w:color w:val="auto"/>
          <w:sz w:val="24"/>
          <w:highlight w:val="none"/>
          <w:lang w:eastAsia="zh-CN"/>
        </w:rPr>
        <w:t>评审</w:t>
      </w:r>
      <w:r>
        <w:rPr>
          <w:rFonts w:hint="eastAsia" w:ascii="宋体" w:hAnsi="宋体"/>
          <w:color w:val="auto"/>
          <w:sz w:val="24"/>
          <w:highlight w:val="none"/>
        </w:rPr>
        <w:t>。</w:t>
      </w:r>
    </w:p>
    <w:p w14:paraId="6A02EB55">
      <w:pPr>
        <w:spacing w:line="440" w:lineRule="exact"/>
        <w:rPr>
          <w:rFonts w:ascii="宋体" w:hAnsi="宋体"/>
          <w:b/>
          <w:color w:val="auto"/>
          <w:sz w:val="24"/>
          <w:highlight w:val="none"/>
        </w:rPr>
      </w:pPr>
      <w:r>
        <w:rPr>
          <w:rFonts w:hint="eastAsia" w:ascii="宋体" w:hAnsi="宋体"/>
          <w:b/>
          <w:color w:val="auto"/>
          <w:sz w:val="24"/>
          <w:highlight w:val="none"/>
        </w:rPr>
        <w:t>8.4 对与</w:t>
      </w:r>
      <w:r>
        <w:rPr>
          <w:rFonts w:hint="eastAsia" w:ascii="宋体" w:hAnsi="宋体"/>
          <w:b/>
          <w:color w:val="auto"/>
          <w:sz w:val="24"/>
          <w:highlight w:val="none"/>
          <w:lang w:eastAsia="zh-CN"/>
        </w:rPr>
        <w:t>评审活动</w:t>
      </w:r>
      <w:r>
        <w:rPr>
          <w:rFonts w:hint="eastAsia" w:ascii="宋体" w:hAnsi="宋体"/>
          <w:b/>
          <w:color w:val="auto"/>
          <w:sz w:val="24"/>
          <w:highlight w:val="none"/>
        </w:rPr>
        <w:t>有关的工作人员的纪律要求</w:t>
      </w:r>
    </w:p>
    <w:p w14:paraId="5D00E9D6">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与</w:t>
      </w:r>
      <w:r>
        <w:rPr>
          <w:rFonts w:hint="eastAsia" w:ascii="宋体" w:hAnsi="宋体"/>
          <w:color w:val="auto"/>
          <w:sz w:val="24"/>
          <w:highlight w:val="none"/>
          <w:lang w:eastAsia="zh-CN"/>
        </w:rPr>
        <w:t>评审活动</w:t>
      </w:r>
      <w:r>
        <w:rPr>
          <w:rFonts w:hint="eastAsia" w:ascii="宋体" w:hAnsi="宋体"/>
          <w:color w:val="auto"/>
          <w:sz w:val="24"/>
          <w:highlight w:val="none"/>
        </w:rPr>
        <w:t>有关的工作人员不得收受他人的财物或者其他好处，不得向他人透漏对</w:t>
      </w:r>
      <w:r>
        <w:rPr>
          <w:rFonts w:hint="eastAsia" w:ascii="宋体" w:hAnsi="宋体"/>
          <w:color w:val="auto"/>
          <w:sz w:val="24"/>
          <w:highlight w:val="none"/>
          <w:lang w:eastAsia="zh-CN"/>
        </w:rPr>
        <w:t>响应文件</w:t>
      </w:r>
      <w:r>
        <w:rPr>
          <w:rFonts w:hint="eastAsia" w:ascii="宋体" w:hAnsi="宋体"/>
          <w:color w:val="auto"/>
          <w:sz w:val="24"/>
          <w:highlight w:val="none"/>
        </w:rPr>
        <w:t>的评审和比较、中标候选人的推荐情况以及</w:t>
      </w:r>
      <w:r>
        <w:rPr>
          <w:rFonts w:hint="eastAsia" w:ascii="宋体" w:hAnsi="宋体"/>
          <w:color w:val="auto"/>
          <w:sz w:val="24"/>
          <w:highlight w:val="none"/>
          <w:lang w:eastAsia="zh-CN"/>
        </w:rPr>
        <w:t>评审</w:t>
      </w:r>
      <w:r>
        <w:rPr>
          <w:rFonts w:hint="eastAsia" w:ascii="宋体" w:hAnsi="宋体"/>
          <w:color w:val="auto"/>
          <w:sz w:val="24"/>
          <w:highlight w:val="none"/>
        </w:rPr>
        <w:t>有关的其他情况。在</w:t>
      </w:r>
      <w:r>
        <w:rPr>
          <w:rFonts w:hint="eastAsia" w:ascii="宋体" w:hAnsi="宋体"/>
          <w:color w:val="auto"/>
          <w:sz w:val="24"/>
          <w:highlight w:val="none"/>
          <w:lang w:eastAsia="zh-CN"/>
        </w:rPr>
        <w:t>评审活动</w:t>
      </w:r>
      <w:r>
        <w:rPr>
          <w:rFonts w:hint="eastAsia" w:ascii="宋体" w:hAnsi="宋体"/>
          <w:color w:val="auto"/>
          <w:sz w:val="24"/>
          <w:highlight w:val="none"/>
        </w:rPr>
        <w:t>中，与</w:t>
      </w:r>
      <w:r>
        <w:rPr>
          <w:rFonts w:hint="eastAsia" w:ascii="宋体" w:hAnsi="宋体"/>
          <w:color w:val="auto"/>
          <w:sz w:val="24"/>
          <w:highlight w:val="none"/>
          <w:lang w:eastAsia="zh-CN"/>
        </w:rPr>
        <w:t>评审活动</w:t>
      </w:r>
      <w:r>
        <w:rPr>
          <w:rFonts w:hint="eastAsia" w:ascii="宋体" w:hAnsi="宋体"/>
          <w:color w:val="auto"/>
          <w:sz w:val="24"/>
          <w:highlight w:val="none"/>
        </w:rPr>
        <w:t>有关的工作人员不得擅离职守，影响</w:t>
      </w:r>
      <w:r>
        <w:rPr>
          <w:rFonts w:hint="eastAsia" w:ascii="宋体" w:hAnsi="宋体"/>
          <w:color w:val="auto"/>
          <w:sz w:val="24"/>
          <w:highlight w:val="none"/>
          <w:lang w:eastAsia="zh-CN"/>
        </w:rPr>
        <w:t>评审</w:t>
      </w:r>
      <w:r>
        <w:rPr>
          <w:rFonts w:hint="eastAsia" w:ascii="宋体" w:hAnsi="宋体"/>
          <w:color w:val="auto"/>
          <w:sz w:val="24"/>
          <w:highlight w:val="none"/>
        </w:rPr>
        <w:t>程序正常进行。</w:t>
      </w:r>
    </w:p>
    <w:p w14:paraId="5744BC5F">
      <w:pPr>
        <w:spacing w:line="440" w:lineRule="exact"/>
        <w:rPr>
          <w:rFonts w:ascii="宋体" w:hAnsi="宋体"/>
          <w:b/>
          <w:color w:val="auto"/>
          <w:sz w:val="24"/>
          <w:highlight w:val="none"/>
        </w:rPr>
      </w:pPr>
      <w:r>
        <w:rPr>
          <w:rFonts w:hint="eastAsia" w:ascii="宋体" w:hAnsi="宋体"/>
          <w:b/>
          <w:color w:val="auto"/>
          <w:sz w:val="24"/>
          <w:highlight w:val="none"/>
        </w:rPr>
        <w:t>8.5 投诉</w:t>
      </w:r>
    </w:p>
    <w:p w14:paraId="6B2C4E8C">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供应商</w:t>
      </w:r>
      <w:r>
        <w:rPr>
          <w:rFonts w:hint="eastAsia" w:ascii="宋体" w:hAnsi="宋体"/>
          <w:color w:val="auto"/>
          <w:sz w:val="24"/>
          <w:highlight w:val="none"/>
        </w:rPr>
        <w:t>和其他利害关系人认为本次</w:t>
      </w:r>
      <w:r>
        <w:rPr>
          <w:rFonts w:hint="eastAsia" w:ascii="宋体" w:hAnsi="宋体"/>
          <w:color w:val="auto"/>
          <w:sz w:val="24"/>
          <w:highlight w:val="none"/>
          <w:lang w:eastAsia="zh-CN"/>
        </w:rPr>
        <w:t>采购活动</w:t>
      </w:r>
      <w:r>
        <w:rPr>
          <w:rFonts w:hint="eastAsia" w:ascii="宋体" w:hAnsi="宋体"/>
          <w:color w:val="auto"/>
          <w:sz w:val="24"/>
          <w:highlight w:val="none"/>
        </w:rPr>
        <w:t>违反</w:t>
      </w:r>
      <w:r>
        <w:rPr>
          <w:rFonts w:hint="eastAsia" w:ascii="宋体" w:hAnsi="宋体"/>
          <w:color w:val="auto"/>
          <w:sz w:val="24"/>
          <w:highlight w:val="none"/>
          <w:lang w:eastAsia="zh-CN"/>
        </w:rPr>
        <w:t>法律法规</w:t>
      </w:r>
      <w:r>
        <w:rPr>
          <w:rFonts w:hint="eastAsia" w:ascii="宋体" w:hAnsi="宋体"/>
          <w:color w:val="auto"/>
          <w:sz w:val="24"/>
          <w:highlight w:val="none"/>
        </w:rPr>
        <w:t>和规章规定的，有权向有关行政监督部门投诉。</w:t>
      </w:r>
      <w:bookmarkStart w:id="298" w:name="_Toc309533724"/>
      <w:bookmarkStart w:id="299" w:name="_Toc311205781"/>
      <w:bookmarkStart w:id="300" w:name="_Toc511746983"/>
      <w:bookmarkStart w:id="301" w:name="_Toc309533328"/>
      <w:bookmarkStart w:id="302" w:name="_Toc229408472"/>
      <w:bookmarkStart w:id="303" w:name="_Toc310088832"/>
    </w:p>
    <w:p w14:paraId="3413877E">
      <w:pPr>
        <w:spacing w:line="440" w:lineRule="exact"/>
        <w:ind w:firstLine="482" w:firstLineChars="200"/>
        <w:outlineLvl w:val="2"/>
        <w:rPr>
          <w:rFonts w:ascii="宋体" w:hAnsi="宋体"/>
          <w:b/>
          <w:color w:val="auto"/>
          <w:sz w:val="24"/>
          <w:highlight w:val="none"/>
        </w:rPr>
      </w:pPr>
      <w:bookmarkStart w:id="304" w:name="_Toc23492"/>
      <w:r>
        <w:rPr>
          <w:rFonts w:hint="eastAsia" w:ascii="宋体" w:hAnsi="宋体"/>
          <w:b/>
          <w:color w:val="auto"/>
          <w:sz w:val="24"/>
          <w:highlight w:val="none"/>
        </w:rPr>
        <w:t>（九） 需要补充的其他内容</w:t>
      </w:r>
      <w:bookmarkEnd w:id="298"/>
      <w:bookmarkEnd w:id="299"/>
      <w:bookmarkEnd w:id="300"/>
      <w:bookmarkEnd w:id="301"/>
      <w:bookmarkEnd w:id="302"/>
      <w:bookmarkEnd w:id="303"/>
      <w:bookmarkEnd w:id="304"/>
    </w:p>
    <w:p w14:paraId="050F55EF">
      <w:pPr>
        <w:spacing w:line="440" w:lineRule="exact"/>
        <w:rPr>
          <w:rFonts w:ascii="宋体" w:hAnsi="宋体"/>
          <w:b/>
          <w:color w:val="auto"/>
          <w:sz w:val="24"/>
          <w:highlight w:val="none"/>
        </w:rPr>
      </w:pPr>
      <w:r>
        <w:rPr>
          <w:rFonts w:hint="eastAsia" w:ascii="宋体" w:hAnsi="宋体"/>
          <w:b/>
          <w:color w:val="auto"/>
          <w:sz w:val="24"/>
          <w:highlight w:val="none"/>
        </w:rPr>
        <w:t>40.</w:t>
      </w:r>
      <w:r>
        <w:rPr>
          <w:rFonts w:hint="eastAsia" w:ascii="宋体" w:hAnsi="宋体"/>
          <w:b/>
          <w:color w:val="auto"/>
          <w:sz w:val="24"/>
          <w:highlight w:val="none"/>
          <w:lang w:eastAsia="zh-CN"/>
        </w:rPr>
        <w:t>评审</w:t>
      </w:r>
      <w:r>
        <w:rPr>
          <w:rFonts w:hint="eastAsia" w:ascii="宋体" w:hAnsi="宋体"/>
          <w:b/>
          <w:color w:val="auto"/>
          <w:sz w:val="24"/>
          <w:highlight w:val="none"/>
        </w:rPr>
        <w:t>结果公示</w:t>
      </w:r>
    </w:p>
    <w:p w14:paraId="4018B0B6">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评审</w:t>
      </w:r>
      <w:r>
        <w:rPr>
          <w:rFonts w:hint="eastAsia" w:ascii="宋体" w:hAnsi="宋体"/>
          <w:color w:val="auto"/>
          <w:sz w:val="24"/>
          <w:highlight w:val="none"/>
        </w:rPr>
        <w:t>结果公示见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0CAD90FF">
      <w:pPr>
        <w:spacing w:line="440" w:lineRule="exact"/>
        <w:rPr>
          <w:rFonts w:ascii="宋体" w:hAnsi="宋体"/>
          <w:b/>
          <w:color w:val="auto"/>
          <w:sz w:val="24"/>
          <w:highlight w:val="none"/>
        </w:rPr>
      </w:pPr>
      <w:r>
        <w:rPr>
          <w:rFonts w:hint="eastAsia" w:ascii="宋体" w:hAnsi="宋体"/>
          <w:b/>
          <w:color w:val="auto"/>
          <w:sz w:val="24"/>
          <w:highlight w:val="none"/>
        </w:rPr>
        <w:t>43.最高投标限价</w:t>
      </w:r>
    </w:p>
    <w:p w14:paraId="2AF6CFC0">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最高投标限价见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26A95AFE">
      <w:pPr>
        <w:spacing w:line="440" w:lineRule="exact"/>
        <w:rPr>
          <w:rFonts w:ascii="宋体" w:hAnsi="宋体"/>
          <w:b/>
          <w:color w:val="auto"/>
          <w:sz w:val="24"/>
          <w:highlight w:val="none"/>
        </w:rPr>
      </w:pPr>
      <w:r>
        <w:rPr>
          <w:rFonts w:hint="eastAsia" w:ascii="宋体" w:hAnsi="宋体"/>
          <w:b/>
          <w:color w:val="auto"/>
          <w:sz w:val="24"/>
          <w:highlight w:val="none"/>
        </w:rPr>
        <w:t>44.类似项目</w:t>
      </w:r>
    </w:p>
    <w:p w14:paraId="55EEB41B">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类似项目的要求见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24714FFD">
      <w:pPr>
        <w:spacing w:line="440" w:lineRule="exact"/>
        <w:rPr>
          <w:rFonts w:ascii="宋体" w:hAnsi="宋体"/>
          <w:b/>
          <w:color w:val="auto"/>
          <w:sz w:val="24"/>
          <w:highlight w:val="none"/>
        </w:rPr>
      </w:pPr>
      <w:r>
        <w:rPr>
          <w:rFonts w:hint="eastAsia" w:ascii="宋体" w:hAnsi="宋体"/>
          <w:b/>
          <w:color w:val="auto"/>
          <w:sz w:val="24"/>
          <w:highlight w:val="none"/>
        </w:rPr>
        <w:t xml:space="preserve">45. </w:t>
      </w:r>
      <w:r>
        <w:rPr>
          <w:rFonts w:hint="eastAsia" w:ascii="宋体" w:hAnsi="宋体"/>
          <w:b/>
          <w:color w:val="auto"/>
          <w:sz w:val="24"/>
          <w:highlight w:val="none"/>
          <w:lang w:eastAsia="zh-CN"/>
        </w:rPr>
        <w:t>采购人</w:t>
      </w:r>
      <w:r>
        <w:rPr>
          <w:rFonts w:hint="eastAsia" w:ascii="宋体" w:hAnsi="宋体"/>
          <w:b/>
          <w:color w:val="auto"/>
          <w:sz w:val="24"/>
          <w:highlight w:val="none"/>
        </w:rPr>
        <w:t>拒收</w:t>
      </w:r>
      <w:r>
        <w:rPr>
          <w:rFonts w:hint="eastAsia" w:ascii="宋体" w:hAnsi="宋体"/>
          <w:b/>
          <w:color w:val="auto"/>
          <w:sz w:val="24"/>
          <w:highlight w:val="none"/>
          <w:lang w:eastAsia="zh-CN"/>
        </w:rPr>
        <w:t>响应文件</w:t>
      </w:r>
      <w:r>
        <w:rPr>
          <w:rFonts w:hint="eastAsia" w:ascii="宋体" w:hAnsi="宋体"/>
          <w:b/>
          <w:color w:val="auto"/>
          <w:sz w:val="24"/>
          <w:highlight w:val="none"/>
        </w:rPr>
        <w:t>的情形</w:t>
      </w:r>
    </w:p>
    <w:p w14:paraId="2C1023FA">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采购人</w:t>
      </w:r>
      <w:r>
        <w:rPr>
          <w:rFonts w:hint="eastAsia" w:ascii="宋体" w:hAnsi="宋体"/>
          <w:color w:val="auto"/>
          <w:sz w:val="24"/>
          <w:highlight w:val="none"/>
        </w:rPr>
        <w:t>拒收</w:t>
      </w:r>
      <w:r>
        <w:rPr>
          <w:rFonts w:hint="eastAsia" w:ascii="宋体" w:hAnsi="宋体"/>
          <w:color w:val="auto"/>
          <w:sz w:val="24"/>
          <w:highlight w:val="none"/>
          <w:lang w:eastAsia="zh-CN"/>
        </w:rPr>
        <w:t>响应文件</w:t>
      </w:r>
      <w:r>
        <w:rPr>
          <w:rFonts w:hint="eastAsia" w:ascii="宋体" w:hAnsi="宋体"/>
          <w:color w:val="auto"/>
          <w:sz w:val="24"/>
          <w:highlight w:val="none"/>
        </w:rPr>
        <w:t>的情形见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1E740604">
      <w:pPr>
        <w:spacing w:line="440" w:lineRule="exact"/>
        <w:rPr>
          <w:rFonts w:ascii="宋体" w:hAnsi="宋体"/>
          <w:b/>
          <w:color w:val="auto"/>
          <w:sz w:val="24"/>
          <w:highlight w:val="none"/>
        </w:rPr>
      </w:pPr>
      <w:r>
        <w:rPr>
          <w:rFonts w:hint="eastAsia" w:ascii="宋体" w:hAnsi="宋体"/>
          <w:b/>
          <w:color w:val="auto"/>
          <w:sz w:val="24"/>
          <w:highlight w:val="none"/>
        </w:rPr>
        <w:t>46. 原件</w:t>
      </w:r>
    </w:p>
    <w:p w14:paraId="026B92C2">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供应商</w:t>
      </w:r>
      <w:r>
        <w:rPr>
          <w:rFonts w:hint="eastAsia" w:ascii="宋体" w:hAnsi="宋体"/>
          <w:color w:val="auto"/>
          <w:sz w:val="24"/>
          <w:highlight w:val="none"/>
        </w:rPr>
        <w:t>须知前附表要求递交原件的，</w:t>
      </w:r>
      <w:r>
        <w:rPr>
          <w:rFonts w:hint="eastAsia" w:ascii="宋体" w:hAnsi="宋体"/>
          <w:color w:val="auto"/>
          <w:sz w:val="24"/>
          <w:highlight w:val="none"/>
          <w:lang w:eastAsia="zh-CN"/>
        </w:rPr>
        <w:t>供应商</w:t>
      </w:r>
      <w:r>
        <w:rPr>
          <w:rFonts w:hint="eastAsia" w:ascii="宋体" w:hAnsi="宋体"/>
          <w:color w:val="auto"/>
          <w:sz w:val="24"/>
          <w:highlight w:val="none"/>
        </w:rPr>
        <w:t>应在递交</w:t>
      </w:r>
      <w:r>
        <w:rPr>
          <w:rFonts w:hint="eastAsia" w:ascii="宋体" w:hAnsi="宋体"/>
          <w:color w:val="auto"/>
          <w:sz w:val="24"/>
          <w:highlight w:val="none"/>
          <w:lang w:eastAsia="zh-CN"/>
        </w:rPr>
        <w:t>响应文件</w:t>
      </w:r>
      <w:r>
        <w:rPr>
          <w:rFonts w:hint="eastAsia" w:ascii="宋体" w:hAnsi="宋体"/>
          <w:color w:val="auto"/>
          <w:sz w:val="24"/>
          <w:highlight w:val="none"/>
        </w:rPr>
        <w:t>时按</w:t>
      </w:r>
      <w:r>
        <w:rPr>
          <w:rFonts w:hint="eastAsia" w:ascii="宋体" w:hAnsi="宋体"/>
          <w:color w:val="auto"/>
          <w:sz w:val="24"/>
          <w:highlight w:val="none"/>
          <w:lang w:eastAsia="zh-CN"/>
        </w:rPr>
        <w:t>供应商</w:t>
      </w:r>
      <w:r>
        <w:rPr>
          <w:rFonts w:hint="eastAsia" w:ascii="宋体" w:hAnsi="宋体"/>
          <w:color w:val="auto"/>
          <w:sz w:val="24"/>
          <w:highlight w:val="none"/>
        </w:rPr>
        <w:t>须知前附表所列清单提交原件。原件经查验后退回</w:t>
      </w:r>
      <w:r>
        <w:rPr>
          <w:rFonts w:hint="eastAsia" w:ascii="宋体" w:hAnsi="宋体"/>
          <w:color w:val="auto"/>
          <w:sz w:val="24"/>
          <w:highlight w:val="none"/>
          <w:lang w:eastAsia="zh-CN"/>
        </w:rPr>
        <w:t>供应商</w:t>
      </w:r>
      <w:r>
        <w:rPr>
          <w:rFonts w:hint="eastAsia" w:ascii="宋体" w:hAnsi="宋体"/>
          <w:color w:val="auto"/>
          <w:sz w:val="24"/>
          <w:highlight w:val="none"/>
        </w:rPr>
        <w:t>。</w:t>
      </w:r>
    </w:p>
    <w:p w14:paraId="7A55183A">
      <w:pPr>
        <w:spacing w:line="440" w:lineRule="exact"/>
        <w:rPr>
          <w:rFonts w:ascii="宋体" w:hAnsi="宋体"/>
          <w:b/>
          <w:color w:val="auto"/>
          <w:sz w:val="24"/>
          <w:highlight w:val="none"/>
        </w:rPr>
      </w:pPr>
      <w:r>
        <w:rPr>
          <w:rFonts w:hint="eastAsia" w:ascii="宋体" w:hAnsi="宋体"/>
          <w:b/>
          <w:color w:val="auto"/>
          <w:sz w:val="24"/>
          <w:highlight w:val="none"/>
        </w:rPr>
        <w:t>47.</w:t>
      </w:r>
      <w:r>
        <w:rPr>
          <w:rFonts w:hint="eastAsia" w:ascii="宋体" w:hAnsi="宋体"/>
          <w:b/>
          <w:color w:val="auto"/>
          <w:sz w:val="24"/>
          <w:highlight w:val="none"/>
          <w:lang w:eastAsia="zh-CN"/>
        </w:rPr>
        <w:t>采购代理</w:t>
      </w:r>
      <w:r>
        <w:rPr>
          <w:rFonts w:hint="eastAsia" w:ascii="宋体" w:hAnsi="宋体"/>
          <w:b/>
          <w:color w:val="auto"/>
          <w:sz w:val="24"/>
          <w:highlight w:val="none"/>
        </w:rPr>
        <w:t>服务费</w:t>
      </w:r>
    </w:p>
    <w:p w14:paraId="200698A0">
      <w:pPr>
        <w:spacing w:line="440" w:lineRule="exact"/>
        <w:ind w:firstLine="240" w:firstLineChars="100"/>
        <w:rPr>
          <w:rFonts w:ascii="宋体" w:hAnsi="宋体"/>
          <w:color w:val="auto"/>
          <w:sz w:val="24"/>
          <w:highlight w:val="none"/>
        </w:rPr>
      </w:pPr>
      <w:r>
        <w:rPr>
          <w:rFonts w:hint="eastAsia" w:ascii="宋体" w:hAnsi="宋体"/>
          <w:color w:val="auto"/>
          <w:sz w:val="24"/>
          <w:highlight w:val="none"/>
          <w:lang w:eastAsia="zh-CN"/>
        </w:rPr>
        <w:t>采购代理</w:t>
      </w:r>
      <w:r>
        <w:rPr>
          <w:rFonts w:hint="eastAsia" w:ascii="宋体" w:hAnsi="宋体"/>
          <w:color w:val="auto"/>
          <w:sz w:val="24"/>
          <w:highlight w:val="none"/>
        </w:rPr>
        <w:t>服务费的收取详见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0BA28D82">
      <w:pPr>
        <w:widowControl w:val="0"/>
        <w:spacing w:line="360" w:lineRule="auto"/>
        <w:ind w:firstLine="480" w:firstLineChars="200"/>
        <w:jc w:val="both"/>
        <w:rPr>
          <w:rFonts w:hint="eastAsia" w:asciiTheme="minorEastAsia" w:hAnsiTheme="minorEastAsia" w:eastAsiaTheme="minorEastAsia" w:cstheme="minorEastAsia"/>
          <w:b w:val="0"/>
          <w:color w:val="auto"/>
          <w:kern w:val="2"/>
          <w:sz w:val="24"/>
          <w:szCs w:val="24"/>
          <w:highlight w:val="none"/>
        </w:rPr>
      </w:pPr>
    </w:p>
    <w:p w14:paraId="3EA29888">
      <w:pPr>
        <w:widowControl/>
        <w:jc w:val="center"/>
        <w:outlineLvl w:val="0"/>
        <w:rPr>
          <w:b/>
          <w:color w:val="auto"/>
          <w:sz w:val="40"/>
          <w:szCs w:val="21"/>
          <w:highlight w:val="none"/>
          <w:lang w:val="zh-CN"/>
        </w:rPr>
      </w:pPr>
      <w:r>
        <w:rPr>
          <w:rFonts w:hint="eastAsia" w:asciiTheme="minorEastAsia" w:hAnsiTheme="minorEastAsia" w:eastAsiaTheme="minorEastAsia" w:cstheme="minorEastAsia"/>
          <w:color w:val="auto"/>
          <w:sz w:val="24"/>
          <w:szCs w:val="24"/>
          <w:highlight w:val="none"/>
          <w:lang w:val="zh-CN"/>
        </w:rPr>
        <w:br w:type="page"/>
      </w:r>
      <w:bookmarkStart w:id="305" w:name="_Toc6388"/>
      <w:r>
        <w:rPr>
          <w:rFonts w:hint="eastAsia"/>
          <w:b/>
          <w:color w:val="auto"/>
          <w:sz w:val="36"/>
          <w:highlight w:val="none"/>
        </w:rPr>
        <w:t xml:space="preserve">第三章  </w:t>
      </w:r>
      <w:r>
        <w:rPr>
          <w:rFonts w:hint="eastAsia"/>
          <w:b/>
          <w:color w:val="auto"/>
          <w:sz w:val="36"/>
          <w:highlight w:val="none"/>
          <w:lang w:eastAsia="zh-CN"/>
        </w:rPr>
        <w:t>评审</w:t>
      </w:r>
      <w:r>
        <w:rPr>
          <w:rFonts w:hint="eastAsia"/>
          <w:b/>
          <w:color w:val="auto"/>
          <w:sz w:val="36"/>
          <w:highlight w:val="none"/>
        </w:rPr>
        <w:t>办法</w:t>
      </w:r>
      <w:bookmarkEnd w:id="305"/>
    </w:p>
    <w:p w14:paraId="3ED2FBE4">
      <w:pPr>
        <w:pStyle w:val="46"/>
        <w:jc w:val="both"/>
        <w:outlineLvl w:val="1"/>
        <w:rPr>
          <w:rFonts w:hint="eastAsia" w:ascii="宋体" w:hAnsi="宋体" w:cs="宋体"/>
          <w:bCs w:val="0"/>
          <w:color w:val="auto"/>
          <w:kern w:val="2"/>
          <w:sz w:val="28"/>
          <w:szCs w:val="24"/>
          <w:highlight w:val="none"/>
        </w:rPr>
      </w:pPr>
      <w:bookmarkStart w:id="306" w:name="_Toc1529"/>
      <w:r>
        <w:rPr>
          <w:rFonts w:hint="eastAsia" w:ascii="宋体" w:hAnsi="宋体" w:cs="宋体"/>
          <w:bCs w:val="0"/>
          <w:color w:val="auto"/>
          <w:kern w:val="2"/>
          <w:sz w:val="28"/>
          <w:szCs w:val="24"/>
          <w:highlight w:val="none"/>
        </w:rPr>
        <w:t>1.</w:t>
      </w:r>
      <w:r>
        <w:rPr>
          <w:rFonts w:hint="eastAsia"/>
          <w:color w:val="auto"/>
          <w:highlight w:val="none"/>
        </w:rPr>
        <w:t xml:space="preserve"> </w:t>
      </w:r>
      <w:r>
        <w:rPr>
          <w:rFonts w:hint="eastAsia" w:ascii="宋体" w:hAnsi="宋体" w:cs="宋体"/>
          <w:bCs w:val="0"/>
          <w:color w:val="auto"/>
          <w:kern w:val="2"/>
          <w:sz w:val="28"/>
          <w:szCs w:val="24"/>
          <w:highlight w:val="none"/>
          <w:lang w:eastAsia="zh-CN"/>
        </w:rPr>
        <w:t>评审</w:t>
      </w:r>
      <w:r>
        <w:rPr>
          <w:rFonts w:hint="eastAsia" w:ascii="宋体" w:hAnsi="宋体" w:cs="宋体"/>
          <w:bCs w:val="0"/>
          <w:color w:val="auto"/>
          <w:kern w:val="2"/>
          <w:sz w:val="28"/>
          <w:szCs w:val="24"/>
          <w:highlight w:val="none"/>
        </w:rPr>
        <w:t>办法前附表</w:t>
      </w:r>
      <w:bookmarkEnd w:id="306"/>
    </w:p>
    <w:tbl>
      <w:tblPr>
        <w:tblStyle w:val="49"/>
        <w:tblW w:w="10293" w:type="dxa"/>
        <w:tblInd w:w="-296"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75"/>
        <w:gridCol w:w="705"/>
        <w:gridCol w:w="2136"/>
        <w:gridCol w:w="6477"/>
      </w:tblGrid>
      <w:tr w14:paraId="439532A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2" w:hRule="atLeast"/>
        </w:trPr>
        <w:tc>
          <w:tcPr>
            <w:tcW w:w="1680" w:type="dxa"/>
            <w:gridSpan w:val="2"/>
            <w:noWrap w:val="0"/>
            <w:vAlign w:val="center"/>
          </w:tcPr>
          <w:p w14:paraId="24679F57">
            <w:pPr>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条款号</w:t>
            </w:r>
          </w:p>
        </w:tc>
        <w:tc>
          <w:tcPr>
            <w:tcW w:w="2136" w:type="dxa"/>
            <w:noWrap w:val="0"/>
            <w:vAlign w:val="center"/>
          </w:tcPr>
          <w:p w14:paraId="1F105386">
            <w:pPr>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评审因素</w:t>
            </w:r>
          </w:p>
        </w:tc>
        <w:tc>
          <w:tcPr>
            <w:tcW w:w="6477" w:type="dxa"/>
            <w:noWrap w:val="0"/>
            <w:vAlign w:val="center"/>
          </w:tcPr>
          <w:p w14:paraId="529164FA">
            <w:pPr>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评审标准</w:t>
            </w:r>
          </w:p>
        </w:tc>
      </w:tr>
      <w:tr w14:paraId="170F8B7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20" w:hRule="atLeast"/>
        </w:trPr>
        <w:tc>
          <w:tcPr>
            <w:tcW w:w="975" w:type="dxa"/>
            <w:vMerge w:val="restart"/>
            <w:noWrap w:val="0"/>
            <w:vAlign w:val="center"/>
          </w:tcPr>
          <w:p w14:paraId="06C80E5D">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1.1.1</w:t>
            </w:r>
          </w:p>
        </w:tc>
        <w:tc>
          <w:tcPr>
            <w:tcW w:w="705" w:type="dxa"/>
            <w:vMerge w:val="restart"/>
            <w:noWrap w:val="0"/>
            <w:vAlign w:val="center"/>
          </w:tcPr>
          <w:p w14:paraId="2CAF1854">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形式评审标准</w:t>
            </w:r>
          </w:p>
        </w:tc>
        <w:tc>
          <w:tcPr>
            <w:tcW w:w="2136" w:type="dxa"/>
            <w:noWrap w:val="0"/>
            <w:vAlign w:val="center"/>
          </w:tcPr>
          <w:p w14:paraId="7BFC27D4">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申请人名称</w:t>
            </w:r>
          </w:p>
        </w:tc>
        <w:tc>
          <w:tcPr>
            <w:tcW w:w="6477" w:type="dxa"/>
            <w:noWrap w:val="0"/>
            <w:vAlign w:val="center"/>
          </w:tcPr>
          <w:p w14:paraId="2C656CB1">
            <w:pPr>
              <w:rPr>
                <w:rFonts w:hint="eastAsia" w:ascii="宋体" w:hAnsi="宋体" w:eastAsia="宋体" w:cs="Times New Roman"/>
                <w:b w:val="0"/>
                <w:bCs/>
                <w:color w:val="auto"/>
                <w:sz w:val="24"/>
                <w:szCs w:val="28"/>
                <w:highlight w:val="none"/>
                <w:lang w:eastAsia="zh-CN"/>
              </w:rPr>
            </w:pPr>
            <w:r>
              <w:rPr>
                <w:rFonts w:hint="eastAsia" w:ascii="宋体" w:hAnsi="宋体" w:eastAsia="宋体" w:cs="Times New Roman"/>
                <w:b w:val="0"/>
                <w:bCs/>
                <w:color w:val="auto"/>
                <w:sz w:val="24"/>
                <w:szCs w:val="28"/>
                <w:highlight w:val="none"/>
                <w:lang w:eastAsia="zh-CN"/>
              </w:rPr>
              <w:t>与营业执照、资质证书、安全生产许可证一致</w:t>
            </w:r>
          </w:p>
        </w:tc>
      </w:tr>
      <w:tr w14:paraId="52C54BA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76" w:hRule="atLeast"/>
        </w:trPr>
        <w:tc>
          <w:tcPr>
            <w:tcW w:w="975" w:type="dxa"/>
            <w:vMerge w:val="continue"/>
            <w:noWrap w:val="0"/>
            <w:vAlign w:val="center"/>
          </w:tcPr>
          <w:p w14:paraId="7D5E9C46">
            <w:pPr>
              <w:jc w:val="center"/>
              <w:rPr>
                <w:rFonts w:hint="eastAsia" w:ascii="宋体" w:hAnsi="宋体" w:eastAsia="宋体" w:cs="宋体"/>
                <w:color w:val="auto"/>
                <w:sz w:val="24"/>
                <w:szCs w:val="24"/>
                <w:highlight w:val="none"/>
              </w:rPr>
            </w:pPr>
          </w:p>
        </w:tc>
        <w:tc>
          <w:tcPr>
            <w:tcW w:w="705" w:type="dxa"/>
            <w:vMerge w:val="continue"/>
            <w:noWrap w:val="0"/>
            <w:vAlign w:val="center"/>
          </w:tcPr>
          <w:p w14:paraId="6426297B">
            <w:pPr>
              <w:jc w:val="center"/>
              <w:rPr>
                <w:rFonts w:hint="eastAsia" w:ascii="宋体" w:hAnsi="宋体" w:eastAsia="宋体" w:cs="宋体"/>
                <w:color w:val="auto"/>
                <w:sz w:val="24"/>
                <w:szCs w:val="24"/>
                <w:highlight w:val="none"/>
              </w:rPr>
            </w:pPr>
          </w:p>
        </w:tc>
        <w:tc>
          <w:tcPr>
            <w:tcW w:w="2136" w:type="dxa"/>
            <w:noWrap w:val="0"/>
            <w:vAlign w:val="center"/>
          </w:tcPr>
          <w:p w14:paraId="20576F0D">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磋商函签字盖章</w:t>
            </w:r>
          </w:p>
        </w:tc>
        <w:tc>
          <w:tcPr>
            <w:tcW w:w="6477" w:type="dxa"/>
            <w:noWrap w:val="0"/>
            <w:vAlign w:val="center"/>
          </w:tcPr>
          <w:p w14:paraId="0C91CD5E">
            <w:pPr>
              <w:rPr>
                <w:rFonts w:hint="eastAsia" w:ascii="宋体" w:hAnsi="宋体" w:eastAsia="宋体" w:cs="Times New Roman"/>
                <w:b w:val="0"/>
                <w:bCs/>
                <w:color w:val="auto"/>
                <w:sz w:val="24"/>
                <w:szCs w:val="28"/>
                <w:highlight w:val="none"/>
                <w:lang w:eastAsia="zh-CN"/>
              </w:rPr>
            </w:pPr>
            <w:r>
              <w:rPr>
                <w:rFonts w:hint="eastAsia" w:ascii="宋体" w:hAnsi="宋体" w:eastAsia="宋体" w:cs="Times New Roman"/>
                <w:b w:val="0"/>
                <w:bCs/>
                <w:color w:val="auto"/>
                <w:sz w:val="24"/>
                <w:szCs w:val="28"/>
                <w:highlight w:val="none"/>
                <w:lang w:eastAsia="zh-CN"/>
              </w:rPr>
              <w:t>有法定代表人或其委托代理人签字（或盖章）并加盖单位章</w:t>
            </w:r>
          </w:p>
        </w:tc>
      </w:tr>
      <w:tr w14:paraId="6E3D651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89" w:hRule="atLeast"/>
        </w:trPr>
        <w:tc>
          <w:tcPr>
            <w:tcW w:w="975" w:type="dxa"/>
            <w:vMerge w:val="continue"/>
            <w:noWrap w:val="0"/>
            <w:vAlign w:val="center"/>
          </w:tcPr>
          <w:p w14:paraId="34122D1F">
            <w:pPr>
              <w:jc w:val="center"/>
              <w:rPr>
                <w:rFonts w:hint="eastAsia" w:ascii="宋体" w:hAnsi="宋体" w:eastAsia="宋体" w:cs="宋体"/>
                <w:color w:val="auto"/>
                <w:sz w:val="24"/>
                <w:szCs w:val="24"/>
                <w:highlight w:val="none"/>
              </w:rPr>
            </w:pPr>
          </w:p>
        </w:tc>
        <w:tc>
          <w:tcPr>
            <w:tcW w:w="705" w:type="dxa"/>
            <w:vMerge w:val="continue"/>
            <w:noWrap w:val="0"/>
            <w:vAlign w:val="center"/>
          </w:tcPr>
          <w:p w14:paraId="64C4CA6D">
            <w:pPr>
              <w:jc w:val="center"/>
              <w:rPr>
                <w:rFonts w:hint="eastAsia" w:ascii="宋体" w:hAnsi="宋体" w:eastAsia="宋体" w:cs="宋体"/>
                <w:color w:val="auto"/>
                <w:sz w:val="24"/>
                <w:szCs w:val="24"/>
                <w:highlight w:val="none"/>
              </w:rPr>
            </w:pPr>
          </w:p>
        </w:tc>
        <w:tc>
          <w:tcPr>
            <w:tcW w:w="2136" w:type="dxa"/>
            <w:noWrap w:val="0"/>
            <w:vAlign w:val="center"/>
          </w:tcPr>
          <w:p w14:paraId="2F6FEE87">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响应文件格式</w:t>
            </w:r>
          </w:p>
        </w:tc>
        <w:tc>
          <w:tcPr>
            <w:tcW w:w="6477" w:type="dxa"/>
            <w:noWrap w:val="0"/>
            <w:vAlign w:val="center"/>
          </w:tcPr>
          <w:p w14:paraId="41201ED0">
            <w:pPr>
              <w:rPr>
                <w:rFonts w:hint="eastAsia" w:ascii="宋体" w:hAnsi="宋体" w:eastAsia="宋体" w:cs="Times New Roman"/>
                <w:b w:val="0"/>
                <w:bCs/>
                <w:color w:val="auto"/>
                <w:sz w:val="24"/>
                <w:szCs w:val="28"/>
                <w:highlight w:val="none"/>
                <w:lang w:eastAsia="zh-CN"/>
              </w:rPr>
            </w:pPr>
            <w:r>
              <w:rPr>
                <w:rFonts w:hint="eastAsia" w:ascii="宋体" w:hAnsi="宋体" w:eastAsia="宋体" w:cs="Times New Roman"/>
                <w:b w:val="0"/>
                <w:bCs/>
                <w:color w:val="auto"/>
                <w:sz w:val="24"/>
                <w:szCs w:val="28"/>
                <w:highlight w:val="none"/>
                <w:lang w:eastAsia="zh-CN"/>
              </w:rPr>
              <w:t>符合第八章“响应文件格式”的要求</w:t>
            </w:r>
          </w:p>
        </w:tc>
      </w:tr>
      <w:tr w14:paraId="3A165B1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3" w:hRule="atLeast"/>
        </w:trPr>
        <w:tc>
          <w:tcPr>
            <w:tcW w:w="975" w:type="dxa"/>
            <w:vMerge w:val="continue"/>
            <w:noWrap w:val="0"/>
            <w:vAlign w:val="center"/>
          </w:tcPr>
          <w:p w14:paraId="74E446A2">
            <w:pPr>
              <w:jc w:val="center"/>
              <w:rPr>
                <w:rFonts w:hint="eastAsia" w:ascii="宋体" w:hAnsi="宋体" w:eastAsia="宋体" w:cs="宋体"/>
                <w:color w:val="auto"/>
                <w:sz w:val="24"/>
                <w:szCs w:val="24"/>
                <w:highlight w:val="none"/>
              </w:rPr>
            </w:pPr>
          </w:p>
        </w:tc>
        <w:tc>
          <w:tcPr>
            <w:tcW w:w="705" w:type="dxa"/>
            <w:vMerge w:val="continue"/>
            <w:noWrap w:val="0"/>
            <w:vAlign w:val="center"/>
          </w:tcPr>
          <w:p w14:paraId="676FD1A7">
            <w:pPr>
              <w:jc w:val="center"/>
              <w:rPr>
                <w:rFonts w:hint="eastAsia" w:ascii="宋体" w:hAnsi="宋体" w:eastAsia="宋体" w:cs="宋体"/>
                <w:color w:val="auto"/>
                <w:sz w:val="24"/>
                <w:szCs w:val="24"/>
                <w:highlight w:val="none"/>
              </w:rPr>
            </w:pPr>
          </w:p>
        </w:tc>
        <w:tc>
          <w:tcPr>
            <w:tcW w:w="2136" w:type="dxa"/>
            <w:noWrap w:val="0"/>
            <w:vAlign w:val="center"/>
          </w:tcPr>
          <w:p w14:paraId="348A815D">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报价唯一</w:t>
            </w:r>
          </w:p>
        </w:tc>
        <w:tc>
          <w:tcPr>
            <w:tcW w:w="6477" w:type="dxa"/>
            <w:noWrap w:val="0"/>
            <w:vAlign w:val="center"/>
          </w:tcPr>
          <w:p w14:paraId="77F64912">
            <w:pPr>
              <w:rPr>
                <w:rFonts w:hint="eastAsia" w:ascii="宋体" w:hAnsi="宋体" w:eastAsia="宋体" w:cs="Times New Roman"/>
                <w:b w:val="0"/>
                <w:bCs/>
                <w:color w:val="auto"/>
                <w:sz w:val="24"/>
                <w:szCs w:val="28"/>
                <w:highlight w:val="none"/>
                <w:lang w:eastAsia="zh-CN"/>
              </w:rPr>
            </w:pPr>
            <w:r>
              <w:rPr>
                <w:rFonts w:hint="eastAsia" w:ascii="宋体" w:hAnsi="宋体" w:eastAsia="宋体" w:cs="Times New Roman"/>
                <w:b w:val="0"/>
                <w:bCs/>
                <w:color w:val="auto"/>
                <w:sz w:val="24"/>
                <w:szCs w:val="28"/>
                <w:highlight w:val="none"/>
                <w:lang w:eastAsia="zh-CN"/>
              </w:rPr>
              <w:t>每轮次只能有一个有效报价，且每轮次报价不得超过最高限价，否则按废标处理。</w:t>
            </w:r>
          </w:p>
        </w:tc>
      </w:tr>
      <w:tr w14:paraId="5907E03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1" w:hRule="atLeast"/>
        </w:trPr>
        <w:tc>
          <w:tcPr>
            <w:tcW w:w="975" w:type="dxa"/>
            <w:vMerge w:val="restart"/>
            <w:noWrap w:val="0"/>
            <w:vAlign w:val="center"/>
          </w:tcPr>
          <w:p w14:paraId="7771D2F3">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w:t>
            </w:r>
          </w:p>
        </w:tc>
        <w:tc>
          <w:tcPr>
            <w:tcW w:w="705" w:type="dxa"/>
            <w:vMerge w:val="restart"/>
            <w:noWrap w:val="0"/>
            <w:vAlign w:val="center"/>
          </w:tcPr>
          <w:p w14:paraId="203AB570">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资格评审标准</w:t>
            </w:r>
          </w:p>
        </w:tc>
        <w:tc>
          <w:tcPr>
            <w:tcW w:w="2136" w:type="dxa"/>
            <w:noWrap w:val="0"/>
            <w:vAlign w:val="center"/>
          </w:tcPr>
          <w:p w14:paraId="4EDB7943">
            <w:pPr>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营业执照</w:t>
            </w:r>
          </w:p>
        </w:tc>
        <w:tc>
          <w:tcPr>
            <w:tcW w:w="6477" w:type="dxa"/>
            <w:noWrap w:val="0"/>
            <w:vAlign w:val="center"/>
          </w:tcPr>
          <w:p w14:paraId="74FFF005">
            <w:pPr>
              <w:rPr>
                <w:rFonts w:hint="eastAsia" w:ascii="宋体" w:hAnsi="宋体" w:eastAsia="宋体" w:cs="Times New Roman"/>
                <w:b w:val="0"/>
                <w:bCs/>
                <w:color w:val="auto"/>
                <w:sz w:val="24"/>
                <w:szCs w:val="28"/>
                <w:highlight w:val="none"/>
                <w:lang w:eastAsia="zh-CN"/>
              </w:rPr>
            </w:pPr>
            <w:r>
              <w:rPr>
                <w:rFonts w:hint="eastAsia" w:ascii="宋体" w:hAnsi="宋体" w:eastAsia="宋体" w:cs="Times New Roman"/>
                <w:b w:val="0"/>
                <w:bCs/>
                <w:color w:val="auto"/>
                <w:sz w:val="24"/>
                <w:szCs w:val="28"/>
                <w:highlight w:val="none"/>
                <w:lang w:eastAsia="zh-CN"/>
              </w:rPr>
              <w:t>具备有效的营业执照</w:t>
            </w:r>
          </w:p>
          <w:p w14:paraId="4C67C309">
            <w:pPr>
              <w:rPr>
                <w:rFonts w:hint="default" w:ascii="宋体" w:hAnsi="宋体" w:eastAsia="宋体" w:cs="Times New Roman"/>
                <w:b w:val="0"/>
                <w:bCs/>
                <w:color w:val="auto"/>
                <w:sz w:val="24"/>
                <w:szCs w:val="28"/>
                <w:highlight w:val="none"/>
                <w:lang w:val="en-US" w:eastAsia="zh-CN"/>
              </w:rPr>
            </w:pPr>
            <w:r>
              <w:rPr>
                <w:rFonts w:hint="eastAsia" w:ascii="宋体" w:hAnsi="宋体" w:eastAsia="宋体" w:cs="Times New Roman"/>
                <w:b w:val="0"/>
                <w:bCs/>
                <w:color w:val="auto"/>
                <w:sz w:val="24"/>
                <w:szCs w:val="28"/>
                <w:highlight w:val="none"/>
                <w:lang w:eastAsia="zh-CN"/>
              </w:rPr>
              <w:t>（</w:t>
            </w:r>
            <w:r>
              <w:rPr>
                <w:rFonts w:hint="eastAsia" w:ascii="宋体" w:hAnsi="宋体" w:eastAsia="宋体" w:cs="Times New Roman"/>
                <w:b w:val="0"/>
                <w:bCs/>
                <w:color w:val="auto"/>
                <w:sz w:val="24"/>
                <w:szCs w:val="28"/>
                <w:highlight w:val="none"/>
                <w:lang w:val="zh-CN" w:eastAsia="zh-CN"/>
              </w:rPr>
              <w:t>响应文件内</w:t>
            </w:r>
            <w:r>
              <w:rPr>
                <w:rFonts w:hint="eastAsia" w:ascii="宋体" w:hAnsi="宋体" w:eastAsia="宋体" w:cs="Times New Roman"/>
                <w:b w:val="0"/>
                <w:bCs/>
                <w:color w:val="auto"/>
                <w:sz w:val="24"/>
                <w:szCs w:val="28"/>
                <w:highlight w:val="none"/>
                <w:lang w:eastAsia="zh-CN"/>
              </w:rPr>
              <w:t>提供营业执照复印件加盖公章并附加盖公章的国家企业信用信息公示系统查询截图）。</w:t>
            </w:r>
          </w:p>
        </w:tc>
      </w:tr>
      <w:tr w14:paraId="50F697C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1" w:hRule="atLeast"/>
        </w:trPr>
        <w:tc>
          <w:tcPr>
            <w:tcW w:w="975" w:type="dxa"/>
            <w:vMerge w:val="continue"/>
            <w:noWrap w:val="0"/>
            <w:vAlign w:val="center"/>
          </w:tcPr>
          <w:p w14:paraId="31114DE4">
            <w:pPr>
              <w:jc w:val="center"/>
              <w:rPr>
                <w:rFonts w:hint="eastAsia" w:ascii="宋体" w:hAnsi="宋体" w:eastAsia="宋体" w:cs="宋体"/>
                <w:color w:val="auto"/>
                <w:sz w:val="24"/>
                <w:szCs w:val="24"/>
                <w:highlight w:val="none"/>
              </w:rPr>
            </w:pPr>
          </w:p>
        </w:tc>
        <w:tc>
          <w:tcPr>
            <w:tcW w:w="705" w:type="dxa"/>
            <w:vMerge w:val="continue"/>
            <w:noWrap w:val="0"/>
            <w:vAlign w:val="center"/>
          </w:tcPr>
          <w:p w14:paraId="04436510">
            <w:pPr>
              <w:jc w:val="center"/>
              <w:rPr>
                <w:rFonts w:hint="eastAsia" w:ascii="宋体" w:hAnsi="宋体" w:eastAsia="宋体" w:cs="宋体"/>
                <w:color w:val="auto"/>
                <w:sz w:val="24"/>
                <w:szCs w:val="24"/>
                <w:highlight w:val="none"/>
              </w:rPr>
            </w:pPr>
          </w:p>
        </w:tc>
        <w:tc>
          <w:tcPr>
            <w:tcW w:w="2136" w:type="dxa"/>
            <w:noWrap w:val="0"/>
            <w:vAlign w:val="center"/>
          </w:tcPr>
          <w:p w14:paraId="7CFD9496">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开户许可证</w:t>
            </w:r>
          </w:p>
        </w:tc>
        <w:tc>
          <w:tcPr>
            <w:tcW w:w="6477" w:type="dxa"/>
            <w:noWrap w:val="0"/>
            <w:vAlign w:val="center"/>
          </w:tcPr>
          <w:p w14:paraId="10B59D45">
            <w:pPr>
              <w:rPr>
                <w:rFonts w:hint="eastAsia" w:ascii="宋体" w:hAnsi="宋体" w:eastAsia="宋体" w:cs="Times New Roman"/>
                <w:b w:val="0"/>
                <w:bCs/>
                <w:color w:val="auto"/>
                <w:sz w:val="24"/>
                <w:szCs w:val="28"/>
                <w:highlight w:val="none"/>
                <w:lang w:val="en-US" w:eastAsia="zh-CN"/>
              </w:rPr>
            </w:pPr>
            <w:r>
              <w:rPr>
                <w:rFonts w:hint="eastAsia" w:ascii="宋体" w:hAnsi="宋体" w:eastAsia="宋体" w:cs="Times New Roman"/>
                <w:b w:val="0"/>
                <w:bCs/>
                <w:color w:val="auto"/>
                <w:sz w:val="24"/>
                <w:szCs w:val="28"/>
                <w:highlight w:val="none"/>
                <w:lang w:eastAsia="zh-CN"/>
              </w:rPr>
              <w:t>具备有效的开户许可证或开户证明材料。</w:t>
            </w:r>
            <w:r>
              <w:rPr>
                <w:rFonts w:hint="eastAsia" w:ascii="宋体" w:hAnsi="宋体" w:eastAsia="宋体" w:cs="Times New Roman"/>
                <w:b w:val="0"/>
                <w:bCs/>
                <w:color w:val="auto"/>
                <w:sz w:val="24"/>
                <w:szCs w:val="28"/>
                <w:highlight w:val="none"/>
                <w:lang w:val="zh-CN" w:eastAsia="zh-CN"/>
              </w:rPr>
              <w:t>（响应文件内提供复印件加盖公章）</w:t>
            </w:r>
          </w:p>
        </w:tc>
      </w:tr>
      <w:tr w14:paraId="0151BB6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61" w:hRule="atLeast"/>
        </w:trPr>
        <w:tc>
          <w:tcPr>
            <w:tcW w:w="975" w:type="dxa"/>
            <w:vMerge w:val="continue"/>
            <w:noWrap w:val="0"/>
            <w:vAlign w:val="center"/>
          </w:tcPr>
          <w:p w14:paraId="431D0657">
            <w:pPr>
              <w:jc w:val="center"/>
              <w:rPr>
                <w:rFonts w:hint="eastAsia" w:ascii="宋体" w:hAnsi="宋体" w:eastAsia="宋体" w:cs="宋体"/>
                <w:color w:val="auto"/>
                <w:sz w:val="24"/>
                <w:szCs w:val="24"/>
                <w:highlight w:val="none"/>
              </w:rPr>
            </w:pPr>
          </w:p>
        </w:tc>
        <w:tc>
          <w:tcPr>
            <w:tcW w:w="705" w:type="dxa"/>
            <w:vMerge w:val="continue"/>
            <w:noWrap w:val="0"/>
            <w:vAlign w:val="center"/>
          </w:tcPr>
          <w:p w14:paraId="59FA8AB7">
            <w:pPr>
              <w:jc w:val="center"/>
              <w:rPr>
                <w:rFonts w:hint="eastAsia" w:ascii="宋体" w:hAnsi="宋体" w:eastAsia="宋体" w:cs="宋体"/>
                <w:color w:val="auto"/>
                <w:sz w:val="24"/>
                <w:szCs w:val="24"/>
                <w:highlight w:val="none"/>
              </w:rPr>
            </w:pPr>
          </w:p>
        </w:tc>
        <w:tc>
          <w:tcPr>
            <w:tcW w:w="2136" w:type="dxa"/>
            <w:shd w:val="clear" w:color="auto" w:fill="auto"/>
            <w:noWrap w:val="0"/>
            <w:vAlign w:val="center"/>
          </w:tcPr>
          <w:p w14:paraId="4A9CEF05">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资质等级</w:t>
            </w:r>
          </w:p>
        </w:tc>
        <w:tc>
          <w:tcPr>
            <w:tcW w:w="6477" w:type="dxa"/>
            <w:shd w:val="clear" w:color="auto" w:fill="auto"/>
            <w:noWrap w:val="0"/>
            <w:vAlign w:val="center"/>
          </w:tcPr>
          <w:p w14:paraId="0B9A7A4B">
            <w:pPr>
              <w:rPr>
                <w:rFonts w:hint="eastAsia" w:ascii="宋体" w:hAnsi="宋体" w:eastAsia="宋体" w:cs="Times New Roman"/>
                <w:b w:val="0"/>
                <w:bCs/>
                <w:color w:val="auto"/>
                <w:sz w:val="24"/>
                <w:szCs w:val="28"/>
                <w:highlight w:val="none"/>
                <w:lang w:eastAsia="zh-CN"/>
              </w:rPr>
            </w:pPr>
            <w:r>
              <w:rPr>
                <w:rFonts w:hint="eastAsia" w:ascii="宋体" w:hAnsi="宋体" w:eastAsia="宋体" w:cs="Times New Roman"/>
                <w:b w:val="0"/>
                <w:bCs/>
                <w:color w:val="auto"/>
                <w:sz w:val="24"/>
                <w:szCs w:val="28"/>
                <w:highlight w:val="none"/>
                <w:lang w:eastAsia="zh-CN"/>
              </w:rPr>
              <w:t>供应商须具备水利水电工程施工总承包</w:t>
            </w:r>
            <w:r>
              <w:rPr>
                <w:rFonts w:hint="eastAsia" w:ascii="宋体" w:hAnsi="宋体" w:eastAsia="宋体" w:cs="Times New Roman"/>
                <w:b w:val="0"/>
                <w:bCs/>
                <w:color w:val="auto"/>
                <w:sz w:val="24"/>
                <w:szCs w:val="28"/>
                <w:highlight w:val="none"/>
                <w:lang w:val="en-US" w:eastAsia="zh-CN"/>
              </w:rPr>
              <w:t>二</w:t>
            </w:r>
            <w:r>
              <w:rPr>
                <w:rFonts w:hint="eastAsia" w:ascii="宋体" w:hAnsi="宋体" w:eastAsia="宋体" w:cs="Times New Roman"/>
                <w:b w:val="0"/>
                <w:bCs/>
                <w:color w:val="auto"/>
                <w:sz w:val="24"/>
                <w:szCs w:val="28"/>
                <w:highlight w:val="none"/>
                <w:lang w:eastAsia="zh-CN"/>
              </w:rPr>
              <w:t>级及以上资质，具有有效的安全生产许可证，并在人员、设备、资金等方面具有相应的施工能力；（注：1.吉林省建筑业企业资质涉及有效期届满有效期延续问题的按照《吉林省住房和城乡建设厅关于建筑业企业资质延续有关事宜的通知》(吉建管(2023)23号)文件执行。2.</w:t>
            </w:r>
            <w:r>
              <w:rPr>
                <w:rFonts w:hint="eastAsia" w:ascii="宋体" w:hAnsi="宋体" w:eastAsia="宋体" w:cs="Times New Roman"/>
                <w:b w:val="0"/>
                <w:bCs/>
                <w:color w:val="auto"/>
                <w:sz w:val="24"/>
                <w:szCs w:val="28"/>
                <w:highlight w:val="none"/>
                <w:lang w:val="en-US" w:eastAsia="zh-CN"/>
              </w:rPr>
              <w:t>有效期内的</w:t>
            </w:r>
            <w:r>
              <w:rPr>
                <w:rFonts w:hint="eastAsia" w:ascii="宋体" w:hAnsi="宋体" w:eastAsia="宋体" w:cs="Times New Roman"/>
                <w:b w:val="0"/>
                <w:bCs/>
                <w:color w:val="auto"/>
                <w:sz w:val="24"/>
                <w:szCs w:val="28"/>
                <w:highlight w:val="none"/>
                <w:lang w:eastAsia="zh-CN"/>
              </w:rPr>
              <w:t>水利水电工程施工总承包</w:t>
            </w:r>
            <w:r>
              <w:rPr>
                <w:rFonts w:hint="eastAsia" w:ascii="宋体" w:hAnsi="宋体" w:eastAsia="宋体" w:cs="Times New Roman"/>
                <w:b w:val="0"/>
                <w:bCs/>
                <w:color w:val="auto"/>
                <w:sz w:val="24"/>
                <w:szCs w:val="28"/>
                <w:highlight w:val="none"/>
                <w:lang w:val="en-US" w:eastAsia="zh-CN"/>
              </w:rPr>
              <w:t>三</w:t>
            </w:r>
            <w:r>
              <w:rPr>
                <w:rFonts w:hint="eastAsia" w:ascii="宋体" w:hAnsi="宋体" w:eastAsia="宋体" w:cs="Times New Roman"/>
                <w:b w:val="0"/>
                <w:bCs/>
                <w:color w:val="auto"/>
                <w:sz w:val="24"/>
                <w:szCs w:val="28"/>
                <w:highlight w:val="none"/>
                <w:lang w:eastAsia="zh-CN"/>
              </w:rPr>
              <w:t>级</w:t>
            </w:r>
            <w:r>
              <w:rPr>
                <w:rFonts w:hint="eastAsia" w:ascii="宋体" w:hAnsi="宋体" w:eastAsia="宋体" w:cs="Times New Roman"/>
                <w:b w:val="0"/>
                <w:bCs/>
                <w:color w:val="auto"/>
                <w:sz w:val="24"/>
                <w:szCs w:val="28"/>
                <w:highlight w:val="none"/>
                <w:lang w:val="en-US" w:eastAsia="zh-CN"/>
              </w:rPr>
              <w:t>资质投标有效，</w:t>
            </w:r>
            <w:r>
              <w:rPr>
                <w:rFonts w:hint="eastAsia" w:ascii="宋体" w:hAnsi="宋体" w:eastAsia="宋体" w:cs="Times New Roman"/>
                <w:b w:val="0"/>
                <w:bCs/>
                <w:color w:val="auto"/>
                <w:sz w:val="24"/>
                <w:szCs w:val="28"/>
                <w:highlight w:val="none"/>
                <w:lang w:eastAsia="zh-CN"/>
              </w:rPr>
              <w:t>其他省（市）核发的资质涉及有效期届满</w:t>
            </w:r>
            <w:r>
              <w:rPr>
                <w:rFonts w:hint="eastAsia" w:ascii="宋体" w:hAnsi="宋体" w:eastAsia="宋体" w:cs="Times New Roman"/>
                <w:b w:val="0"/>
                <w:bCs/>
                <w:color w:val="auto"/>
                <w:sz w:val="24"/>
                <w:szCs w:val="28"/>
                <w:highlight w:val="none"/>
                <w:lang w:val="en-US" w:eastAsia="zh-CN"/>
              </w:rPr>
              <w:t>或</w:t>
            </w:r>
            <w:r>
              <w:rPr>
                <w:rFonts w:hint="eastAsia" w:ascii="宋体" w:hAnsi="宋体" w:eastAsia="宋体" w:cs="Times New Roman"/>
                <w:b w:val="0"/>
                <w:bCs/>
                <w:color w:val="auto"/>
                <w:sz w:val="24"/>
                <w:szCs w:val="28"/>
                <w:highlight w:val="none"/>
                <w:lang w:eastAsia="zh-CN"/>
              </w:rPr>
              <w:t>有效期延续问题的，按照当地建设行政主管部门文件执行。投标文件内须提供当地住房和城乡建设部门官方网站发布的准予延期文件截图及网址，否则不予认定。）</w:t>
            </w:r>
          </w:p>
          <w:p w14:paraId="4CC859B5">
            <w:pPr>
              <w:rPr>
                <w:rFonts w:hint="eastAsia" w:ascii="宋体" w:hAnsi="宋体" w:eastAsia="宋体" w:cs="Times New Roman"/>
                <w:b w:val="0"/>
                <w:bCs/>
                <w:color w:val="auto"/>
                <w:sz w:val="24"/>
                <w:szCs w:val="28"/>
                <w:highlight w:val="none"/>
                <w:lang w:val="en-US" w:eastAsia="zh-CN"/>
              </w:rPr>
            </w:pPr>
            <w:r>
              <w:rPr>
                <w:rFonts w:hint="eastAsia" w:ascii="宋体" w:hAnsi="宋体" w:eastAsia="宋体" w:cs="Times New Roman"/>
                <w:b w:val="0"/>
                <w:bCs/>
                <w:color w:val="auto"/>
                <w:sz w:val="24"/>
                <w:szCs w:val="28"/>
                <w:highlight w:val="none"/>
                <w:lang w:val="zh-CN" w:eastAsia="zh-CN"/>
              </w:rPr>
              <w:t>响应文件内</w:t>
            </w:r>
            <w:r>
              <w:rPr>
                <w:rFonts w:hint="eastAsia" w:ascii="宋体" w:hAnsi="宋体" w:eastAsia="宋体" w:cs="Times New Roman"/>
                <w:b w:val="0"/>
                <w:bCs/>
                <w:color w:val="auto"/>
                <w:sz w:val="24"/>
                <w:szCs w:val="28"/>
                <w:highlight w:val="none"/>
                <w:lang w:eastAsia="zh-CN"/>
              </w:rPr>
              <w:t>提供资质证书（副本）加盖投标单位公章的复印件</w:t>
            </w:r>
          </w:p>
        </w:tc>
      </w:tr>
      <w:tr w14:paraId="3802149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766" w:hRule="atLeast"/>
        </w:trPr>
        <w:tc>
          <w:tcPr>
            <w:tcW w:w="975" w:type="dxa"/>
            <w:vMerge w:val="continue"/>
            <w:noWrap w:val="0"/>
            <w:vAlign w:val="center"/>
          </w:tcPr>
          <w:p w14:paraId="10871339">
            <w:pPr>
              <w:jc w:val="center"/>
              <w:rPr>
                <w:rFonts w:hint="eastAsia" w:ascii="宋体" w:hAnsi="宋体" w:eastAsia="宋体" w:cs="宋体"/>
                <w:color w:val="auto"/>
                <w:sz w:val="24"/>
                <w:szCs w:val="24"/>
                <w:highlight w:val="none"/>
              </w:rPr>
            </w:pPr>
          </w:p>
        </w:tc>
        <w:tc>
          <w:tcPr>
            <w:tcW w:w="705" w:type="dxa"/>
            <w:vMerge w:val="continue"/>
            <w:noWrap w:val="0"/>
            <w:vAlign w:val="center"/>
          </w:tcPr>
          <w:p w14:paraId="4EC4CEEF">
            <w:pPr>
              <w:rPr>
                <w:rFonts w:hint="eastAsia" w:ascii="宋体" w:hAnsi="宋体" w:eastAsia="宋体" w:cs="宋体"/>
                <w:color w:val="auto"/>
                <w:sz w:val="24"/>
                <w:szCs w:val="24"/>
                <w:highlight w:val="none"/>
              </w:rPr>
            </w:pPr>
          </w:p>
        </w:tc>
        <w:tc>
          <w:tcPr>
            <w:tcW w:w="2136" w:type="dxa"/>
            <w:noWrap w:val="0"/>
            <w:vAlign w:val="center"/>
          </w:tcPr>
          <w:p w14:paraId="07B025FE">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人员资格</w:t>
            </w:r>
          </w:p>
        </w:tc>
        <w:tc>
          <w:tcPr>
            <w:tcW w:w="6477" w:type="dxa"/>
            <w:noWrap w:val="0"/>
            <w:vAlign w:val="center"/>
          </w:tcPr>
          <w:p w14:paraId="66781DE0">
            <w:pPr>
              <w:rPr>
                <w:rFonts w:hint="eastAsia" w:ascii="宋体" w:hAnsi="宋体" w:eastAsia="宋体" w:cs="Times New Roman"/>
                <w:b w:val="0"/>
                <w:bCs/>
                <w:color w:val="auto"/>
                <w:sz w:val="24"/>
                <w:szCs w:val="28"/>
                <w:highlight w:val="none"/>
                <w:lang w:eastAsia="zh-CN"/>
              </w:rPr>
            </w:pPr>
            <w:r>
              <w:rPr>
                <w:rFonts w:hint="eastAsia" w:ascii="宋体" w:hAnsi="宋体" w:eastAsia="宋体" w:cs="Times New Roman"/>
                <w:b w:val="0"/>
                <w:bCs/>
                <w:color w:val="auto"/>
                <w:sz w:val="24"/>
                <w:szCs w:val="28"/>
                <w:highlight w:val="none"/>
                <w:lang w:eastAsia="zh-CN"/>
              </w:rPr>
              <w:t>供应商拟派出的项目经理须具备建设行政主管部门核发的水利水电工程专业贰级及以上注册建造师资格，具有有效的安全生产考核合格证书（B类），且无在建工程；拟派出的技术负责人须具有相关专业中级及以上技术职称，且无在建工程；</w:t>
            </w:r>
          </w:p>
          <w:p w14:paraId="26A573FC">
            <w:pPr>
              <w:rPr>
                <w:rFonts w:hint="eastAsia" w:ascii="宋体" w:hAnsi="宋体" w:eastAsia="宋体" w:cs="Times New Roman"/>
                <w:b w:val="0"/>
                <w:bCs/>
                <w:color w:val="auto"/>
                <w:sz w:val="24"/>
                <w:szCs w:val="28"/>
                <w:highlight w:val="none"/>
                <w:lang w:eastAsia="zh-CN"/>
              </w:rPr>
            </w:pPr>
            <w:r>
              <w:rPr>
                <w:rFonts w:hint="eastAsia" w:ascii="宋体" w:hAnsi="宋体" w:eastAsia="宋体" w:cs="Times New Roman"/>
                <w:b w:val="0"/>
                <w:bCs/>
                <w:color w:val="auto"/>
                <w:sz w:val="24"/>
                <w:szCs w:val="28"/>
                <w:highlight w:val="none"/>
                <w:lang w:val="zh-CN" w:eastAsia="zh-CN"/>
              </w:rPr>
              <w:t>响应文件内</w:t>
            </w:r>
            <w:r>
              <w:rPr>
                <w:rFonts w:hint="eastAsia" w:ascii="宋体" w:hAnsi="宋体" w:eastAsia="宋体" w:cs="Times New Roman"/>
                <w:b w:val="0"/>
                <w:bCs/>
                <w:color w:val="auto"/>
                <w:sz w:val="24"/>
                <w:szCs w:val="28"/>
                <w:highlight w:val="none"/>
                <w:lang w:eastAsia="zh-CN"/>
              </w:rPr>
              <w:t>提供项目经理注册证书和安全生产考核合格证书复印件加盖公章（附电子证书的有效查询网址）、无在建工程承诺书。</w:t>
            </w:r>
          </w:p>
        </w:tc>
      </w:tr>
      <w:tr w14:paraId="5AF7B87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620" w:hRule="atLeast"/>
        </w:trPr>
        <w:tc>
          <w:tcPr>
            <w:tcW w:w="975" w:type="dxa"/>
            <w:vMerge w:val="continue"/>
            <w:noWrap w:val="0"/>
            <w:vAlign w:val="center"/>
          </w:tcPr>
          <w:p w14:paraId="7F91433F">
            <w:pPr>
              <w:jc w:val="center"/>
              <w:rPr>
                <w:rFonts w:hint="eastAsia" w:ascii="宋体" w:hAnsi="宋体" w:eastAsia="宋体" w:cs="宋体"/>
                <w:color w:val="auto"/>
                <w:sz w:val="24"/>
                <w:szCs w:val="24"/>
                <w:highlight w:val="none"/>
              </w:rPr>
            </w:pPr>
          </w:p>
        </w:tc>
        <w:tc>
          <w:tcPr>
            <w:tcW w:w="705" w:type="dxa"/>
            <w:vMerge w:val="continue"/>
            <w:noWrap w:val="0"/>
            <w:vAlign w:val="center"/>
          </w:tcPr>
          <w:p w14:paraId="36CECE94">
            <w:pPr>
              <w:rPr>
                <w:rFonts w:hint="eastAsia" w:ascii="宋体" w:hAnsi="宋体" w:eastAsia="宋体" w:cs="宋体"/>
                <w:color w:val="auto"/>
                <w:sz w:val="24"/>
                <w:szCs w:val="24"/>
                <w:highlight w:val="none"/>
              </w:rPr>
            </w:pPr>
          </w:p>
        </w:tc>
        <w:tc>
          <w:tcPr>
            <w:tcW w:w="2136" w:type="dxa"/>
            <w:noWrap w:val="0"/>
            <w:vAlign w:val="center"/>
          </w:tcPr>
          <w:p w14:paraId="452D913E">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财务状况</w:t>
            </w:r>
          </w:p>
        </w:tc>
        <w:tc>
          <w:tcPr>
            <w:tcW w:w="6477" w:type="dxa"/>
            <w:noWrap w:val="0"/>
            <w:vAlign w:val="center"/>
          </w:tcPr>
          <w:p w14:paraId="12DBF8FD">
            <w:pPr>
              <w:rPr>
                <w:rFonts w:hint="eastAsia" w:ascii="宋体" w:hAnsi="宋体" w:eastAsia="宋体" w:cs="Times New Roman"/>
                <w:b w:val="0"/>
                <w:bCs/>
                <w:color w:val="auto"/>
                <w:sz w:val="24"/>
                <w:szCs w:val="28"/>
                <w:highlight w:val="none"/>
                <w:lang w:eastAsia="zh-CN"/>
              </w:rPr>
            </w:pPr>
            <w:r>
              <w:rPr>
                <w:rFonts w:hint="eastAsia" w:ascii="宋体" w:hAnsi="宋体" w:eastAsia="宋体" w:cs="Times New Roman"/>
                <w:b w:val="0"/>
                <w:bCs/>
                <w:color w:val="auto"/>
                <w:sz w:val="24"/>
                <w:szCs w:val="28"/>
                <w:highlight w:val="none"/>
                <w:lang w:val="zh-CN" w:eastAsia="zh-CN"/>
              </w:rPr>
              <w:t>根据长财采购【2022】2066号文件要求提交反映其财务状况、依法缴纳税收和社保保障资金情况的《资格条件承诺函》（具体格式见相关文件附件）；</w:t>
            </w:r>
          </w:p>
          <w:p w14:paraId="79F6C8B8">
            <w:pPr>
              <w:rPr>
                <w:rFonts w:hint="eastAsia" w:ascii="宋体" w:hAnsi="宋体" w:eastAsia="宋体" w:cs="Times New Roman"/>
                <w:b w:val="0"/>
                <w:bCs/>
                <w:color w:val="auto"/>
                <w:sz w:val="24"/>
                <w:szCs w:val="28"/>
                <w:highlight w:val="none"/>
                <w:lang w:val="zh-CN" w:eastAsia="zh-CN"/>
              </w:rPr>
            </w:pPr>
            <w:r>
              <w:rPr>
                <w:rFonts w:hint="eastAsia" w:ascii="宋体" w:hAnsi="宋体" w:eastAsia="宋体" w:cs="Times New Roman"/>
                <w:b w:val="0"/>
                <w:bCs/>
                <w:color w:val="auto"/>
                <w:sz w:val="24"/>
                <w:szCs w:val="28"/>
                <w:highlight w:val="none"/>
                <w:lang w:val="zh-CN" w:eastAsia="zh-CN"/>
              </w:rPr>
              <w:t>如不适用信用承诺的供应商（详见长财采购【2022】2066号文件要求）</w:t>
            </w:r>
          </w:p>
          <w:p w14:paraId="59C7F098">
            <w:pPr>
              <w:rPr>
                <w:rFonts w:hint="eastAsia" w:ascii="宋体" w:hAnsi="宋体" w:eastAsia="宋体" w:cs="Times New Roman"/>
                <w:b w:val="0"/>
                <w:bCs/>
                <w:color w:val="auto"/>
                <w:sz w:val="24"/>
                <w:szCs w:val="28"/>
                <w:highlight w:val="none"/>
                <w:lang w:val="zh-CN" w:eastAsia="zh-CN"/>
              </w:rPr>
            </w:pPr>
            <w:r>
              <w:rPr>
                <w:rFonts w:hint="eastAsia" w:ascii="宋体" w:hAnsi="宋体" w:eastAsia="宋体" w:cs="Times New Roman"/>
                <w:b w:val="0"/>
                <w:bCs/>
                <w:color w:val="auto"/>
                <w:sz w:val="24"/>
                <w:szCs w:val="28"/>
                <w:highlight w:val="none"/>
                <w:lang w:val="zh-CN" w:eastAsia="zh-CN"/>
              </w:rPr>
              <w:t>不适用信用承诺的情形：</w:t>
            </w:r>
          </w:p>
          <w:p w14:paraId="216BF9AF">
            <w:pPr>
              <w:rPr>
                <w:rFonts w:hint="eastAsia" w:ascii="宋体" w:hAnsi="宋体" w:eastAsia="宋体" w:cs="Times New Roman"/>
                <w:b w:val="0"/>
                <w:bCs/>
                <w:color w:val="auto"/>
                <w:sz w:val="24"/>
                <w:szCs w:val="28"/>
                <w:highlight w:val="none"/>
                <w:lang w:val="zh-CN" w:eastAsia="zh-CN"/>
              </w:rPr>
            </w:pPr>
            <w:r>
              <w:rPr>
                <w:rFonts w:hint="eastAsia" w:ascii="宋体" w:hAnsi="宋体" w:eastAsia="宋体" w:cs="Times New Roman"/>
                <w:b w:val="0"/>
                <w:bCs/>
                <w:color w:val="auto"/>
                <w:sz w:val="24"/>
                <w:szCs w:val="28"/>
                <w:highlight w:val="none"/>
                <w:lang w:val="zh-CN" w:eastAsia="zh-CN"/>
              </w:rPr>
              <w:t>1.被列入政府采购不良行为记录名单的，被禁止参加政府采购活动且尚在处罚有效期内的；</w:t>
            </w:r>
          </w:p>
          <w:p w14:paraId="66E00D10">
            <w:pPr>
              <w:rPr>
                <w:rFonts w:hint="eastAsia" w:ascii="宋体" w:hAnsi="宋体" w:eastAsia="宋体" w:cs="Times New Roman"/>
                <w:b w:val="0"/>
                <w:bCs/>
                <w:color w:val="auto"/>
                <w:sz w:val="24"/>
                <w:szCs w:val="28"/>
                <w:highlight w:val="none"/>
                <w:lang w:val="zh-CN" w:eastAsia="zh-CN"/>
              </w:rPr>
            </w:pPr>
            <w:r>
              <w:rPr>
                <w:rFonts w:hint="eastAsia" w:ascii="宋体" w:hAnsi="宋体" w:eastAsia="宋体" w:cs="Times New Roman"/>
                <w:b w:val="0"/>
                <w:bCs/>
                <w:color w:val="auto"/>
                <w:sz w:val="24"/>
                <w:szCs w:val="28"/>
                <w:highlight w:val="none"/>
                <w:lang w:val="zh-CN" w:eastAsia="zh-CN"/>
              </w:rPr>
              <w:t>2.被有关部门列入失信被执行人、联合惩戒对象、严重违法失信行为记录等情形的；</w:t>
            </w:r>
          </w:p>
          <w:p w14:paraId="4BAC8A83">
            <w:pPr>
              <w:rPr>
                <w:rFonts w:hint="default" w:ascii="宋体" w:hAnsi="宋体" w:eastAsia="宋体" w:cs="Times New Roman"/>
                <w:b w:val="0"/>
                <w:bCs/>
                <w:color w:val="auto"/>
                <w:sz w:val="24"/>
                <w:szCs w:val="28"/>
                <w:highlight w:val="none"/>
                <w:lang w:val="en-US" w:eastAsia="zh-CN"/>
              </w:rPr>
            </w:pPr>
            <w:r>
              <w:rPr>
                <w:rFonts w:hint="eastAsia" w:ascii="宋体" w:hAnsi="宋体" w:eastAsia="宋体" w:cs="Times New Roman"/>
                <w:b w:val="0"/>
                <w:bCs/>
                <w:color w:val="auto"/>
                <w:sz w:val="24"/>
                <w:szCs w:val="28"/>
                <w:highlight w:val="none"/>
                <w:lang w:val="zh-CN" w:eastAsia="zh-CN"/>
              </w:rPr>
              <w:t>3.其他法律法规规定的不适用于资格条件信用承诺的情形。”</w:t>
            </w:r>
          </w:p>
          <w:p w14:paraId="2A84F110">
            <w:pPr>
              <w:rPr>
                <w:rFonts w:hint="eastAsia" w:ascii="宋体" w:hAnsi="宋体" w:eastAsia="宋体" w:cs="Times New Roman"/>
                <w:b w:val="0"/>
                <w:bCs/>
                <w:color w:val="auto"/>
                <w:sz w:val="24"/>
                <w:szCs w:val="28"/>
                <w:highlight w:val="none"/>
                <w:lang w:eastAsia="zh-CN"/>
              </w:rPr>
            </w:pPr>
            <w:r>
              <w:rPr>
                <w:rFonts w:hint="eastAsia" w:ascii="宋体" w:hAnsi="宋体" w:eastAsia="宋体" w:cs="Times New Roman"/>
                <w:b w:val="0"/>
                <w:bCs/>
                <w:color w:val="auto"/>
                <w:sz w:val="24"/>
                <w:szCs w:val="28"/>
                <w:highlight w:val="none"/>
                <w:lang w:eastAsia="zh-CN"/>
              </w:rPr>
              <w:t>响应文件内附《资格条件承诺函》。</w:t>
            </w:r>
          </w:p>
        </w:tc>
      </w:tr>
      <w:tr w14:paraId="7558C8C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620" w:hRule="atLeast"/>
        </w:trPr>
        <w:tc>
          <w:tcPr>
            <w:tcW w:w="975" w:type="dxa"/>
            <w:vMerge w:val="continue"/>
            <w:noWrap w:val="0"/>
            <w:vAlign w:val="center"/>
          </w:tcPr>
          <w:p w14:paraId="7498FC2D">
            <w:pPr>
              <w:jc w:val="center"/>
              <w:rPr>
                <w:rFonts w:hint="eastAsia" w:ascii="宋体" w:hAnsi="宋体" w:eastAsia="宋体" w:cs="宋体"/>
                <w:color w:val="auto"/>
                <w:sz w:val="24"/>
                <w:szCs w:val="24"/>
                <w:highlight w:val="none"/>
              </w:rPr>
            </w:pPr>
          </w:p>
        </w:tc>
        <w:tc>
          <w:tcPr>
            <w:tcW w:w="705" w:type="dxa"/>
            <w:vMerge w:val="continue"/>
            <w:noWrap w:val="0"/>
            <w:vAlign w:val="center"/>
          </w:tcPr>
          <w:p w14:paraId="397D92A9">
            <w:pPr>
              <w:rPr>
                <w:rFonts w:hint="eastAsia" w:ascii="宋体" w:hAnsi="宋体" w:eastAsia="宋体" w:cs="宋体"/>
                <w:color w:val="auto"/>
                <w:sz w:val="24"/>
                <w:szCs w:val="24"/>
                <w:highlight w:val="none"/>
              </w:rPr>
            </w:pPr>
          </w:p>
        </w:tc>
        <w:tc>
          <w:tcPr>
            <w:tcW w:w="2136" w:type="dxa"/>
            <w:shd w:val="clear" w:color="auto" w:fill="auto"/>
            <w:noWrap w:val="0"/>
            <w:vAlign w:val="center"/>
          </w:tcPr>
          <w:p w14:paraId="28FC0436">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信誉要求</w:t>
            </w:r>
          </w:p>
        </w:tc>
        <w:tc>
          <w:tcPr>
            <w:tcW w:w="6477" w:type="dxa"/>
            <w:shd w:val="clear" w:color="auto" w:fill="auto"/>
            <w:noWrap w:val="0"/>
            <w:vAlign w:val="center"/>
          </w:tcPr>
          <w:p w14:paraId="33B22B9A">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拒绝列入中国政府采购网（www.ccgp.gov.cn）</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信用中国网（www.creditchina.gov.cn）</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中国执行信息公开网中的</w:t>
            </w:r>
            <w:r>
              <w:rPr>
                <w:rFonts w:hint="eastAsia" w:ascii="宋体" w:hAnsi="宋体" w:eastAsia="宋体" w:cs="宋体"/>
                <w:color w:val="auto"/>
                <w:sz w:val="24"/>
                <w:szCs w:val="24"/>
                <w:highlight w:val="none"/>
              </w:rPr>
              <w:t>政府采购严重违法失信行为名单、失信被执行人、</w:t>
            </w:r>
            <w:r>
              <w:rPr>
                <w:rFonts w:hint="eastAsia" w:ascii="宋体" w:hAnsi="宋体" w:cs="宋体"/>
                <w:color w:val="auto"/>
                <w:sz w:val="24"/>
                <w:szCs w:val="24"/>
                <w:highlight w:val="none"/>
                <w:lang w:val="en-US" w:eastAsia="zh-CN"/>
              </w:rPr>
              <w:t>重大</w:t>
            </w:r>
            <w:r>
              <w:rPr>
                <w:rFonts w:hint="eastAsia" w:ascii="宋体" w:hAnsi="宋体" w:eastAsia="宋体" w:cs="宋体"/>
                <w:color w:val="auto"/>
                <w:sz w:val="24"/>
                <w:szCs w:val="24"/>
                <w:highlight w:val="none"/>
              </w:rPr>
              <w:t>税收违法</w:t>
            </w:r>
            <w:r>
              <w:rPr>
                <w:rFonts w:hint="eastAsia" w:ascii="宋体" w:hAnsi="宋体" w:cs="宋体"/>
                <w:color w:val="auto"/>
                <w:sz w:val="24"/>
                <w:szCs w:val="24"/>
                <w:highlight w:val="none"/>
                <w:lang w:val="en-US" w:eastAsia="zh-CN"/>
              </w:rPr>
              <w:t>失信主体</w:t>
            </w:r>
            <w:r>
              <w:rPr>
                <w:rFonts w:hint="eastAsia" w:ascii="宋体" w:hAnsi="宋体" w:eastAsia="宋体" w:cs="宋体"/>
                <w:color w:val="auto"/>
                <w:sz w:val="24"/>
                <w:szCs w:val="24"/>
                <w:highlight w:val="none"/>
              </w:rPr>
              <w:t>的供应商参与投标，提供相关网页查询截图并加盖公章。</w:t>
            </w:r>
          </w:p>
          <w:p w14:paraId="02ECAB13">
            <w:pP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近三年</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2022年至今</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内供应商</w:t>
            </w:r>
            <w:r>
              <w:rPr>
                <w:rFonts w:hint="eastAsia" w:ascii="宋体" w:hAnsi="宋体" w:cs="宋体"/>
                <w:color w:val="auto"/>
                <w:sz w:val="24"/>
                <w:szCs w:val="24"/>
                <w:highlight w:val="none"/>
                <w:lang w:val="en-US" w:eastAsia="zh-CN"/>
              </w:rPr>
              <w:t>和</w:t>
            </w:r>
            <w:r>
              <w:rPr>
                <w:rFonts w:hint="eastAsia" w:ascii="宋体" w:hAnsi="宋体" w:eastAsia="宋体" w:cs="宋体"/>
                <w:color w:val="auto"/>
                <w:sz w:val="24"/>
                <w:szCs w:val="24"/>
                <w:highlight w:val="none"/>
              </w:rPr>
              <w:t>其法定代表人及拟委任的项目经理未在“中国裁判文书网”（http://wenshu.court.gov.cn/）上有行贿犯罪行为，提供相关网页查询截图并加盖公章。</w:t>
            </w:r>
          </w:p>
        </w:tc>
      </w:tr>
      <w:tr w14:paraId="0FAD638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2" w:hRule="atLeast"/>
        </w:trPr>
        <w:tc>
          <w:tcPr>
            <w:tcW w:w="975" w:type="dxa"/>
            <w:vMerge w:val="continue"/>
            <w:noWrap w:val="0"/>
            <w:vAlign w:val="center"/>
          </w:tcPr>
          <w:p w14:paraId="09DFE58B">
            <w:pPr>
              <w:jc w:val="center"/>
              <w:rPr>
                <w:rFonts w:hint="eastAsia" w:ascii="宋体" w:hAnsi="宋体" w:eastAsia="宋体" w:cs="宋体"/>
                <w:color w:val="auto"/>
                <w:sz w:val="24"/>
                <w:szCs w:val="24"/>
                <w:highlight w:val="none"/>
              </w:rPr>
            </w:pPr>
          </w:p>
        </w:tc>
        <w:tc>
          <w:tcPr>
            <w:tcW w:w="705" w:type="dxa"/>
            <w:vMerge w:val="continue"/>
            <w:noWrap w:val="0"/>
            <w:vAlign w:val="center"/>
          </w:tcPr>
          <w:p w14:paraId="5B4F2433">
            <w:pPr>
              <w:rPr>
                <w:rFonts w:hint="eastAsia" w:ascii="宋体" w:hAnsi="宋体" w:eastAsia="宋体" w:cs="宋体"/>
                <w:color w:val="auto"/>
                <w:sz w:val="24"/>
                <w:szCs w:val="24"/>
                <w:highlight w:val="none"/>
              </w:rPr>
            </w:pPr>
          </w:p>
        </w:tc>
        <w:tc>
          <w:tcPr>
            <w:tcW w:w="2136" w:type="dxa"/>
            <w:shd w:val="clear" w:color="auto" w:fill="auto"/>
            <w:noWrap w:val="0"/>
            <w:vAlign w:val="center"/>
          </w:tcPr>
          <w:p w14:paraId="1956CE7B">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中小企业声明函</w:t>
            </w:r>
          </w:p>
        </w:tc>
        <w:tc>
          <w:tcPr>
            <w:tcW w:w="6477" w:type="dxa"/>
            <w:shd w:val="clear" w:color="auto" w:fill="auto"/>
            <w:noWrap w:val="0"/>
            <w:vAlign w:val="center"/>
          </w:tcPr>
          <w:p w14:paraId="1C0342D2">
            <w:pP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rPr>
              <w:t>文件内提供加盖公章的中小企业声明函</w:t>
            </w:r>
          </w:p>
        </w:tc>
      </w:tr>
      <w:tr w14:paraId="3EBF711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52" w:hRule="atLeast"/>
        </w:trPr>
        <w:tc>
          <w:tcPr>
            <w:tcW w:w="975" w:type="dxa"/>
            <w:vMerge w:val="continue"/>
            <w:noWrap w:val="0"/>
            <w:vAlign w:val="center"/>
          </w:tcPr>
          <w:p w14:paraId="281D0903">
            <w:pPr>
              <w:jc w:val="center"/>
              <w:rPr>
                <w:rFonts w:hint="eastAsia" w:ascii="宋体" w:hAnsi="宋体" w:eastAsia="宋体" w:cs="宋体"/>
                <w:color w:val="auto"/>
                <w:sz w:val="24"/>
                <w:szCs w:val="24"/>
                <w:highlight w:val="none"/>
              </w:rPr>
            </w:pPr>
          </w:p>
        </w:tc>
        <w:tc>
          <w:tcPr>
            <w:tcW w:w="705" w:type="dxa"/>
            <w:vMerge w:val="continue"/>
            <w:noWrap w:val="0"/>
            <w:vAlign w:val="center"/>
          </w:tcPr>
          <w:p w14:paraId="0D59EC2D">
            <w:pPr>
              <w:rPr>
                <w:rFonts w:hint="eastAsia" w:ascii="宋体" w:hAnsi="宋体" w:eastAsia="宋体" w:cs="宋体"/>
                <w:color w:val="auto"/>
                <w:sz w:val="24"/>
                <w:szCs w:val="24"/>
                <w:highlight w:val="none"/>
              </w:rPr>
            </w:pPr>
          </w:p>
        </w:tc>
        <w:tc>
          <w:tcPr>
            <w:tcW w:w="2136" w:type="dxa"/>
            <w:shd w:val="clear" w:color="auto" w:fill="auto"/>
            <w:noWrap w:val="0"/>
            <w:vAlign w:val="center"/>
          </w:tcPr>
          <w:p w14:paraId="6223D7AD">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履约历史</w:t>
            </w:r>
          </w:p>
        </w:tc>
        <w:tc>
          <w:tcPr>
            <w:tcW w:w="6477" w:type="dxa"/>
            <w:shd w:val="clear" w:color="auto" w:fill="auto"/>
            <w:noWrap w:val="0"/>
            <w:vAlign w:val="center"/>
          </w:tcPr>
          <w:p w14:paraId="421F7773">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参加政府采购活动前三年内，在经营活动中没有重大违法记录；具有履行合同所必需专业技术能力；</w:t>
            </w:r>
          </w:p>
          <w:p w14:paraId="5C379BAE">
            <w:pP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rPr>
              <w:t>（响应文件内</w:t>
            </w:r>
            <w:r>
              <w:rPr>
                <w:rFonts w:hint="eastAsia" w:ascii="宋体" w:hAnsi="宋体" w:eastAsia="宋体" w:cs="宋体"/>
                <w:color w:val="auto"/>
                <w:sz w:val="24"/>
                <w:szCs w:val="24"/>
                <w:highlight w:val="none"/>
              </w:rPr>
              <w:t>提供承诺书</w:t>
            </w:r>
            <w:r>
              <w:rPr>
                <w:rFonts w:hint="eastAsia" w:ascii="宋体" w:hAnsi="宋体" w:eastAsia="宋体" w:cs="宋体"/>
                <w:color w:val="auto"/>
                <w:sz w:val="24"/>
                <w:szCs w:val="24"/>
                <w:highlight w:val="none"/>
                <w:lang w:val="en-US" w:eastAsia="zh-CN"/>
              </w:rPr>
              <w:t>并</w:t>
            </w:r>
            <w:r>
              <w:rPr>
                <w:rFonts w:hint="eastAsia" w:ascii="宋体" w:hAnsi="宋体" w:eastAsia="宋体" w:cs="宋体"/>
                <w:color w:val="auto"/>
                <w:sz w:val="24"/>
                <w:szCs w:val="24"/>
                <w:highlight w:val="none"/>
                <w:lang w:val="zh-CN"/>
              </w:rPr>
              <w:t>加盖公章）</w:t>
            </w:r>
          </w:p>
        </w:tc>
      </w:tr>
      <w:tr w14:paraId="1B592B5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79" w:hRule="atLeast"/>
        </w:trPr>
        <w:tc>
          <w:tcPr>
            <w:tcW w:w="975" w:type="dxa"/>
            <w:vMerge w:val="continue"/>
            <w:noWrap w:val="0"/>
            <w:vAlign w:val="center"/>
          </w:tcPr>
          <w:p w14:paraId="34362916">
            <w:pPr>
              <w:jc w:val="center"/>
              <w:rPr>
                <w:rFonts w:hint="eastAsia" w:ascii="宋体" w:hAnsi="宋体" w:eastAsia="宋体" w:cs="宋体"/>
                <w:color w:val="auto"/>
                <w:sz w:val="24"/>
                <w:szCs w:val="24"/>
                <w:highlight w:val="none"/>
              </w:rPr>
            </w:pPr>
          </w:p>
        </w:tc>
        <w:tc>
          <w:tcPr>
            <w:tcW w:w="705" w:type="dxa"/>
            <w:vMerge w:val="continue"/>
            <w:noWrap w:val="0"/>
            <w:vAlign w:val="center"/>
          </w:tcPr>
          <w:p w14:paraId="61A9B2CE">
            <w:pPr>
              <w:rPr>
                <w:rFonts w:hint="eastAsia" w:ascii="宋体" w:hAnsi="宋体" w:eastAsia="宋体" w:cs="宋体"/>
                <w:color w:val="auto"/>
                <w:sz w:val="24"/>
                <w:szCs w:val="24"/>
                <w:highlight w:val="none"/>
              </w:rPr>
            </w:pPr>
          </w:p>
        </w:tc>
        <w:tc>
          <w:tcPr>
            <w:tcW w:w="2136" w:type="dxa"/>
            <w:shd w:val="clear" w:color="auto" w:fill="auto"/>
            <w:noWrap w:val="0"/>
            <w:vAlign w:val="center"/>
          </w:tcPr>
          <w:p w14:paraId="26EE77E1">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其他要求</w:t>
            </w:r>
          </w:p>
        </w:tc>
        <w:tc>
          <w:tcPr>
            <w:tcW w:w="6477" w:type="dxa"/>
            <w:shd w:val="clear" w:color="auto" w:fill="auto"/>
            <w:noWrap w:val="0"/>
            <w:vAlign w:val="center"/>
          </w:tcPr>
          <w:p w14:paraId="35F74924">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与采购人存在利害关系可能影响招标公正性的法人、其他组织或者个人，不得参加投标。单位负责人为同一人或者存在控股、管理关系的不同单位；</w:t>
            </w:r>
          </w:p>
          <w:p w14:paraId="1C5DEF87">
            <w:pP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rPr>
              <w:t>（响应文件内</w:t>
            </w:r>
            <w:r>
              <w:rPr>
                <w:rFonts w:hint="eastAsia" w:ascii="宋体" w:hAnsi="宋体" w:eastAsia="宋体" w:cs="宋体"/>
                <w:color w:val="auto"/>
                <w:sz w:val="24"/>
                <w:szCs w:val="24"/>
                <w:highlight w:val="none"/>
              </w:rPr>
              <w:t>提供：法定代表人（负责人）（或授权代表）签字并加盖公章的承诺书。</w:t>
            </w:r>
            <w:r>
              <w:rPr>
                <w:rFonts w:hint="eastAsia" w:ascii="宋体" w:hAnsi="宋体" w:eastAsia="宋体" w:cs="宋体"/>
                <w:color w:val="auto"/>
                <w:sz w:val="24"/>
                <w:szCs w:val="24"/>
                <w:highlight w:val="none"/>
                <w:lang w:eastAsia="zh-CN"/>
              </w:rPr>
              <w:t>）</w:t>
            </w:r>
          </w:p>
        </w:tc>
      </w:tr>
      <w:tr w14:paraId="73B2A7D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975" w:type="dxa"/>
            <w:vMerge w:val="restart"/>
            <w:noWrap w:val="0"/>
            <w:vAlign w:val="center"/>
          </w:tcPr>
          <w:p w14:paraId="6DA0DB06">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1.1.3</w:t>
            </w:r>
          </w:p>
        </w:tc>
        <w:tc>
          <w:tcPr>
            <w:tcW w:w="705" w:type="dxa"/>
            <w:vMerge w:val="restart"/>
            <w:noWrap w:val="0"/>
            <w:vAlign w:val="center"/>
          </w:tcPr>
          <w:p w14:paraId="3E4054DB">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响应性评审标准</w:t>
            </w:r>
          </w:p>
          <w:p w14:paraId="1F50AA77">
            <w:pPr>
              <w:jc w:val="center"/>
              <w:rPr>
                <w:rFonts w:hint="eastAsia" w:ascii="宋体" w:hAnsi="宋体" w:eastAsia="宋体" w:cs="宋体"/>
                <w:color w:val="auto"/>
                <w:sz w:val="24"/>
                <w:szCs w:val="24"/>
                <w:highlight w:val="none"/>
              </w:rPr>
            </w:pPr>
          </w:p>
        </w:tc>
        <w:tc>
          <w:tcPr>
            <w:tcW w:w="2136" w:type="dxa"/>
            <w:noWrap w:val="0"/>
            <w:vAlign w:val="center"/>
          </w:tcPr>
          <w:p w14:paraId="391EA308">
            <w:pPr>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合同履行期限</w:t>
            </w:r>
          </w:p>
        </w:tc>
        <w:tc>
          <w:tcPr>
            <w:tcW w:w="6477" w:type="dxa"/>
            <w:noWrap w:val="0"/>
            <w:vAlign w:val="center"/>
          </w:tcPr>
          <w:p w14:paraId="02D02C0F">
            <w:pPr>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合同签订之日起4个月内</w:t>
            </w:r>
          </w:p>
        </w:tc>
      </w:tr>
      <w:tr w14:paraId="0A0E99C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361" w:hRule="atLeast"/>
        </w:trPr>
        <w:tc>
          <w:tcPr>
            <w:tcW w:w="975" w:type="dxa"/>
            <w:vMerge w:val="continue"/>
            <w:noWrap w:val="0"/>
            <w:vAlign w:val="top"/>
          </w:tcPr>
          <w:p w14:paraId="622B2BC3">
            <w:pPr>
              <w:rPr>
                <w:rFonts w:hint="eastAsia" w:ascii="宋体" w:hAnsi="宋体" w:eastAsia="宋体" w:cs="宋体"/>
                <w:color w:val="auto"/>
                <w:sz w:val="24"/>
                <w:szCs w:val="24"/>
                <w:highlight w:val="none"/>
              </w:rPr>
            </w:pPr>
          </w:p>
        </w:tc>
        <w:tc>
          <w:tcPr>
            <w:tcW w:w="705" w:type="dxa"/>
            <w:vMerge w:val="continue"/>
            <w:noWrap w:val="0"/>
            <w:vAlign w:val="top"/>
          </w:tcPr>
          <w:p w14:paraId="70357954">
            <w:pPr>
              <w:rPr>
                <w:rFonts w:hint="eastAsia" w:ascii="宋体" w:hAnsi="宋体" w:eastAsia="宋体" w:cs="宋体"/>
                <w:color w:val="auto"/>
                <w:sz w:val="24"/>
                <w:szCs w:val="24"/>
                <w:highlight w:val="none"/>
              </w:rPr>
            </w:pPr>
          </w:p>
        </w:tc>
        <w:tc>
          <w:tcPr>
            <w:tcW w:w="2136" w:type="dxa"/>
            <w:noWrap w:val="0"/>
            <w:vAlign w:val="center"/>
          </w:tcPr>
          <w:p w14:paraId="32FB9E23">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工程质量与安全</w:t>
            </w:r>
          </w:p>
        </w:tc>
        <w:tc>
          <w:tcPr>
            <w:tcW w:w="6477" w:type="dxa"/>
            <w:noWrap w:val="0"/>
            <w:vAlign w:val="center"/>
          </w:tcPr>
          <w:p w14:paraId="39D70143">
            <w:pPr>
              <w:rPr>
                <w:rFonts w:hint="eastAsia" w:ascii="宋体" w:hAnsi="宋体" w:eastAsia="宋体" w:cs="宋体"/>
                <w:color w:val="auto"/>
                <w:sz w:val="24"/>
                <w:szCs w:val="24"/>
                <w:highlight w:val="none"/>
              </w:rPr>
            </w:pPr>
            <w:r>
              <w:rPr>
                <w:rFonts w:hint="eastAsia" w:ascii="宋体" w:hAnsi="宋体"/>
                <w:color w:val="auto"/>
                <w:sz w:val="24"/>
                <w:highlight w:val="none"/>
                <w:lang w:eastAsia="zh-CN"/>
              </w:rPr>
              <w:t>符合《水利水电工程施工质量检验与评定规程》（SLl76-2007）及《水利水电建设工程验收规程》（SL223-2008）标准的合格工程及国家相关法律规定；</w:t>
            </w:r>
            <w:r>
              <w:rPr>
                <w:rFonts w:hint="eastAsia" w:ascii="宋体" w:hAnsi="宋体"/>
                <w:color w:val="auto"/>
                <w:sz w:val="24"/>
                <w:highlight w:val="none"/>
              </w:rPr>
              <w:t>符合现行水利行业施工安全相关标准</w:t>
            </w:r>
          </w:p>
        </w:tc>
      </w:tr>
      <w:tr w14:paraId="223538D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95" w:hRule="atLeast"/>
        </w:trPr>
        <w:tc>
          <w:tcPr>
            <w:tcW w:w="975" w:type="dxa"/>
            <w:vMerge w:val="continue"/>
            <w:noWrap w:val="0"/>
            <w:vAlign w:val="top"/>
          </w:tcPr>
          <w:p w14:paraId="41DC89ED">
            <w:pPr>
              <w:rPr>
                <w:rFonts w:hint="eastAsia" w:ascii="宋体" w:hAnsi="宋体" w:eastAsia="宋体" w:cs="宋体"/>
                <w:color w:val="auto"/>
                <w:sz w:val="24"/>
                <w:szCs w:val="24"/>
                <w:highlight w:val="none"/>
              </w:rPr>
            </w:pPr>
          </w:p>
        </w:tc>
        <w:tc>
          <w:tcPr>
            <w:tcW w:w="705" w:type="dxa"/>
            <w:vMerge w:val="continue"/>
            <w:noWrap w:val="0"/>
            <w:vAlign w:val="top"/>
          </w:tcPr>
          <w:p w14:paraId="53953DEA">
            <w:pPr>
              <w:rPr>
                <w:rFonts w:hint="eastAsia" w:ascii="宋体" w:hAnsi="宋体" w:eastAsia="宋体" w:cs="宋体"/>
                <w:color w:val="auto"/>
                <w:sz w:val="24"/>
                <w:szCs w:val="24"/>
                <w:highlight w:val="none"/>
              </w:rPr>
            </w:pPr>
          </w:p>
        </w:tc>
        <w:tc>
          <w:tcPr>
            <w:tcW w:w="2136" w:type="dxa"/>
            <w:noWrap w:val="0"/>
            <w:vAlign w:val="center"/>
          </w:tcPr>
          <w:p w14:paraId="5F2D7890">
            <w:pPr>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磋商有效期</w:t>
            </w:r>
          </w:p>
        </w:tc>
        <w:tc>
          <w:tcPr>
            <w:tcW w:w="6477" w:type="dxa"/>
            <w:noWrap w:val="0"/>
            <w:vAlign w:val="center"/>
          </w:tcPr>
          <w:p w14:paraId="73AD57A3">
            <w:pPr>
              <w:jc w:val="left"/>
              <w:rPr>
                <w:rFonts w:hint="eastAsia" w:ascii="宋体" w:hAnsi="宋体" w:eastAsia="宋体" w:cs="宋体"/>
                <w:color w:val="auto"/>
                <w:sz w:val="24"/>
                <w:szCs w:val="24"/>
                <w:highlight w:val="none"/>
              </w:rPr>
            </w:pPr>
            <w:r>
              <w:rPr>
                <w:rFonts w:hint="eastAsia" w:ascii="宋体" w:hAnsi="宋体" w:cs="宋体"/>
                <w:color w:val="auto"/>
                <w:sz w:val="24"/>
                <w:highlight w:val="none"/>
              </w:rPr>
              <w:t>90天</w:t>
            </w:r>
          </w:p>
        </w:tc>
      </w:tr>
      <w:tr w14:paraId="507A298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8" w:hRule="atLeast"/>
        </w:trPr>
        <w:tc>
          <w:tcPr>
            <w:tcW w:w="975" w:type="dxa"/>
            <w:vMerge w:val="continue"/>
            <w:noWrap w:val="0"/>
            <w:vAlign w:val="top"/>
          </w:tcPr>
          <w:p w14:paraId="017D0D4B">
            <w:pPr>
              <w:rPr>
                <w:rFonts w:hint="eastAsia" w:ascii="宋体" w:hAnsi="宋体" w:eastAsia="宋体" w:cs="宋体"/>
                <w:color w:val="auto"/>
                <w:sz w:val="24"/>
                <w:szCs w:val="24"/>
                <w:highlight w:val="none"/>
              </w:rPr>
            </w:pPr>
          </w:p>
        </w:tc>
        <w:tc>
          <w:tcPr>
            <w:tcW w:w="705" w:type="dxa"/>
            <w:vMerge w:val="continue"/>
            <w:noWrap w:val="0"/>
            <w:vAlign w:val="top"/>
          </w:tcPr>
          <w:p w14:paraId="1EAC5DAD">
            <w:pPr>
              <w:rPr>
                <w:rFonts w:hint="eastAsia" w:ascii="宋体" w:hAnsi="宋体" w:eastAsia="宋体" w:cs="宋体"/>
                <w:color w:val="auto"/>
                <w:sz w:val="24"/>
                <w:szCs w:val="24"/>
                <w:highlight w:val="none"/>
              </w:rPr>
            </w:pPr>
          </w:p>
        </w:tc>
        <w:tc>
          <w:tcPr>
            <w:tcW w:w="2136" w:type="dxa"/>
            <w:noWrap w:val="0"/>
            <w:vAlign w:val="center"/>
          </w:tcPr>
          <w:p w14:paraId="656E923F">
            <w:pPr>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磋商保证金</w:t>
            </w:r>
          </w:p>
        </w:tc>
        <w:tc>
          <w:tcPr>
            <w:tcW w:w="6477" w:type="dxa"/>
            <w:noWrap w:val="0"/>
            <w:vAlign w:val="center"/>
          </w:tcPr>
          <w:p w14:paraId="6C301C82">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符合第二章“</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须知”第26条规定。</w:t>
            </w:r>
          </w:p>
        </w:tc>
      </w:tr>
      <w:tr w14:paraId="09FE2BC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134" w:hRule="atLeast"/>
        </w:trPr>
        <w:tc>
          <w:tcPr>
            <w:tcW w:w="975" w:type="dxa"/>
            <w:vMerge w:val="continue"/>
            <w:noWrap w:val="0"/>
            <w:vAlign w:val="top"/>
          </w:tcPr>
          <w:p w14:paraId="646ED5B9">
            <w:pPr>
              <w:rPr>
                <w:rFonts w:hint="eastAsia" w:ascii="宋体" w:hAnsi="宋体" w:eastAsia="宋体" w:cs="宋体"/>
                <w:color w:val="auto"/>
                <w:sz w:val="24"/>
                <w:szCs w:val="24"/>
                <w:highlight w:val="none"/>
              </w:rPr>
            </w:pPr>
          </w:p>
        </w:tc>
        <w:tc>
          <w:tcPr>
            <w:tcW w:w="705" w:type="dxa"/>
            <w:vMerge w:val="continue"/>
            <w:noWrap w:val="0"/>
            <w:vAlign w:val="top"/>
          </w:tcPr>
          <w:p w14:paraId="173824AF">
            <w:pPr>
              <w:rPr>
                <w:rFonts w:hint="eastAsia" w:ascii="宋体" w:hAnsi="宋体" w:eastAsia="宋体" w:cs="宋体"/>
                <w:color w:val="auto"/>
                <w:sz w:val="24"/>
                <w:szCs w:val="24"/>
                <w:highlight w:val="none"/>
              </w:rPr>
            </w:pPr>
          </w:p>
        </w:tc>
        <w:tc>
          <w:tcPr>
            <w:tcW w:w="2136" w:type="dxa"/>
            <w:noWrap w:val="0"/>
            <w:vAlign w:val="center"/>
          </w:tcPr>
          <w:p w14:paraId="00FDBCD9">
            <w:pPr>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已标价工程量清单</w:t>
            </w:r>
          </w:p>
        </w:tc>
        <w:tc>
          <w:tcPr>
            <w:tcW w:w="6477" w:type="dxa"/>
            <w:noWrap w:val="0"/>
            <w:vAlign w:val="center"/>
          </w:tcPr>
          <w:p w14:paraId="70FE2477">
            <w:pPr>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符合磋商文件“工程量清单”给出的范围及数量、编号一致，签字并加盖注册造价工程师执业印章，</w:t>
            </w:r>
            <w:r>
              <w:rPr>
                <w:rFonts w:hint="eastAsia" w:ascii="宋体" w:hAnsi="宋体" w:eastAsia="宋体" w:cs="宋体"/>
                <w:color w:val="auto"/>
                <w:sz w:val="24"/>
                <w:highlight w:val="none"/>
              </w:rPr>
              <w:t>如不是本单位造价师编制，则须委托造价咨询单位编制（响应文件中附复印件加盖公章）。同一单位的注册造价师在本</w:t>
            </w:r>
            <w:r>
              <w:rPr>
                <w:rFonts w:hint="eastAsia" w:ascii="宋体" w:hAnsi="宋体" w:eastAsia="宋体" w:cs="宋体"/>
                <w:color w:val="auto"/>
                <w:sz w:val="24"/>
                <w:highlight w:val="none"/>
                <w:lang w:eastAsia="zh-CN"/>
              </w:rPr>
              <w:t>磋商</w:t>
            </w:r>
            <w:r>
              <w:rPr>
                <w:rFonts w:hint="eastAsia" w:ascii="宋体" w:hAnsi="宋体" w:eastAsia="宋体" w:cs="宋体"/>
                <w:color w:val="auto"/>
                <w:sz w:val="24"/>
                <w:highlight w:val="none"/>
              </w:rPr>
              <w:t>项目中不能为两个及两个以上的投标单位编制工程量清单，否则按废标处理。</w:t>
            </w:r>
          </w:p>
        </w:tc>
      </w:tr>
      <w:tr w14:paraId="1BA9355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00" w:hRule="atLeast"/>
        </w:trPr>
        <w:tc>
          <w:tcPr>
            <w:tcW w:w="975" w:type="dxa"/>
            <w:vMerge w:val="continue"/>
            <w:noWrap w:val="0"/>
            <w:vAlign w:val="top"/>
          </w:tcPr>
          <w:p w14:paraId="087D9914">
            <w:pPr>
              <w:rPr>
                <w:rFonts w:hint="eastAsia" w:ascii="宋体" w:hAnsi="宋体" w:eastAsia="宋体" w:cs="宋体"/>
                <w:color w:val="auto"/>
                <w:sz w:val="24"/>
                <w:szCs w:val="24"/>
                <w:highlight w:val="none"/>
              </w:rPr>
            </w:pPr>
          </w:p>
        </w:tc>
        <w:tc>
          <w:tcPr>
            <w:tcW w:w="705" w:type="dxa"/>
            <w:vMerge w:val="continue"/>
            <w:noWrap w:val="0"/>
            <w:vAlign w:val="top"/>
          </w:tcPr>
          <w:p w14:paraId="7A62142B">
            <w:pPr>
              <w:rPr>
                <w:rFonts w:hint="eastAsia" w:ascii="宋体" w:hAnsi="宋体" w:eastAsia="宋体" w:cs="宋体"/>
                <w:color w:val="auto"/>
                <w:sz w:val="24"/>
                <w:szCs w:val="24"/>
                <w:highlight w:val="none"/>
              </w:rPr>
            </w:pPr>
          </w:p>
        </w:tc>
        <w:tc>
          <w:tcPr>
            <w:tcW w:w="2136" w:type="dxa"/>
            <w:tcBorders>
              <w:bottom w:val="single" w:color="auto" w:sz="4" w:space="0"/>
            </w:tcBorders>
            <w:noWrap w:val="0"/>
            <w:vAlign w:val="center"/>
          </w:tcPr>
          <w:p w14:paraId="38B8FD1E">
            <w:pPr>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澄清和说明</w:t>
            </w:r>
          </w:p>
        </w:tc>
        <w:tc>
          <w:tcPr>
            <w:tcW w:w="6477" w:type="dxa"/>
            <w:tcBorders>
              <w:bottom w:val="single" w:color="auto" w:sz="4" w:space="0"/>
            </w:tcBorders>
            <w:noWrap w:val="0"/>
            <w:vAlign w:val="center"/>
          </w:tcPr>
          <w:p w14:paraId="681905BF">
            <w:pPr>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按</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规定和</w:t>
            </w:r>
            <w:r>
              <w:rPr>
                <w:rFonts w:hint="eastAsia" w:ascii="宋体" w:hAnsi="宋体" w:eastAsia="宋体" w:cs="宋体"/>
                <w:color w:val="auto"/>
                <w:sz w:val="24"/>
                <w:highlight w:val="none"/>
                <w:lang w:eastAsia="zh-CN"/>
              </w:rPr>
              <w:t>磋商小组</w:t>
            </w:r>
            <w:r>
              <w:rPr>
                <w:rFonts w:hint="eastAsia" w:ascii="宋体" w:hAnsi="宋体" w:eastAsia="宋体" w:cs="宋体"/>
                <w:color w:val="auto"/>
                <w:sz w:val="24"/>
                <w:highlight w:val="none"/>
              </w:rPr>
              <w:t>要求澄清、说明或修正。</w:t>
            </w:r>
          </w:p>
        </w:tc>
      </w:tr>
      <w:tr w14:paraId="5CBA667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9" w:hRule="atLeast"/>
        </w:trPr>
        <w:tc>
          <w:tcPr>
            <w:tcW w:w="975" w:type="dxa"/>
            <w:vMerge w:val="continue"/>
            <w:noWrap w:val="0"/>
            <w:vAlign w:val="top"/>
          </w:tcPr>
          <w:p w14:paraId="58AAD1BD">
            <w:pPr>
              <w:rPr>
                <w:rFonts w:hint="eastAsia" w:ascii="宋体" w:hAnsi="宋体" w:eastAsia="宋体" w:cs="宋体"/>
                <w:color w:val="auto"/>
                <w:sz w:val="24"/>
                <w:szCs w:val="24"/>
                <w:highlight w:val="none"/>
              </w:rPr>
            </w:pPr>
          </w:p>
        </w:tc>
        <w:tc>
          <w:tcPr>
            <w:tcW w:w="705" w:type="dxa"/>
            <w:vMerge w:val="continue"/>
            <w:noWrap w:val="0"/>
            <w:vAlign w:val="top"/>
          </w:tcPr>
          <w:p w14:paraId="088109D7">
            <w:pPr>
              <w:rPr>
                <w:rFonts w:hint="eastAsia" w:ascii="宋体" w:hAnsi="宋体" w:eastAsia="宋体" w:cs="宋体"/>
                <w:color w:val="auto"/>
                <w:sz w:val="24"/>
                <w:szCs w:val="24"/>
                <w:highlight w:val="none"/>
              </w:rPr>
            </w:pPr>
          </w:p>
        </w:tc>
        <w:tc>
          <w:tcPr>
            <w:tcW w:w="2136" w:type="dxa"/>
            <w:tcBorders>
              <w:top w:val="single" w:color="auto" w:sz="4" w:space="0"/>
            </w:tcBorders>
            <w:noWrap w:val="0"/>
            <w:vAlign w:val="center"/>
          </w:tcPr>
          <w:p w14:paraId="29AAD94F">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不拖欠农民工资</w:t>
            </w:r>
          </w:p>
        </w:tc>
        <w:tc>
          <w:tcPr>
            <w:tcW w:w="6477" w:type="dxa"/>
            <w:tcBorders>
              <w:top w:val="single" w:color="auto" w:sz="4" w:space="0"/>
            </w:tcBorders>
            <w:noWrap w:val="0"/>
            <w:vAlign w:val="center"/>
          </w:tcPr>
          <w:p w14:paraId="179D5356">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针对本项目在施工过程中不拖欠农民工资的响应性承诺，且有违约的经济自罚措施。</w:t>
            </w:r>
          </w:p>
        </w:tc>
      </w:tr>
    </w:tbl>
    <w:p w14:paraId="6DFEEE65">
      <w:pPr>
        <w:pStyle w:val="46"/>
        <w:rPr>
          <w:rFonts w:ascii="宋体" w:hAnsi="宋体" w:cs="宋体"/>
          <w:bCs w:val="0"/>
          <w:color w:val="auto"/>
          <w:kern w:val="2"/>
          <w:sz w:val="21"/>
          <w:szCs w:val="24"/>
          <w:highlight w:val="none"/>
        </w:rPr>
      </w:pPr>
      <w:bookmarkStart w:id="307" w:name="_Toc8479"/>
      <w:r>
        <w:rPr>
          <w:rFonts w:hint="eastAsia" w:ascii="宋体" w:hAnsi="宋体" w:cs="宋体"/>
          <w:bCs w:val="0"/>
          <w:color w:val="auto"/>
          <w:kern w:val="2"/>
          <w:sz w:val="21"/>
          <w:szCs w:val="24"/>
          <w:highlight w:val="none"/>
        </w:rPr>
        <w:t>注：1、上述表中要求提供的证书、合同文件和相关证明文件等证件的复印件装订在</w:t>
      </w:r>
      <w:r>
        <w:rPr>
          <w:rFonts w:hint="eastAsia" w:ascii="宋体" w:hAnsi="宋体" w:cs="宋体"/>
          <w:bCs w:val="0"/>
          <w:color w:val="auto"/>
          <w:kern w:val="2"/>
          <w:sz w:val="21"/>
          <w:szCs w:val="24"/>
          <w:highlight w:val="none"/>
          <w:lang w:eastAsia="zh-CN"/>
        </w:rPr>
        <w:t>响应文件</w:t>
      </w:r>
      <w:r>
        <w:rPr>
          <w:rFonts w:hint="eastAsia" w:ascii="宋体" w:hAnsi="宋体" w:cs="宋体"/>
          <w:bCs w:val="0"/>
          <w:color w:val="auto"/>
          <w:kern w:val="2"/>
          <w:sz w:val="21"/>
          <w:szCs w:val="24"/>
          <w:highlight w:val="none"/>
        </w:rPr>
        <w:t>中。</w:t>
      </w:r>
      <w:bookmarkEnd w:id="307"/>
    </w:p>
    <w:p w14:paraId="3BE8E8C3">
      <w:pPr>
        <w:pStyle w:val="46"/>
        <w:ind w:firstLine="422" w:firstLineChars="200"/>
        <w:jc w:val="both"/>
        <w:outlineLvl w:val="1"/>
        <w:rPr>
          <w:rFonts w:ascii="宋体" w:hAnsi="宋体" w:cs="宋体"/>
          <w:bCs w:val="0"/>
          <w:color w:val="auto"/>
          <w:kern w:val="2"/>
          <w:sz w:val="21"/>
          <w:szCs w:val="24"/>
          <w:highlight w:val="none"/>
        </w:rPr>
      </w:pPr>
      <w:bookmarkStart w:id="308" w:name="_Toc31036"/>
      <w:r>
        <w:rPr>
          <w:rFonts w:hint="eastAsia" w:ascii="宋体" w:hAnsi="宋体" w:cs="宋体"/>
          <w:bCs w:val="0"/>
          <w:color w:val="auto"/>
          <w:kern w:val="2"/>
          <w:sz w:val="21"/>
          <w:szCs w:val="24"/>
          <w:highlight w:val="none"/>
          <w:lang w:val="en-US" w:eastAsia="zh-CN"/>
        </w:rPr>
        <w:t>2</w:t>
      </w:r>
      <w:r>
        <w:rPr>
          <w:rFonts w:hint="eastAsia" w:ascii="宋体" w:hAnsi="宋体" w:cs="宋体"/>
          <w:bCs w:val="0"/>
          <w:color w:val="auto"/>
          <w:kern w:val="2"/>
          <w:sz w:val="21"/>
          <w:szCs w:val="24"/>
          <w:highlight w:val="none"/>
        </w:rPr>
        <w:t>、上述内容中如某一证件正在年检或换证，需年检或换证部门出具有效证明方可确认。</w:t>
      </w:r>
      <w:bookmarkEnd w:id="308"/>
    </w:p>
    <w:p w14:paraId="5629E9E3">
      <w:pPr>
        <w:pStyle w:val="46"/>
        <w:jc w:val="both"/>
        <w:outlineLvl w:val="1"/>
        <w:rPr>
          <w:rFonts w:ascii="宋体" w:hAnsi="宋体" w:cs="宋体"/>
          <w:bCs w:val="0"/>
          <w:color w:val="auto"/>
          <w:kern w:val="2"/>
          <w:sz w:val="28"/>
          <w:szCs w:val="24"/>
          <w:highlight w:val="none"/>
        </w:rPr>
      </w:pPr>
      <w:r>
        <w:rPr>
          <w:rFonts w:ascii="宋体" w:hAnsi="宋体" w:cs="宋体"/>
          <w:bCs w:val="0"/>
          <w:color w:val="auto"/>
          <w:kern w:val="2"/>
          <w:sz w:val="28"/>
          <w:szCs w:val="24"/>
          <w:highlight w:val="none"/>
        </w:rPr>
        <w:br w:type="page"/>
      </w:r>
      <w:bookmarkStart w:id="309" w:name="_Toc17326"/>
      <w:r>
        <w:rPr>
          <w:rFonts w:hint="eastAsia" w:ascii="宋体" w:hAnsi="宋体" w:cs="宋体"/>
          <w:bCs w:val="0"/>
          <w:color w:val="auto"/>
          <w:kern w:val="2"/>
          <w:sz w:val="28"/>
          <w:szCs w:val="24"/>
          <w:highlight w:val="none"/>
        </w:rPr>
        <w:t>2.</w:t>
      </w:r>
      <w:r>
        <w:rPr>
          <w:rFonts w:hint="eastAsia" w:ascii="宋体" w:hAnsi="宋体" w:cs="宋体"/>
          <w:bCs w:val="0"/>
          <w:color w:val="auto"/>
          <w:kern w:val="2"/>
          <w:sz w:val="28"/>
          <w:szCs w:val="24"/>
          <w:highlight w:val="none"/>
          <w:lang w:eastAsia="zh-CN"/>
        </w:rPr>
        <w:t>评审</w:t>
      </w:r>
      <w:r>
        <w:rPr>
          <w:rFonts w:hint="eastAsia" w:ascii="宋体" w:hAnsi="宋体" w:cs="宋体"/>
          <w:bCs w:val="0"/>
          <w:color w:val="auto"/>
          <w:kern w:val="2"/>
          <w:sz w:val="28"/>
          <w:szCs w:val="24"/>
          <w:highlight w:val="none"/>
        </w:rPr>
        <w:t>办法前附表</w:t>
      </w:r>
      <w:bookmarkEnd w:id="309"/>
    </w:p>
    <w:tbl>
      <w:tblPr>
        <w:tblStyle w:val="49"/>
        <w:tblW w:w="9498"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567"/>
        <w:gridCol w:w="2410"/>
        <w:gridCol w:w="4253"/>
        <w:gridCol w:w="1559"/>
      </w:tblGrid>
      <w:tr w14:paraId="6862F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5" w:hRule="atLeast"/>
        </w:trPr>
        <w:tc>
          <w:tcPr>
            <w:tcW w:w="1276" w:type="dxa"/>
            <w:gridSpan w:val="2"/>
            <w:noWrap w:val="0"/>
            <w:vAlign w:val="center"/>
          </w:tcPr>
          <w:p w14:paraId="4D5C63D1">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条款号</w:t>
            </w:r>
          </w:p>
        </w:tc>
        <w:tc>
          <w:tcPr>
            <w:tcW w:w="2410" w:type="dxa"/>
            <w:noWrap w:val="0"/>
            <w:vAlign w:val="center"/>
          </w:tcPr>
          <w:p w14:paraId="110EF7B6">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评审因素</w:t>
            </w:r>
          </w:p>
        </w:tc>
        <w:tc>
          <w:tcPr>
            <w:tcW w:w="5812" w:type="dxa"/>
            <w:gridSpan w:val="2"/>
            <w:noWrap w:val="0"/>
            <w:vAlign w:val="center"/>
          </w:tcPr>
          <w:p w14:paraId="3B8ED540">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评审标准</w:t>
            </w:r>
          </w:p>
        </w:tc>
      </w:tr>
      <w:tr w14:paraId="27079C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5" w:hRule="atLeast"/>
        </w:trPr>
        <w:tc>
          <w:tcPr>
            <w:tcW w:w="1276" w:type="dxa"/>
            <w:gridSpan w:val="2"/>
            <w:noWrap w:val="0"/>
            <w:vAlign w:val="center"/>
          </w:tcPr>
          <w:p w14:paraId="6AAF19C3">
            <w:pPr>
              <w:autoSpaceDE w:val="0"/>
              <w:autoSpaceDN w:val="0"/>
              <w:adjustRightInd w:val="0"/>
              <w:jc w:val="center"/>
              <w:rPr>
                <w:rFonts w:ascii="宋体" w:hAnsi="宋体" w:cs="宋体"/>
                <w:bCs/>
                <w:color w:val="auto"/>
                <w:sz w:val="24"/>
                <w:highlight w:val="none"/>
                <w:lang w:val="zh-CN"/>
              </w:rPr>
            </w:pPr>
            <w:r>
              <w:rPr>
                <w:rFonts w:ascii="宋体" w:hAnsi="宋体" w:cs="宋体"/>
                <w:bCs/>
                <w:color w:val="auto"/>
                <w:sz w:val="24"/>
                <w:highlight w:val="none"/>
                <w:lang w:val="zh-CN"/>
              </w:rPr>
              <w:t>2.</w:t>
            </w:r>
            <w:r>
              <w:rPr>
                <w:rFonts w:hint="eastAsia" w:ascii="宋体" w:hAnsi="宋体" w:cs="宋体"/>
                <w:bCs/>
                <w:color w:val="auto"/>
                <w:sz w:val="24"/>
                <w:highlight w:val="none"/>
                <w:lang w:val="zh-CN"/>
              </w:rPr>
              <w:t>1.1</w:t>
            </w:r>
          </w:p>
        </w:tc>
        <w:tc>
          <w:tcPr>
            <w:tcW w:w="2410" w:type="dxa"/>
            <w:noWrap w:val="0"/>
            <w:vAlign w:val="center"/>
          </w:tcPr>
          <w:p w14:paraId="318F6C75">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分值构成</w:t>
            </w:r>
          </w:p>
          <w:p w14:paraId="706F3F36">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w:t>
            </w:r>
            <w:r>
              <w:rPr>
                <w:rFonts w:ascii="宋体" w:hAnsi="宋体" w:cs="宋体"/>
                <w:bCs/>
                <w:color w:val="auto"/>
                <w:sz w:val="24"/>
                <w:highlight w:val="none"/>
                <w:lang w:val="zh-CN"/>
              </w:rPr>
              <w:t>总分100分</w:t>
            </w:r>
            <w:r>
              <w:rPr>
                <w:rFonts w:hint="eastAsia" w:ascii="宋体" w:hAnsi="宋体" w:cs="宋体"/>
                <w:bCs/>
                <w:color w:val="auto"/>
                <w:sz w:val="24"/>
                <w:highlight w:val="none"/>
                <w:lang w:val="zh-CN"/>
              </w:rPr>
              <w:t>）</w:t>
            </w:r>
          </w:p>
        </w:tc>
        <w:tc>
          <w:tcPr>
            <w:tcW w:w="5812" w:type="dxa"/>
            <w:gridSpan w:val="2"/>
            <w:noWrap w:val="0"/>
            <w:vAlign w:val="center"/>
          </w:tcPr>
          <w:p w14:paraId="46BF9BE4">
            <w:pPr>
              <w:rPr>
                <w:rFonts w:ascii="宋体" w:hAnsi="宋体"/>
                <w:bCs/>
                <w:color w:val="auto"/>
                <w:spacing w:val="-6"/>
                <w:sz w:val="24"/>
                <w:highlight w:val="none"/>
              </w:rPr>
            </w:pPr>
            <w:r>
              <w:rPr>
                <w:rFonts w:hint="eastAsia" w:ascii="宋体" w:hAnsi="宋体"/>
                <w:bCs/>
                <w:color w:val="auto"/>
                <w:spacing w:val="-6"/>
                <w:sz w:val="24"/>
                <w:highlight w:val="none"/>
              </w:rPr>
              <w:t>施工组织设计</w:t>
            </w:r>
            <w:r>
              <w:rPr>
                <w:rFonts w:ascii="宋体" w:hAnsi="宋体"/>
                <w:bCs/>
                <w:color w:val="auto"/>
                <w:spacing w:val="-6"/>
                <w:sz w:val="24"/>
                <w:highlight w:val="none"/>
              </w:rPr>
              <w:t>：</w:t>
            </w:r>
            <w:r>
              <w:rPr>
                <w:rFonts w:hint="eastAsia" w:ascii="宋体" w:hAnsi="宋体"/>
                <w:bCs/>
                <w:color w:val="auto"/>
                <w:spacing w:val="-6"/>
                <w:sz w:val="24"/>
                <w:highlight w:val="none"/>
                <w:lang w:val="en-US" w:eastAsia="zh-CN"/>
              </w:rPr>
              <w:t>45</w:t>
            </w:r>
            <w:r>
              <w:rPr>
                <w:rFonts w:ascii="宋体" w:hAnsi="宋体"/>
                <w:bCs/>
                <w:color w:val="auto"/>
                <w:spacing w:val="-6"/>
                <w:sz w:val="24"/>
                <w:highlight w:val="none"/>
              </w:rPr>
              <w:t>分</w:t>
            </w:r>
            <w:r>
              <w:rPr>
                <w:rFonts w:hint="eastAsia" w:ascii="宋体" w:hAnsi="宋体"/>
                <w:bCs/>
                <w:color w:val="auto"/>
                <w:spacing w:val="-6"/>
                <w:sz w:val="24"/>
                <w:highlight w:val="none"/>
              </w:rPr>
              <w:t>。</w:t>
            </w:r>
          </w:p>
          <w:p w14:paraId="42FCE86D">
            <w:pPr>
              <w:rPr>
                <w:rFonts w:ascii="宋体" w:hAnsi="宋体"/>
                <w:bCs/>
                <w:color w:val="auto"/>
                <w:spacing w:val="-6"/>
                <w:sz w:val="24"/>
                <w:highlight w:val="none"/>
              </w:rPr>
            </w:pPr>
            <w:r>
              <w:rPr>
                <w:rFonts w:hint="eastAsia" w:ascii="宋体" w:hAnsi="宋体"/>
                <w:bCs/>
                <w:color w:val="auto"/>
                <w:spacing w:val="-6"/>
                <w:sz w:val="24"/>
                <w:highlight w:val="none"/>
              </w:rPr>
              <w:t>项目管理机构</w:t>
            </w:r>
            <w:r>
              <w:rPr>
                <w:rFonts w:ascii="宋体" w:hAnsi="宋体"/>
                <w:bCs/>
                <w:color w:val="auto"/>
                <w:spacing w:val="-6"/>
                <w:sz w:val="24"/>
                <w:highlight w:val="none"/>
              </w:rPr>
              <w:t>：</w:t>
            </w:r>
            <w:r>
              <w:rPr>
                <w:rFonts w:hint="eastAsia" w:ascii="宋体" w:hAnsi="宋体"/>
                <w:bCs/>
                <w:color w:val="auto"/>
                <w:spacing w:val="-6"/>
                <w:sz w:val="24"/>
                <w:highlight w:val="none"/>
                <w:lang w:val="en-US" w:eastAsia="zh-CN"/>
              </w:rPr>
              <w:t>9</w:t>
            </w:r>
            <w:r>
              <w:rPr>
                <w:rFonts w:hint="eastAsia" w:ascii="宋体" w:hAnsi="宋体"/>
                <w:bCs/>
                <w:color w:val="auto"/>
                <w:spacing w:val="-6"/>
                <w:sz w:val="24"/>
                <w:highlight w:val="none"/>
              </w:rPr>
              <w:t>分。</w:t>
            </w:r>
          </w:p>
          <w:p w14:paraId="2A524B24">
            <w:pPr>
              <w:rPr>
                <w:rFonts w:ascii="宋体" w:hAnsi="宋体"/>
                <w:bCs/>
                <w:color w:val="auto"/>
                <w:spacing w:val="-6"/>
                <w:sz w:val="24"/>
                <w:highlight w:val="none"/>
              </w:rPr>
            </w:pPr>
            <w:r>
              <w:rPr>
                <w:rFonts w:hint="eastAsia" w:ascii="宋体" w:hAnsi="宋体"/>
                <w:bCs/>
                <w:color w:val="auto"/>
                <w:spacing w:val="-6"/>
                <w:sz w:val="24"/>
                <w:highlight w:val="none"/>
              </w:rPr>
              <w:t>投标报价</w:t>
            </w:r>
            <w:r>
              <w:rPr>
                <w:rFonts w:ascii="宋体" w:hAnsi="宋体"/>
                <w:bCs/>
                <w:color w:val="auto"/>
                <w:spacing w:val="-6"/>
                <w:sz w:val="24"/>
                <w:highlight w:val="none"/>
              </w:rPr>
              <w:t>：</w:t>
            </w:r>
            <w:r>
              <w:rPr>
                <w:rFonts w:hint="eastAsia" w:ascii="宋体" w:hAnsi="宋体"/>
                <w:bCs/>
                <w:color w:val="auto"/>
                <w:spacing w:val="-6"/>
                <w:sz w:val="24"/>
                <w:highlight w:val="none"/>
                <w:lang w:val="en-US" w:eastAsia="zh-CN"/>
              </w:rPr>
              <w:t>3</w:t>
            </w:r>
            <w:r>
              <w:rPr>
                <w:rFonts w:hint="eastAsia" w:ascii="宋体" w:hAnsi="宋体"/>
                <w:bCs/>
                <w:color w:val="auto"/>
                <w:spacing w:val="-6"/>
                <w:sz w:val="24"/>
                <w:highlight w:val="none"/>
              </w:rPr>
              <w:t>0</w:t>
            </w:r>
            <w:r>
              <w:rPr>
                <w:rFonts w:ascii="宋体" w:hAnsi="宋体"/>
                <w:bCs/>
                <w:color w:val="auto"/>
                <w:spacing w:val="-6"/>
                <w:sz w:val="24"/>
                <w:highlight w:val="none"/>
              </w:rPr>
              <w:t>分</w:t>
            </w:r>
            <w:r>
              <w:rPr>
                <w:rFonts w:hint="eastAsia" w:ascii="宋体" w:hAnsi="宋体"/>
                <w:bCs/>
                <w:color w:val="auto"/>
                <w:spacing w:val="-6"/>
                <w:sz w:val="24"/>
                <w:highlight w:val="none"/>
              </w:rPr>
              <w:t>。</w:t>
            </w:r>
          </w:p>
          <w:p w14:paraId="57995AB8">
            <w:pPr>
              <w:rPr>
                <w:rFonts w:ascii="宋体" w:hAnsi="宋体"/>
                <w:bCs/>
                <w:color w:val="auto"/>
                <w:spacing w:val="-6"/>
                <w:sz w:val="24"/>
                <w:highlight w:val="none"/>
              </w:rPr>
            </w:pPr>
            <w:r>
              <w:rPr>
                <w:rFonts w:hint="eastAsia" w:ascii="宋体" w:hAnsi="宋体"/>
                <w:bCs/>
                <w:color w:val="auto"/>
                <w:spacing w:val="-6"/>
                <w:sz w:val="24"/>
                <w:highlight w:val="none"/>
              </w:rPr>
              <w:t>其他评分因素</w:t>
            </w:r>
            <w:r>
              <w:rPr>
                <w:rFonts w:ascii="宋体" w:hAnsi="宋体"/>
                <w:bCs/>
                <w:color w:val="auto"/>
                <w:spacing w:val="-6"/>
                <w:sz w:val="24"/>
                <w:highlight w:val="none"/>
              </w:rPr>
              <w:t>：</w:t>
            </w:r>
            <w:r>
              <w:rPr>
                <w:rFonts w:hint="eastAsia" w:ascii="宋体" w:hAnsi="宋体"/>
                <w:bCs/>
                <w:color w:val="auto"/>
                <w:spacing w:val="-6"/>
                <w:sz w:val="24"/>
                <w:highlight w:val="none"/>
                <w:lang w:val="en-US" w:eastAsia="zh-CN"/>
              </w:rPr>
              <w:t>16</w:t>
            </w:r>
            <w:r>
              <w:rPr>
                <w:rFonts w:ascii="宋体" w:hAnsi="宋体"/>
                <w:bCs/>
                <w:color w:val="auto"/>
                <w:spacing w:val="-6"/>
                <w:sz w:val="24"/>
                <w:highlight w:val="none"/>
              </w:rPr>
              <w:t>分</w:t>
            </w:r>
            <w:r>
              <w:rPr>
                <w:rFonts w:hint="eastAsia" w:ascii="宋体" w:hAnsi="宋体"/>
                <w:bCs/>
                <w:color w:val="auto"/>
                <w:spacing w:val="-6"/>
                <w:sz w:val="24"/>
                <w:highlight w:val="none"/>
              </w:rPr>
              <w:t>。</w:t>
            </w:r>
          </w:p>
        </w:tc>
      </w:tr>
      <w:tr w14:paraId="365944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4" w:hRule="atLeast"/>
        </w:trPr>
        <w:tc>
          <w:tcPr>
            <w:tcW w:w="1276" w:type="dxa"/>
            <w:gridSpan w:val="2"/>
            <w:noWrap w:val="0"/>
            <w:vAlign w:val="center"/>
          </w:tcPr>
          <w:p w14:paraId="79941089">
            <w:pPr>
              <w:autoSpaceDE w:val="0"/>
              <w:autoSpaceDN w:val="0"/>
              <w:adjustRightInd w:val="0"/>
              <w:jc w:val="center"/>
              <w:rPr>
                <w:rFonts w:ascii="宋体" w:hAnsi="宋体" w:cs="宋体"/>
                <w:bCs/>
                <w:color w:val="auto"/>
                <w:sz w:val="24"/>
                <w:highlight w:val="none"/>
                <w:lang w:val="zh-CN"/>
              </w:rPr>
            </w:pPr>
            <w:r>
              <w:rPr>
                <w:rFonts w:ascii="宋体" w:hAnsi="宋体" w:cs="宋体"/>
                <w:bCs/>
                <w:color w:val="auto"/>
                <w:sz w:val="24"/>
                <w:highlight w:val="none"/>
                <w:lang w:val="zh-CN"/>
              </w:rPr>
              <w:t>2.</w:t>
            </w:r>
            <w:r>
              <w:rPr>
                <w:rFonts w:hint="eastAsia" w:ascii="宋体" w:hAnsi="宋体" w:cs="宋体"/>
                <w:bCs/>
                <w:color w:val="auto"/>
                <w:sz w:val="24"/>
                <w:highlight w:val="none"/>
                <w:lang w:val="zh-CN"/>
              </w:rPr>
              <w:t>1.2</w:t>
            </w:r>
          </w:p>
        </w:tc>
        <w:tc>
          <w:tcPr>
            <w:tcW w:w="2410" w:type="dxa"/>
            <w:noWrap w:val="0"/>
            <w:vAlign w:val="center"/>
          </w:tcPr>
          <w:p w14:paraId="3DDDDAFC">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评审基准价计算方法</w:t>
            </w:r>
          </w:p>
        </w:tc>
        <w:tc>
          <w:tcPr>
            <w:tcW w:w="5812" w:type="dxa"/>
            <w:gridSpan w:val="2"/>
            <w:noWrap w:val="0"/>
            <w:vAlign w:val="center"/>
          </w:tcPr>
          <w:p w14:paraId="68E4350C">
            <w:pPr>
              <w:rPr>
                <w:rFonts w:hint="eastAsia" w:ascii="宋体" w:hAnsi="宋体" w:eastAsia="宋体"/>
                <w:bCs/>
                <w:color w:val="auto"/>
                <w:spacing w:val="-6"/>
                <w:sz w:val="24"/>
                <w:highlight w:val="none"/>
                <w:lang w:eastAsia="zh-CN"/>
              </w:rPr>
            </w:pPr>
            <w:r>
              <w:rPr>
                <w:rFonts w:hint="eastAsia" w:ascii="宋体" w:hAnsi="宋体"/>
                <w:bCs/>
                <w:color w:val="auto"/>
                <w:spacing w:val="-6"/>
                <w:sz w:val="24"/>
                <w:highlight w:val="none"/>
              </w:rPr>
              <w:t>以所有有效最后磋商报价中最低报价为磋商基准价</w:t>
            </w:r>
          </w:p>
        </w:tc>
      </w:tr>
      <w:tr w14:paraId="6C7896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1276" w:type="dxa"/>
            <w:gridSpan w:val="2"/>
            <w:noWrap w:val="0"/>
            <w:vAlign w:val="center"/>
          </w:tcPr>
          <w:p w14:paraId="65355703">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条款号</w:t>
            </w:r>
          </w:p>
        </w:tc>
        <w:tc>
          <w:tcPr>
            <w:tcW w:w="2410" w:type="dxa"/>
            <w:noWrap w:val="0"/>
            <w:vAlign w:val="center"/>
          </w:tcPr>
          <w:p w14:paraId="027D3372">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评分因素</w:t>
            </w:r>
          </w:p>
        </w:tc>
        <w:tc>
          <w:tcPr>
            <w:tcW w:w="4253" w:type="dxa"/>
            <w:noWrap w:val="0"/>
            <w:vAlign w:val="center"/>
          </w:tcPr>
          <w:p w14:paraId="6FFDD96F">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评分标准</w:t>
            </w:r>
          </w:p>
        </w:tc>
        <w:tc>
          <w:tcPr>
            <w:tcW w:w="1559" w:type="dxa"/>
            <w:tcBorders>
              <w:bottom w:val="single" w:color="auto" w:sz="4" w:space="0"/>
            </w:tcBorders>
            <w:noWrap w:val="0"/>
            <w:vAlign w:val="center"/>
          </w:tcPr>
          <w:p w14:paraId="2F84E92A">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得分</w:t>
            </w:r>
          </w:p>
        </w:tc>
      </w:tr>
      <w:tr w14:paraId="72DFDA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52" w:hRule="atLeast"/>
        </w:trPr>
        <w:tc>
          <w:tcPr>
            <w:tcW w:w="709" w:type="dxa"/>
            <w:vMerge w:val="restart"/>
            <w:noWrap w:val="0"/>
            <w:vAlign w:val="center"/>
          </w:tcPr>
          <w:p w14:paraId="3FB6D9AE">
            <w:pPr>
              <w:autoSpaceDE w:val="0"/>
              <w:autoSpaceDN w:val="0"/>
              <w:adjustRightInd w:val="0"/>
              <w:rPr>
                <w:rFonts w:ascii="宋体" w:hAnsi="宋体" w:cs="宋体"/>
                <w:bCs/>
                <w:color w:val="auto"/>
                <w:sz w:val="24"/>
                <w:highlight w:val="none"/>
                <w:lang w:val="zh-CN"/>
              </w:rPr>
            </w:pPr>
            <w:r>
              <w:rPr>
                <w:rFonts w:ascii="宋体" w:hAnsi="宋体" w:cs="宋体"/>
                <w:bCs/>
                <w:color w:val="auto"/>
                <w:sz w:val="24"/>
                <w:highlight w:val="none"/>
                <w:lang w:val="zh-CN"/>
              </w:rPr>
              <w:t>2.</w:t>
            </w:r>
            <w:r>
              <w:rPr>
                <w:rFonts w:hint="eastAsia" w:ascii="宋体" w:hAnsi="宋体" w:cs="宋体"/>
                <w:bCs/>
                <w:color w:val="auto"/>
                <w:sz w:val="24"/>
                <w:highlight w:val="none"/>
                <w:lang w:val="zh-CN"/>
              </w:rPr>
              <w:t>1.4（1）</w:t>
            </w:r>
          </w:p>
        </w:tc>
        <w:tc>
          <w:tcPr>
            <w:tcW w:w="567" w:type="dxa"/>
            <w:vMerge w:val="restart"/>
            <w:noWrap w:val="0"/>
            <w:vAlign w:val="center"/>
          </w:tcPr>
          <w:p w14:paraId="13A08FE0">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施</w:t>
            </w:r>
          </w:p>
          <w:p w14:paraId="494712B8">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工</w:t>
            </w:r>
          </w:p>
          <w:p w14:paraId="2A22FCD8">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组</w:t>
            </w:r>
          </w:p>
          <w:p w14:paraId="238748BD">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织</w:t>
            </w:r>
          </w:p>
          <w:p w14:paraId="434766F4">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设</w:t>
            </w:r>
          </w:p>
          <w:p w14:paraId="1964CCC1">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计</w:t>
            </w:r>
          </w:p>
          <w:p w14:paraId="5752DE45">
            <w:pPr>
              <w:autoSpaceDE w:val="0"/>
              <w:autoSpaceDN w:val="0"/>
              <w:adjustRightInd w:val="0"/>
              <w:rPr>
                <w:rFonts w:ascii="宋体" w:hAnsi="宋体" w:cs="宋体"/>
                <w:bCs/>
                <w:color w:val="auto"/>
                <w:sz w:val="24"/>
                <w:highlight w:val="none"/>
                <w:lang w:val="zh-CN"/>
              </w:rPr>
            </w:pPr>
          </w:p>
        </w:tc>
        <w:tc>
          <w:tcPr>
            <w:tcW w:w="2410" w:type="dxa"/>
            <w:noWrap w:val="0"/>
            <w:vAlign w:val="center"/>
          </w:tcPr>
          <w:p w14:paraId="44E7D5F2">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内容完整性和编制水平</w:t>
            </w:r>
          </w:p>
        </w:tc>
        <w:tc>
          <w:tcPr>
            <w:tcW w:w="4253" w:type="dxa"/>
            <w:noWrap w:val="0"/>
            <w:vAlign w:val="center"/>
          </w:tcPr>
          <w:p w14:paraId="7F64B077">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针对供应商提报的施工组织设计的统一、齐全、完整性进行综合评价，优者得6分，良者得</w:t>
            </w:r>
            <w:r>
              <w:rPr>
                <w:rFonts w:hint="eastAsia" w:ascii="宋体" w:hAnsi="宋体" w:cs="宋体"/>
                <w:bCs/>
                <w:color w:val="auto"/>
                <w:sz w:val="24"/>
                <w:highlight w:val="none"/>
                <w:lang w:val="en-US" w:eastAsia="zh-CN"/>
              </w:rPr>
              <w:t>4</w:t>
            </w:r>
            <w:r>
              <w:rPr>
                <w:rFonts w:hint="eastAsia" w:ascii="宋体" w:hAnsi="宋体" w:cs="宋体"/>
                <w:bCs/>
                <w:color w:val="auto"/>
                <w:sz w:val="24"/>
                <w:highlight w:val="none"/>
                <w:lang w:val="zh-CN"/>
              </w:rPr>
              <w:t>分，一般者得</w:t>
            </w:r>
            <w:r>
              <w:rPr>
                <w:rFonts w:hint="eastAsia" w:ascii="宋体" w:hAnsi="宋体" w:cs="宋体"/>
                <w:bCs/>
                <w:color w:val="auto"/>
                <w:sz w:val="24"/>
                <w:highlight w:val="none"/>
                <w:lang w:val="en-US" w:eastAsia="zh-CN"/>
              </w:rPr>
              <w:t>2</w:t>
            </w:r>
            <w:r>
              <w:rPr>
                <w:rFonts w:hint="eastAsia" w:ascii="宋体" w:hAnsi="宋体" w:cs="宋体"/>
                <w:bCs/>
                <w:color w:val="auto"/>
                <w:sz w:val="24"/>
                <w:highlight w:val="none"/>
                <w:lang w:val="zh-CN"/>
              </w:rPr>
              <w:t>分，没有则得0分。</w:t>
            </w:r>
          </w:p>
        </w:tc>
        <w:tc>
          <w:tcPr>
            <w:tcW w:w="1559" w:type="dxa"/>
            <w:noWrap w:val="0"/>
            <w:vAlign w:val="center"/>
          </w:tcPr>
          <w:p w14:paraId="608D80B9">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6-0</w:t>
            </w:r>
          </w:p>
        </w:tc>
      </w:tr>
      <w:tr w14:paraId="1A3952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5" w:hRule="atLeast"/>
        </w:trPr>
        <w:tc>
          <w:tcPr>
            <w:tcW w:w="709" w:type="dxa"/>
            <w:vMerge w:val="continue"/>
            <w:noWrap w:val="0"/>
            <w:vAlign w:val="center"/>
          </w:tcPr>
          <w:p w14:paraId="765149E4">
            <w:pPr>
              <w:autoSpaceDE w:val="0"/>
              <w:autoSpaceDN w:val="0"/>
              <w:adjustRightInd w:val="0"/>
              <w:rPr>
                <w:rFonts w:ascii="宋体" w:hAnsi="宋体" w:cs="宋体"/>
                <w:bCs/>
                <w:color w:val="auto"/>
                <w:sz w:val="24"/>
                <w:highlight w:val="none"/>
                <w:lang w:val="zh-CN"/>
              </w:rPr>
            </w:pPr>
          </w:p>
        </w:tc>
        <w:tc>
          <w:tcPr>
            <w:tcW w:w="567" w:type="dxa"/>
            <w:vMerge w:val="continue"/>
            <w:noWrap w:val="0"/>
            <w:vAlign w:val="center"/>
          </w:tcPr>
          <w:p w14:paraId="7FBD2AC6">
            <w:pPr>
              <w:autoSpaceDE w:val="0"/>
              <w:autoSpaceDN w:val="0"/>
              <w:adjustRightInd w:val="0"/>
              <w:rPr>
                <w:rFonts w:ascii="宋体" w:hAnsi="宋体" w:cs="宋体"/>
                <w:bCs/>
                <w:color w:val="auto"/>
                <w:sz w:val="24"/>
                <w:highlight w:val="none"/>
                <w:lang w:val="zh-CN"/>
              </w:rPr>
            </w:pPr>
          </w:p>
        </w:tc>
        <w:tc>
          <w:tcPr>
            <w:tcW w:w="2410" w:type="dxa"/>
            <w:noWrap w:val="0"/>
            <w:vAlign w:val="center"/>
          </w:tcPr>
          <w:p w14:paraId="34D5910F">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施工方案与技术措施</w:t>
            </w:r>
          </w:p>
        </w:tc>
        <w:tc>
          <w:tcPr>
            <w:tcW w:w="4253" w:type="dxa"/>
            <w:noWrap w:val="0"/>
            <w:vAlign w:val="center"/>
          </w:tcPr>
          <w:p w14:paraId="2B45E0E7">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针对供应商提报的施工方法先进性、合理性进行综合评价，优者得6分，良者得</w:t>
            </w:r>
            <w:r>
              <w:rPr>
                <w:rFonts w:hint="eastAsia" w:ascii="宋体" w:hAnsi="宋体" w:cs="宋体"/>
                <w:bCs/>
                <w:color w:val="auto"/>
                <w:sz w:val="24"/>
                <w:highlight w:val="none"/>
                <w:lang w:val="en-US" w:eastAsia="zh-CN"/>
              </w:rPr>
              <w:t>4</w:t>
            </w:r>
            <w:r>
              <w:rPr>
                <w:rFonts w:hint="eastAsia" w:ascii="宋体" w:hAnsi="宋体" w:cs="宋体"/>
                <w:bCs/>
                <w:color w:val="auto"/>
                <w:sz w:val="24"/>
                <w:highlight w:val="none"/>
                <w:lang w:val="zh-CN"/>
              </w:rPr>
              <w:t>分，一般者得</w:t>
            </w:r>
            <w:r>
              <w:rPr>
                <w:rFonts w:hint="eastAsia" w:ascii="宋体" w:hAnsi="宋体" w:cs="宋体"/>
                <w:bCs/>
                <w:color w:val="auto"/>
                <w:sz w:val="24"/>
                <w:highlight w:val="none"/>
                <w:lang w:val="en-US" w:eastAsia="zh-CN"/>
              </w:rPr>
              <w:t>2</w:t>
            </w:r>
            <w:r>
              <w:rPr>
                <w:rFonts w:hint="eastAsia" w:ascii="宋体" w:hAnsi="宋体" w:cs="宋体"/>
                <w:bCs/>
                <w:color w:val="auto"/>
                <w:sz w:val="24"/>
                <w:highlight w:val="none"/>
                <w:lang w:val="zh-CN"/>
              </w:rPr>
              <w:t>分，没有则得0分。</w:t>
            </w:r>
          </w:p>
        </w:tc>
        <w:tc>
          <w:tcPr>
            <w:tcW w:w="1559" w:type="dxa"/>
            <w:noWrap w:val="0"/>
            <w:vAlign w:val="center"/>
          </w:tcPr>
          <w:p w14:paraId="25B6184F">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6-0</w:t>
            </w:r>
          </w:p>
        </w:tc>
      </w:tr>
      <w:tr w14:paraId="7883DB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23" w:hRule="atLeast"/>
        </w:trPr>
        <w:tc>
          <w:tcPr>
            <w:tcW w:w="709" w:type="dxa"/>
            <w:vMerge w:val="continue"/>
            <w:noWrap w:val="0"/>
            <w:vAlign w:val="center"/>
          </w:tcPr>
          <w:p w14:paraId="050FE02C">
            <w:pPr>
              <w:autoSpaceDE w:val="0"/>
              <w:autoSpaceDN w:val="0"/>
              <w:adjustRightInd w:val="0"/>
              <w:rPr>
                <w:rFonts w:ascii="宋体" w:hAnsi="宋体" w:cs="宋体"/>
                <w:bCs/>
                <w:color w:val="auto"/>
                <w:sz w:val="24"/>
                <w:highlight w:val="none"/>
                <w:lang w:val="zh-CN"/>
              </w:rPr>
            </w:pPr>
          </w:p>
        </w:tc>
        <w:tc>
          <w:tcPr>
            <w:tcW w:w="567" w:type="dxa"/>
            <w:vMerge w:val="continue"/>
            <w:noWrap w:val="0"/>
            <w:vAlign w:val="center"/>
          </w:tcPr>
          <w:p w14:paraId="7054ECF8">
            <w:pPr>
              <w:autoSpaceDE w:val="0"/>
              <w:autoSpaceDN w:val="0"/>
              <w:adjustRightInd w:val="0"/>
              <w:rPr>
                <w:rFonts w:ascii="宋体" w:hAnsi="宋体" w:cs="宋体"/>
                <w:bCs/>
                <w:color w:val="auto"/>
                <w:sz w:val="24"/>
                <w:highlight w:val="none"/>
                <w:lang w:val="zh-CN"/>
              </w:rPr>
            </w:pPr>
          </w:p>
        </w:tc>
        <w:tc>
          <w:tcPr>
            <w:tcW w:w="2410" w:type="dxa"/>
            <w:noWrap w:val="0"/>
            <w:vAlign w:val="center"/>
          </w:tcPr>
          <w:p w14:paraId="4210A88D">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质量管理体系与措施</w:t>
            </w:r>
          </w:p>
        </w:tc>
        <w:tc>
          <w:tcPr>
            <w:tcW w:w="4253" w:type="dxa"/>
            <w:noWrap w:val="0"/>
            <w:vAlign w:val="center"/>
          </w:tcPr>
          <w:p w14:paraId="4D5E321A">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针对供应商提报的安全管理体系与措施合理、全面、有效性进行综合评价，优者得6分，良者得</w:t>
            </w:r>
            <w:r>
              <w:rPr>
                <w:rFonts w:hint="eastAsia" w:ascii="宋体" w:hAnsi="宋体" w:cs="宋体"/>
                <w:bCs/>
                <w:color w:val="auto"/>
                <w:sz w:val="24"/>
                <w:highlight w:val="none"/>
                <w:lang w:val="en-US" w:eastAsia="zh-CN"/>
              </w:rPr>
              <w:t>4</w:t>
            </w:r>
            <w:r>
              <w:rPr>
                <w:rFonts w:hint="eastAsia" w:ascii="宋体" w:hAnsi="宋体" w:cs="宋体"/>
                <w:bCs/>
                <w:color w:val="auto"/>
                <w:sz w:val="24"/>
                <w:highlight w:val="none"/>
                <w:lang w:val="zh-CN"/>
              </w:rPr>
              <w:t>分，一般者得</w:t>
            </w:r>
            <w:r>
              <w:rPr>
                <w:rFonts w:hint="eastAsia" w:ascii="宋体" w:hAnsi="宋体" w:cs="宋体"/>
                <w:bCs/>
                <w:color w:val="auto"/>
                <w:sz w:val="24"/>
                <w:highlight w:val="none"/>
                <w:lang w:val="en-US" w:eastAsia="zh-CN"/>
              </w:rPr>
              <w:t>2</w:t>
            </w:r>
            <w:r>
              <w:rPr>
                <w:rFonts w:hint="eastAsia" w:ascii="宋体" w:hAnsi="宋体" w:cs="宋体"/>
                <w:bCs/>
                <w:color w:val="auto"/>
                <w:sz w:val="24"/>
                <w:highlight w:val="none"/>
                <w:lang w:val="zh-CN"/>
              </w:rPr>
              <w:t>分，没有则得0分。</w:t>
            </w:r>
          </w:p>
        </w:tc>
        <w:tc>
          <w:tcPr>
            <w:tcW w:w="1559" w:type="dxa"/>
            <w:noWrap w:val="0"/>
            <w:vAlign w:val="center"/>
          </w:tcPr>
          <w:p w14:paraId="3803F560">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6-0</w:t>
            </w:r>
          </w:p>
        </w:tc>
      </w:tr>
      <w:tr w14:paraId="54C07D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25" w:hRule="atLeast"/>
        </w:trPr>
        <w:tc>
          <w:tcPr>
            <w:tcW w:w="709" w:type="dxa"/>
            <w:vMerge w:val="continue"/>
            <w:noWrap w:val="0"/>
            <w:vAlign w:val="center"/>
          </w:tcPr>
          <w:p w14:paraId="73C47C83">
            <w:pPr>
              <w:autoSpaceDE w:val="0"/>
              <w:autoSpaceDN w:val="0"/>
              <w:adjustRightInd w:val="0"/>
              <w:rPr>
                <w:rFonts w:ascii="宋体" w:hAnsi="宋体" w:cs="宋体"/>
                <w:bCs/>
                <w:color w:val="auto"/>
                <w:sz w:val="24"/>
                <w:highlight w:val="none"/>
                <w:lang w:val="zh-CN"/>
              </w:rPr>
            </w:pPr>
          </w:p>
        </w:tc>
        <w:tc>
          <w:tcPr>
            <w:tcW w:w="567" w:type="dxa"/>
            <w:vMerge w:val="continue"/>
            <w:noWrap w:val="0"/>
            <w:vAlign w:val="center"/>
          </w:tcPr>
          <w:p w14:paraId="46DE4FF1">
            <w:pPr>
              <w:autoSpaceDE w:val="0"/>
              <w:autoSpaceDN w:val="0"/>
              <w:adjustRightInd w:val="0"/>
              <w:rPr>
                <w:rFonts w:ascii="宋体" w:hAnsi="宋体" w:cs="宋体"/>
                <w:bCs/>
                <w:color w:val="auto"/>
                <w:sz w:val="24"/>
                <w:highlight w:val="none"/>
                <w:lang w:val="zh-CN"/>
              </w:rPr>
            </w:pPr>
          </w:p>
        </w:tc>
        <w:tc>
          <w:tcPr>
            <w:tcW w:w="2410" w:type="dxa"/>
            <w:noWrap w:val="0"/>
            <w:vAlign w:val="center"/>
          </w:tcPr>
          <w:p w14:paraId="2D0FB8D7">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安全管理体系与措施</w:t>
            </w:r>
          </w:p>
        </w:tc>
        <w:tc>
          <w:tcPr>
            <w:tcW w:w="4253" w:type="dxa"/>
            <w:noWrap w:val="0"/>
            <w:vAlign w:val="center"/>
          </w:tcPr>
          <w:p w14:paraId="036792D9">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rPr>
              <w:t>针对</w:t>
            </w:r>
            <w:r>
              <w:rPr>
                <w:rFonts w:hint="eastAsia" w:ascii="宋体" w:hAnsi="宋体" w:cs="宋体"/>
                <w:bCs/>
                <w:color w:val="auto"/>
                <w:sz w:val="24"/>
                <w:highlight w:val="none"/>
                <w:lang w:eastAsia="zh-CN"/>
              </w:rPr>
              <w:t>供应商</w:t>
            </w:r>
            <w:r>
              <w:rPr>
                <w:rFonts w:hint="eastAsia" w:ascii="宋体" w:hAnsi="宋体" w:cs="宋体"/>
                <w:bCs/>
                <w:color w:val="auto"/>
                <w:sz w:val="24"/>
                <w:highlight w:val="none"/>
              </w:rPr>
              <w:t>提报的安全管理体系与措施合理、全面、有效性进行综合评价，优者得</w:t>
            </w:r>
            <w:r>
              <w:rPr>
                <w:rFonts w:hint="eastAsia" w:ascii="宋体" w:hAnsi="宋体" w:cs="宋体"/>
                <w:bCs/>
                <w:color w:val="auto"/>
                <w:sz w:val="24"/>
                <w:highlight w:val="none"/>
                <w:lang w:val="en-US" w:eastAsia="zh-CN"/>
              </w:rPr>
              <w:t>6</w:t>
            </w:r>
            <w:r>
              <w:rPr>
                <w:rFonts w:hint="eastAsia" w:ascii="宋体" w:hAnsi="宋体" w:cs="宋体"/>
                <w:bCs/>
                <w:color w:val="auto"/>
                <w:sz w:val="24"/>
                <w:highlight w:val="none"/>
              </w:rPr>
              <w:t>分，良者得</w:t>
            </w:r>
            <w:r>
              <w:rPr>
                <w:rFonts w:hint="eastAsia" w:ascii="宋体" w:hAnsi="宋体" w:cs="宋体"/>
                <w:bCs/>
                <w:color w:val="auto"/>
                <w:sz w:val="24"/>
                <w:highlight w:val="none"/>
                <w:lang w:val="en-US" w:eastAsia="zh-CN"/>
              </w:rPr>
              <w:t>4</w:t>
            </w:r>
            <w:r>
              <w:rPr>
                <w:rFonts w:hint="eastAsia" w:ascii="宋体" w:hAnsi="宋体" w:cs="宋体"/>
                <w:bCs/>
                <w:color w:val="auto"/>
                <w:sz w:val="24"/>
                <w:highlight w:val="none"/>
              </w:rPr>
              <w:t>分，一般者得</w:t>
            </w:r>
            <w:r>
              <w:rPr>
                <w:rFonts w:hint="eastAsia" w:ascii="宋体" w:hAnsi="宋体" w:cs="宋体"/>
                <w:bCs/>
                <w:color w:val="auto"/>
                <w:sz w:val="24"/>
                <w:highlight w:val="none"/>
                <w:lang w:val="en-US" w:eastAsia="zh-CN"/>
              </w:rPr>
              <w:t>2</w:t>
            </w:r>
            <w:r>
              <w:rPr>
                <w:rFonts w:hint="eastAsia" w:ascii="宋体" w:hAnsi="宋体" w:cs="宋体"/>
                <w:bCs/>
                <w:color w:val="auto"/>
                <w:sz w:val="24"/>
                <w:highlight w:val="none"/>
              </w:rPr>
              <w:t>分，没有则得0分。</w:t>
            </w:r>
          </w:p>
        </w:tc>
        <w:tc>
          <w:tcPr>
            <w:tcW w:w="1559" w:type="dxa"/>
            <w:noWrap w:val="0"/>
            <w:vAlign w:val="center"/>
          </w:tcPr>
          <w:p w14:paraId="6991F788">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6-0</w:t>
            </w:r>
          </w:p>
        </w:tc>
      </w:tr>
      <w:tr w14:paraId="55E2CA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trPr>
        <w:tc>
          <w:tcPr>
            <w:tcW w:w="709" w:type="dxa"/>
            <w:vMerge w:val="continue"/>
            <w:noWrap w:val="0"/>
            <w:vAlign w:val="center"/>
          </w:tcPr>
          <w:p w14:paraId="0D2752A6">
            <w:pPr>
              <w:autoSpaceDE w:val="0"/>
              <w:autoSpaceDN w:val="0"/>
              <w:adjustRightInd w:val="0"/>
              <w:rPr>
                <w:rFonts w:ascii="宋体" w:hAnsi="宋体" w:cs="宋体"/>
                <w:bCs/>
                <w:color w:val="auto"/>
                <w:sz w:val="24"/>
                <w:highlight w:val="none"/>
                <w:lang w:val="zh-CN"/>
              </w:rPr>
            </w:pPr>
          </w:p>
        </w:tc>
        <w:tc>
          <w:tcPr>
            <w:tcW w:w="567" w:type="dxa"/>
            <w:vMerge w:val="continue"/>
            <w:noWrap w:val="0"/>
            <w:vAlign w:val="center"/>
          </w:tcPr>
          <w:p w14:paraId="72151F35">
            <w:pPr>
              <w:autoSpaceDE w:val="0"/>
              <w:autoSpaceDN w:val="0"/>
              <w:adjustRightInd w:val="0"/>
              <w:rPr>
                <w:rFonts w:ascii="宋体" w:hAnsi="宋体" w:cs="宋体"/>
                <w:bCs/>
                <w:color w:val="auto"/>
                <w:sz w:val="24"/>
                <w:highlight w:val="none"/>
                <w:lang w:val="zh-CN"/>
              </w:rPr>
            </w:pPr>
          </w:p>
        </w:tc>
        <w:tc>
          <w:tcPr>
            <w:tcW w:w="2410" w:type="dxa"/>
            <w:noWrap w:val="0"/>
            <w:vAlign w:val="center"/>
          </w:tcPr>
          <w:p w14:paraId="258A1738">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环境保护管理体系与措施</w:t>
            </w:r>
          </w:p>
        </w:tc>
        <w:tc>
          <w:tcPr>
            <w:tcW w:w="4253" w:type="dxa"/>
            <w:noWrap w:val="0"/>
            <w:vAlign w:val="center"/>
          </w:tcPr>
          <w:p w14:paraId="0C04CA22">
            <w:pPr>
              <w:autoSpaceDE w:val="0"/>
              <w:autoSpaceDN w:val="0"/>
              <w:adjustRightInd w:val="0"/>
              <w:rPr>
                <w:rFonts w:ascii="宋体" w:hAnsi="宋体" w:cs="宋体"/>
                <w:bCs/>
                <w:color w:val="auto"/>
                <w:sz w:val="24"/>
                <w:highlight w:val="none"/>
              </w:rPr>
            </w:pPr>
            <w:r>
              <w:rPr>
                <w:rFonts w:hint="eastAsia" w:ascii="宋体" w:hAnsi="宋体" w:cs="宋体"/>
                <w:bCs/>
                <w:color w:val="auto"/>
                <w:sz w:val="24"/>
                <w:highlight w:val="none"/>
              </w:rPr>
              <w:t>针对</w:t>
            </w:r>
            <w:r>
              <w:rPr>
                <w:rFonts w:hint="eastAsia" w:ascii="宋体" w:hAnsi="宋体" w:cs="宋体"/>
                <w:bCs/>
                <w:color w:val="auto"/>
                <w:sz w:val="24"/>
                <w:highlight w:val="none"/>
                <w:lang w:eastAsia="zh-CN"/>
              </w:rPr>
              <w:t>供应商</w:t>
            </w:r>
            <w:r>
              <w:rPr>
                <w:rFonts w:hint="eastAsia" w:ascii="宋体" w:hAnsi="宋体" w:cs="宋体"/>
                <w:bCs/>
                <w:color w:val="auto"/>
                <w:sz w:val="24"/>
                <w:highlight w:val="none"/>
              </w:rPr>
              <w:t>提报的环境保护管理体系与措施合理、全面、有效性进行综合评价，优者得5分，良者得3分，一般者得1分，没有则得0分。</w:t>
            </w:r>
          </w:p>
        </w:tc>
        <w:tc>
          <w:tcPr>
            <w:tcW w:w="1559" w:type="dxa"/>
            <w:noWrap w:val="0"/>
            <w:vAlign w:val="center"/>
          </w:tcPr>
          <w:p w14:paraId="2CBD148B">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5-0</w:t>
            </w:r>
          </w:p>
        </w:tc>
      </w:tr>
      <w:tr w14:paraId="0659C7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63" w:hRule="atLeast"/>
        </w:trPr>
        <w:tc>
          <w:tcPr>
            <w:tcW w:w="709" w:type="dxa"/>
            <w:vMerge w:val="continue"/>
            <w:noWrap w:val="0"/>
            <w:vAlign w:val="center"/>
          </w:tcPr>
          <w:p w14:paraId="33371771">
            <w:pPr>
              <w:autoSpaceDE w:val="0"/>
              <w:autoSpaceDN w:val="0"/>
              <w:adjustRightInd w:val="0"/>
              <w:rPr>
                <w:rFonts w:ascii="宋体" w:hAnsi="宋体" w:cs="宋体"/>
                <w:bCs/>
                <w:color w:val="auto"/>
                <w:sz w:val="24"/>
                <w:highlight w:val="none"/>
                <w:lang w:val="zh-CN"/>
              </w:rPr>
            </w:pPr>
          </w:p>
        </w:tc>
        <w:tc>
          <w:tcPr>
            <w:tcW w:w="567" w:type="dxa"/>
            <w:vMerge w:val="continue"/>
            <w:noWrap w:val="0"/>
            <w:vAlign w:val="center"/>
          </w:tcPr>
          <w:p w14:paraId="4A3A7E14">
            <w:pPr>
              <w:autoSpaceDE w:val="0"/>
              <w:autoSpaceDN w:val="0"/>
              <w:adjustRightInd w:val="0"/>
              <w:rPr>
                <w:rFonts w:ascii="宋体" w:hAnsi="宋体" w:cs="宋体"/>
                <w:bCs/>
                <w:color w:val="auto"/>
                <w:sz w:val="24"/>
                <w:highlight w:val="none"/>
                <w:lang w:val="zh-CN"/>
              </w:rPr>
            </w:pPr>
          </w:p>
        </w:tc>
        <w:tc>
          <w:tcPr>
            <w:tcW w:w="2410" w:type="dxa"/>
            <w:noWrap w:val="0"/>
            <w:vAlign w:val="center"/>
          </w:tcPr>
          <w:p w14:paraId="02D1AB70">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工程进度计划与措施</w:t>
            </w:r>
          </w:p>
        </w:tc>
        <w:tc>
          <w:tcPr>
            <w:tcW w:w="4253" w:type="dxa"/>
            <w:noWrap w:val="0"/>
            <w:vAlign w:val="center"/>
          </w:tcPr>
          <w:p w14:paraId="1E3AE49E">
            <w:pPr>
              <w:autoSpaceDE w:val="0"/>
              <w:autoSpaceDN w:val="0"/>
              <w:adjustRightInd w:val="0"/>
              <w:rPr>
                <w:rFonts w:ascii="宋体" w:hAnsi="宋体" w:cs="宋体"/>
                <w:bCs/>
                <w:color w:val="auto"/>
                <w:sz w:val="24"/>
                <w:highlight w:val="none"/>
              </w:rPr>
            </w:pPr>
            <w:r>
              <w:rPr>
                <w:rFonts w:hint="eastAsia" w:ascii="宋体" w:hAnsi="宋体" w:cs="宋体"/>
                <w:bCs/>
                <w:color w:val="auto"/>
                <w:sz w:val="24"/>
                <w:highlight w:val="none"/>
              </w:rPr>
              <w:t>针对</w:t>
            </w:r>
            <w:r>
              <w:rPr>
                <w:rFonts w:hint="eastAsia" w:ascii="宋体" w:hAnsi="宋体" w:cs="宋体"/>
                <w:bCs/>
                <w:color w:val="auto"/>
                <w:sz w:val="24"/>
                <w:highlight w:val="none"/>
                <w:lang w:eastAsia="zh-CN"/>
              </w:rPr>
              <w:t>供应商</w:t>
            </w:r>
            <w:r>
              <w:rPr>
                <w:rFonts w:hint="eastAsia" w:ascii="宋体" w:hAnsi="宋体" w:cs="宋体"/>
                <w:bCs/>
                <w:color w:val="auto"/>
                <w:sz w:val="24"/>
                <w:highlight w:val="none"/>
              </w:rPr>
              <w:t>提报的工程进度计划</w:t>
            </w:r>
            <w:r>
              <w:rPr>
                <w:rFonts w:hint="eastAsia" w:ascii="宋体" w:hAnsi="宋体"/>
                <w:bCs/>
                <w:color w:val="auto"/>
                <w:spacing w:val="-6"/>
                <w:sz w:val="24"/>
                <w:highlight w:val="none"/>
              </w:rPr>
              <w:t>符合开竣工日期要求，有施工横道图或网络图合理，</w:t>
            </w:r>
            <w:r>
              <w:rPr>
                <w:rFonts w:hint="eastAsia" w:ascii="宋体" w:hAnsi="宋体" w:cs="宋体"/>
                <w:bCs/>
                <w:color w:val="auto"/>
                <w:sz w:val="24"/>
                <w:highlight w:val="none"/>
              </w:rPr>
              <w:t>与措施合理性进行综合评价，优者得4分，良者得2分，一般者得1分，没有则得0分。</w:t>
            </w:r>
          </w:p>
        </w:tc>
        <w:tc>
          <w:tcPr>
            <w:tcW w:w="1559" w:type="dxa"/>
            <w:noWrap w:val="0"/>
            <w:vAlign w:val="center"/>
          </w:tcPr>
          <w:p w14:paraId="0B833096">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4-0</w:t>
            </w:r>
          </w:p>
        </w:tc>
      </w:tr>
      <w:tr w14:paraId="6BA5A9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trPr>
        <w:tc>
          <w:tcPr>
            <w:tcW w:w="709" w:type="dxa"/>
            <w:vMerge w:val="continue"/>
            <w:noWrap w:val="0"/>
            <w:vAlign w:val="center"/>
          </w:tcPr>
          <w:p w14:paraId="5A246533">
            <w:pPr>
              <w:autoSpaceDE w:val="0"/>
              <w:autoSpaceDN w:val="0"/>
              <w:adjustRightInd w:val="0"/>
              <w:rPr>
                <w:rFonts w:ascii="宋体" w:hAnsi="宋体" w:cs="宋体"/>
                <w:bCs/>
                <w:color w:val="auto"/>
                <w:sz w:val="24"/>
                <w:highlight w:val="none"/>
                <w:lang w:val="zh-CN"/>
              </w:rPr>
            </w:pPr>
          </w:p>
        </w:tc>
        <w:tc>
          <w:tcPr>
            <w:tcW w:w="567" w:type="dxa"/>
            <w:vMerge w:val="continue"/>
            <w:noWrap w:val="0"/>
            <w:vAlign w:val="center"/>
          </w:tcPr>
          <w:p w14:paraId="244D1B49">
            <w:pPr>
              <w:autoSpaceDE w:val="0"/>
              <w:autoSpaceDN w:val="0"/>
              <w:adjustRightInd w:val="0"/>
              <w:rPr>
                <w:rFonts w:ascii="宋体" w:hAnsi="宋体" w:cs="宋体"/>
                <w:bCs/>
                <w:color w:val="auto"/>
                <w:sz w:val="24"/>
                <w:highlight w:val="none"/>
                <w:lang w:val="zh-CN"/>
              </w:rPr>
            </w:pPr>
          </w:p>
        </w:tc>
        <w:tc>
          <w:tcPr>
            <w:tcW w:w="2410" w:type="dxa"/>
            <w:noWrap w:val="0"/>
            <w:vAlign w:val="center"/>
          </w:tcPr>
          <w:p w14:paraId="759CB808">
            <w:pPr>
              <w:autoSpaceDE w:val="0"/>
              <w:autoSpaceDN w:val="0"/>
              <w:adjustRightInd w:val="0"/>
              <w:jc w:val="center"/>
              <w:rPr>
                <w:rFonts w:ascii="宋体" w:hAnsi="宋体" w:cs="宋体"/>
                <w:bCs/>
                <w:color w:val="auto"/>
                <w:sz w:val="24"/>
                <w:highlight w:val="none"/>
                <w:lang w:val="zh-CN"/>
              </w:rPr>
            </w:pPr>
            <w:r>
              <w:rPr>
                <w:rFonts w:ascii="宋体" w:hAnsi="宋体"/>
                <w:bCs/>
                <w:color w:val="auto"/>
                <w:spacing w:val="-6"/>
                <w:sz w:val="24"/>
                <w:highlight w:val="none"/>
              </w:rPr>
              <w:t>主要施工机械设备情况</w:t>
            </w:r>
          </w:p>
        </w:tc>
        <w:tc>
          <w:tcPr>
            <w:tcW w:w="4253" w:type="dxa"/>
            <w:noWrap w:val="0"/>
            <w:vAlign w:val="center"/>
          </w:tcPr>
          <w:p w14:paraId="26C8D583">
            <w:pPr>
              <w:autoSpaceDE w:val="0"/>
              <w:autoSpaceDN w:val="0"/>
              <w:adjustRightInd w:val="0"/>
              <w:rPr>
                <w:rFonts w:ascii="宋体" w:hAnsi="宋体" w:cs="宋体"/>
                <w:bCs/>
                <w:color w:val="auto"/>
                <w:sz w:val="24"/>
                <w:highlight w:val="none"/>
              </w:rPr>
            </w:pPr>
            <w:r>
              <w:rPr>
                <w:rFonts w:hint="eastAsia" w:ascii="宋体" w:hAnsi="宋体" w:cs="宋体"/>
                <w:bCs/>
                <w:color w:val="auto"/>
                <w:sz w:val="24"/>
                <w:highlight w:val="none"/>
              </w:rPr>
              <w:t>针对</w:t>
            </w:r>
            <w:r>
              <w:rPr>
                <w:rFonts w:hint="eastAsia" w:ascii="宋体" w:hAnsi="宋体" w:cs="宋体"/>
                <w:bCs/>
                <w:color w:val="auto"/>
                <w:sz w:val="24"/>
                <w:highlight w:val="none"/>
                <w:lang w:eastAsia="zh-CN"/>
              </w:rPr>
              <w:t>供应商</w:t>
            </w:r>
            <w:r>
              <w:rPr>
                <w:rFonts w:hint="eastAsia" w:ascii="宋体" w:hAnsi="宋体" w:cs="宋体"/>
                <w:bCs/>
                <w:color w:val="auto"/>
                <w:sz w:val="24"/>
                <w:highlight w:val="none"/>
              </w:rPr>
              <w:t>提报的主要施工机械设备情况合理性进行综合评价，优者得4分，良者得2分，一般者得1分，没有则得0分。</w:t>
            </w:r>
          </w:p>
        </w:tc>
        <w:tc>
          <w:tcPr>
            <w:tcW w:w="1559" w:type="dxa"/>
            <w:noWrap w:val="0"/>
            <w:vAlign w:val="center"/>
          </w:tcPr>
          <w:p w14:paraId="24935D06">
            <w:pPr>
              <w:jc w:val="center"/>
              <w:rPr>
                <w:rFonts w:ascii="宋体" w:hAnsi="宋体"/>
                <w:bCs/>
                <w:color w:val="auto"/>
                <w:spacing w:val="-6"/>
                <w:sz w:val="24"/>
                <w:highlight w:val="none"/>
              </w:rPr>
            </w:pPr>
            <w:r>
              <w:rPr>
                <w:rFonts w:hint="eastAsia" w:ascii="宋体" w:hAnsi="宋体"/>
                <w:bCs/>
                <w:color w:val="auto"/>
                <w:spacing w:val="-6"/>
                <w:sz w:val="24"/>
                <w:highlight w:val="none"/>
              </w:rPr>
              <w:t>4-0</w:t>
            </w:r>
          </w:p>
        </w:tc>
      </w:tr>
      <w:tr w14:paraId="216728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80" w:hRule="atLeast"/>
        </w:trPr>
        <w:tc>
          <w:tcPr>
            <w:tcW w:w="709" w:type="dxa"/>
            <w:vMerge w:val="continue"/>
            <w:noWrap w:val="0"/>
            <w:vAlign w:val="center"/>
          </w:tcPr>
          <w:p w14:paraId="0ECCB6BD">
            <w:pPr>
              <w:autoSpaceDE w:val="0"/>
              <w:autoSpaceDN w:val="0"/>
              <w:adjustRightInd w:val="0"/>
              <w:rPr>
                <w:rFonts w:ascii="宋体" w:hAnsi="宋体" w:cs="宋体"/>
                <w:bCs/>
                <w:color w:val="auto"/>
                <w:sz w:val="24"/>
                <w:highlight w:val="none"/>
                <w:lang w:val="zh-CN"/>
              </w:rPr>
            </w:pPr>
          </w:p>
        </w:tc>
        <w:tc>
          <w:tcPr>
            <w:tcW w:w="567" w:type="dxa"/>
            <w:vMerge w:val="continue"/>
            <w:noWrap w:val="0"/>
            <w:vAlign w:val="center"/>
          </w:tcPr>
          <w:p w14:paraId="6CB365DA">
            <w:pPr>
              <w:autoSpaceDE w:val="0"/>
              <w:autoSpaceDN w:val="0"/>
              <w:adjustRightInd w:val="0"/>
              <w:rPr>
                <w:rFonts w:ascii="宋体" w:hAnsi="宋体" w:cs="宋体"/>
                <w:bCs/>
                <w:color w:val="auto"/>
                <w:sz w:val="24"/>
                <w:highlight w:val="none"/>
                <w:lang w:val="zh-CN"/>
              </w:rPr>
            </w:pPr>
          </w:p>
        </w:tc>
        <w:tc>
          <w:tcPr>
            <w:tcW w:w="2410" w:type="dxa"/>
            <w:noWrap w:val="0"/>
            <w:vAlign w:val="center"/>
          </w:tcPr>
          <w:p w14:paraId="0EED69EF">
            <w:pPr>
              <w:jc w:val="center"/>
              <w:rPr>
                <w:rFonts w:ascii="宋体" w:hAnsi="宋体" w:cs="宋体"/>
                <w:bCs/>
                <w:color w:val="auto"/>
                <w:sz w:val="24"/>
                <w:highlight w:val="none"/>
                <w:lang w:val="zh-CN"/>
              </w:rPr>
            </w:pPr>
            <w:r>
              <w:rPr>
                <w:rFonts w:hint="eastAsia" w:ascii="宋体" w:hAnsi="宋体"/>
                <w:bCs/>
                <w:color w:val="auto"/>
                <w:spacing w:val="-6"/>
                <w:sz w:val="24"/>
                <w:highlight w:val="none"/>
              </w:rPr>
              <w:t>劳动力安排计划</w:t>
            </w:r>
          </w:p>
        </w:tc>
        <w:tc>
          <w:tcPr>
            <w:tcW w:w="4253" w:type="dxa"/>
            <w:noWrap w:val="0"/>
            <w:vAlign w:val="center"/>
          </w:tcPr>
          <w:p w14:paraId="325E3793">
            <w:pPr>
              <w:autoSpaceDE w:val="0"/>
              <w:autoSpaceDN w:val="0"/>
              <w:adjustRightInd w:val="0"/>
              <w:rPr>
                <w:rFonts w:ascii="宋体" w:hAnsi="宋体" w:cs="宋体"/>
                <w:bCs/>
                <w:color w:val="auto"/>
                <w:sz w:val="24"/>
                <w:highlight w:val="none"/>
              </w:rPr>
            </w:pPr>
            <w:r>
              <w:rPr>
                <w:rFonts w:hint="eastAsia" w:ascii="宋体" w:hAnsi="宋体" w:cs="宋体"/>
                <w:bCs/>
                <w:color w:val="auto"/>
                <w:sz w:val="24"/>
                <w:highlight w:val="none"/>
              </w:rPr>
              <w:t>针对</w:t>
            </w:r>
            <w:r>
              <w:rPr>
                <w:rFonts w:hint="eastAsia" w:ascii="宋体" w:hAnsi="宋体" w:cs="宋体"/>
                <w:bCs/>
                <w:color w:val="auto"/>
                <w:sz w:val="24"/>
                <w:highlight w:val="none"/>
                <w:lang w:eastAsia="zh-CN"/>
              </w:rPr>
              <w:t>供应商</w:t>
            </w:r>
            <w:r>
              <w:rPr>
                <w:rFonts w:hint="eastAsia" w:ascii="宋体" w:hAnsi="宋体" w:cs="宋体"/>
                <w:bCs/>
                <w:color w:val="auto"/>
                <w:sz w:val="24"/>
                <w:highlight w:val="none"/>
              </w:rPr>
              <w:t>提报的劳动力安排计划合理性进行综合评价，优者得4分，良者得2分，一般者得1分，没有则得0分。</w:t>
            </w:r>
          </w:p>
        </w:tc>
        <w:tc>
          <w:tcPr>
            <w:tcW w:w="1559" w:type="dxa"/>
            <w:noWrap w:val="0"/>
            <w:vAlign w:val="center"/>
          </w:tcPr>
          <w:p w14:paraId="0DD291A4">
            <w:pPr>
              <w:jc w:val="center"/>
              <w:rPr>
                <w:rFonts w:ascii="宋体" w:hAnsi="宋体"/>
                <w:bCs/>
                <w:color w:val="auto"/>
                <w:spacing w:val="-6"/>
                <w:sz w:val="24"/>
                <w:highlight w:val="none"/>
              </w:rPr>
            </w:pPr>
            <w:r>
              <w:rPr>
                <w:rFonts w:hint="eastAsia" w:ascii="宋体" w:hAnsi="宋体"/>
                <w:bCs/>
                <w:color w:val="auto"/>
                <w:spacing w:val="-6"/>
                <w:sz w:val="24"/>
                <w:highlight w:val="none"/>
              </w:rPr>
              <w:t>4-0</w:t>
            </w:r>
          </w:p>
        </w:tc>
      </w:tr>
      <w:tr w14:paraId="4AD3AE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47" w:hRule="atLeast"/>
        </w:trPr>
        <w:tc>
          <w:tcPr>
            <w:tcW w:w="709" w:type="dxa"/>
            <w:vMerge w:val="continue"/>
            <w:noWrap w:val="0"/>
            <w:vAlign w:val="center"/>
          </w:tcPr>
          <w:p w14:paraId="109D68E5">
            <w:pPr>
              <w:autoSpaceDE w:val="0"/>
              <w:autoSpaceDN w:val="0"/>
              <w:adjustRightInd w:val="0"/>
              <w:rPr>
                <w:rFonts w:ascii="宋体" w:hAnsi="宋体" w:cs="宋体"/>
                <w:bCs/>
                <w:color w:val="auto"/>
                <w:sz w:val="24"/>
                <w:highlight w:val="none"/>
                <w:lang w:val="zh-CN"/>
              </w:rPr>
            </w:pPr>
          </w:p>
        </w:tc>
        <w:tc>
          <w:tcPr>
            <w:tcW w:w="567" w:type="dxa"/>
            <w:vMerge w:val="continue"/>
            <w:noWrap w:val="0"/>
            <w:vAlign w:val="center"/>
          </w:tcPr>
          <w:p w14:paraId="26501BCF">
            <w:pPr>
              <w:autoSpaceDE w:val="0"/>
              <w:autoSpaceDN w:val="0"/>
              <w:adjustRightInd w:val="0"/>
              <w:rPr>
                <w:rFonts w:ascii="宋体" w:hAnsi="宋体" w:cs="宋体"/>
                <w:bCs/>
                <w:color w:val="auto"/>
                <w:sz w:val="24"/>
                <w:highlight w:val="none"/>
                <w:lang w:val="zh-CN"/>
              </w:rPr>
            </w:pPr>
          </w:p>
        </w:tc>
        <w:tc>
          <w:tcPr>
            <w:tcW w:w="2410" w:type="dxa"/>
            <w:noWrap w:val="0"/>
            <w:vAlign w:val="center"/>
          </w:tcPr>
          <w:p w14:paraId="170A7099">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原材料进场计划</w:t>
            </w:r>
          </w:p>
        </w:tc>
        <w:tc>
          <w:tcPr>
            <w:tcW w:w="4253" w:type="dxa"/>
            <w:noWrap w:val="0"/>
            <w:vAlign w:val="center"/>
          </w:tcPr>
          <w:p w14:paraId="1C1E9D96">
            <w:pPr>
              <w:autoSpaceDE w:val="0"/>
              <w:autoSpaceDN w:val="0"/>
              <w:adjustRightInd w:val="0"/>
              <w:rPr>
                <w:rFonts w:ascii="宋体" w:hAnsi="宋体" w:cs="宋体"/>
                <w:bCs/>
                <w:color w:val="auto"/>
                <w:sz w:val="24"/>
                <w:highlight w:val="none"/>
              </w:rPr>
            </w:pPr>
            <w:r>
              <w:rPr>
                <w:rFonts w:hint="eastAsia" w:ascii="宋体" w:hAnsi="宋体" w:cs="宋体"/>
                <w:bCs/>
                <w:color w:val="auto"/>
                <w:sz w:val="24"/>
                <w:highlight w:val="none"/>
              </w:rPr>
              <w:t>针对</w:t>
            </w:r>
            <w:r>
              <w:rPr>
                <w:rFonts w:hint="eastAsia" w:ascii="宋体" w:hAnsi="宋体" w:cs="宋体"/>
                <w:bCs/>
                <w:color w:val="auto"/>
                <w:sz w:val="24"/>
                <w:highlight w:val="none"/>
                <w:lang w:eastAsia="zh-CN"/>
              </w:rPr>
              <w:t>供应商</w:t>
            </w:r>
            <w:r>
              <w:rPr>
                <w:rFonts w:hint="eastAsia" w:ascii="宋体" w:hAnsi="宋体" w:cs="宋体"/>
                <w:bCs/>
                <w:color w:val="auto"/>
                <w:sz w:val="24"/>
                <w:highlight w:val="none"/>
              </w:rPr>
              <w:t>提报的原材料</w:t>
            </w:r>
            <w:r>
              <w:rPr>
                <w:rFonts w:hint="eastAsia" w:ascii="宋体" w:hAnsi="宋体" w:cs="宋体"/>
                <w:bCs/>
                <w:color w:val="auto"/>
                <w:sz w:val="24"/>
                <w:highlight w:val="none"/>
                <w:lang w:eastAsia="zh-CN"/>
              </w:rPr>
              <w:t>进场</w:t>
            </w:r>
            <w:r>
              <w:rPr>
                <w:rFonts w:hint="eastAsia" w:ascii="宋体" w:hAnsi="宋体" w:cs="宋体"/>
                <w:bCs/>
                <w:color w:val="auto"/>
                <w:sz w:val="24"/>
                <w:highlight w:val="none"/>
              </w:rPr>
              <w:t>计划合理性进行综合评价，优者得4分，良者得2分，一般者得1分，没有则得0分。</w:t>
            </w:r>
          </w:p>
        </w:tc>
        <w:tc>
          <w:tcPr>
            <w:tcW w:w="1559" w:type="dxa"/>
            <w:noWrap w:val="0"/>
            <w:vAlign w:val="center"/>
          </w:tcPr>
          <w:p w14:paraId="76ED2277">
            <w:pPr>
              <w:jc w:val="center"/>
              <w:rPr>
                <w:rFonts w:ascii="宋体" w:hAnsi="宋体"/>
                <w:bCs/>
                <w:color w:val="auto"/>
                <w:spacing w:val="-6"/>
                <w:sz w:val="24"/>
                <w:highlight w:val="none"/>
              </w:rPr>
            </w:pPr>
            <w:r>
              <w:rPr>
                <w:rFonts w:hint="eastAsia" w:ascii="宋体" w:hAnsi="宋体"/>
                <w:bCs/>
                <w:color w:val="auto"/>
                <w:spacing w:val="-6"/>
                <w:sz w:val="24"/>
                <w:highlight w:val="none"/>
              </w:rPr>
              <w:t>4-0</w:t>
            </w:r>
          </w:p>
        </w:tc>
      </w:tr>
      <w:tr w14:paraId="158BA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90" w:hRule="atLeast"/>
        </w:trPr>
        <w:tc>
          <w:tcPr>
            <w:tcW w:w="709" w:type="dxa"/>
            <w:vMerge w:val="restart"/>
            <w:noWrap w:val="0"/>
            <w:vAlign w:val="center"/>
          </w:tcPr>
          <w:p w14:paraId="48627DB9">
            <w:pPr>
              <w:autoSpaceDE w:val="0"/>
              <w:autoSpaceDN w:val="0"/>
              <w:adjustRightInd w:val="0"/>
              <w:rPr>
                <w:rFonts w:ascii="宋体" w:hAnsi="宋体" w:cs="宋体"/>
                <w:bCs/>
                <w:color w:val="auto"/>
                <w:sz w:val="24"/>
                <w:highlight w:val="none"/>
                <w:lang w:val="zh-CN"/>
              </w:rPr>
            </w:pPr>
            <w:r>
              <w:rPr>
                <w:rFonts w:ascii="宋体" w:hAnsi="宋体" w:cs="宋体"/>
                <w:bCs/>
                <w:color w:val="auto"/>
                <w:sz w:val="24"/>
                <w:highlight w:val="none"/>
                <w:lang w:val="zh-CN"/>
              </w:rPr>
              <w:t>2.</w:t>
            </w:r>
            <w:r>
              <w:rPr>
                <w:rFonts w:hint="eastAsia" w:ascii="宋体" w:hAnsi="宋体" w:cs="宋体"/>
                <w:bCs/>
                <w:color w:val="auto"/>
                <w:sz w:val="24"/>
                <w:highlight w:val="none"/>
                <w:lang w:val="zh-CN"/>
              </w:rPr>
              <w:t>1.4（2）</w:t>
            </w:r>
          </w:p>
        </w:tc>
        <w:tc>
          <w:tcPr>
            <w:tcW w:w="567" w:type="dxa"/>
            <w:vMerge w:val="restart"/>
            <w:noWrap w:val="0"/>
            <w:vAlign w:val="center"/>
          </w:tcPr>
          <w:p w14:paraId="5E25D427">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项</w:t>
            </w:r>
          </w:p>
          <w:p w14:paraId="6C4E0BF2">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目</w:t>
            </w:r>
          </w:p>
          <w:p w14:paraId="7DA41985">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管</w:t>
            </w:r>
          </w:p>
          <w:p w14:paraId="6C28D9F5">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理</w:t>
            </w:r>
          </w:p>
          <w:p w14:paraId="039C271D">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机</w:t>
            </w:r>
          </w:p>
          <w:p w14:paraId="78315CC2">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构</w:t>
            </w:r>
          </w:p>
          <w:p w14:paraId="5D1E9E22">
            <w:pPr>
              <w:autoSpaceDE w:val="0"/>
              <w:autoSpaceDN w:val="0"/>
              <w:adjustRightInd w:val="0"/>
              <w:rPr>
                <w:rFonts w:ascii="宋体" w:hAnsi="宋体" w:cs="宋体"/>
                <w:bCs/>
                <w:color w:val="auto"/>
                <w:sz w:val="24"/>
                <w:highlight w:val="none"/>
                <w:lang w:val="zh-CN"/>
              </w:rPr>
            </w:pPr>
          </w:p>
        </w:tc>
        <w:tc>
          <w:tcPr>
            <w:tcW w:w="2410" w:type="dxa"/>
            <w:noWrap w:val="0"/>
            <w:vAlign w:val="center"/>
          </w:tcPr>
          <w:p w14:paraId="71A7AF6C">
            <w:pPr>
              <w:ind w:left="120" w:hanging="120" w:hangingChars="50"/>
              <w:jc w:val="center"/>
              <w:rPr>
                <w:rFonts w:ascii="宋体" w:hAnsi="宋体" w:cs="宋体"/>
                <w:color w:val="auto"/>
                <w:sz w:val="24"/>
                <w:highlight w:val="none"/>
              </w:rPr>
            </w:pPr>
            <w:r>
              <w:rPr>
                <w:rFonts w:hint="eastAsia" w:ascii="宋体" w:hAnsi="宋体" w:cs="宋体"/>
                <w:color w:val="auto"/>
                <w:sz w:val="24"/>
                <w:highlight w:val="none"/>
              </w:rPr>
              <w:t>项目经理业绩</w:t>
            </w:r>
          </w:p>
        </w:tc>
        <w:tc>
          <w:tcPr>
            <w:tcW w:w="4253" w:type="dxa"/>
            <w:noWrap w:val="0"/>
            <w:vAlign w:val="center"/>
          </w:tcPr>
          <w:p w14:paraId="572A1BD7">
            <w:pPr>
              <w:autoSpaceDE w:val="0"/>
              <w:autoSpaceDN w:val="0"/>
              <w:adjustRightInd w:val="0"/>
              <w:jc w:val="left"/>
              <w:rPr>
                <w:rFonts w:hint="eastAsia" w:ascii="宋体" w:hAnsi="宋体" w:cs="宋体"/>
                <w:bCs/>
                <w:color w:val="auto"/>
                <w:sz w:val="24"/>
                <w:highlight w:val="none"/>
                <w:lang w:val="zh-CN"/>
              </w:rPr>
            </w:pPr>
            <w:r>
              <w:rPr>
                <w:rFonts w:hint="eastAsia" w:ascii="宋体" w:hAnsi="宋体" w:cs="宋体"/>
                <w:bCs/>
                <w:color w:val="auto"/>
                <w:sz w:val="24"/>
                <w:highlight w:val="none"/>
                <w:lang w:val="zh-CN"/>
              </w:rPr>
              <w:t>项目经理近三年（202</w:t>
            </w:r>
            <w:r>
              <w:rPr>
                <w:rFonts w:hint="eastAsia" w:ascii="宋体" w:hAnsi="宋体" w:cs="宋体"/>
                <w:bCs/>
                <w:color w:val="auto"/>
                <w:sz w:val="24"/>
                <w:highlight w:val="none"/>
                <w:lang w:val="en-US" w:eastAsia="zh-CN"/>
              </w:rPr>
              <w:t>2</w:t>
            </w:r>
            <w:r>
              <w:rPr>
                <w:rFonts w:hint="eastAsia" w:ascii="宋体" w:hAnsi="宋体" w:cs="宋体"/>
                <w:bCs/>
                <w:color w:val="auto"/>
                <w:sz w:val="24"/>
                <w:highlight w:val="none"/>
                <w:lang w:val="zh-CN"/>
              </w:rPr>
              <w:t>年-至今）每有一项得2分，最高得</w:t>
            </w:r>
            <w:r>
              <w:rPr>
                <w:rFonts w:hint="eastAsia" w:ascii="宋体" w:hAnsi="宋体" w:cs="宋体"/>
                <w:bCs/>
                <w:color w:val="auto"/>
                <w:sz w:val="24"/>
                <w:highlight w:val="none"/>
                <w:lang w:val="en-US" w:eastAsia="zh-CN"/>
              </w:rPr>
              <w:t>4</w:t>
            </w:r>
            <w:r>
              <w:rPr>
                <w:rFonts w:hint="eastAsia" w:ascii="宋体" w:hAnsi="宋体" w:cs="宋体"/>
                <w:bCs/>
                <w:color w:val="auto"/>
                <w:sz w:val="24"/>
                <w:highlight w:val="none"/>
                <w:lang w:val="zh-CN"/>
              </w:rPr>
              <w:t>分。</w:t>
            </w:r>
          </w:p>
          <w:p w14:paraId="61A63548">
            <w:pPr>
              <w:autoSpaceDE w:val="0"/>
              <w:autoSpaceDN w:val="0"/>
              <w:adjustRightInd w:val="0"/>
              <w:jc w:val="left"/>
              <w:rPr>
                <w:rFonts w:ascii="宋体" w:hAnsi="宋体" w:cs="宋体"/>
                <w:bCs/>
                <w:color w:val="auto"/>
                <w:sz w:val="24"/>
                <w:highlight w:val="none"/>
                <w:lang w:val="zh-CN"/>
              </w:rPr>
            </w:pPr>
            <w:r>
              <w:rPr>
                <w:rFonts w:hint="eastAsia" w:ascii="宋体" w:hAnsi="宋体" w:cs="宋体"/>
                <w:bCs/>
                <w:color w:val="auto"/>
                <w:sz w:val="24"/>
                <w:highlight w:val="none"/>
                <w:lang w:val="zh-CN"/>
              </w:rPr>
              <w:t>（提供成交通知书或合同协议书或竣工验收报告，须体现本项目经理姓名，否则不计分，响应文件内附复印件并加盖公章）</w:t>
            </w:r>
          </w:p>
        </w:tc>
        <w:tc>
          <w:tcPr>
            <w:tcW w:w="1559" w:type="dxa"/>
            <w:noWrap w:val="0"/>
            <w:vAlign w:val="center"/>
          </w:tcPr>
          <w:p w14:paraId="251944A9">
            <w:pPr>
              <w:autoSpaceDE w:val="0"/>
              <w:autoSpaceDN w:val="0"/>
              <w:adjustRightInd w:val="0"/>
              <w:jc w:val="center"/>
              <w:rPr>
                <w:rFonts w:ascii="宋体" w:hAnsi="宋体" w:cs="宋体"/>
                <w:bCs/>
                <w:color w:val="auto"/>
                <w:sz w:val="24"/>
                <w:highlight w:val="none"/>
              </w:rPr>
            </w:pPr>
            <w:r>
              <w:rPr>
                <w:rFonts w:hint="eastAsia" w:ascii="宋体" w:hAnsi="宋体" w:cs="宋体"/>
                <w:bCs/>
                <w:color w:val="auto"/>
                <w:sz w:val="24"/>
                <w:highlight w:val="none"/>
                <w:lang w:val="en-US" w:eastAsia="zh-CN"/>
              </w:rPr>
              <w:t>4</w:t>
            </w:r>
            <w:r>
              <w:rPr>
                <w:rFonts w:hint="eastAsia" w:ascii="宋体" w:hAnsi="宋体" w:cs="宋体"/>
                <w:bCs/>
                <w:color w:val="auto"/>
                <w:sz w:val="24"/>
                <w:highlight w:val="none"/>
              </w:rPr>
              <w:t>-0</w:t>
            </w:r>
          </w:p>
        </w:tc>
      </w:tr>
      <w:tr w14:paraId="1F2360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49" w:hRule="atLeast"/>
        </w:trPr>
        <w:tc>
          <w:tcPr>
            <w:tcW w:w="709" w:type="dxa"/>
            <w:vMerge w:val="continue"/>
            <w:noWrap w:val="0"/>
            <w:vAlign w:val="center"/>
          </w:tcPr>
          <w:p w14:paraId="29BA9F71">
            <w:pPr>
              <w:autoSpaceDE w:val="0"/>
              <w:autoSpaceDN w:val="0"/>
              <w:adjustRightInd w:val="0"/>
              <w:rPr>
                <w:rFonts w:ascii="宋体" w:hAnsi="宋体" w:cs="宋体"/>
                <w:bCs/>
                <w:color w:val="auto"/>
                <w:sz w:val="24"/>
                <w:highlight w:val="none"/>
                <w:lang w:val="zh-CN"/>
              </w:rPr>
            </w:pPr>
          </w:p>
        </w:tc>
        <w:tc>
          <w:tcPr>
            <w:tcW w:w="567" w:type="dxa"/>
            <w:vMerge w:val="continue"/>
            <w:noWrap w:val="0"/>
            <w:vAlign w:val="center"/>
          </w:tcPr>
          <w:p w14:paraId="406633F4">
            <w:pPr>
              <w:autoSpaceDE w:val="0"/>
              <w:autoSpaceDN w:val="0"/>
              <w:adjustRightInd w:val="0"/>
              <w:rPr>
                <w:rFonts w:ascii="宋体" w:hAnsi="宋体" w:cs="宋体"/>
                <w:bCs/>
                <w:color w:val="auto"/>
                <w:sz w:val="24"/>
                <w:highlight w:val="none"/>
                <w:lang w:val="zh-CN"/>
              </w:rPr>
            </w:pPr>
          </w:p>
        </w:tc>
        <w:tc>
          <w:tcPr>
            <w:tcW w:w="2410" w:type="dxa"/>
            <w:noWrap w:val="0"/>
            <w:vAlign w:val="center"/>
          </w:tcPr>
          <w:p w14:paraId="51679FB0">
            <w:pPr>
              <w:jc w:val="center"/>
              <w:rPr>
                <w:rFonts w:ascii="宋体" w:hAnsi="宋体" w:cs="宋体"/>
                <w:color w:val="auto"/>
                <w:sz w:val="24"/>
                <w:highlight w:val="none"/>
              </w:rPr>
            </w:pPr>
            <w:r>
              <w:rPr>
                <w:rFonts w:hint="eastAsia" w:ascii="宋体" w:hAnsi="宋体" w:cs="宋体"/>
                <w:color w:val="auto"/>
                <w:sz w:val="24"/>
                <w:highlight w:val="none"/>
              </w:rPr>
              <w:t>技术负责人业绩</w:t>
            </w:r>
          </w:p>
        </w:tc>
        <w:tc>
          <w:tcPr>
            <w:tcW w:w="4253" w:type="dxa"/>
            <w:noWrap w:val="0"/>
            <w:vAlign w:val="center"/>
          </w:tcPr>
          <w:p w14:paraId="38E1C2CE">
            <w:pPr>
              <w:autoSpaceDE w:val="0"/>
              <w:autoSpaceDN w:val="0"/>
              <w:adjustRightInd w:val="0"/>
              <w:jc w:val="left"/>
              <w:rPr>
                <w:rFonts w:ascii="宋体" w:hAnsi="宋体" w:cs="宋体"/>
                <w:bCs/>
                <w:color w:val="auto"/>
                <w:sz w:val="24"/>
                <w:highlight w:val="none"/>
                <w:lang w:val="zh-CN"/>
              </w:rPr>
            </w:pPr>
            <w:r>
              <w:rPr>
                <w:rFonts w:hint="eastAsia" w:ascii="宋体" w:hAnsi="宋体" w:cs="宋体"/>
                <w:color w:val="auto"/>
                <w:sz w:val="24"/>
                <w:highlight w:val="none"/>
              </w:rPr>
              <w:t>技术负责</w:t>
            </w:r>
            <w:r>
              <w:rPr>
                <w:rFonts w:hint="eastAsia" w:ascii="宋体" w:hAnsi="宋体" w:cs="宋体"/>
                <w:bCs/>
                <w:color w:val="auto"/>
                <w:sz w:val="24"/>
                <w:highlight w:val="none"/>
                <w:lang w:val="zh-CN"/>
              </w:rPr>
              <w:t>近三年（202</w:t>
            </w:r>
            <w:r>
              <w:rPr>
                <w:rFonts w:hint="eastAsia" w:ascii="宋体" w:hAnsi="宋体" w:cs="宋体"/>
                <w:bCs/>
                <w:color w:val="auto"/>
                <w:sz w:val="24"/>
                <w:highlight w:val="none"/>
                <w:lang w:val="en-US" w:eastAsia="zh-CN"/>
              </w:rPr>
              <w:t>2</w:t>
            </w:r>
            <w:r>
              <w:rPr>
                <w:rFonts w:hint="eastAsia" w:ascii="宋体" w:hAnsi="宋体" w:cs="宋体"/>
                <w:bCs/>
                <w:color w:val="auto"/>
                <w:sz w:val="24"/>
                <w:highlight w:val="none"/>
                <w:lang w:val="zh-CN"/>
              </w:rPr>
              <w:t>年-至今）每有一项业绩加1分最多加至</w:t>
            </w:r>
            <w:r>
              <w:rPr>
                <w:rFonts w:hint="eastAsia" w:ascii="宋体" w:hAnsi="宋体" w:cs="宋体"/>
                <w:bCs/>
                <w:color w:val="auto"/>
                <w:sz w:val="24"/>
                <w:highlight w:val="none"/>
              </w:rPr>
              <w:t>2</w:t>
            </w:r>
            <w:r>
              <w:rPr>
                <w:rFonts w:hint="eastAsia" w:ascii="宋体" w:hAnsi="宋体" w:cs="宋体"/>
                <w:bCs/>
                <w:color w:val="auto"/>
                <w:sz w:val="24"/>
                <w:highlight w:val="none"/>
                <w:lang w:val="zh-CN"/>
              </w:rPr>
              <w:t>分。{</w:t>
            </w:r>
            <w:r>
              <w:rPr>
                <w:rFonts w:hint="eastAsia" w:ascii="宋体" w:hAnsi="宋体" w:cs="宋体"/>
                <w:bCs/>
                <w:color w:val="auto"/>
                <w:sz w:val="24"/>
                <w:highlight w:val="none"/>
                <w:lang w:eastAsia="zh-CN"/>
              </w:rPr>
              <w:t>标书内附中标通知书、合同协议书以及竣工验收或投入使用验收或合同工程完工验收资料</w:t>
            </w:r>
            <w:r>
              <w:rPr>
                <w:rFonts w:hint="eastAsia" w:ascii="宋体" w:hAnsi="宋体" w:cs="宋体"/>
                <w:bCs/>
                <w:color w:val="auto"/>
                <w:sz w:val="24"/>
                <w:highlight w:val="none"/>
                <w:lang w:val="zh-CN"/>
              </w:rPr>
              <w:t>，需体现技术负责人名字（可由业主出具相关证明资料）}</w:t>
            </w:r>
          </w:p>
        </w:tc>
        <w:tc>
          <w:tcPr>
            <w:tcW w:w="1559" w:type="dxa"/>
            <w:noWrap w:val="0"/>
            <w:vAlign w:val="center"/>
          </w:tcPr>
          <w:p w14:paraId="39638A98">
            <w:pPr>
              <w:autoSpaceDE w:val="0"/>
              <w:autoSpaceDN w:val="0"/>
              <w:adjustRightInd w:val="0"/>
              <w:jc w:val="center"/>
              <w:rPr>
                <w:rFonts w:ascii="宋体" w:hAnsi="宋体" w:cs="宋体"/>
                <w:bCs/>
                <w:color w:val="auto"/>
                <w:sz w:val="24"/>
                <w:highlight w:val="none"/>
              </w:rPr>
            </w:pPr>
            <w:r>
              <w:rPr>
                <w:rFonts w:hint="eastAsia" w:ascii="宋体" w:hAnsi="宋体" w:cs="宋体"/>
                <w:bCs/>
                <w:color w:val="auto"/>
                <w:sz w:val="24"/>
                <w:highlight w:val="none"/>
              </w:rPr>
              <w:t>2-0</w:t>
            </w:r>
          </w:p>
        </w:tc>
      </w:tr>
      <w:tr w14:paraId="5CB035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39" w:hRule="atLeast"/>
        </w:trPr>
        <w:tc>
          <w:tcPr>
            <w:tcW w:w="709" w:type="dxa"/>
            <w:vMerge w:val="continue"/>
            <w:noWrap w:val="0"/>
            <w:vAlign w:val="center"/>
          </w:tcPr>
          <w:p w14:paraId="44521DD0">
            <w:pPr>
              <w:autoSpaceDE w:val="0"/>
              <w:autoSpaceDN w:val="0"/>
              <w:adjustRightInd w:val="0"/>
              <w:rPr>
                <w:rFonts w:ascii="宋体" w:hAnsi="宋体" w:cs="宋体"/>
                <w:bCs/>
                <w:color w:val="auto"/>
                <w:sz w:val="24"/>
                <w:highlight w:val="none"/>
                <w:lang w:val="zh-CN"/>
              </w:rPr>
            </w:pPr>
          </w:p>
        </w:tc>
        <w:tc>
          <w:tcPr>
            <w:tcW w:w="567" w:type="dxa"/>
            <w:vMerge w:val="continue"/>
            <w:noWrap w:val="0"/>
            <w:vAlign w:val="center"/>
          </w:tcPr>
          <w:p w14:paraId="59FE2E5C">
            <w:pPr>
              <w:autoSpaceDE w:val="0"/>
              <w:autoSpaceDN w:val="0"/>
              <w:adjustRightInd w:val="0"/>
              <w:rPr>
                <w:rFonts w:ascii="宋体" w:hAnsi="宋体" w:cs="宋体"/>
                <w:bCs/>
                <w:color w:val="auto"/>
                <w:sz w:val="24"/>
                <w:highlight w:val="none"/>
                <w:lang w:val="zh-CN"/>
              </w:rPr>
            </w:pPr>
          </w:p>
        </w:tc>
        <w:tc>
          <w:tcPr>
            <w:tcW w:w="2410" w:type="dxa"/>
            <w:noWrap w:val="0"/>
            <w:vAlign w:val="center"/>
          </w:tcPr>
          <w:p w14:paraId="191E1CF0">
            <w:pPr>
              <w:jc w:val="center"/>
              <w:rPr>
                <w:rFonts w:ascii="宋体" w:hAnsi="宋体" w:cs="宋体"/>
                <w:color w:val="auto"/>
                <w:sz w:val="24"/>
                <w:highlight w:val="none"/>
              </w:rPr>
            </w:pPr>
            <w:r>
              <w:rPr>
                <w:rFonts w:hint="eastAsia" w:ascii="宋体" w:hAnsi="宋体" w:cs="宋体"/>
                <w:bCs/>
                <w:color w:val="auto"/>
                <w:spacing w:val="-6"/>
                <w:sz w:val="24"/>
                <w:highlight w:val="none"/>
              </w:rPr>
              <w:t>项目管理团队配置</w:t>
            </w:r>
          </w:p>
        </w:tc>
        <w:tc>
          <w:tcPr>
            <w:tcW w:w="4253" w:type="dxa"/>
            <w:noWrap w:val="0"/>
            <w:vAlign w:val="center"/>
          </w:tcPr>
          <w:p w14:paraId="1E884C9B">
            <w:pPr>
              <w:jc w:val="left"/>
              <w:rPr>
                <w:rFonts w:ascii="宋体" w:hAnsi="宋体" w:cs="宋体"/>
                <w:bCs/>
                <w:color w:val="auto"/>
                <w:sz w:val="24"/>
                <w:highlight w:val="none"/>
                <w:lang w:val="zh-CN"/>
              </w:rPr>
            </w:pPr>
            <w:r>
              <w:rPr>
                <w:rFonts w:hint="eastAsia" w:ascii="宋体" w:hAnsi="宋体" w:cs="宋体"/>
                <w:bCs/>
                <w:color w:val="auto"/>
                <w:sz w:val="24"/>
                <w:highlight w:val="none"/>
                <w:lang w:val="zh-CN"/>
              </w:rPr>
              <w:t>项目管理团队配备的专业技术人员（项目经理、技术负责人、质量检验、安全、财务人员为必须配备人员）要具有相应的职称证书或岗位证书。满足施工要求</w:t>
            </w:r>
            <w:r>
              <w:rPr>
                <w:rFonts w:hint="eastAsia" w:ascii="宋体" w:hAnsi="宋体" w:cs="宋体"/>
                <w:bCs/>
                <w:color w:val="auto"/>
                <w:sz w:val="24"/>
                <w:highlight w:val="none"/>
              </w:rPr>
              <w:t>优者得</w:t>
            </w:r>
            <w:r>
              <w:rPr>
                <w:rFonts w:hint="eastAsia" w:ascii="宋体" w:hAnsi="宋体" w:cs="宋体"/>
                <w:bCs/>
                <w:color w:val="auto"/>
                <w:sz w:val="24"/>
                <w:highlight w:val="none"/>
                <w:lang w:val="en-US" w:eastAsia="zh-CN"/>
              </w:rPr>
              <w:t>3</w:t>
            </w:r>
            <w:r>
              <w:rPr>
                <w:rFonts w:hint="eastAsia" w:ascii="宋体" w:hAnsi="宋体" w:cs="宋体"/>
                <w:bCs/>
                <w:color w:val="auto"/>
                <w:sz w:val="24"/>
                <w:highlight w:val="none"/>
              </w:rPr>
              <w:t>分，良者得2分，一般者得1分</w:t>
            </w:r>
          </w:p>
        </w:tc>
        <w:tc>
          <w:tcPr>
            <w:tcW w:w="1559" w:type="dxa"/>
            <w:noWrap w:val="0"/>
            <w:vAlign w:val="center"/>
          </w:tcPr>
          <w:p w14:paraId="2253F56C">
            <w:pPr>
              <w:autoSpaceDE w:val="0"/>
              <w:autoSpaceDN w:val="0"/>
              <w:adjustRightInd w:val="0"/>
              <w:jc w:val="center"/>
              <w:rPr>
                <w:rFonts w:hint="default" w:ascii="宋体" w:hAnsi="宋体" w:eastAsia="宋体" w:cs="宋体"/>
                <w:bCs/>
                <w:color w:val="auto"/>
                <w:sz w:val="24"/>
                <w:highlight w:val="none"/>
                <w:lang w:val="en-US" w:eastAsia="zh-CN"/>
              </w:rPr>
            </w:pPr>
            <w:r>
              <w:rPr>
                <w:rFonts w:hint="eastAsia" w:ascii="宋体" w:hAnsi="宋体" w:cs="宋体"/>
                <w:bCs/>
                <w:color w:val="auto"/>
                <w:sz w:val="24"/>
                <w:highlight w:val="none"/>
                <w:lang w:val="en-US" w:eastAsia="zh-CN"/>
              </w:rPr>
              <w:t>3-0</w:t>
            </w:r>
          </w:p>
        </w:tc>
      </w:tr>
      <w:tr w14:paraId="2C046D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94" w:hRule="atLeast"/>
        </w:trPr>
        <w:tc>
          <w:tcPr>
            <w:tcW w:w="709" w:type="dxa"/>
            <w:noWrap w:val="0"/>
            <w:vAlign w:val="center"/>
          </w:tcPr>
          <w:p w14:paraId="74334C62">
            <w:pPr>
              <w:autoSpaceDE w:val="0"/>
              <w:autoSpaceDN w:val="0"/>
              <w:adjustRightInd w:val="0"/>
              <w:rPr>
                <w:rFonts w:ascii="宋体" w:hAnsi="宋体" w:cs="宋体"/>
                <w:bCs/>
                <w:color w:val="auto"/>
                <w:sz w:val="24"/>
                <w:highlight w:val="none"/>
                <w:lang w:val="zh-CN"/>
              </w:rPr>
            </w:pPr>
            <w:r>
              <w:rPr>
                <w:rFonts w:ascii="宋体" w:hAnsi="宋体" w:cs="宋体"/>
                <w:bCs/>
                <w:color w:val="auto"/>
                <w:sz w:val="24"/>
                <w:highlight w:val="none"/>
                <w:lang w:val="zh-CN"/>
              </w:rPr>
              <w:t>2.</w:t>
            </w:r>
            <w:r>
              <w:rPr>
                <w:rFonts w:hint="eastAsia" w:ascii="宋体" w:hAnsi="宋体" w:cs="宋体"/>
                <w:bCs/>
                <w:color w:val="auto"/>
                <w:sz w:val="24"/>
                <w:highlight w:val="none"/>
                <w:lang w:val="zh-CN"/>
              </w:rPr>
              <w:t>1.4（3）</w:t>
            </w:r>
          </w:p>
        </w:tc>
        <w:tc>
          <w:tcPr>
            <w:tcW w:w="567" w:type="dxa"/>
            <w:noWrap w:val="0"/>
            <w:vAlign w:val="center"/>
          </w:tcPr>
          <w:p w14:paraId="00D592B7">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投</w:t>
            </w:r>
          </w:p>
          <w:p w14:paraId="7FC458CF">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标</w:t>
            </w:r>
          </w:p>
          <w:p w14:paraId="60AE365F">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报</w:t>
            </w:r>
          </w:p>
          <w:p w14:paraId="0B5FE567">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价</w:t>
            </w:r>
          </w:p>
        </w:tc>
        <w:tc>
          <w:tcPr>
            <w:tcW w:w="2410" w:type="dxa"/>
            <w:noWrap w:val="0"/>
            <w:vAlign w:val="center"/>
          </w:tcPr>
          <w:p w14:paraId="1CB8A3A7">
            <w:pPr>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投标报价得分</w:t>
            </w:r>
          </w:p>
        </w:tc>
        <w:tc>
          <w:tcPr>
            <w:tcW w:w="4253" w:type="dxa"/>
            <w:noWrap w:val="0"/>
            <w:vAlign w:val="center"/>
          </w:tcPr>
          <w:p w14:paraId="29A5E6B8">
            <w:pPr>
              <w:rPr>
                <w:rFonts w:hint="eastAsia" w:ascii="宋体" w:hAnsi="宋体"/>
                <w:bCs/>
                <w:color w:val="auto"/>
                <w:spacing w:val="-6"/>
                <w:sz w:val="24"/>
                <w:highlight w:val="none"/>
              </w:rPr>
            </w:pPr>
            <w:r>
              <w:rPr>
                <w:rFonts w:hint="eastAsia" w:ascii="宋体" w:hAnsi="宋体"/>
                <w:bCs/>
                <w:color w:val="auto"/>
                <w:spacing w:val="-6"/>
                <w:sz w:val="24"/>
                <w:highlight w:val="none"/>
              </w:rPr>
              <w:t>以所有有效最后磋商报价中最低报价为磋商基准价，其报价得分为</w:t>
            </w:r>
            <w:r>
              <w:rPr>
                <w:rFonts w:hint="eastAsia" w:ascii="宋体" w:hAnsi="宋体"/>
                <w:bCs/>
                <w:color w:val="auto"/>
                <w:spacing w:val="-6"/>
                <w:sz w:val="24"/>
                <w:highlight w:val="none"/>
                <w:lang w:val="en-US" w:eastAsia="zh-CN"/>
              </w:rPr>
              <w:t>3</w:t>
            </w:r>
            <w:r>
              <w:rPr>
                <w:rFonts w:hint="eastAsia" w:ascii="宋体" w:hAnsi="宋体"/>
                <w:bCs/>
                <w:color w:val="auto"/>
                <w:spacing w:val="-6"/>
                <w:sz w:val="24"/>
                <w:highlight w:val="none"/>
              </w:rPr>
              <w:t>0分，其他合格投标人的磋商报价得分按照下列公式计算：磋商报价得分＝（磋商基准价/最后磋商报价）×价格权值（0.</w:t>
            </w:r>
            <w:r>
              <w:rPr>
                <w:rFonts w:hint="eastAsia" w:ascii="宋体" w:hAnsi="宋体"/>
                <w:bCs/>
                <w:color w:val="auto"/>
                <w:spacing w:val="-6"/>
                <w:sz w:val="24"/>
                <w:highlight w:val="none"/>
                <w:lang w:val="en-US" w:eastAsia="zh-CN"/>
              </w:rPr>
              <w:t>3</w:t>
            </w:r>
            <w:r>
              <w:rPr>
                <w:rFonts w:hint="eastAsia" w:ascii="宋体" w:hAnsi="宋体"/>
                <w:bCs/>
                <w:color w:val="auto"/>
                <w:spacing w:val="-6"/>
                <w:sz w:val="24"/>
                <w:highlight w:val="none"/>
              </w:rPr>
              <w:t>）×100。</w:t>
            </w:r>
          </w:p>
          <w:p w14:paraId="098DB748">
            <w:pPr>
              <w:autoSpaceDE w:val="0"/>
              <w:autoSpaceDN w:val="0"/>
              <w:adjustRightInd w:val="0"/>
              <w:rPr>
                <w:rFonts w:ascii="宋体" w:hAnsi="宋体" w:cs="宋体"/>
                <w:bCs/>
                <w:color w:val="auto"/>
                <w:sz w:val="24"/>
                <w:highlight w:val="none"/>
                <w:lang w:val="zh-CN"/>
              </w:rPr>
            </w:pPr>
            <w:r>
              <w:rPr>
                <w:rFonts w:hint="eastAsia" w:ascii="宋体" w:hAnsi="宋体"/>
                <w:bCs/>
                <w:color w:val="auto"/>
                <w:spacing w:val="-6"/>
                <w:sz w:val="24"/>
                <w:highlight w:val="none"/>
                <w:lang w:eastAsia="zh-CN"/>
              </w:rPr>
              <w:t>（</w:t>
            </w:r>
            <w:r>
              <w:rPr>
                <w:rFonts w:hint="eastAsia" w:ascii="宋体" w:hAnsi="宋体"/>
                <w:bCs/>
                <w:color w:val="auto"/>
                <w:spacing w:val="-6"/>
                <w:sz w:val="24"/>
                <w:highlight w:val="none"/>
                <w:lang w:val="en-US" w:eastAsia="zh-CN"/>
              </w:rPr>
              <w:t>最终报价得分保留小数点后两位数字</w:t>
            </w:r>
            <w:r>
              <w:rPr>
                <w:rFonts w:hint="eastAsia" w:ascii="宋体" w:hAnsi="宋体"/>
                <w:bCs/>
                <w:color w:val="auto"/>
                <w:spacing w:val="-6"/>
                <w:sz w:val="24"/>
                <w:highlight w:val="none"/>
                <w:lang w:eastAsia="zh-CN"/>
              </w:rPr>
              <w:t>）</w:t>
            </w:r>
          </w:p>
        </w:tc>
        <w:tc>
          <w:tcPr>
            <w:tcW w:w="1559" w:type="dxa"/>
            <w:noWrap w:val="0"/>
            <w:vAlign w:val="center"/>
          </w:tcPr>
          <w:p w14:paraId="028BB900">
            <w:pPr>
              <w:autoSpaceDE w:val="0"/>
              <w:autoSpaceDN w:val="0"/>
              <w:adjustRightInd w:val="0"/>
              <w:jc w:val="center"/>
              <w:rPr>
                <w:rFonts w:ascii="宋体" w:hAnsi="宋体" w:cs="宋体"/>
                <w:bCs/>
                <w:color w:val="auto"/>
                <w:sz w:val="24"/>
                <w:highlight w:val="none"/>
                <w:lang w:val="zh-CN"/>
              </w:rPr>
            </w:pPr>
            <w:r>
              <w:rPr>
                <w:rFonts w:hint="eastAsia" w:ascii="宋体" w:hAnsi="宋体"/>
                <w:bCs/>
                <w:color w:val="auto"/>
                <w:spacing w:val="-6"/>
                <w:sz w:val="24"/>
                <w:highlight w:val="none"/>
                <w:lang w:val="en-US" w:eastAsia="zh-CN"/>
              </w:rPr>
              <w:t>3</w:t>
            </w:r>
            <w:r>
              <w:rPr>
                <w:rFonts w:hint="eastAsia" w:ascii="宋体" w:hAnsi="宋体"/>
                <w:bCs/>
                <w:color w:val="auto"/>
                <w:spacing w:val="-6"/>
                <w:sz w:val="24"/>
                <w:highlight w:val="none"/>
              </w:rPr>
              <w:t>0-0</w:t>
            </w:r>
          </w:p>
        </w:tc>
      </w:tr>
      <w:tr w14:paraId="33CCE4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90" w:hRule="atLeast"/>
        </w:trPr>
        <w:tc>
          <w:tcPr>
            <w:tcW w:w="709" w:type="dxa"/>
            <w:vMerge w:val="restart"/>
            <w:noWrap w:val="0"/>
            <w:vAlign w:val="center"/>
          </w:tcPr>
          <w:p w14:paraId="19206951">
            <w:pPr>
              <w:autoSpaceDE w:val="0"/>
              <w:autoSpaceDN w:val="0"/>
              <w:adjustRightInd w:val="0"/>
              <w:rPr>
                <w:rFonts w:ascii="宋体" w:hAnsi="宋体" w:cs="宋体"/>
                <w:bCs/>
                <w:color w:val="auto"/>
                <w:sz w:val="24"/>
                <w:highlight w:val="none"/>
                <w:lang w:val="zh-CN"/>
              </w:rPr>
            </w:pPr>
            <w:r>
              <w:rPr>
                <w:rFonts w:ascii="宋体" w:hAnsi="宋体" w:cs="宋体"/>
                <w:bCs/>
                <w:color w:val="auto"/>
                <w:sz w:val="24"/>
                <w:highlight w:val="none"/>
                <w:lang w:val="zh-CN"/>
              </w:rPr>
              <w:t>2.</w:t>
            </w:r>
            <w:r>
              <w:rPr>
                <w:rFonts w:hint="eastAsia" w:ascii="宋体" w:hAnsi="宋体" w:cs="宋体"/>
                <w:bCs/>
                <w:color w:val="auto"/>
                <w:sz w:val="24"/>
                <w:highlight w:val="none"/>
                <w:lang w:val="zh-CN"/>
              </w:rPr>
              <w:t>1.4（4）</w:t>
            </w:r>
          </w:p>
        </w:tc>
        <w:tc>
          <w:tcPr>
            <w:tcW w:w="567" w:type="dxa"/>
            <w:vMerge w:val="restart"/>
            <w:noWrap w:val="0"/>
            <w:vAlign w:val="center"/>
          </w:tcPr>
          <w:p w14:paraId="639BD6D0">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其</w:t>
            </w:r>
          </w:p>
          <w:p w14:paraId="10AB6E9A">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他</w:t>
            </w:r>
          </w:p>
          <w:p w14:paraId="49F45C78">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因</w:t>
            </w:r>
          </w:p>
          <w:p w14:paraId="419A005E">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素</w:t>
            </w:r>
          </w:p>
        </w:tc>
        <w:tc>
          <w:tcPr>
            <w:tcW w:w="2410" w:type="dxa"/>
            <w:noWrap w:val="0"/>
            <w:vAlign w:val="center"/>
          </w:tcPr>
          <w:p w14:paraId="646CEFA0">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pacing w:val="-6"/>
                <w:sz w:val="24"/>
                <w:highlight w:val="none"/>
              </w:rPr>
              <w:t>保修服务</w:t>
            </w:r>
          </w:p>
        </w:tc>
        <w:tc>
          <w:tcPr>
            <w:tcW w:w="4253" w:type="dxa"/>
            <w:noWrap w:val="0"/>
            <w:vAlign w:val="center"/>
          </w:tcPr>
          <w:p w14:paraId="65A97529">
            <w:pPr>
              <w:autoSpaceDE w:val="0"/>
              <w:autoSpaceDN w:val="0"/>
              <w:adjustRightInd w:val="0"/>
              <w:jc w:val="left"/>
              <w:rPr>
                <w:rFonts w:ascii="宋体" w:hAnsi="宋体" w:cs="宋体"/>
                <w:bCs/>
                <w:color w:val="auto"/>
                <w:sz w:val="24"/>
                <w:highlight w:val="none"/>
                <w:lang w:val="zh-CN"/>
              </w:rPr>
            </w:pPr>
            <w:r>
              <w:rPr>
                <w:rFonts w:hint="eastAsia" w:ascii="宋体" w:hAnsi="宋体" w:cs="宋体"/>
                <w:bCs/>
                <w:color w:val="auto"/>
                <w:sz w:val="24"/>
                <w:highlight w:val="none"/>
                <w:lang w:val="zh-CN"/>
              </w:rPr>
              <w:t>有实质性保修承诺，每有一项得</w:t>
            </w:r>
            <w:r>
              <w:rPr>
                <w:rFonts w:hint="eastAsia" w:ascii="宋体" w:hAnsi="宋体" w:cs="宋体"/>
                <w:bCs/>
                <w:color w:val="auto"/>
                <w:sz w:val="24"/>
                <w:highlight w:val="none"/>
                <w:lang w:val="en-US" w:eastAsia="zh-CN"/>
              </w:rPr>
              <w:t>1</w:t>
            </w:r>
            <w:r>
              <w:rPr>
                <w:rFonts w:hint="eastAsia" w:ascii="宋体" w:hAnsi="宋体" w:cs="宋体"/>
                <w:bCs/>
                <w:color w:val="auto"/>
                <w:sz w:val="24"/>
                <w:highlight w:val="none"/>
              </w:rPr>
              <w:t>分，最多得</w:t>
            </w:r>
            <w:r>
              <w:rPr>
                <w:rFonts w:hint="eastAsia" w:ascii="宋体" w:hAnsi="宋体" w:cs="宋体"/>
                <w:bCs/>
                <w:color w:val="auto"/>
                <w:sz w:val="24"/>
                <w:highlight w:val="none"/>
                <w:lang w:val="en-US" w:eastAsia="zh-CN"/>
              </w:rPr>
              <w:t>5</w:t>
            </w:r>
            <w:r>
              <w:rPr>
                <w:rFonts w:hint="eastAsia" w:ascii="宋体" w:hAnsi="宋体" w:cs="宋体"/>
                <w:bCs/>
                <w:color w:val="auto"/>
                <w:sz w:val="24"/>
                <w:highlight w:val="none"/>
              </w:rPr>
              <w:t>分。</w:t>
            </w:r>
          </w:p>
        </w:tc>
        <w:tc>
          <w:tcPr>
            <w:tcW w:w="1559" w:type="dxa"/>
            <w:noWrap w:val="0"/>
            <w:vAlign w:val="center"/>
          </w:tcPr>
          <w:p w14:paraId="4DBE32B1">
            <w:pPr>
              <w:autoSpaceDE w:val="0"/>
              <w:autoSpaceDN w:val="0"/>
              <w:adjustRightInd w:val="0"/>
              <w:jc w:val="center"/>
              <w:rPr>
                <w:rFonts w:ascii="宋体" w:hAnsi="宋体" w:cs="宋体"/>
                <w:bCs/>
                <w:color w:val="auto"/>
                <w:sz w:val="24"/>
                <w:highlight w:val="none"/>
              </w:rPr>
            </w:pPr>
            <w:r>
              <w:rPr>
                <w:rFonts w:hint="eastAsia" w:ascii="宋体" w:hAnsi="宋体" w:cs="宋体"/>
                <w:bCs/>
                <w:color w:val="auto"/>
                <w:sz w:val="24"/>
                <w:highlight w:val="none"/>
              </w:rPr>
              <w:t>5</w:t>
            </w:r>
            <w:r>
              <w:rPr>
                <w:rFonts w:hint="eastAsia" w:ascii="宋体" w:hAnsi="宋体"/>
                <w:bCs/>
                <w:color w:val="auto"/>
                <w:spacing w:val="-6"/>
                <w:sz w:val="24"/>
                <w:highlight w:val="none"/>
              </w:rPr>
              <w:t>-0</w:t>
            </w:r>
          </w:p>
        </w:tc>
      </w:tr>
      <w:tr w14:paraId="23B951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90" w:hRule="atLeast"/>
        </w:trPr>
        <w:tc>
          <w:tcPr>
            <w:tcW w:w="709" w:type="dxa"/>
            <w:vMerge w:val="continue"/>
            <w:noWrap w:val="0"/>
            <w:vAlign w:val="center"/>
          </w:tcPr>
          <w:p w14:paraId="15F7266B">
            <w:pPr>
              <w:autoSpaceDE w:val="0"/>
              <w:autoSpaceDN w:val="0"/>
              <w:adjustRightInd w:val="0"/>
              <w:rPr>
                <w:rFonts w:ascii="宋体" w:hAnsi="宋体" w:cs="宋体"/>
                <w:bCs/>
                <w:color w:val="auto"/>
                <w:sz w:val="24"/>
                <w:highlight w:val="none"/>
                <w:lang w:val="zh-CN"/>
              </w:rPr>
            </w:pPr>
          </w:p>
        </w:tc>
        <w:tc>
          <w:tcPr>
            <w:tcW w:w="567" w:type="dxa"/>
            <w:vMerge w:val="continue"/>
            <w:noWrap w:val="0"/>
            <w:vAlign w:val="center"/>
          </w:tcPr>
          <w:p w14:paraId="57145980">
            <w:pPr>
              <w:autoSpaceDE w:val="0"/>
              <w:autoSpaceDN w:val="0"/>
              <w:adjustRightInd w:val="0"/>
              <w:rPr>
                <w:rFonts w:ascii="宋体" w:hAnsi="宋体" w:cs="宋体"/>
                <w:bCs/>
                <w:color w:val="auto"/>
                <w:sz w:val="24"/>
                <w:highlight w:val="none"/>
                <w:lang w:val="zh-CN"/>
              </w:rPr>
            </w:pPr>
          </w:p>
        </w:tc>
        <w:tc>
          <w:tcPr>
            <w:tcW w:w="2410" w:type="dxa"/>
            <w:noWrap w:val="0"/>
            <w:vAlign w:val="center"/>
          </w:tcPr>
          <w:p w14:paraId="676558DD">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pacing w:val="-6"/>
                <w:sz w:val="24"/>
                <w:highlight w:val="none"/>
              </w:rPr>
              <w:t>优惠条件</w:t>
            </w:r>
          </w:p>
        </w:tc>
        <w:tc>
          <w:tcPr>
            <w:tcW w:w="4253" w:type="dxa"/>
            <w:noWrap w:val="0"/>
            <w:vAlign w:val="center"/>
          </w:tcPr>
          <w:p w14:paraId="7050C1EA">
            <w:pPr>
              <w:autoSpaceDE w:val="0"/>
              <w:autoSpaceDN w:val="0"/>
              <w:adjustRightInd w:val="0"/>
              <w:jc w:val="left"/>
              <w:rPr>
                <w:rFonts w:ascii="宋体" w:hAnsi="宋体" w:cs="宋体"/>
                <w:bCs/>
                <w:color w:val="auto"/>
                <w:sz w:val="24"/>
                <w:highlight w:val="none"/>
                <w:lang w:val="zh-CN"/>
              </w:rPr>
            </w:pPr>
            <w:r>
              <w:rPr>
                <w:rFonts w:hint="eastAsia" w:ascii="宋体" w:hAnsi="宋体" w:cs="宋体"/>
                <w:bCs/>
                <w:color w:val="auto"/>
                <w:sz w:val="24"/>
                <w:highlight w:val="none"/>
                <w:lang w:val="zh-CN"/>
              </w:rPr>
              <w:t>每有一项实质性优惠条件，加</w:t>
            </w:r>
            <w:r>
              <w:rPr>
                <w:rFonts w:hint="eastAsia" w:ascii="宋体" w:hAnsi="宋体" w:cs="宋体"/>
                <w:bCs/>
                <w:color w:val="auto"/>
                <w:sz w:val="24"/>
                <w:highlight w:val="none"/>
                <w:lang w:val="en-US" w:eastAsia="zh-CN"/>
              </w:rPr>
              <w:t>1</w:t>
            </w:r>
            <w:r>
              <w:rPr>
                <w:rFonts w:hint="eastAsia" w:ascii="宋体" w:hAnsi="宋体" w:cs="宋体"/>
                <w:bCs/>
                <w:color w:val="auto"/>
                <w:sz w:val="24"/>
                <w:highlight w:val="none"/>
                <w:lang w:val="zh-CN"/>
              </w:rPr>
              <w:t>分，最多得</w:t>
            </w:r>
            <w:r>
              <w:rPr>
                <w:rFonts w:hint="eastAsia" w:ascii="宋体" w:hAnsi="宋体" w:cs="宋体"/>
                <w:bCs/>
                <w:color w:val="auto"/>
                <w:sz w:val="24"/>
                <w:highlight w:val="none"/>
                <w:lang w:val="en-US" w:eastAsia="zh-CN"/>
              </w:rPr>
              <w:t>5</w:t>
            </w:r>
            <w:r>
              <w:rPr>
                <w:rFonts w:hint="eastAsia" w:ascii="宋体" w:hAnsi="宋体" w:cs="宋体"/>
                <w:bCs/>
                <w:color w:val="auto"/>
                <w:sz w:val="24"/>
                <w:highlight w:val="none"/>
              </w:rPr>
              <w:t>分</w:t>
            </w:r>
            <w:r>
              <w:rPr>
                <w:rFonts w:hint="eastAsia" w:ascii="宋体" w:hAnsi="宋体" w:cs="宋体"/>
                <w:bCs/>
                <w:color w:val="auto"/>
                <w:sz w:val="24"/>
                <w:highlight w:val="none"/>
                <w:lang w:val="zh-CN"/>
              </w:rPr>
              <w:t>。</w:t>
            </w:r>
          </w:p>
        </w:tc>
        <w:tc>
          <w:tcPr>
            <w:tcW w:w="1559" w:type="dxa"/>
            <w:noWrap w:val="0"/>
            <w:vAlign w:val="center"/>
          </w:tcPr>
          <w:p w14:paraId="2147FD59">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rPr>
              <w:t>5</w:t>
            </w:r>
            <w:r>
              <w:rPr>
                <w:rFonts w:hint="eastAsia" w:ascii="宋体" w:hAnsi="宋体"/>
                <w:bCs/>
                <w:color w:val="auto"/>
                <w:spacing w:val="-6"/>
                <w:sz w:val="24"/>
                <w:highlight w:val="none"/>
              </w:rPr>
              <w:t>-0</w:t>
            </w:r>
          </w:p>
        </w:tc>
      </w:tr>
      <w:tr w14:paraId="0F0303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31" w:hRule="atLeast"/>
        </w:trPr>
        <w:tc>
          <w:tcPr>
            <w:tcW w:w="709" w:type="dxa"/>
            <w:vMerge w:val="continue"/>
            <w:noWrap w:val="0"/>
            <w:vAlign w:val="center"/>
          </w:tcPr>
          <w:p w14:paraId="23B376AB">
            <w:pPr>
              <w:autoSpaceDE w:val="0"/>
              <w:autoSpaceDN w:val="0"/>
              <w:adjustRightInd w:val="0"/>
              <w:rPr>
                <w:rFonts w:ascii="宋体" w:hAnsi="宋体" w:cs="宋体"/>
                <w:bCs/>
                <w:color w:val="auto"/>
                <w:sz w:val="24"/>
                <w:highlight w:val="none"/>
                <w:lang w:val="zh-CN"/>
              </w:rPr>
            </w:pPr>
          </w:p>
        </w:tc>
        <w:tc>
          <w:tcPr>
            <w:tcW w:w="567" w:type="dxa"/>
            <w:vMerge w:val="continue"/>
            <w:noWrap w:val="0"/>
            <w:vAlign w:val="center"/>
          </w:tcPr>
          <w:p w14:paraId="3ADC45C0">
            <w:pPr>
              <w:autoSpaceDE w:val="0"/>
              <w:autoSpaceDN w:val="0"/>
              <w:adjustRightInd w:val="0"/>
              <w:rPr>
                <w:rFonts w:ascii="宋体" w:hAnsi="宋体" w:cs="宋体"/>
                <w:bCs/>
                <w:color w:val="auto"/>
                <w:sz w:val="24"/>
                <w:highlight w:val="none"/>
                <w:lang w:val="zh-CN"/>
              </w:rPr>
            </w:pPr>
          </w:p>
        </w:tc>
        <w:tc>
          <w:tcPr>
            <w:tcW w:w="2410" w:type="dxa"/>
            <w:noWrap w:val="0"/>
            <w:vAlign w:val="center"/>
          </w:tcPr>
          <w:p w14:paraId="06339BE8">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类似工程经验</w:t>
            </w:r>
          </w:p>
        </w:tc>
        <w:tc>
          <w:tcPr>
            <w:tcW w:w="4253" w:type="dxa"/>
            <w:noWrap w:val="0"/>
            <w:vAlign w:val="center"/>
          </w:tcPr>
          <w:p w14:paraId="67D59ECC">
            <w:pPr>
              <w:widowControl/>
              <w:jc w:val="left"/>
              <w:textAlignment w:val="center"/>
              <w:rPr>
                <w:rFonts w:ascii="宋体" w:hAnsi="宋体" w:cs="宋体"/>
                <w:bCs/>
                <w:color w:val="auto"/>
                <w:sz w:val="24"/>
                <w:highlight w:val="none"/>
                <w:lang w:val="zh-CN"/>
              </w:rPr>
            </w:pPr>
            <w:r>
              <w:rPr>
                <w:rFonts w:hint="eastAsia" w:ascii="宋体" w:hAnsi="宋体" w:cs="宋体"/>
                <w:color w:val="auto"/>
                <w:kern w:val="0"/>
                <w:sz w:val="24"/>
                <w:highlight w:val="none"/>
              </w:rPr>
              <w:t>近三年（202</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rPr>
              <w:t>年-至今）每</w:t>
            </w:r>
            <w:r>
              <w:rPr>
                <w:rFonts w:hint="eastAsia" w:ascii="宋体" w:hAnsi="宋体" w:cs="宋体"/>
                <w:color w:val="auto"/>
                <w:kern w:val="0"/>
                <w:sz w:val="24"/>
                <w:highlight w:val="none"/>
                <w:lang w:eastAsia="zh-CN"/>
              </w:rPr>
              <w:t>有</w:t>
            </w:r>
            <w:r>
              <w:rPr>
                <w:rFonts w:hint="eastAsia" w:ascii="宋体" w:hAnsi="宋体" w:cs="宋体"/>
                <w:color w:val="auto"/>
                <w:kern w:val="0"/>
                <w:sz w:val="24"/>
                <w:highlight w:val="none"/>
              </w:rPr>
              <w:t>一项得</w:t>
            </w:r>
            <w:r>
              <w:rPr>
                <w:rFonts w:hint="eastAsia" w:ascii="宋体" w:hAnsi="宋体" w:cs="宋体"/>
                <w:color w:val="auto"/>
                <w:kern w:val="0"/>
                <w:sz w:val="24"/>
                <w:highlight w:val="none"/>
                <w:lang w:val="en-US" w:eastAsia="zh-CN"/>
              </w:rPr>
              <w:t>3</w:t>
            </w:r>
            <w:r>
              <w:rPr>
                <w:rFonts w:hint="eastAsia" w:ascii="宋体" w:hAnsi="宋体" w:cs="宋体"/>
                <w:color w:val="auto"/>
                <w:kern w:val="0"/>
                <w:sz w:val="24"/>
                <w:highlight w:val="none"/>
              </w:rPr>
              <w:t>分，最多得</w:t>
            </w:r>
            <w:r>
              <w:rPr>
                <w:rFonts w:hint="eastAsia" w:ascii="宋体" w:hAnsi="宋体" w:cs="宋体"/>
                <w:color w:val="auto"/>
                <w:kern w:val="0"/>
                <w:sz w:val="24"/>
                <w:highlight w:val="none"/>
                <w:lang w:val="en-US" w:eastAsia="zh-CN"/>
              </w:rPr>
              <w:t>6</w:t>
            </w:r>
            <w:r>
              <w:rPr>
                <w:rFonts w:hint="eastAsia" w:ascii="宋体" w:hAnsi="宋体" w:cs="宋体"/>
                <w:color w:val="auto"/>
                <w:kern w:val="0"/>
                <w:sz w:val="24"/>
                <w:highlight w:val="none"/>
              </w:rPr>
              <w:t>分。{</w:t>
            </w:r>
            <w:r>
              <w:rPr>
                <w:rFonts w:hint="eastAsia" w:ascii="宋体" w:hAnsi="宋体" w:cs="宋体"/>
                <w:bCs/>
                <w:color w:val="auto"/>
                <w:sz w:val="24"/>
                <w:highlight w:val="none"/>
                <w:lang w:eastAsia="zh-CN"/>
              </w:rPr>
              <w:t>标书内附中标通知书、合同协议书以及竣工验收或投入使用验收或合同工程完工验收资料</w:t>
            </w:r>
            <w:r>
              <w:rPr>
                <w:rFonts w:hint="eastAsia" w:ascii="宋体" w:hAnsi="宋体" w:cs="宋体"/>
                <w:bCs/>
                <w:color w:val="auto"/>
                <w:sz w:val="24"/>
                <w:highlight w:val="none"/>
                <w:lang w:val="zh-CN"/>
              </w:rPr>
              <w:t>，可与项目经理的业绩重复</w:t>
            </w:r>
            <w:r>
              <w:rPr>
                <w:rFonts w:hint="eastAsia" w:ascii="宋体" w:hAnsi="宋体" w:cs="宋体"/>
                <w:bCs/>
                <w:color w:val="auto"/>
                <w:sz w:val="24"/>
                <w:highlight w:val="none"/>
              </w:rPr>
              <w:t>}</w:t>
            </w:r>
          </w:p>
        </w:tc>
        <w:tc>
          <w:tcPr>
            <w:tcW w:w="1559" w:type="dxa"/>
            <w:noWrap w:val="0"/>
            <w:vAlign w:val="center"/>
          </w:tcPr>
          <w:p w14:paraId="040A31F6">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en-US" w:eastAsia="zh-CN"/>
              </w:rPr>
              <w:t>6</w:t>
            </w:r>
            <w:r>
              <w:rPr>
                <w:rFonts w:hint="eastAsia" w:ascii="宋体" w:hAnsi="宋体"/>
                <w:bCs/>
                <w:color w:val="auto"/>
                <w:spacing w:val="-6"/>
                <w:sz w:val="24"/>
                <w:highlight w:val="none"/>
              </w:rPr>
              <w:t>-0</w:t>
            </w:r>
          </w:p>
        </w:tc>
      </w:tr>
    </w:tbl>
    <w:p w14:paraId="4BE62A69">
      <w:pPr>
        <w:widowControl/>
        <w:jc w:val="center"/>
        <w:rPr>
          <w:rFonts w:ascii="宋体" w:hAnsi="宋体" w:cs="宋体"/>
          <w:b/>
          <w:bCs/>
          <w:color w:val="auto"/>
          <w:sz w:val="36"/>
          <w:szCs w:val="36"/>
          <w:highlight w:val="none"/>
        </w:rPr>
      </w:pPr>
      <w:r>
        <w:rPr>
          <w:rFonts w:ascii="宋体" w:hAnsi="宋体" w:cs="宋体"/>
          <w:bCs/>
          <w:color w:val="auto"/>
          <w:sz w:val="28"/>
          <w:highlight w:val="none"/>
        </w:rPr>
        <w:br w:type="page"/>
      </w:r>
      <w:bookmarkStart w:id="310" w:name="_Toc504654782"/>
      <w:r>
        <w:rPr>
          <w:rFonts w:hint="eastAsia" w:ascii="宋体" w:hAnsi="宋体" w:cs="宋体"/>
          <w:b/>
          <w:color w:val="auto"/>
          <w:sz w:val="36"/>
          <w:szCs w:val="36"/>
          <w:highlight w:val="none"/>
          <w:lang w:eastAsia="zh-CN"/>
        </w:rPr>
        <w:t>评审</w:t>
      </w:r>
      <w:r>
        <w:rPr>
          <w:rFonts w:hint="eastAsia" w:ascii="宋体" w:hAnsi="宋体" w:cs="宋体"/>
          <w:b/>
          <w:color w:val="auto"/>
          <w:sz w:val="36"/>
          <w:szCs w:val="36"/>
          <w:highlight w:val="none"/>
        </w:rPr>
        <w:t>办法  正文部分</w:t>
      </w:r>
      <w:bookmarkEnd w:id="310"/>
    </w:p>
    <w:p w14:paraId="6B8A07CC">
      <w:pPr>
        <w:pStyle w:val="348"/>
        <w:rPr>
          <w:rFonts w:ascii="宋体" w:hAnsi="宋体" w:eastAsia="宋体"/>
          <w:color w:val="auto"/>
          <w:szCs w:val="28"/>
          <w:highlight w:val="none"/>
        </w:rPr>
      </w:pPr>
      <w:bookmarkStart w:id="311" w:name="_Toc504654783"/>
      <w:bookmarkStart w:id="312" w:name="_Toc152045600"/>
      <w:bookmarkStart w:id="313" w:name="_Toc144974567"/>
      <w:bookmarkStart w:id="314" w:name="_Toc179632618"/>
      <w:bookmarkStart w:id="315" w:name="_Toc152042377"/>
      <w:bookmarkStart w:id="316" w:name="_Toc15790"/>
      <w:r>
        <w:rPr>
          <w:rFonts w:hint="eastAsia" w:ascii="宋体" w:hAnsi="宋体" w:eastAsia="宋体"/>
          <w:color w:val="auto"/>
          <w:szCs w:val="28"/>
          <w:highlight w:val="none"/>
        </w:rPr>
        <w:t xml:space="preserve">1. </w:t>
      </w:r>
      <w:r>
        <w:rPr>
          <w:rFonts w:hint="eastAsia" w:ascii="宋体" w:hAnsi="宋体" w:eastAsia="宋体"/>
          <w:color w:val="auto"/>
          <w:szCs w:val="28"/>
          <w:highlight w:val="none"/>
          <w:lang w:eastAsia="zh-CN"/>
        </w:rPr>
        <w:t>评审</w:t>
      </w:r>
      <w:r>
        <w:rPr>
          <w:rFonts w:hint="eastAsia" w:ascii="宋体" w:hAnsi="宋体" w:eastAsia="宋体"/>
          <w:color w:val="auto"/>
          <w:szCs w:val="28"/>
          <w:highlight w:val="none"/>
        </w:rPr>
        <w:t>方法</w:t>
      </w:r>
      <w:bookmarkEnd w:id="311"/>
      <w:bookmarkEnd w:id="312"/>
      <w:bookmarkEnd w:id="313"/>
      <w:bookmarkEnd w:id="314"/>
      <w:bookmarkEnd w:id="315"/>
      <w:bookmarkEnd w:id="316"/>
    </w:p>
    <w:p w14:paraId="3D4E6579">
      <w:pPr>
        <w:spacing w:line="440" w:lineRule="exact"/>
        <w:ind w:firstLine="480" w:firstLineChars="200"/>
        <w:rPr>
          <w:rFonts w:ascii="宋体" w:hAnsi="宋体" w:cs="宋体"/>
          <w:color w:val="auto"/>
          <w:sz w:val="24"/>
          <w:highlight w:val="none"/>
        </w:rPr>
      </w:pPr>
      <w:bookmarkStart w:id="317" w:name="_Toc152042378"/>
      <w:bookmarkStart w:id="318" w:name="_Toc144974568"/>
      <w:bookmarkStart w:id="319" w:name="_Toc179632619"/>
      <w:bookmarkStart w:id="320" w:name="_Toc504654784"/>
      <w:bookmarkStart w:id="321" w:name="_Toc152045601"/>
      <w:r>
        <w:rPr>
          <w:rFonts w:hint="eastAsia" w:ascii="宋体" w:hAnsi="宋体" w:cs="宋体"/>
          <w:color w:val="auto"/>
          <w:sz w:val="24"/>
          <w:highlight w:val="none"/>
        </w:rPr>
        <w:t>本次</w:t>
      </w:r>
      <w:r>
        <w:rPr>
          <w:rFonts w:hint="eastAsia" w:ascii="宋体" w:hAnsi="宋体" w:cs="宋体"/>
          <w:color w:val="auto"/>
          <w:sz w:val="24"/>
          <w:highlight w:val="none"/>
          <w:lang w:eastAsia="zh-CN"/>
        </w:rPr>
        <w:t>评审</w:t>
      </w:r>
      <w:r>
        <w:rPr>
          <w:rFonts w:hint="eastAsia" w:ascii="宋体" w:hAnsi="宋体" w:cs="宋体"/>
          <w:color w:val="auto"/>
          <w:sz w:val="24"/>
          <w:highlight w:val="none"/>
        </w:rPr>
        <w:t>采用综合评估法。</w:t>
      </w:r>
      <w:r>
        <w:rPr>
          <w:rFonts w:hint="eastAsia" w:ascii="宋体" w:hAnsi="宋体" w:cs="宋体"/>
          <w:color w:val="auto"/>
          <w:sz w:val="24"/>
          <w:highlight w:val="none"/>
          <w:lang w:eastAsia="zh-CN"/>
        </w:rPr>
        <w:t>磋商小组</w:t>
      </w:r>
      <w:r>
        <w:rPr>
          <w:rFonts w:hint="eastAsia" w:ascii="宋体" w:hAnsi="宋体" w:cs="宋体"/>
          <w:color w:val="auto"/>
          <w:sz w:val="24"/>
          <w:highlight w:val="none"/>
        </w:rPr>
        <w:t>对满足</w:t>
      </w:r>
      <w:r>
        <w:rPr>
          <w:rFonts w:hint="eastAsia" w:ascii="宋体" w:hAnsi="宋体" w:cs="宋体"/>
          <w:color w:val="auto"/>
          <w:sz w:val="24"/>
          <w:highlight w:val="none"/>
          <w:lang w:eastAsia="zh-CN"/>
        </w:rPr>
        <w:t>磋商文件</w:t>
      </w:r>
      <w:r>
        <w:rPr>
          <w:rFonts w:hint="eastAsia" w:ascii="宋体" w:hAnsi="宋体" w:cs="宋体"/>
          <w:color w:val="auto"/>
          <w:sz w:val="24"/>
          <w:highlight w:val="none"/>
        </w:rPr>
        <w:t>实质性要求的</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，按照本章2.2 款规定的评分标准进行打分，并按得分由高到低顺序推荐中标候选人，或根据</w:t>
      </w:r>
      <w:r>
        <w:rPr>
          <w:rFonts w:hint="eastAsia" w:ascii="宋体" w:hAnsi="宋体" w:cs="宋体"/>
          <w:color w:val="auto"/>
          <w:sz w:val="24"/>
          <w:highlight w:val="none"/>
          <w:lang w:eastAsia="zh-CN"/>
        </w:rPr>
        <w:t>采购人</w:t>
      </w:r>
      <w:r>
        <w:rPr>
          <w:rFonts w:hint="eastAsia" w:ascii="宋体" w:hAnsi="宋体" w:cs="宋体"/>
          <w:color w:val="auto"/>
          <w:sz w:val="24"/>
          <w:highlight w:val="none"/>
        </w:rPr>
        <w:t>授权直接确定</w:t>
      </w:r>
      <w:r>
        <w:rPr>
          <w:rFonts w:hint="eastAsia" w:ascii="宋体" w:hAnsi="宋体" w:cs="宋体"/>
          <w:color w:val="auto"/>
          <w:sz w:val="24"/>
          <w:highlight w:val="none"/>
          <w:lang w:eastAsia="zh-CN"/>
        </w:rPr>
        <w:t>成交供应商</w:t>
      </w:r>
      <w:r>
        <w:rPr>
          <w:rFonts w:hint="eastAsia" w:ascii="宋体" w:hAnsi="宋体" w:cs="宋体"/>
          <w:color w:val="auto"/>
          <w:sz w:val="24"/>
          <w:highlight w:val="none"/>
        </w:rPr>
        <w:t>，但投标报价低于其成本的除外。综合评分相等时，以投标报价低的优先；投标报价也相等的，以技术得分高的优先；如果技术得分也相等，按照</w:t>
      </w:r>
      <w:r>
        <w:rPr>
          <w:rFonts w:hint="eastAsia" w:ascii="宋体" w:hAnsi="宋体" w:cs="宋体"/>
          <w:color w:val="auto"/>
          <w:sz w:val="24"/>
          <w:highlight w:val="none"/>
          <w:lang w:eastAsia="zh-CN"/>
        </w:rPr>
        <w:t>评审</w:t>
      </w:r>
      <w:r>
        <w:rPr>
          <w:rFonts w:hint="eastAsia" w:ascii="宋体" w:hAnsi="宋体" w:cs="宋体"/>
          <w:color w:val="auto"/>
          <w:sz w:val="24"/>
          <w:highlight w:val="none"/>
        </w:rPr>
        <w:t>办法前附表的规定确定中标候选人顺序。</w:t>
      </w:r>
    </w:p>
    <w:p w14:paraId="4468298F">
      <w:pPr>
        <w:pStyle w:val="348"/>
        <w:rPr>
          <w:rFonts w:ascii="宋体" w:hAnsi="宋体" w:eastAsia="宋体"/>
          <w:color w:val="auto"/>
          <w:szCs w:val="28"/>
          <w:highlight w:val="none"/>
        </w:rPr>
      </w:pPr>
      <w:bookmarkStart w:id="322" w:name="_Toc3740"/>
      <w:r>
        <w:rPr>
          <w:rFonts w:hint="eastAsia" w:ascii="宋体" w:hAnsi="宋体" w:eastAsia="宋体"/>
          <w:color w:val="auto"/>
          <w:szCs w:val="28"/>
          <w:highlight w:val="none"/>
        </w:rPr>
        <w:t>2. 评审标准</w:t>
      </w:r>
      <w:bookmarkEnd w:id="317"/>
      <w:bookmarkEnd w:id="318"/>
      <w:bookmarkEnd w:id="319"/>
      <w:bookmarkEnd w:id="320"/>
      <w:bookmarkEnd w:id="321"/>
      <w:bookmarkEnd w:id="322"/>
    </w:p>
    <w:p w14:paraId="3E8C8757">
      <w:pPr>
        <w:spacing w:line="400" w:lineRule="exact"/>
        <w:ind w:firstLine="463" w:firstLineChars="193"/>
        <w:outlineLvl w:val="2"/>
        <w:rPr>
          <w:rFonts w:ascii="宋体" w:hAnsi="宋体" w:cs="宋体"/>
          <w:color w:val="auto"/>
          <w:sz w:val="24"/>
          <w:highlight w:val="none"/>
        </w:rPr>
      </w:pPr>
      <w:bookmarkStart w:id="323" w:name="_Toc15927"/>
      <w:r>
        <w:rPr>
          <w:rFonts w:hint="eastAsia" w:ascii="宋体" w:hAnsi="宋体" w:cs="宋体"/>
          <w:color w:val="auto"/>
          <w:sz w:val="24"/>
          <w:highlight w:val="none"/>
        </w:rPr>
        <w:t>2.1 初步评审标准</w:t>
      </w:r>
      <w:bookmarkEnd w:id="323"/>
    </w:p>
    <w:p w14:paraId="3C3D8199">
      <w:pPr>
        <w:spacing w:line="400" w:lineRule="exact"/>
        <w:ind w:firstLine="463" w:firstLineChars="193"/>
        <w:rPr>
          <w:rFonts w:ascii="宋体" w:hAnsi="宋体" w:cs="宋体"/>
          <w:color w:val="auto"/>
          <w:sz w:val="24"/>
          <w:highlight w:val="none"/>
        </w:rPr>
      </w:pPr>
      <w:r>
        <w:rPr>
          <w:rFonts w:hint="eastAsia" w:ascii="宋体" w:hAnsi="宋体" w:cs="宋体"/>
          <w:color w:val="auto"/>
          <w:sz w:val="24"/>
          <w:highlight w:val="none"/>
        </w:rPr>
        <w:t>2.1.1 形式评审标准：见</w:t>
      </w:r>
      <w:r>
        <w:rPr>
          <w:rFonts w:hint="eastAsia" w:ascii="宋体" w:hAnsi="宋体" w:cs="宋体"/>
          <w:color w:val="auto"/>
          <w:sz w:val="24"/>
          <w:highlight w:val="none"/>
          <w:lang w:eastAsia="zh-CN"/>
        </w:rPr>
        <w:t>评审</w:t>
      </w:r>
      <w:r>
        <w:rPr>
          <w:rFonts w:hint="eastAsia" w:ascii="宋体" w:hAnsi="宋体" w:cs="宋体"/>
          <w:color w:val="auto"/>
          <w:sz w:val="24"/>
          <w:highlight w:val="none"/>
        </w:rPr>
        <w:t>办法前附表。</w:t>
      </w:r>
    </w:p>
    <w:p w14:paraId="52A9B9E0">
      <w:pPr>
        <w:spacing w:line="400" w:lineRule="exact"/>
        <w:ind w:firstLine="463" w:firstLineChars="193"/>
        <w:rPr>
          <w:rFonts w:ascii="宋体" w:hAnsi="宋体" w:cs="宋体"/>
          <w:color w:val="auto"/>
          <w:sz w:val="24"/>
          <w:highlight w:val="none"/>
        </w:rPr>
      </w:pPr>
      <w:r>
        <w:rPr>
          <w:rFonts w:hint="eastAsia" w:ascii="宋体" w:hAnsi="宋体" w:cs="宋体"/>
          <w:color w:val="auto"/>
          <w:sz w:val="24"/>
          <w:highlight w:val="none"/>
        </w:rPr>
        <w:t>2.1.2 资格评审标准：见</w:t>
      </w:r>
      <w:r>
        <w:rPr>
          <w:rFonts w:hint="eastAsia" w:ascii="宋体" w:hAnsi="宋体" w:cs="宋体"/>
          <w:color w:val="auto"/>
          <w:sz w:val="24"/>
          <w:highlight w:val="none"/>
          <w:lang w:eastAsia="zh-CN"/>
        </w:rPr>
        <w:t>评审</w:t>
      </w:r>
      <w:r>
        <w:rPr>
          <w:rFonts w:hint="eastAsia" w:ascii="宋体" w:hAnsi="宋体" w:cs="宋体"/>
          <w:color w:val="auto"/>
          <w:sz w:val="24"/>
          <w:highlight w:val="none"/>
        </w:rPr>
        <w:t>办法前附表</w:t>
      </w:r>
    </w:p>
    <w:p w14:paraId="107ED820">
      <w:pPr>
        <w:spacing w:line="400" w:lineRule="exact"/>
        <w:ind w:firstLine="463" w:firstLineChars="193"/>
        <w:rPr>
          <w:rFonts w:ascii="宋体" w:hAnsi="宋体" w:cs="宋体"/>
          <w:color w:val="auto"/>
          <w:sz w:val="24"/>
          <w:highlight w:val="none"/>
        </w:rPr>
      </w:pPr>
      <w:r>
        <w:rPr>
          <w:rFonts w:hint="eastAsia" w:ascii="宋体" w:hAnsi="宋体" w:cs="宋体"/>
          <w:color w:val="auto"/>
          <w:sz w:val="24"/>
          <w:highlight w:val="none"/>
        </w:rPr>
        <w:t>2.1.3 响应性评审标准：见</w:t>
      </w:r>
      <w:r>
        <w:rPr>
          <w:rFonts w:hint="eastAsia" w:ascii="宋体" w:hAnsi="宋体" w:cs="宋体"/>
          <w:color w:val="auto"/>
          <w:sz w:val="24"/>
          <w:highlight w:val="none"/>
          <w:lang w:eastAsia="zh-CN"/>
        </w:rPr>
        <w:t>评审</w:t>
      </w:r>
      <w:r>
        <w:rPr>
          <w:rFonts w:hint="eastAsia" w:ascii="宋体" w:hAnsi="宋体" w:cs="宋体"/>
          <w:color w:val="auto"/>
          <w:sz w:val="24"/>
          <w:highlight w:val="none"/>
        </w:rPr>
        <w:t>办法前附表。</w:t>
      </w:r>
    </w:p>
    <w:p w14:paraId="2D5FFCD3">
      <w:pPr>
        <w:pStyle w:val="243"/>
        <w:rPr>
          <w:rFonts w:ascii="宋体" w:hAnsi="宋体" w:eastAsia="宋体"/>
          <w:color w:val="auto"/>
          <w:szCs w:val="24"/>
          <w:highlight w:val="none"/>
        </w:rPr>
      </w:pPr>
      <w:bookmarkStart w:id="324" w:name="_Toc27300"/>
      <w:bookmarkStart w:id="325" w:name="_Toc152045603"/>
      <w:bookmarkStart w:id="326" w:name="_Toc504479753"/>
      <w:bookmarkStart w:id="327" w:name="_Toc152042380"/>
      <w:bookmarkStart w:id="328" w:name="_Toc179632621"/>
      <w:bookmarkStart w:id="329" w:name="_Toc504654786"/>
      <w:bookmarkStart w:id="330" w:name="_Toc504479301"/>
      <w:bookmarkStart w:id="331" w:name="_Toc144974570"/>
      <w:r>
        <w:rPr>
          <w:rFonts w:hint="eastAsia" w:ascii="宋体" w:hAnsi="宋体" w:eastAsia="宋体"/>
          <w:color w:val="auto"/>
          <w:szCs w:val="24"/>
          <w:highlight w:val="none"/>
        </w:rPr>
        <w:t>2.2 分值构成与评分标准</w:t>
      </w:r>
      <w:bookmarkEnd w:id="324"/>
      <w:bookmarkEnd w:id="325"/>
      <w:bookmarkEnd w:id="326"/>
      <w:bookmarkEnd w:id="327"/>
      <w:bookmarkEnd w:id="328"/>
      <w:bookmarkEnd w:id="329"/>
      <w:bookmarkEnd w:id="330"/>
      <w:bookmarkEnd w:id="331"/>
    </w:p>
    <w:p w14:paraId="2606EA46">
      <w:pPr>
        <w:spacing w:line="400" w:lineRule="exact"/>
        <w:rPr>
          <w:rFonts w:ascii="宋体" w:hAnsi="宋体" w:cs="宋体"/>
          <w:color w:val="auto"/>
          <w:sz w:val="24"/>
          <w:highlight w:val="none"/>
        </w:rPr>
      </w:pPr>
      <w:r>
        <w:rPr>
          <w:rFonts w:hint="eastAsia" w:ascii="宋体" w:hAnsi="宋体" w:cs="宋体"/>
          <w:color w:val="auto"/>
          <w:sz w:val="24"/>
          <w:highlight w:val="none"/>
        </w:rPr>
        <w:t>2.2.1 分值构成</w:t>
      </w:r>
    </w:p>
    <w:p w14:paraId="0402F0FF">
      <w:pPr>
        <w:spacing w:line="400" w:lineRule="exact"/>
        <w:ind w:firstLine="820" w:firstLineChars="342"/>
        <w:rPr>
          <w:rFonts w:ascii="宋体" w:hAnsi="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rPr>
        <w:t>l）施工组织设计：见</w:t>
      </w:r>
      <w:r>
        <w:rPr>
          <w:rFonts w:hint="eastAsia" w:ascii="宋体" w:hAnsi="宋体" w:cs="宋体"/>
          <w:color w:val="auto"/>
          <w:sz w:val="24"/>
          <w:highlight w:val="none"/>
          <w:lang w:eastAsia="zh-CN"/>
        </w:rPr>
        <w:t>评审</w:t>
      </w:r>
      <w:r>
        <w:rPr>
          <w:rFonts w:hint="eastAsia" w:ascii="宋体" w:hAnsi="宋体" w:cs="宋体"/>
          <w:color w:val="auto"/>
          <w:sz w:val="24"/>
          <w:highlight w:val="none"/>
        </w:rPr>
        <w:t>办法前附表；</w:t>
      </w:r>
    </w:p>
    <w:p w14:paraId="63AAA383">
      <w:pPr>
        <w:spacing w:line="400" w:lineRule="exact"/>
        <w:ind w:firstLine="820" w:firstLineChars="342"/>
        <w:rPr>
          <w:rFonts w:ascii="宋体" w:hAnsi="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rPr>
        <w:t>2）项目管理机构：见</w:t>
      </w:r>
      <w:r>
        <w:rPr>
          <w:rFonts w:hint="eastAsia" w:ascii="宋体" w:hAnsi="宋体" w:cs="宋体"/>
          <w:color w:val="auto"/>
          <w:sz w:val="24"/>
          <w:highlight w:val="none"/>
          <w:lang w:eastAsia="zh-CN"/>
        </w:rPr>
        <w:t>评审</w:t>
      </w:r>
      <w:r>
        <w:rPr>
          <w:rFonts w:hint="eastAsia" w:ascii="宋体" w:hAnsi="宋体" w:cs="宋体"/>
          <w:color w:val="auto"/>
          <w:sz w:val="24"/>
          <w:highlight w:val="none"/>
        </w:rPr>
        <w:t>办法前附表；</w:t>
      </w:r>
    </w:p>
    <w:p w14:paraId="0EE6F959">
      <w:pPr>
        <w:spacing w:line="400" w:lineRule="exact"/>
        <w:ind w:firstLine="820" w:firstLineChars="342"/>
        <w:rPr>
          <w:rFonts w:ascii="宋体" w:hAnsi="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rPr>
        <w:t>3）投标报价：见</w:t>
      </w:r>
      <w:r>
        <w:rPr>
          <w:rFonts w:hint="eastAsia" w:ascii="宋体" w:hAnsi="宋体" w:cs="宋体"/>
          <w:color w:val="auto"/>
          <w:sz w:val="24"/>
          <w:highlight w:val="none"/>
          <w:lang w:eastAsia="zh-CN"/>
        </w:rPr>
        <w:t>评审</w:t>
      </w:r>
      <w:r>
        <w:rPr>
          <w:rFonts w:hint="eastAsia" w:ascii="宋体" w:hAnsi="宋体" w:cs="宋体"/>
          <w:color w:val="auto"/>
          <w:sz w:val="24"/>
          <w:highlight w:val="none"/>
        </w:rPr>
        <w:t>办法前附表；</w:t>
      </w:r>
    </w:p>
    <w:p w14:paraId="6E12D986">
      <w:pPr>
        <w:spacing w:line="400" w:lineRule="exact"/>
        <w:ind w:firstLine="820" w:firstLineChars="342"/>
        <w:rPr>
          <w:rFonts w:ascii="宋体" w:hAnsi="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rPr>
        <w:t>4）其他评分因素：见</w:t>
      </w:r>
      <w:r>
        <w:rPr>
          <w:rFonts w:hint="eastAsia" w:ascii="宋体" w:hAnsi="宋体" w:cs="宋体"/>
          <w:color w:val="auto"/>
          <w:sz w:val="24"/>
          <w:highlight w:val="none"/>
          <w:lang w:eastAsia="zh-CN"/>
        </w:rPr>
        <w:t>评审</w:t>
      </w:r>
      <w:r>
        <w:rPr>
          <w:rFonts w:hint="eastAsia" w:ascii="宋体" w:hAnsi="宋体" w:cs="宋体"/>
          <w:color w:val="auto"/>
          <w:sz w:val="24"/>
          <w:highlight w:val="none"/>
        </w:rPr>
        <w:t>办法前附表。</w:t>
      </w:r>
    </w:p>
    <w:p w14:paraId="0C7E1162">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2.2.2 </w:t>
      </w:r>
      <w:r>
        <w:rPr>
          <w:rFonts w:hint="eastAsia" w:ascii="宋体" w:hAnsi="宋体" w:cs="宋体"/>
          <w:color w:val="auto"/>
          <w:sz w:val="24"/>
          <w:highlight w:val="none"/>
          <w:lang w:eastAsia="zh-CN"/>
        </w:rPr>
        <w:t>评审</w:t>
      </w:r>
      <w:r>
        <w:rPr>
          <w:rFonts w:hint="eastAsia" w:ascii="宋体" w:hAnsi="宋体" w:cs="宋体"/>
          <w:color w:val="auto"/>
          <w:sz w:val="24"/>
          <w:highlight w:val="none"/>
        </w:rPr>
        <w:t>基准价计算</w:t>
      </w:r>
    </w:p>
    <w:p w14:paraId="2C9C254D">
      <w:pPr>
        <w:spacing w:line="400" w:lineRule="exact"/>
        <w:ind w:firstLine="960" w:firstLineChars="400"/>
        <w:rPr>
          <w:rFonts w:ascii="宋体" w:hAnsi="宋体" w:cs="宋体"/>
          <w:color w:val="auto"/>
          <w:sz w:val="24"/>
          <w:highlight w:val="none"/>
        </w:rPr>
      </w:pPr>
      <w:r>
        <w:rPr>
          <w:rFonts w:hint="eastAsia" w:ascii="宋体" w:hAnsi="宋体" w:cs="宋体"/>
          <w:color w:val="auto"/>
          <w:sz w:val="24"/>
          <w:highlight w:val="none"/>
          <w:lang w:eastAsia="zh-CN"/>
        </w:rPr>
        <w:t>评审</w:t>
      </w:r>
      <w:r>
        <w:rPr>
          <w:rFonts w:hint="eastAsia" w:ascii="宋体" w:hAnsi="宋体" w:cs="宋体"/>
          <w:color w:val="auto"/>
          <w:sz w:val="24"/>
          <w:highlight w:val="none"/>
        </w:rPr>
        <w:t>基准价计算方法：见</w:t>
      </w:r>
      <w:r>
        <w:rPr>
          <w:rFonts w:hint="eastAsia" w:ascii="宋体" w:hAnsi="宋体" w:cs="宋体"/>
          <w:color w:val="auto"/>
          <w:sz w:val="24"/>
          <w:highlight w:val="none"/>
          <w:lang w:eastAsia="zh-CN"/>
        </w:rPr>
        <w:t>评审</w:t>
      </w:r>
      <w:r>
        <w:rPr>
          <w:rFonts w:hint="eastAsia" w:ascii="宋体" w:hAnsi="宋体" w:cs="宋体"/>
          <w:color w:val="auto"/>
          <w:sz w:val="24"/>
          <w:highlight w:val="none"/>
        </w:rPr>
        <w:t>办法前附表。</w:t>
      </w:r>
    </w:p>
    <w:p w14:paraId="43BFB622">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2.2.3 投标报价的偏差率计算</w:t>
      </w:r>
    </w:p>
    <w:p w14:paraId="2761D3A9">
      <w:pPr>
        <w:spacing w:line="400" w:lineRule="exact"/>
        <w:ind w:firstLine="960" w:firstLineChars="400"/>
        <w:rPr>
          <w:rFonts w:ascii="宋体" w:hAnsi="宋体" w:cs="宋体"/>
          <w:color w:val="auto"/>
          <w:sz w:val="24"/>
          <w:highlight w:val="none"/>
        </w:rPr>
      </w:pPr>
      <w:r>
        <w:rPr>
          <w:rFonts w:hint="eastAsia" w:ascii="宋体" w:hAnsi="宋体" w:cs="宋体"/>
          <w:color w:val="auto"/>
          <w:sz w:val="24"/>
          <w:highlight w:val="none"/>
        </w:rPr>
        <w:t>投标报价的偏差率计算公式：见</w:t>
      </w:r>
      <w:r>
        <w:rPr>
          <w:rFonts w:hint="eastAsia" w:ascii="宋体" w:hAnsi="宋体" w:cs="宋体"/>
          <w:color w:val="auto"/>
          <w:sz w:val="24"/>
          <w:highlight w:val="none"/>
          <w:lang w:eastAsia="zh-CN"/>
        </w:rPr>
        <w:t>评审</w:t>
      </w:r>
      <w:r>
        <w:rPr>
          <w:rFonts w:hint="eastAsia" w:ascii="宋体" w:hAnsi="宋体" w:cs="宋体"/>
          <w:color w:val="auto"/>
          <w:sz w:val="24"/>
          <w:highlight w:val="none"/>
        </w:rPr>
        <w:t>办法前附表。</w:t>
      </w:r>
    </w:p>
    <w:p w14:paraId="3D93EDCE">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2.2.4 评分标准</w:t>
      </w:r>
    </w:p>
    <w:p w14:paraId="5A004614">
      <w:pPr>
        <w:spacing w:line="400" w:lineRule="exact"/>
        <w:ind w:firstLine="820" w:firstLineChars="342"/>
        <w:rPr>
          <w:rFonts w:ascii="宋体" w:hAnsi="宋体" w:cs="宋体"/>
          <w:color w:val="auto"/>
          <w:sz w:val="24"/>
          <w:highlight w:val="none"/>
        </w:rPr>
      </w:pPr>
      <w:bookmarkStart w:id="332" w:name="_Toc144974571"/>
      <w:bookmarkStart w:id="333" w:name="_Toc152042381"/>
      <w:bookmarkStart w:id="334" w:name="_Toc152045604"/>
      <w:bookmarkStart w:id="335" w:name="_Toc179632622"/>
      <w:r>
        <w:rPr>
          <w:rFonts w:hint="eastAsia" w:ascii="宋体" w:hAnsi="宋体" w:cs="宋体"/>
          <w:color w:val="auto"/>
          <w:sz w:val="24"/>
          <w:highlight w:val="none"/>
          <w:lang w:eastAsia="zh-CN"/>
        </w:rPr>
        <w:t>（</w:t>
      </w:r>
      <w:r>
        <w:rPr>
          <w:rFonts w:hint="eastAsia" w:ascii="宋体" w:hAnsi="宋体" w:cs="宋体"/>
          <w:color w:val="auto"/>
          <w:sz w:val="24"/>
          <w:highlight w:val="none"/>
        </w:rPr>
        <w:t>1）施工组织设计评分标准：见</w:t>
      </w:r>
      <w:r>
        <w:rPr>
          <w:rFonts w:hint="eastAsia" w:ascii="宋体" w:hAnsi="宋体" w:cs="宋体"/>
          <w:color w:val="auto"/>
          <w:sz w:val="24"/>
          <w:highlight w:val="none"/>
          <w:lang w:eastAsia="zh-CN"/>
        </w:rPr>
        <w:t>评审</w:t>
      </w:r>
      <w:r>
        <w:rPr>
          <w:rFonts w:hint="eastAsia" w:ascii="宋体" w:hAnsi="宋体" w:cs="宋体"/>
          <w:color w:val="auto"/>
          <w:sz w:val="24"/>
          <w:highlight w:val="none"/>
        </w:rPr>
        <w:t>办法前附表；</w:t>
      </w:r>
    </w:p>
    <w:p w14:paraId="57DD0950">
      <w:pPr>
        <w:spacing w:line="400" w:lineRule="exact"/>
        <w:ind w:firstLine="820" w:firstLineChars="342"/>
        <w:rPr>
          <w:rFonts w:ascii="宋体" w:hAnsi="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rPr>
        <w:t>2）项目管理机构评分标准：见</w:t>
      </w:r>
      <w:r>
        <w:rPr>
          <w:rFonts w:hint="eastAsia" w:ascii="宋体" w:hAnsi="宋体" w:cs="宋体"/>
          <w:color w:val="auto"/>
          <w:sz w:val="24"/>
          <w:highlight w:val="none"/>
          <w:lang w:eastAsia="zh-CN"/>
        </w:rPr>
        <w:t>评审</w:t>
      </w:r>
      <w:r>
        <w:rPr>
          <w:rFonts w:hint="eastAsia" w:ascii="宋体" w:hAnsi="宋体" w:cs="宋体"/>
          <w:color w:val="auto"/>
          <w:sz w:val="24"/>
          <w:highlight w:val="none"/>
        </w:rPr>
        <w:t>办法前附表；</w:t>
      </w:r>
    </w:p>
    <w:p w14:paraId="7C4DC9A1">
      <w:pPr>
        <w:spacing w:line="400" w:lineRule="exact"/>
        <w:ind w:firstLine="820" w:firstLineChars="342"/>
        <w:rPr>
          <w:rFonts w:ascii="宋体" w:hAnsi="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rPr>
        <w:t>3）投标报价评分标准：见</w:t>
      </w:r>
      <w:r>
        <w:rPr>
          <w:rFonts w:hint="eastAsia" w:ascii="宋体" w:hAnsi="宋体" w:cs="宋体"/>
          <w:color w:val="auto"/>
          <w:sz w:val="24"/>
          <w:highlight w:val="none"/>
          <w:lang w:eastAsia="zh-CN"/>
        </w:rPr>
        <w:t>评审</w:t>
      </w:r>
      <w:r>
        <w:rPr>
          <w:rFonts w:hint="eastAsia" w:ascii="宋体" w:hAnsi="宋体" w:cs="宋体"/>
          <w:color w:val="auto"/>
          <w:sz w:val="24"/>
          <w:highlight w:val="none"/>
        </w:rPr>
        <w:t>办法前附表；</w:t>
      </w:r>
    </w:p>
    <w:p w14:paraId="24692200">
      <w:pPr>
        <w:spacing w:line="400" w:lineRule="exact"/>
        <w:ind w:firstLine="820" w:firstLineChars="342"/>
        <w:rPr>
          <w:rFonts w:ascii="宋体" w:hAnsi="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rPr>
        <w:t>4）其他因素评分标准：见</w:t>
      </w:r>
      <w:r>
        <w:rPr>
          <w:rFonts w:hint="eastAsia" w:ascii="宋体" w:hAnsi="宋体" w:cs="宋体"/>
          <w:color w:val="auto"/>
          <w:sz w:val="24"/>
          <w:highlight w:val="none"/>
          <w:lang w:eastAsia="zh-CN"/>
        </w:rPr>
        <w:t>评审</w:t>
      </w:r>
      <w:r>
        <w:rPr>
          <w:rFonts w:hint="eastAsia" w:ascii="宋体" w:hAnsi="宋体" w:cs="宋体"/>
          <w:color w:val="auto"/>
          <w:sz w:val="24"/>
          <w:highlight w:val="none"/>
        </w:rPr>
        <w:t>办法前附表。</w:t>
      </w:r>
    </w:p>
    <w:p w14:paraId="19A2047E">
      <w:pPr>
        <w:pStyle w:val="348"/>
        <w:rPr>
          <w:rFonts w:ascii="宋体" w:hAnsi="宋体" w:eastAsia="宋体"/>
          <w:color w:val="auto"/>
          <w:szCs w:val="28"/>
          <w:highlight w:val="none"/>
        </w:rPr>
      </w:pPr>
      <w:bookmarkStart w:id="336" w:name="_Toc3153"/>
      <w:bookmarkStart w:id="337" w:name="_Toc504654787"/>
      <w:r>
        <w:rPr>
          <w:rFonts w:hint="eastAsia" w:ascii="宋体" w:hAnsi="宋体" w:eastAsia="宋体"/>
          <w:color w:val="auto"/>
          <w:szCs w:val="28"/>
          <w:highlight w:val="none"/>
        </w:rPr>
        <w:t xml:space="preserve">3. </w:t>
      </w:r>
      <w:r>
        <w:rPr>
          <w:rFonts w:hint="eastAsia" w:ascii="宋体" w:hAnsi="宋体" w:eastAsia="宋体"/>
          <w:color w:val="auto"/>
          <w:szCs w:val="28"/>
          <w:highlight w:val="none"/>
          <w:lang w:eastAsia="zh-CN"/>
        </w:rPr>
        <w:t>评审</w:t>
      </w:r>
      <w:r>
        <w:rPr>
          <w:rFonts w:hint="eastAsia" w:ascii="宋体" w:hAnsi="宋体" w:eastAsia="宋体"/>
          <w:color w:val="auto"/>
          <w:szCs w:val="28"/>
          <w:highlight w:val="none"/>
        </w:rPr>
        <w:t>程序</w:t>
      </w:r>
      <w:bookmarkEnd w:id="332"/>
      <w:bookmarkEnd w:id="333"/>
      <w:bookmarkEnd w:id="334"/>
      <w:bookmarkEnd w:id="335"/>
      <w:bookmarkEnd w:id="336"/>
      <w:bookmarkEnd w:id="337"/>
    </w:p>
    <w:p w14:paraId="3A585A9D">
      <w:pPr>
        <w:pStyle w:val="243"/>
        <w:rPr>
          <w:rFonts w:ascii="宋体" w:hAnsi="宋体" w:eastAsia="宋体"/>
          <w:color w:val="auto"/>
          <w:szCs w:val="24"/>
          <w:highlight w:val="none"/>
        </w:rPr>
      </w:pPr>
      <w:bookmarkStart w:id="338" w:name="_Toc504479755"/>
      <w:bookmarkStart w:id="339" w:name="_Toc504654788"/>
      <w:bookmarkStart w:id="340" w:name="_Toc152045605"/>
      <w:bookmarkStart w:id="341" w:name="_Toc179632623"/>
      <w:bookmarkStart w:id="342" w:name="_Toc504479303"/>
      <w:bookmarkStart w:id="343" w:name="_Toc144974572"/>
      <w:bookmarkStart w:id="344" w:name="_Toc26717"/>
      <w:bookmarkStart w:id="345" w:name="_Toc152042382"/>
      <w:r>
        <w:rPr>
          <w:rFonts w:hint="eastAsia" w:ascii="宋体" w:hAnsi="宋体" w:eastAsia="宋体"/>
          <w:color w:val="auto"/>
          <w:szCs w:val="24"/>
          <w:highlight w:val="none"/>
        </w:rPr>
        <w:t>3.1 初步评审</w:t>
      </w:r>
      <w:bookmarkEnd w:id="338"/>
      <w:bookmarkEnd w:id="339"/>
      <w:bookmarkEnd w:id="340"/>
      <w:bookmarkEnd w:id="341"/>
      <w:bookmarkEnd w:id="342"/>
      <w:bookmarkEnd w:id="343"/>
      <w:bookmarkEnd w:id="344"/>
      <w:bookmarkEnd w:id="345"/>
    </w:p>
    <w:p w14:paraId="2CB07BE4">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3.1.1 </w:t>
      </w:r>
      <w:r>
        <w:rPr>
          <w:rFonts w:hint="eastAsia" w:ascii="宋体" w:hAnsi="宋体" w:cs="宋体"/>
          <w:color w:val="auto"/>
          <w:sz w:val="24"/>
          <w:highlight w:val="none"/>
          <w:lang w:eastAsia="zh-CN"/>
        </w:rPr>
        <w:t>磋商小组</w:t>
      </w:r>
      <w:r>
        <w:rPr>
          <w:rFonts w:hint="eastAsia" w:ascii="宋体" w:hAnsi="宋体" w:cs="宋体"/>
          <w:color w:val="auto"/>
          <w:sz w:val="24"/>
          <w:highlight w:val="none"/>
        </w:rPr>
        <w:t>可以要求</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提交第二章“</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须知”中规定的有关证明和证件的原件，以便核验。</w:t>
      </w:r>
      <w:r>
        <w:rPr>
          <w:rFonts w:hint="eastAsia" w:ascii="宋体" w:hAnsi="宋体" w:cs="宋体"/>
          <w:color w:val="auto"/>
          <w:sz w:val="24"/>
          <w:highlight w:val="none"/>
          <w:lang w:eastAsia="zh-CN"/>
        </w:rPr>
        <w:t>磋商小组</w:t>
      </w:r>
      <w:r>
        <w:rPr>
          <w:rFonts w:hint="eastAsia" w:ascii="宋体" w:hAnsi="宋体" w:cs="宋体"/>
          <w:color w:val="auto"/>
          <w:sz w:val="24"/>
          <w:highlight w:val="none"/>
        </w:rPr>
        <w:t>依据本章第2.1款规定的标准对</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进行符合性评审。有一项不符合评审标准的，作废标处理。</w:t>
      </w:r>
    </w:p>
    <w:p w14:paraId="18796A67">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3.1.2 </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有以下情形之一的，其投标作无效标处理：</w:t>
      </w:r>
    </w:p>
    <w:p w14:paraId="28AB3DEF">
      <w:pPr>
        <w:spacing w:line="400" w:lineRule="exact"/>
        <w:ind w:firstLine="820" w:firstLineChars="342"/>
        <w:rPr>
          <w:rFonts w:ascii="宋体" w:hAnsi="宋体" w:cs="宋体"/>
          <w:color w:val="auto"/>
          <w:sz w:val="24"/>
          <w:highlight w:val="none"/>
        </w:rPr>
      </w:pPr>
      <w:r>
        <w:rPr>
          <w:rFonts w:hint="eastAsia" w:ascii="宋体" w:hAnsi="宋体" w:cs="宋体"/>
          <w:color w:val="auto"/>
          <w:sz w:val="24"/>
          <w:highlight w:val="none"/>
        </w:rPr>
        <w:t>（1）串通投标或弄虚作假或有其他违法行为的；</w:t>
      </w:r>
    </w:p>
    <w:p w14:paraId="46D56AB8">
      <w:pPr>
        <w:spacing w:line="400" w:lineRule="exact"/>
        <w:ind w:firstLine="820" w:firstLineChars="342"/>
        <w:rPr>
          <w:rFonts w:ascii="宋体" w:hAnsi="宋体" w:cs="宋体"/>
          <w:color w:val="auto"/>
          <w:sz w:val="24"/>
          <w:highlight w:val="none"/>
        </w:rPr>
      </w:pPr>
      <w:r>
        <w:rPr>
          <w:rFonts w:hint="eastAsia" w:ascii="宋体" w:hAnsi="宋体" w:cs="宋体"/>
          <w:color w:val="auto"/>
          <w:sz w:val="24"/>
          <w:highlight w:val="none"/>
        </w:rPr>
        <w:t>（2）不按</w:t>
      </w:r>
      <w:r>
        <w:rPr>
          <w:rFonts w:hint="eastAsia" w:ascii="宋体" w:hAnsi="宋体" w:cs="宋体"/>
          <w:color w:val="auto"/>
          <w:sz w:val="24"/>
          <w:highlight w:val="none"/>
          <w:lang w:eastAsia="zh-CN"/>
        </w:rPr>
        <w:t>磋商小组</w:t>
      </w:r>
      <w:r>
        <w:rPr>
          <w:rFonts w:hint="eastAsia" w:ascii="宋体" w:hAnsi="宋体" w:cs="宋体"/>
          <w:color w:val="auto"/>
          <w:sz w:val="24"/>
          <w:highlight w:val="none"/>
        </w:rPr>
        <w:t>要求澄清、说明或补正的。</w:t>
      </w:r>
    </w:p>
    <w:p w14:paraId="56AE66B8">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3.1.3投标报价有算术错误的，</w:t>
      </w:r>
      <w:r>
        <w:rPr>
          <w:rFonts w:hint="eastAsia" w:ascii="宋体" w:hAnsi="宋体" w:cs="宋体"/>
          <w:color w:val="auto"/>
          <w:sz w:val="24"/>
          <w:highlight w:val="none"/>
          <w:lang w:eastAsia="zh-CN"/>
        </w:rPr>
        <w:t>磋商小组</w:t>
      </w:r>
      <w:r>
        <w:rPr>
          <w:rFonts w:hint="eastAsia" w:ascii="宋体" w:hAnsi="宋体" w:cs="宋体"/>
          <w:color w:val="auto"/>
          <w:sz w:val="24"/>
          <w:highlight w:val="none"/>
        </w:rPr>
        <w:t>按以下原则对投标报价进行修正，修正的价格经</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书面确认后具有约束力。</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不接受修正价格的，其投标作废标处理。</w:t>
      </w:r>
    </w:p>
    <w:p w14:paraId="6E3D4A0D">
      <w:pPr>
        <w:spacing w:line="400" w:lineRule="exact"/>
        <w:ind w:firstLine="820" w:firstLineChars="342"/>
        <w:rPr>
          <w:rFonts w:ascii="宋体" w:hAnsi="宋体" w:cs="宋体"/>
          <w:color w:val="auto"/>
          <w:sz w:val="24"/>
          <w:highlight w:val="none"/>
        </w:rPr>
      </w:pPr>
      <w:bookmarkStart w:id="346" w:name="_Toc152042383"/>
      <w:r>
        <w:rPr>
          <w:rFonts w:hint="eastAsia" w:ascii="宋体" w:hAnsi="宋体" w:cs="宋体"/>
          <w:color w:val="auto"/>
          <w:sz w:val="24"/>
          <w:highlight w:val="none"/>
        </w:rPr>
        <w:t>（1）</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中的大写金额与小写金额不一致的，以大写金额为准；</w:t>
      </w:r>
      <w:bookmarkEnd w:id="346"/>
    </w:p>
    <w:p w14:paraId="10D246FB">
      <w:pPr>
        <w:spacing w:line="400" w:lineRule="exact"/>
        <w:ind w:firstLine="820" w:firstLineChars="342"/>
        <w:rPr>
          <w:rFonts w:ascii="宋体" w:hAnsi="宋体" w:cs="宋体"/>
          <w:color w:val="auto"/>
          <w:sz w:val="24"/>
          <w:highlight w:val="none"/>
        </w:rPr>
      </w:pPr>
      <w:r>
        <w:rPr>
          <w:rFonts w:hint="eastAsia" w:ascii="宋体" w:hAnsi="宋体" w:cs="宋体"/>
          <w:color w:val="auto"/>
          <w:sz w:val="24"/>
          <w:highlight w:val="none"/>
        </w:rPr>
        <w:t>（2）总价金额与依据单价计算出的结果不一致的，以单价金额为准修正总价，但单价金额小数点有明显错误的除外。</w:t>
      </w:r>
    </w:p>
    <w:p w14:paraId="67B0FC24">
      <w:pPr>
        <w:pStyle w:val="243"/>
        <w:rPr>
          <w:rFonts w:ascii="宋体" w:hAnsi="宋体" w:eastAsia="宋体"/>
          <w:color w:val="auto"/>
          <w:szCs w:val="24"/>
          <w:highlight w:val="none"/>
        </w:rPr>
      </w:pPr>
      <w:bookmarkStart w:id="347" w:name="_Toc152045606"/>
      <w:bookmarkStart w:id="348" w:name="_Toc504479756"/>
      <w:bookmarkStart w:id="349" w:name="_Toc144974573"/>
      <w:bookmarkStart w:id="350" w:name="_Toc179632624"/>
      <w:bookmarkStart w:id="351" w:name="_Toc12084"/>
      <w:bookmarkStart w:id="352" w:name="_Toc504479304"/>
      <w:bookmarkStart w:id="353" w:name="_Toc504654789"/>
      <w:bookmarkStart w:id="354" w:name="_Toc152042384"/>
      <w:r>
        <w:rPr>
          <w:rFonts w:hint="eastAsia" w:ascii="宋体" w:hAnsi="宋体" w:eastAsia="宋体"/>
          <w:color w:val="auto"/>
          <w:szCs w:val="24"/>
          <w:highlight w:val="none"/>
        </w:rPr>
        <w:t>3.2 详细评审</w:t>
      </w:r>
      <w:bookmarkEnd w:id="347"/>
      <w:bookmarkEnd w:id="348"/>
      <w:bookmarkEnd w:id="349"/>
      <w:bookmarkEnd w:id="350"/>
      <w:bookmarkEnd w:id="351"/>
      <w:bookmarkEnd w:id="352"/>
      <w:bookmarkEnd w:id="353"/>
      <w:bookmarkEnd w:id="354"/>
    </w:p>
    <w:p w14:paraId="5EF5D62B">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3.2.1 </w:t>
      </w:r>
      <w:r>
        <w:rPr>
          <w:rFonts w:hint="eastAsia" w:ascii="宋体" w:hAnsi="宋体" w:cs="宋体"/>
          <w:color w:val="auto"/>
          <w:sz w:val="24"/>
          <w:highlight w:val="none"/>
          <w:lang w:eastAsia="zh-CN"/>
        </w:rPr>
        <w:t>磋商小组</w:t>
      </w:r>
      <w:r>
        <w:rPr>
          <w:rFonts w:hint="eastAsia" w:ascii="宋体" w:hAnsi="宋体" w:cs="宋体"/>
          <w:color w:val="auto"/>
          <w:sz w:val="24"/>
          <w:highlight w:val="none"/>
        </w:rPr>
        <w:t>按本章第2.2款规定的量化因素和分值进行打分，并计算出综合评估得分。</w:t>
      </w:r>
    </w:p>
    <w:p w14:paraId="5A1B6142">
      <w:pPr>
        <w:spacing w:line="400" w:lineRule="exact"/>
        <w:ind w:firstLine="820" w:firstLineChars="342"/>
        <w:rPr>
          <w:rFonts w:ascii="宋体" w:hAnsi="宋体" w:cs="宋体"/>
          <w:color w:val="auto"/>
          <w:sz w:val="24"/>
          <w:highlight w:val="none"/>
        </w:rPr>
      </w:pPr>
      <w:r>
        <w:rPr>
          <w:rFonts w:hint="eastAsia" w:ascii="宋体" w:hAnsi="宋体" w:cs="宋体"/>
          <w:color w:val="auto"/>
          <w:sz w:val="24"/>
          <w:highlight w:val="none"/>
        </w:rPr>
        <w:t>（1）按本章第2.</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.4（</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）目规定的评审因素和分值对技术因素计算出得分</w:t>
      </w:r>
      <w:r>
        <w:rPr>
          <w:rFonts w:hint="eastAsia" w:ascii="宋体" w:hAnsi="宋体" w:cs="宋体"/>
          <w:color w:val="auto"/>
          <w:sz w:val="24"/>
          <w:highlight w:val="none"/>
          <w:lang w:val="en-US" w:eastAsia="zh-CN"/>
        </w:rPr>
        <w:t>A</w:t>
      </w:r>
      <w:r>
        <w:rPr>
          <w:rFonts w:hint="eastAsia" w:ascii="宋体" w:hAnsi="宋体" w:cs="宋体"/>
          <w:color w:val="auto"/>
          <w:sz w:val="24"/>
          <w:highlight w:val="none"/>
        </w:rPr>
        <w:t>；</w:t>
      </w:r>
    </w:p>
    <w:p w14:paraId="7C38BA83">
      <w:pPr>
        <w:spacing w:line="400" w:lineRule="exact"/>
        <w:ind w:firstLine="820" w:firstLineChars="342"/>
        <w:rPr>
          <w:rFonts w:ascii="宋体" w:hAnsi="宋体" w:cs="宋体"/>
          <w:color w:val="auto"/>
          <w:sz w:val="24"/>
          <w:highlight w:val="none"/>
        </w:rPr>
      </w:pPr>
      <w:r>
        <w:rPr>
          <w:rFonts w:hint="eastAsia" w:ascii="宋体" w:hAnsi="宋体" w:cs="宋体"/>
          <w:color w:val="auto"/>
          <w:sz w:val="24"/>
          <w:highlight w:val="none"/>
        </w:rPr>
        <w:t>（2）按本章第2.</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.4（2）目规定的评审因素和分值对</w:t>
      </w:r>
      <w:r>
        <w:rPr>
          <w:rFonts w:hint="eastAsia" w:ascii="宋体" w:hAnsi="宋体" w:cs="宋体"/>
          <w:color w:val="auto"/>
          <w:sz w:val="24"/>
          <w:highlight w:val="none"/>
          <w:lang w:eastAsia="zh-CN"/>
        </w:rPr>
        <w:t>项目管理机构</w:t>
      </w:r>
      <w:r>
        <w:rPr>
          <w:rFonts w:hint="eastAsia" w:ascii="宋体" w:hAnsi="宋体" w:cs="宋体"/>
          <w:color w:val="auto"/>
          <w:sz w:val="24"/>
          <w:highlight w:val="none"/>
        </w:rPr>
        <w:t>因素计算出得分B；</w:t>
      </w:r>
    </w:p>
    <w:p w14:paraId="4A5D0831">
      <w:pPr>
        <w:spacing w:line="400" w:lineRule="exact"/>
        <w:ind w:firstLine="820" w:firstLineChars="342"/>
        <w:rPr>
          <w:rFonts w:ascii="宋体" w:hAnsi="宋体" w:cs="宋体"/>
          <w:color w:val="auto"/>
          <w:sz w:val="24"/>
          <w:highlight w:val="none"/>
        </w:rPr>
      </w:pPr>
      <w:r>
        <w:rPr>
          <w:rFonts w:hint="eastAsia" w:ascii="宋体" w:hAnsi="宋体" w:cs="宋体"/>
          <w:color w:val="auto"/>
          <w:sz w:val="24"/>
          <w:highlight w:val="none"/>
        </w:rPr>
        <w:t>（3）按本章第2.</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.4（</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）目规定的评审因素和分值对投标报价因素计算出得分</w:t>
      </w:r>
      <w:r>
        <w:rPr>
          <w:rFonts w:hint="eastAsia" w:ascii="宋体" w:hAnsi="宋体" w:cs="宋体"/>
          <w:color w:val="auto"/>
          <w:sz w:val="24"/>
          <w:highlight w:val="none"/>
          <w:lang w:val="en-US" w:eastAsia="zh-CN"/>
        </w:rPr>
        <w:t>C</w:t>
      </w:r>
      <w:r>
        <w:rPr>
          <w:rFonts w:hint="eastAsia" w:ascii="宋体" w:hAnsi="宋体" w:cs="宋体"/>
          <w:color w:val="auto"/>
          <w:sz w:val="24"/>
          <w:highlight w:val="none"/>
        </w:rPr>
        <w:t>；</w:t>
      </w:r>
    </w:p>
    <w:p w14:paraId="3D3C2147">
      <w:pPr>
        <w:spacing w:line="400" w:lineRule="exact"/>
        <w:ind w:firstLine="820" w:firstLineChars="342"/>
        <w:rPr>
          <w:rFonts w:ascii="宋体" w:hAnsi="宋体" w:cs="宋体"/>
          <w:color w:val="auto"/>
          <w:sz w:val="24"/>
          <w:highlight w:val="none"/>
        </w:rPr>
      </w:pPr>
      <w:r>
        <w:rPr>
          <w:rFonts w:hint="eastAsia" w:ascii="宋体" w:hAnsi="宋体" w:cs="宋体"/>
          <w:color w:val="auto"/>
          <w:sz w:val="24"/>
          <w:highlight w:val="none"/>
        </w:rPr>
        <w:t>（4）按本章第2.</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.4（4）目规定的评审因素和分值对</w:t>
      </w:r>
      <w:r>
        <w:rPr>
          <w:rFonts w:hint="eastAsia" w:ascii="宋体" w:hAnsi="宋体" w:cs="宋体"/>
          <w:color w:val="auto"/>
          <w:sz w:val="24"/>
          <w:highlight w:val="none"/>
          <w:lang w:eastAsia="zh-CN"/>
        </w:rPr>
        <w:t>其他</w:t>
      </w:r>
      <w:r>
        <w:rPr>
          <w:rFonts w:hint="eastAsia" w:ascii="宋体" w:hAnsi="宋体" w:cs="宋体"/>
          <w:color w:val="auto"/>
          <w:sz w:val="24"/>
          <w:highlight w:val="none"/>
        </w:rPr>
        <w:t>因素计算出得分D；</w:t>
      </w:r>
    </w:p>
    <w:p w14:paraId="04E4E393">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3.2.2 评分分值计算保留小数点后两位，小数点后第三位“四舍五入”。</w:t>
      </w:r>
    </w:p>
    <w:p w14:paraId="4B50A6CC">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3.2.3 </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得分F=A+B+C+D。</w:t>
      </w:r>
    </w:p>
    <w:p w14:paraId="0BF27AA0">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3.2.4 </w:t>
      </w:r>
      <w:r>
        <w:rPr>
          <w:rFonts w:hint="eastAsia" w:ascii="宋体" w:hAnsi="宋体" w:cs="宋体"/>
          <w:color w:val="auto"/>
          <w:sz w:val="24"/>
          <w:highlight w:val="none"/>
          <w:lang w:eastAsia="zh-CN"/>
        </w:rPr>
        <w:t>磋商小组</w:t>
      </w:r>
      <w:r>
        <w:rPr>
          <w:rFonts w:hint="eastAsia" w:ascii="宋体" w:hAnsi="宋体" w:cs="宋体"/>
          <w:color w:val="auto"/>
          <w:sz w:val="24"/>
          <w:highlight w:val="none"/>
        </w:rPr>
        <w:t>发现</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的报价明显低于其他投标报价，应当要求该</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作出书面说明并提供相应的证明材料。</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不能合理说明或者不能提供相应证明材料的，由</w:t>
      </w:r>
      <w:r>
        <w:rPr>
          <w:rFonts w:hint="eastAsia" w:ascii="宋体" w:hAnsi="宋体" w:cs="宋体"/>
          <w:color w:val="auto"/>
          <w:sz w:val="24"/>
          <w:highlight w:val="none"/>
          <w:lang w:eastAsia="zh-CN"/>
        </w:rPr>
        <w:t>磋商小组</w:t>
      </w:r>
      <w:r>
        <w:rPr>
          <w:rFonts w:hint="eastAsia" w:ascii="宋体" w:hAnsi="宋体" w:cs="宋体"/>
          <w:color w:val="auto"/>
          <w:sz w:val="24"/>
          <w:highlight w:val="none"/>
        </w:rPr>
        <w:t>认定该</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以低于成本报价竞标，其投标作废标处理。</w:t>
      </w:r>
    </w:p>
    <w:p w14:paraId="2FA3EE80">
      <w:pPr>
        <w:pStyle w:val="243"/>
        <w:rPr>
          <w:rFonts w:ascii="宋体" w:hAnsi="宋体" w:eastAsia="宋体"/>
          <w:color w:val="auto"/>
          <w:szCs w:val="24"/>
          <w:highlight w:val="none"/>
        </w:rPr>
      </w:pPr>
      <w:bookmarkStart w:id="355" w:name="_Toc144974575"/>
      <w:bookmarkStart w:id="356" w:name="_Toc504654790"/>
      <w:bookmarkStart w:id="357" w:name="_Toc179632625"/>
      <w:bookmarkStart w:id="358" w:name="_Toc12079"/>
      <w:bookmarkStart w:id="359" w:name="_Toc152042385"/>
      <w:bookmarkStart w:id="360" w:name="_Toc504479757"/>
      <w:bookmarkStart w:id="361" w:name="_Toc504479305"/>
      <w:bookmarkStart w:id="362" w:name="_Toc152045607"/>
      <w:r>
        <w:rPr>
          <w:rFonts w:hint="eastAsia" w:ascii="宋体" w:hAnsi="宋体" w:eastAsia="宋体"/>
          <w:color w:val="auto"/>
          <w:szCs w:val="24"/>
          <w:highlight w:val="none"/>
        </w:rPr>
        <w:t xml:space="preserve">3.3 </w:t>
      </w:r>
      <w:r>
        <w:rPr>
          <w:rFonts w:hint="eastAsia" w:ascii="宋体" w:hAnsi="宋体" w:eastAsia="宋体"/>
          <w:color w:val="auto"/>
          <w:szCs w:val="24"/>
          <w:highlight w:val="none"/>
          <w:lang w:eastAsia="zh-CN"/>
        </w:rPr>
        <w:t>响应文件</w:t>
      </w:r>
      <w:r>
        <w:rPr>
          <w:rFonts w:hint="eastAsia" w:ascii="宋体" w:hAnsi="宋体" w:eastAsia="宋体"/>
          <w:color w:val="auto"/>
          <w:szCs w:val="24"/>
          <w:highlight w:val="none"/>
        </w:rPr>
        <w:t>的澄清</w:t>
      </w:r>
      <w:bookmarkEnd w:id="355"/>
      <w:r>
        <w:rPr>
          <w:rFonts w:hint="eastAsia" w:ascii="宋体" w:hAnsi="宋体" w:eastAsia="宋体"/>
          <w:color w:val="auto"/>
          <w:szCs w:val="24"/>
          <w:highlight w:val="none"/>
        </w:rPr>
        <w:t>和补正</w:t>
      </w:r>
      <w:bookmarkEnd w:id="356"/>
      <w:bookmarkEnd w:id="357"/>
      <w:bookmarkEnd w:id="358"/>
      <w:bookmarkEnd w:id="359"/>
      <w:bookmarkEnd w:id="360"/>
      <w:bookmarkEnd w:id="361"/>
      <w:bookmarkEnd w:id="362"/>
    </w:p>
    <w:p w14:paraId="76002539">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3.3.1在</w:t>
      </w:r>
      <w:r>
        <w:rPr>
          <w:rFonts w:hint="eastAsia" w:ascii="宋体" w:hAnsi="宋体" w:cs="宋体"/>
          <w:color w:val="auto"/>
          <w:sz w:val="24"/>
          <w:highlight w:val="none"/>
          <w:lang w:eastAsia="zh-CN"/>
        </w:rPr>
        <w:t>评审</w:t>
      </w:r>
      <w:r>
        <w:rPr>
          <w:rFonts w:hint="eastAsia" w:ascii="宋体" w:hAnsi="宋体" w:cs="宋体"/>
          <w:color w:val="auto"/>
          <w:sz w:val="24"/>
          <w:highlight w:val="none"/>
        </w:rPr>
        <w:t>过程中，</w:t>
      </w:r>
      <w:r>
        <w:rPr>
          <w:rFonts w:hint="eastAsia" w:ascii="宋体" w:hAnsi="宋体" w:cs="宋体"/>
          <w:color w:val="auto"/>
          <w:sz w:val="24"/>
          <w:highlight w:val="none"/>
          <w:lang w:eastAsia="zh-CN"/>
        </w:rPr>
        <w:t>磋商小组</w:t>
      </w:r>
      <w:r>
        <w:rPr>
          <w:rFonts w:hint="eastAsia" w:ascii="宋体" w:hAnsi="宋体" w:cs="宋体"/>
          <w:color w:val="auto"/>
          <w:sz w:val="24"/>
          <w:highlight w:val="none"/>
        </w:rPr>
        <w:t>可以书面形式要求</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对所提交</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中不明确的内容进行书面澄清或说明，或者对细微偏差进行补正。</w:t>
      </w:r>
      <w:r>
        <w:rPr>
          <w:rFonts w:hint="eastAsia" w:ascii="宋体" w:hAnsi="宋体" w:cs="宋体"/>
          <w:color w:val="auto"/>
          <w:sz w:val="24"/>
          <w:highlight w:val="none"/>
          <w:lang w:eastAsia="zh-CN"/>
        </w:rPr>
        <w:t>磋商小组</w:t>
      </w:r>
      <w:r>
        <w:rPr>
          <w:rFonts w:hint="eastAsia" w:ascii="宋体" w:hAnsi="宋体" w:cs="宋体"/>
          <w:color w:val="auto"/>
          <w:sz w:val="24"/>
          <w:highlight w:val="none"/>
        </w:rPr>
        <w:t>不接受</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主动提出的澄清、说明或补正。</w:t>
      </w:r>
    </w:p>
    <w:p w14:paraId="4A15907D">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3.3.2 澄清、说明和补正不得改变</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的实质性内容（算术性错误修正的除外）。</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的书面澄清、说明和补正属于</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的组成部分。</w:t>
      </w:r>
    </w:p>
    <w:p w14:paraId="7AD9F4B7">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3.3.3 </w:t>
      </w:r>
      <w:r>
        <w:rPr>
          <w:rFonts w:hint="eastAsia" w:ascii="宋体" w:hAnsi="宋体" w:cs="宋体"/>
          <w:color w:val="auto"/>
          <w:sz w:val="24"/>
          <w:highlight w:val="none"/>
          <w:lang w:eastAsia="zh-CN"/>
        </w:rPr>
        <w:t>磋商小组</w:t>
      </w:r>
      <w:r>
        <w:rPr>
          <w:rFonts w:hint="eastAsia" w:ascii="宋体" w:hAnsi="宋体" w:cs="宋体"/>
          <w:color w:val="auto"/>
          <w:sz w:val="24"/>
          <w:highlight w:val="none"/>
        </w:rPr>
        <w:t>对</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提交的澄清、说明或补正有疑问的，可以要求</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进一步澄清、说明或补正，直至满足</w:t>
      </w:r>
      <w:r>
        <w:rPr>
          <w:rFonts w:hint="eastAsia" w:ascii="宋体" w:hAnsi="宋体" w:cs="宋体"/>
          <w:color w:val="auto"/>
          <w:sz w:val="24"/>
          <w:highlight w:val="none"/>
          <w:lang w:eastAsia="zh-CN"/>
        </w:rPr>
        <w:t>磋商小组</w:t>
      </w:r>
      <w:r>
        <w:rPr>
          <w:rFonts w:hint="eastAsia" w:ascii="宋体" w:hAnsi="宋体" w:cs="宋体"/>
          <w:color w:val="auto"/>
          <w:sz w:val="24"/>
          <w:highlight w:val="none"/>
        </w:rPr>
        <w:t>的要求。</w:t>
      </w:r>
    </w:p>
    <w:p w14:paraId="1E04DCE2">
      <w:pPr>
        <w:pStyle w:val="243"/>
        <w:rPr>
          <w:rFonts w:ascii="宋体" w:hAnsi="宋体" w:eastAsia="宋体"/>
          <w:color w:val="auto"/>
          <w:szCs w:val="24"/>
          <w:highlight w:val="none"/>
        </w:rPr>
      </w:pPr>
      <w:bookmarkStart w:id="363" w:name="_Toc16748"/>
      <w:bookmarkStart w:id="364" w:name="_Toc504479758"/>
      <w:bookmarkStart w:id="365" w:name="_Toc152045608"/>
      <w:bookmarkStart w:id="366" w:name="_Toc179632626"/>
      <w:bookmarkStart w:id="367" w:name="_Toc504479306"/>
      <w:bookmarkStart w:id="368" w:name="_Toc152042386"/>
      <w:bookmarkStart w:id="369" w:name="_Toc144974576"/>
      <w:bookmarkStart w:id="370" w:name="_Toc504654791"/>
      <w:r>
        <w:rPr>
          <w:rFonts w:hint="eastAsia" w:ascii="宋体" w:hAnsi="宋体" w:eastAsia="宋体"/>
          <w:color w:val="auto"/>
          <w:szCs w:val="24"/>
          <w:highlight w:val="none"/>
        </w:rPr>
        <w:t xml:space="preserve">3.4 </w:t>
      </w:r>
      <w:r>
        <w:rPr>
          <w:rFonts w:hint="eastAsia" w:ascii="宋体" w:hAnsi="宋体" w:eastAsia="宋体"/>
          <w:color w:val="auto"/>
          <w:szCs w:val="24"/>
          <w:highlight w:val="none"/>
          <w:lang w:eastAsia="zh-CN"/>
        </w:rPr>
        <w:t>评审</w:t>
      </w:r>
      <w:r>
        <w:rPr>
          <w:rFonts w:hint="eastAsia" w:ascii="宋体" w:hAnsi="宋体" w:eastAsia="宋体"/>
          <w:color w:val="auto"/>
          <w:szCs w:val="24"/>
          <w:highlight w:val="none"/>
        </w:rPr>
        <w:t>结果</w:t>
      </w:r>
      <w:bookmarkEnd w:id="363"/>
      <w:bookmarkEnd w:id="364"/>
      <w:bookmarkEnd w:id="365"/>
      <w:bookmarkEnd w:id="366"/>
      <w:bookmarkEnd w:id="367"/>
      <w:bookmarkEnd w:id="368"/>
      <w:bookmarkEnd w:id="369"/>
      <w:bookmarkEnd w:id="370"/>
    </w:p>
    <w:p w14:paraId="6A5175FE">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3.4.1投标单位最终得分=（F1+F2+F3）/</w:t>
      </w:r>
      <w:r>
        <w:rPr>
          <w:rFonts w:hint="eastAsia" w:ascii="宋体" w:hAnsi="宋体" w:cs="宋体"/>
          <w:color w:val="auto"/>
          <w:sz w:val="24"/>
          <w:highlight w:val="none"/>
          <w:lang w:val="en-US" w:eastAsia="zh-CN"/>
        </w:rPr>
        <w:t>3</w:t>
      </w:r>
    </w:p>
    <w:p w14:paraId="7F8D1F7D">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3.4.2除第二章“</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须知”前附表授权直接确定</w:t>
      </w:r>
      <w:r>
        <w:rPr>
          <w:rFonts w:hint="eastAsia" w:ascii="宋体" w:hAnsi="宋体" w:cs="宋体"/>
          <w:color w:val="auto"/>
          <w:sz w:val="24"/>
          <w:highlight w:val="none"/>
          <w:lang w:eastAsia="zh-CN"/>
        </w:rPr>
        <w:t>成交供应商</w:t>
      </w:r>
      <w:r>
        <w:rPr>
          <w:rFonts w:hint="eastAsia" w:ascii="宋体" w:hAnsi="宋体" w:cs="宋体"/>
          <w:color w:val="auto"/>
          <w:sz w:val="24"/>
          <w:highlight w:val="none"/>
        </w:rPr>
        <w:t>外，</w:t>
      </w:r>
      <w:r>
        <w:rPr>
          <w:rFonts w:hint="eastAsia" w:ascii="宋体" w:hAnsi="宋体" w:cs="宋体"/>
          <w:color w:val="auto"/>
          <w:sz w:val="24"/>
          <w:highlight w:val="none"/>
          <w:lang w:eastAsia="zh-CN"/>
        </w:rPr>
        <w:t>磋商小组</w:t>
      </w:r>
      <w:r>
        <w:rPr>
          <w:rFonts w:hint="eastAsia" w:ascii="宋体" w:hAnsi="宋体" w:cs="宋体"/>
          <w:color w:val="auto"/>
          <w:sz w:val="24"/>
          <w:highlight w:val="none"/>
        </w:rPr>
        <w:t>按照得分由高到低的顺序推荐中标候选人。</w:t>
      </w:r>
    </w:p>
    <w:p w14:paraId="4F085755">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3.4.3</w:t>
      </w:r>
      <w:r>
        <w:rPr>
          <w:rFonts w:hint="eastAsia" w:ascii="宋体" w:hAnsi="宋体" w:cs="宋体"/>
          <w:color w:val="auto"/>
          <w:sz w:val="24"/>
          <w:highlight w:val="none"/>
          <w:lang w:eastAsia="zh-CN"/>
        </w:rPr>
        <w:t>磋商小组</w:t>
      </w:r>
      <w:r>
        <w:rPr>
          <w:rFonts w:hint="eastAsia" w:ascii="宋体" w:hAnsi="宋体" w:cs="宋体"/>
          <w:color w:val="auto"/>
          <w:sz w:val="24"/>
          <w:highlight w:val="none"/>
        </w:rPr>
        <w:t>完成</w:t>
      </w:r>
      <w:r>
        <w:rPr>
          <w:rFonts w:hint="eastAsia" w:ascii="宋体" w:hAnsi="宋体" w:cs="宋体"/>
          <w:color w:val="auto"/>
          <w:sz w:val="24"/>
          <w:highlight w:val="none"/>
          <w:lang w:eastAsia="zh-CN"/>
        </w:rPr>
        <w:t>评审</w:t>
      </w:r>
      <w:r>
        <w:rPr>
          <w:rFonts w:hint="eastAsia" w:ascii="宋体" w:hAnsi="宋体" w:cs="宋体"/>
          <w:color w:val="auto"/>
          <w:sz w:val="24"/>
          <w:highlight w:val="none"/>
        </w:rPr>
        <w:t>后，应当向</w:t>
      </w:r>
      <w:r>
        <w:rPr>
          <w:rFonts w:hint="eastAsia" w:ascii="宋体" w:hAnsi="宋体" w:cs="宋体"/>
          <w:color w:val="auto"/>
          <w:sz w:val="24"/>
          <w:highlight w:val="none"/>
          <w:lang w:eastAsia="zh-CN"/>
        </w:rPr>
        <w:t>采购人</w:t>
      </w:r>
      <w:r>
        <w:rPr>
          <w:rFonts w:hint="eastAsia" w:ascii="宋体" w:hAnsi="宋体" w:cs="宋体"/>
          <w:color w:val="auto"/>
          <w:sz w:val="24"/>
          <w:highlight w:val="none"/>
        </w:rPr>
        <w:t>提交书面</w:t>
      </w:r>
      <w:r>
        <w:rPr>
          <w:rFonts w:hint="eastAsia" w:ascii="宋体" w:hAnsi="宋体" w:cs="宋体"/>
          <w:color w:val="auto"/>
          <w:sz w:val="24"/>
          <w:highlight w:val="none"/>
          <w:lang w:eastAsia="zh-CN"/>
        </w:rPr>
        <w:t>评审</w:t>
      </w:r>
      <w:r>
        <w:rPr>
          <w:rFonts w:hint="eastAsia" w:ascii="宋体" w:hAnsi="宋体" w:cs="宋体"/>
          <w:color w:val="auto"/>
          <w:sz w:val="24"/>
          <w:highlight w:val="none"/>
        </w:rPr>
        <w:t>报告。</w:t>
      </w:r>
    </w:p>
    <w:p w14:paraId="3CF4F371">
      <w:pPr>
        <w:widowControl/>
        <w:spacing w:line="400" w:lineRule="exact"/>
        <w:rPr>
          <w:rFonts w:ascii="宋体" w:hAnsi="宋体"/>
          <w:color w:val="auto"/>
          <w:kern w:val="0"/>
          <w:sz w:val="28"/>
          <w:szCs w:val="28"/>
          <w:highlight w:val="none"/>
        </w:rPr>
      </w:pPr>
    </w:p>
    <w:p w14:paraId="4BFF390B">
      <w:pPr>
        <w:widowControl/>
        <w:spacing w:line="400" w:lineRule="exact"/>
        <w:rPr>
          <w:rFonts w:ascii="宋体" w:hAnsi="宋体"/>
          <w:color w:val="auto"/>
          <w:kern w:val="0"/>
          <w:sz w:val="28"/>
          <w:szCs w:val="28"/>
          <w:highlight w:val="none"/>
        </w:rPr>
      </w:pPr>
      <w:r>
        <w:rPr>
          <w:rFonts w:ascii="宋体" w:hAnsi="宋体"/>
          <w:color w:val="auto"/>
          <w:kern w:val="0"/>
          <w:sz w:val="28"/>
          <w:szCs w:val="28"/>
          <w:highlight w:val="none"/>
        </w:rPr>
        <w:t xml:space="preserve"> </w:t>
      </w:r>
    </w:p>
    <w:p w14:paraId="3C9D5A20">
      <w:pPr>
        <w:widowControl/>
        <w:spacing w:line="400" w:lineRule="exact"/>
        <w:rPr>
          <w:rFonts w:ascii="宋体" w:hAnsi="宋体"/>
          <w:color w:val="auto"/>
          <w:kern w:val="0"/>
          <w:sz w:val="28"/>
          <w:szCs w:val="28"/>
          <w:highlight w:val="none"/>
        </w:rPr>
      </w:pPr>
      <w:r>
        <w:rPr>
          <w:rFonts w:ascii="宋体" w:hAnsi="宋体"/>
          <w:color w:val="auto"/>
          <w:kern w:val="0"/>
          <w:sz w:val="28"/>
          <w:szCs w:val="28"/>
          <w:highlight w:val="none"/>
        </w:rPr>
        <w:t xml:space="preserve"> </w:t>
      </w:r>
    </w:p>
    <w:p w14:paraId="4DCC7DB6">
      <w:pPr>
        <w:widowControl/>
        <w:spacing w:line="400" w:lineRule="exact"/>
        <w:rPr>
          <w:rFonts w:ascii="宋体" w:hAnsi="宋体"/>
          <w:color w:val="auto"/>
          <w:kern w:val="0"/>
          <w:sz w:val="28"/>
          <w:szCs w:val="28"/>
          <w:highlight w:val="none"/>
        </w:rPr>
      </w:pPr>
    </w:p>
    <w:p w14:paraId="78D459F6">
      <w:pPr>
        <w:widowControl/>
        <w:spacing w:line="400" w:lineRule="exact"/>
        <w:rPr>
          <w:rFonts w:ascii="宋体" w:hAnsi="宋体"/>
          <w:color w:val="auto"/>
          <w:kern w:val="0"/>
          <w:sz w:val="28"/>
          <w:szCs w:val="28"/>
          <w:highlight w:val="none"/>
        </w:rPr>
      </w:pPr>
    </w:p>
    <w:p w14:paraId="7415678C">
      <w:pPr>
        <w:widowControl/>
        <w:spacing w:line="400" w:lineRule="exact"/>
        <w:rPr>
          <w:rFonts w:ascii="宋体" w:hAnsi="宋体"/>
          <w:color w:val="auto"/>
          <w:kern w:val="0"/>
          <w:sz w:val="28"/>
          <w:szCs w:val="28"/>
          <w:highlight w:val="none"/>
        </w:rPr>
      </w:pPr>
    </w:p>
    <w:p w14:paraId="23B2EA05">
      <w:pPr>
        <w:widowControl/>
        <w:spacing w:line="400" w:lineRule="exact"/>
        <w:rPr>
          <w:rFonts w:ascii="宋体" w:hAnsi="宋体"/>
          <w:color w:val="auto"/>
          <w:kern w:val="0"/>
          <w:sz w:val="28"/>
          <w:szCs w:val="28"/>
          <w:highlight w:val="none"/>
        </w:rPr>
      </w:pPr>
    </w:p>
    <w:p w14:paraId="61568E54">
      <w:pPr>
        <w:widowControl/>
        <w:spacing w:line="400" w:lineRule="exact"/>
        <w:rPr>
          <w:rFonts w:ascii="宋体" w:hAnsi="宋体"/>
          <w:color w:val="auto"/>
          <w:kern w:val="0"/>
          <w:sz w:val="28"/>
          <w:szCs w:val="28"/>
          <w:highlight w:val="none"/>
        </w:rPr>
      </w:pPr>
    </w:p>
    <w:p w14:paraId="08654326">
      <w:pPr>
        <w:widowControl/>
        <w:spacing w:line="400" w:lineRule="exact"/>
        <w:rPr>
          <w:rFonts w:ascii="宋体" w:hAnsi="宋体"/>
          <w:color w:val="auto"/>
          <w:kern w:val="0"/>
          <w:sz w:val="28"/>
          <w:szCs w:val="28"/>
          <w:highlight w:val="none"/>
        </w:rPr>
      </w:pPr>
    </w:p>
    <w:p w14:paraId="6E9985A0">
      <w:pPr>
        <w:widowControl/>
        <w:spacing w:line="400" w:lineRule="exact"/>
        <w:rPr>
          <w:rFonts w:ascii="宋体" w:hAnsi="宋体"/>
          <w:color w:val="auto"/>
          <w:kern w:val="0"/>
          <w:sz w:val="28"/>
          <w:szCs w:val="28"/>
          <w:highlight w:val="none"/>
        </w:rPr>
      </w:pPr>
    </w:p>
    <w:p w14:paraId="5CAA0C44">
      <w:pPr>
        <w:widowControl/>
        <w:spacing w:line="400" w:lineRule="exact"/>
        <w:rPr>
          <w:rFonts w:ascii="宋体" w:hAnsi="宋体"/>
          <w:color w:val="auto"/>
          <w:kern w:val="0"/>
          <w:sz w:val="28"/>
          <w:szCs w:val="28"/>
          <w:highlight w:val="none"/>
        </w:rPr>
      </w:pPr>
    </w:p>
    <w:p w14:paraId="6300C150">
      <w:pPr>
        <w:widowControl/>
        <w:spacing w:line="400" w:lineRule="exact"/>
        <w:rPr>
          <w:rFonts w:ascii="宋体" w:hAnsi="宋体"/>
          <w:color w:val="auto"/>
          <w:kern w:val="0"/>
          <w:sz w:val="28"/>
          <w:szCs w:val="28"/>
          <w:highlight w:val="none"/>
        </w:rPr>
      </w:pPr>
    </w:p>
    <w:p w14:paraId="6D6D1981">
      <w:pPr>
        <w:pStyle w:val="46"/>
        <w:numPr>
          <w:ilvl w:val="0"/>
          <w:numId w:val="2"/>
        </w:numPr>
        <w:spacing w:line="400" w:lineRule="exact"/>
        <w:rPr>
          <w:rFonts w:hint="eastAsia"/>
          <w:color w:val="auto"/>
          <w:highlight w:val="none"/>
        </w:rPr>
      </w:pPr>
      <w:bookmarkStart w:id="371" w:name="_Toc504654792"/>
      <w:bookmarkStart w:id="372" w:name="_Toc25878"/>
      <w:r>
        <w:rPr>
          <w:color w:val="auto"/>
          <w:highlight w:val="none"/>
        </w:rPr>
        <w:t xml:space="preserve"> </w:t>
      </w:r>
      <w:r>
        <w:rPr>
          <w:rFonts w:hint="eastAsia"/>
          <w:color w:val="auto"/>
          <w:highlight w:val="none"/>
        </w:rPr>
        <w:t>合同条款</w:t>
      </w:r>
      <w:bookmarkEnd w:id="371"/>
      <w:r>
        <w:rPr>
          <w:rFonts w:hint="eastAsia"/>
          <w:color w:val="auto"/>
          <w:highlight w:val="none"/>
        </w:rPr>
        <w:t>及格式</w:t>
      </w:r>
      <w:bookmarkEnd w:id="372"/>
    </w:p>
    <w:p w14:paraId="5141E858">
      <w:pPr>
        <w:pStyle w:val="46"/>
        <w:widowControl/>
        <w:numPr>
          <w:ilvl w:val="0"/>
          <w:numId w:val="0"/>
        </w:numPr>
        <w:spacing w:before="240" w:after="60" w:line="400" w:lineRule="exact"/>
        <w:jc w:val="center"/>
        <w:outlineLvl w:val="0"/>
        <w:rPr>
          <w:rFonts w:hint="eastAsia"/>
          <w:color w:val="auto"/>
          <w:highlight w:val="none"/>
        </w:rPr>
      </w:pPr>
    </w:p>
    <w:p w14:paraId="1FF507E0">
      <w:pPr>
        <w:pStyle w:val="46"/>
        <w:widowControl/>
        <w:numPr>
          <w:ilvl w:val="0"/>
          <w:numId w:val="0"/>
        </w:numPr>
        <w:spacing w:before="240" w:after="60" w:line="400" w:lineRule="exact"/>
        <w:jc w:val="center"/>
        <w:outlineLvl w:val="0"/>
        <w:rPr>
          <w:rFonts w:hint="eastAsia"/>
          <w:color w:val="auto"/>
          <w:highlight w:val="none"/>
        </w:rPr>
      </w:pPr>
    </w:p>
    <w:p w14:paraId="058A8C05">
      <w:pPr>
        <w:pStyle w:val="46"/>
        <w:widowControl/>
        <w:numPr>
          <w:ilvl w:val="0"/>
          <w:numId w:val="0"/>
        </w:numPr>
        <w:spacing w:before="240" w:after="60" w:line="400" w:lineRule="exact"/>
        <w:jc w:val="center"/>
        <w:outlineLvl w:val="0"/>
        <w:rPr>
          <w:rFonts w:hint="eastAsia"/>
          <w:color w:val="auto"/>
          <w:sz w:val="36"/>
          <w:szCs w:val="24"/>
          <w:highlight w:val="none"/>
        </w:rPr>
      </w:pPr>
    </w:p>
    <w:p w14:paraId="5D58F5B3">
      <w:pPr>
        <w:widowControl/>
        <w:spacing w:line="400" w:lineRule="exact"/>
        <w:jc w:val="center"/>
        <w:rPr>
          <w:rFonts w:ascii="宋体" w:hAnsi="宋体"/>
          <w:color w:val="auto"/>
          <w:kern w:val="0"/>
          <w:sz w:val="36"/>
          <w:szCs w:val="36"/>
          <w:highlight w:val="none"/>
        </w:rPr>
      </w:pPr>
    </w:p>
    <w:p w14:paraId="0E97EDAA">
      <w:pPr>
        <w:widowControl/>
        <w:spacing w:line="400" w:lineRule="exact"/>
        <w:jc w:val="center"/>
        <w:rPr>
          <w:rFonts w:ascii="宋体" w:hAnsi="宋体"/>
          <w:color w:val="auto"/>
          <w:kern w:val="0"/>
          <w:sz w:val="44"/>
          <w:szCs w:val="44"/>
          <w:highlight w:val="none"/>
        </w:rPr>
      </w:pPr>
    </w:p>
    <w:p w14:paraId="35876292">
      <w:pPr>
        <w:widowControl/>
        <w:spacing w:line="400" w:lineRule="exact"/>
        <w:jc w:val="center"/>
        <w:rPr>
          <w:rFonts w:ascii="宋体" w:hAnsi="宋体"/>
          <w:color w:val="auto"/>
          <w:kern w:val="0"/>
          <w:sz w:val="44"/>
          <w:szCs w:val="44"/>
          <w:highlight w:val="none"/>
        </w:rPr>
      </w:pPr>
    </w:p>
    <w:p w14:paraId="014CFD9C">
      <w:pPr>
        <w:widowControl/>
        <w:spacing w:line="400" w:lineRule="exact"/>
        <w:jc w:val="center"/>
        <w:rPr>
          <w:rFonts w:ascii="宋体" w:hAnsi="宋体"/>
          <w:color w:val="auto"/>
          <w:kern w:val="0"/>
          <w:sz w:val="44"/>
          <w:szCs w:val="44"/>
          <w:highlight w:val="none"/>
        </w:rPr>
      </w:pPr>
    </w:p>
    <w:p w14:paraId="04F85778">
      <w:pPr>
        <w:widowControl/>
        <w:spacing w:line="400" w:lineRule="exact"/>
        <w:jc w:val="center"/>
        <w:rPr>
          <w:rFonts w:ascii="宋体" w:hAnsi="宋体"/>
          <w:color w:val="auto"/>
          <w:kern w:val="0"/>
          <w:sz w:val="28"/>
          <w:szCs w:val="28"/>
          <w:highlight w:val="none"/>
        </w:rPr>
      </w:pPr>
    </w:p>
    <w:p w14:paraId="6DAE29FD">
      <w:pPr>
        <w:widowControl/>
        <w:spacing w:line="400" w:lineRule="exact"/>
        <w:jc w:val="center"/>
        <w:rPr>
          <w:rFonts w:ascii="宋体" w:hAnsi="宋体"/>
          <w:color w:val="auto"/>
          <w:kern w:val="0"/>
          <w:sz w:val="28"/>
          <w:szCs w:val="28"/>
          <w:highlight w:val="none"/>
        </w:rPr>
      </w:pPr>
    </w:p>
    <w:p w14:paraId="39E35AE2">
      <w:pPr>
        <w:widowControl/>
        <w:spacing w:line="400" w:lineRule="exact"/>
        <w:jc w:val="center"/>
        <w:rPr>
          <w:rFonts w:ascii="宋体" w:hAnsi="宋体"/>
          <w:color w:val="auto"/>
          <w:kern w:val="0"/>
          <w:sz w:val="28"/>
          <w:szCs w:val="28"/>
          <w:highlight w:val="none"/>
        </w:rPr>
      </w:pPr>
    </w:p>
    <w:p w14:paraId="77F08858">
      <w:pPr>
        <w:widowControl/>
        <w:spacing w:line="400" w:lineRule="exact"/>
        <w:jc w:val="center"/>
        <w:rPr>
          <w:rFonts w:ascii="宋体" w:hAnsi="宋体"/>
          <w:color w:val="auto"/>
          <w:kern w:val="0"/>
          <w:sz w:val="28"/>
          <w:szCs w:val="28"/>
          <w:highlight w:val="none"/>
        </w:rPr>
      </w:pPr>
    </w:p>
    <w:p w14:paraId="577FE622">
      <w:pPr>
        <w:widowControl/>
        <w:spacing w:line="400" w:lineRule="exact"/>
        <w:jc w:val="center"/>
        <w:rPr>
          <w:rFonts w:ascii="宋体" w:hAnsi="宋体"/>
          <w:color w:val="auto"/>
          <w:kern w:val="0"/>
          <w:sz w:val="28"/>
          <w:szCs w:val="28"/>
          <w:highlight w:val="none"/>
        </w:rPr>
      </w:pPr>
    </w:p>
    <w:p w14:paraId="12977F10">
      <w:pPr>
        <w:widowControl/>
        <w:spacing w:line="400" w:lineRule="exact"/>
        <w:jc w:val="center"/>
        <w:rPr>
          <w:rFonts w:ascii="宋体" w:hAnsi="宋体"/>
          <w:color w:val="auto"/>
          <w:kern w:val="0"/>
          <w:sz w:val="28"/>
          <w:szCs w:val="28"/>
          <w:highlight w:val="none"/>
        </w:rPr>
      </w:pPr>
    </w:p>
    <w:p w14:paraId="66ABCC0E">
      <w:pPr>
        <w:widowControl/>
        <w:spacing w:line="400" w:lineRule="exact"/>
        <w:rPr>
          <w:rFonts w:ascii="宋体" w:hAnsi="宋体"/>
          <w:color w:val="auto"/>
          <w:kern w:val="0"/>
          <w:sz w:val="28"/>
          <w:szCs w:val="28"/>
          <w:highlight w:val="none"/>
        </w:rPr>
        <w:sectPr>
          <w:footerReference r:id="rId5" w:type="default"/>
          <w:pgSz w:w="11907" w:h="16840"/>
          <w:pgMar w:top="1247" w:right="1247" w:bottom="1247" w:left="1020" w:header="851" w:footer="992" w:gutter="397"/>
          <w:pgNumType w:fmt="decimal"/>
          <w:cols w:space="720" w:num="1"/>
          <w:docGrid w:linePitch="435" w:charSpace="0"/>
        </w:sectPr>
      </w:pPr>
    </w:p>
    <w:p w14:paraId="5A45FDCD">
      <w:pPr>
        <w:spacing w:line="360" w:lineRule="auto"/>
        <w:ind w:firstLine="315" w:firstLineChars="150"/>
        <w:rPr>
          <w:rFonts w:hint="eastAsia" w:ascii="宋体" w:hAnsi="宋体"/>
          <w:color w:val="auto"/>
          <w:highlight w:val="none"/>
        </w:rPr>
      </w:pPr>
      <w:bookmarkStart w:id="373" w:name="_Toc144974833"/>
      <w:bookmarkStart w:id="374" w:name="_Toc168476292"/>
      <w:bookmarkStart w:id="375" w:name="_Toc168475889"/>
      <w:bookmarkStart w:id="376" w:name="_Toc201719183"/>
      <w:r>
        <w:rPr>
          <w:rFonts w:hint="eastAsia" w:ascii="宋体" w:hAnsi="宋体"/>
          <w:color w:val="auto"/>
          <w:kern w:val="0"/>
          <w:highlight w:val="none"/>
        </w:rPr>
        <w:t>（通用合同条款全文引用水利部《水利水电工程标准施工招标文件》</w:t>
      </w:r>
      <w:r>
        <w:rPr>
          <w:rFonts w:hint="eastAsia" w:ascii="宋体" w:hAnsi="宋体"/>
          <w:color w:val="auto"/>
          <w:szCs w:val="21"/>
          <w:highlight w:val="none"/>
        </w:rPr>
        <w:t>（2009年版）</w:t>
      </w:r>
      <w:r>
        <w:rPr>
          <w:rFonts w:hint="eastAsia" w:ascii="宋体" w:hAnsi="宋体"/>
          <w:color w:val="auto"/>
          <w:kern w:val="0"/>
          <w:highlight w:val="none"/>
        </w:rPr>
        <w:t>）</w:t>
      </w:r>
    </w:p>
    <w:p w14:paraId="626770E0">
      <w:pPr>
        <w:pStyle w:val="5"/>
        <w:rPr>
          <w:rFonts w:hint="eastAsia" w:ascii="宋体" w:hAnsi="宋体"/>
          <w:color w:val="auto"/>
          <w:sz w:val="28"/>
          <w:highlight w:val="none"/>
        </w:rPr>
      </w:pPr>
      <w:bookmarkStart w:id="377" w:name="_Toc229305362"/>
      <w:bookmarkStart w:id="378" w:name="_Toc229408497"/>
      <w:bookmarkStart w:id="379" w:name="_Toc221950662"/>
      <w:bookmarkStart w:id="380" w:name="_Toc222033853"/>
      <w:bookmarkStart w:id="381" w:name="_Toc222029502"/>
      <w:bookmarkStart w:id="382" w:name="_Toc222032671"/>
      <w:bookmarkStart w:id="383" w:name="_Toc222031004"/>
      <w:r>
        <w:rPr>
          <w:rFonts w:hint="eastAsia" w:ascii="宋体" w:hAnsi="宋体"/>
          <w:color w:val="auto"/>
          <w:sz w:val="28"/>
          <w:highlight w:val="none"/>
        </w:rPr>
        <w:t>1. 一般约定</w:t>
      </w:r>
      <w:bookmarkEnd w:id="377"/>
      <w:bookmarkEnd w:id="378"/>
      <w:bookmarkEnd w:id="379"/>
      <w:bookmarkEnd w:id="380"/>
      <w:bookmarkEnd w:id="381"/>
      <w:bookmarkEnd w:id="382"/>
      <w:bookmarkEnd w:id="383"/>
    </w:p>
    <w:p w14:paraId="3616C5C6">
      <w:pPr>
        <w:spacing w:line="360" w:lineRule="auto"/>
        <w:rPr>
          <w:rFonts w:hint="eastAsia" w:ascii="宋体" w:hAnsi="宋体"/>
          <w:b/>
          <w:color w:val="auto"/>
          <w:sz w:val="24"/>
          <w:highlight w:val="none"/>
        </w:rPr>
      </w:pPr>
      <w:bookmarkStart w:id="384" w:name="_Toc221950667"/>
      <w:r>
        <w:rPr>
          <w:rFonts w:hint="eastAsia" w:ascii="宋体" w:hAnsi="宋体"/>
          <w:b/>
          <w:color w:val="auto"/>
          <w:sz w:val="24"/>
          <w:highlight w:val="none"/>
        </w:rPr>
        <w:t>1.1词语定义</w:t>
      </w:r>
    </w:p>
    <w:p w14:paraId="58418388">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通用合同条款、专用合同条款中的下列词语应具有本款所赋予的含义。</w:t>
      </w:r>
    </w:p>
    <w:p w14:paraId="15192DE7">
      <w:pPr>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1.1.1 合同</w:t>
      </w:r>
    </w:p>
    <w:p w14:paraId="5AB44BEA">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1.1.1.1 合同文件（或称合同）：指合同协议书、中标通知书、投标函及投标函附录、专用合同条款、通用合同条款、技术标准和要求、图纸、已标价工程量清单，以及其他合同文件。</w:t>
      </w:r>
    </w:p>
    <w:p w14:paraId="56D89188">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1.1.1.2 合同协议书：指第1.5 款所指的合同协议书。</w:t>
      </w:r>
    </w:p>
    <w:p w14:paraId="1D5B93BF">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1.1.1.3 中标通知书：指发包人通知承包人中标的函件。</w:t>
      </w:r>
    </w:p>
    <w:p w14:paraId="2C9840BD">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1.1.1.4 投标函：指构成合同文件组成部分的由承包人填写并签署的投标函。</w:t>
      </w:r>
    </w:p>
    <w:p w14:paraId="3A042B9C">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1.1.1.5 投标函附录：指附在投标函后构成合同文件的投标函附录。</w:t>
      </w:r>
    </w:p>
    <w:p w14:paraId="454B95EE">
      <w:pPr>
        <w:spacing w:line="360" w:lineRule="auto"/>
        <w:ind w:firstLine="315" w:firstLineChars="150"/>
        <w:rPr>
          <w:rFonts w:hint="eastAsia" w:ascii="宋体" w:hAnsi="宋体"/>
          <w:color w:val="auto"/>
          <w:szCs w:val="21"/>
          <w:highlight w:val="none"/>
        </w:rPr>
      </w:pPr>
      <w:r>
        <w:rPr>
          <w:rFonts w:hint="eastAsia" w:ascii="宋体" w:hAnsi="宋体"/>
          <w:color w:val="auto"/>
          <w:szCs w:val="21"/>
          <w:highlight w:val="none"/>
        </w:rPr>
        <w:t xml:space="preserve"> 1.1.1.6 技术标准和要求：</w:t>
      </w:r>
      <w:bookmarkEnd w:id="384"/>
      <w:r>
        <w:rPr>
          <w:rFonts w:hint="eastAsia" w:ascii="宋体" w:hAnsi="宋体"/>
          <w:color w:val="auto"/>
          <w:szCs w:val="21"/>
          <w:highlight w:val="none"/>
        </w:rPr>
        <w:t>指构成合同文件组成部分的名为技术标准和要求（合同技术条款）的文件，包括合同双方当事人约定对其所作的修改或补充。</w:t>
      </w:r>
    </w:p>
    <w:p w14:paraId="726CDAA7">
      <w:pPr>
        <w:spacing w:line="360" w:lineRule="auto"/>
        <w:ind w:firstLine="420" w:firstLineChars="200"/>
        <w:rPr>
          <w:rFonts w:hint="eastAsia" w:ascii="宋体" w:hAnsi="宋体"/>
          <w:color w:val="auto"/>
          <w:szCs w:val="21"/>
          <w:highlight w:val="none"/>
        </w:rPr>
      </w:pPr>
      <w:bookmarkStart w:id="385" w:name="_Toc221950668"/>
      <w:r>
        <w:rPr>
          <w:rFonts w:hint="eastAsia" w:ascii="宋体" w:hAnsi="宋体"/>
          <w:color w:val="auto"/>
          <w:szCs w:val="21"/>
          <w:highlight w:val="none"/>
        </w:rPr>
        <w:t>1.1.1.7 图纸：指列入合同的招标图纸、投标图纸和发包人按合同约定向承包人提供的施工图纸和其他图纸</w:t>
      </w:r>
      <w:r>
        <w:rPr>
          <w:rFonts w:hint="eastAsia" w:ascii="宋体" w:hAnsi="宋体"/>
          <w:color w:val="auto"/>
          <w:szCs w:val="21"/>
          <w:highlight w:val="none"/>
          <w:lang w:eastAsia="zh-CN"/>
        </w:rPr>
        <w:t>（</w:t>
      </w:r>
      <w:r>
        <w:rPr>
          <w:rFonts w:hint="eastAsia" w:ascii="宋体" w:hAnsi="宋体"/>
          <w:color w:val="auto"/>
          <w:szCs w:val="21"/>
          <w:highlight w:val="none"/>
        </w:rPr>
        <w:t>包括配套说明和有关资料</w:t>
      </w:r>
      <w:r>
        <w:rPr>
          <w:rFonts w:hint="eastAsia" w:ascii="宋体" w:hAnsi="宋体"/>
          <w:color w:val="auto"/>
          <w:szCs w:val="21"/>
          <w:highlight w:val="none"/>
          <w:lang w:eastAsia="zh-CN"/>
        </w:rPr>
        <w:t>）</w:t>
      </w:r>
      <w:r>
        <w:rPr>
          <w:rFonts w:hint="eastAsia" w:ascii="宋体" w:hAnsi="宋体"/>
          <w:color w:val="auto"/>
          <w:szCs w:val="21"/>
          <w:highlight w:val="none"/>
        </w:rPr>
        <w:t>。</w:t>
      </w:r>
      <w:bookmarkEnd w:id="385"/>
      <w:r>
        <w:rPr>
          <w:rFonts w:hint="eastAsia" w:ascii="宋体" w:hAnsi="宋体"/>
          <w:color w:val="auto"/>
          <w:szCs w:val="21"/>
          <w:highlight w:val="none"/>
        </w:rPr>
        <w:t>列入合同的招标图纸已成为合同文件的一部分，具有合同效力，主要用于在履行合同过程中作为衡量变更的依据，但不能直接用于施工。经发包人确认进入合同的投标图纸亦成为合同文件的一部分，用于在履行合同中检验承包人是否按其投标时承诺的条件进行施工的依据，亦不能直接用于施工。</w:t>
      </w:r>
    </w:p>
    <w:p w14:paraId="1D24155D">
      <w:pPr>
        <w:spacing w:line="360" w:lineRule="auto"/>
        <w:ind w:firstLine="420" w:firstLineChars="200"/>
        <w:rPr>
          <w:rFonts w:hint="eastAsia" w:ascii="宋体" w:hAnsi="宋体"/>
          <w:color w:val="auto"/>
          <w:szCs w:val="21"/>
          <w:highlight w:val="none"/>
        </w:rPr>
      </w:pPr>
      <w:bookmarkStart w:id="386" w:name="_Toc221950674"/>
      <w:r>
        <w:rPr>
          <w:rFonts w:hint="eastAsia" w:ascii="宋体" w:hAnsi="宋体"/>
          <w:color w:val="auto"/>
          <w:szCs w:val="21"/>
          <w:highlight w:val="none"/>
        </w:rPr>
        <w:t xml:space="preserve">1.1.1.8 </w:t>
      </w:r>
      <w:r>
        <w:rPr>
          <w:rFonts w:hint="eastAsia" w:ascii="宋体" w:hAnsi="宋体"/>
          <w:color w:val="auto"/>
          <w:szCs w:val="21"/>
          <w:highlight w:val="none"/>
          <w:lang w:eastAsia="zh-CN"/>
        </w:rPr>
        <w:t>已</w:t>
      </w:r>
      <w:r>
        <w:rPr>
          <w:rFonts w:hint="eastAsia" w:ascii="宋体" w:hAnsi="宋体"/>
          <w:color w:val="auto"/>
          <w:szCs w:val="21"/>
          <w:highlight w:val="none"/>
        </w:rPr>
        <w:t>标价工程量清单：指构成合同文件组成部分的由承包人按照规定的格式和要求填写并标明价格的工程量清单。</w:t>
      </w:r>
    </w:p>
    <w:p w14:paraId="655FA03E">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1.1.1.9 其他合同文件：指经合同双方当事人确认构成合同文件的其他文件。</w:t>
      </w:r>
    </w:p>
    <w:p w14:paraId="72325C88">
      <w:pPr>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1.1.2 合同当事人和人员</w:t>
      </w:r>
    </w:p>
    <w:p w14:paraId="05E6473A">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1.1.2.1 合同当事人：指发包人和（或）承包人。</w:t>
      </w:r>
    </w:p>
    <w:p w14:paraId="041B31C9">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1.1.2.2 发包人：指专用合同条款中指明并与承包人在合同协议书中签字的当事人。</w:t>
      </w:r>
    </w:p>
    <w:p w14:paraId="30FDC1E3">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1.1.2.3 承包人：指专用合同条款中指明并与发包人在合同协议书签字的当事人。</w:t>
      </w:r>
    </w:p>
    <w:p w14:paraId="744EDE27">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1.1.2.4 承包人项目经理：指承包人派驻施工场地的全权负责人。</w:t>
      </w:r>
    </w:p>
    <w:p w14:paraId="2C6237BF">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1.1.2.5 分包人：指在专用合同条款中指明的，从承包人处分包合同中某一部分工程，并与其签分包合同的分包人。</w:t>
      </w:r>
    </w:p>
    <w:p w14:paraId="4033D830">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1.1.2.6 监理人：指在专用合同条款中指明的，受发包人委托对合同履行实施管理的法人或其他组织。</w:t>
      </w:r>
    </w:p>
    <w:p w14:paraId="43A40915">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1.1.2.7 总监理工程师（总监）：指由监理人委派常驻施工场地对合同履行实施管理的全权负责人。</w:t>
      </w:r>
    </w:p>
    <w:p w14:paraId="74C2CD88">
      <w:pPr>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1.1.3 工程和设备</w:t>
      </w:r>
    </w:p>
    <w:p w14:paraId="1A70C66B">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1.1.3.1 工程：指永久工程和（或）临时工程。</w:t>
      </w:r>
    </w:p>
    <w:p w14:paraId="1F6B0226">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1.1.3.2 永久工程：指按合同约定建造并移交给发包人的工程，包括工程设备。</w:t>
      </w:r>
    </w:p>
    <w:p w14:paraId="0E532372">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1.1.3.3 临时工程：指为完成合同约定的永久工程所修建的各类临时性工程，不包括施工设备。</w:t>
      </w:r>
    </w:p>
    <w:p w14:paraId="59B4B8A6">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1.1.3.4 单位工程：指专用合同条款中指明特定范围的永久工程。</w:t>
      </w:r>
    </w:p>
    <w:p w14:paraId="296537C6">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1.1.3.5 工程设备：指构成或计划构成永久工程一部分的机电设备、金属结构设备、仪器装置及其他类似的设备和装置。</w:t>
      </w:r>
    </w:p>
    <w:p w14:paraId="4A2C6691">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1.1.3.6 施工设备：指为完成合同约定的各项工作所需的设备、器具和其他物品，不包括临时工程和材料。</w:t>
      </w:r>
    </w:p>
    <w:p w14:paraId="32783EF9">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1.1.3.7 临时设施：指为完成合同约定的各项工作所服务的临时性生产和生活设施。</w:t>
      </w:r>
    </w:p>
    <w:p w14:paraId="3864740D">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1.1.3.8 承包人设备：指承包人自带的施工设备。</w:t>
      </w:r>
    </w:p>
    <w:p w14:paraId="06C359A1">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1.1.3.9 施工场地（或称工地、现场）：指用于合同工程施工的场所，以及在合同中指定作为施工场地组成部分的其他场所，包括永久占地和临时占地。</w:t>
      </w:r>
    </w:p>
    <w:p w14:paraId="56C61417">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1.1.3.10 永久占地：指发包人为建设本合同工程永久征用的场地。</w:t>
      </w:r>
      <w:bookmarkEnd w:id="386"/>
    </w:p>
    <w:p w14:paraId="20414025">
      <w:pPr>
        <w:autoSpaceDE w:val="0"/>
        <w:autoSpaceDN w:val="0"/>
        <w:adjustRightInd w:val="0"/>
        <w:spacing w:line="360" w:lineRule="auto"/>
        <w:ind w:firstLine="420" w:firstLineChars="200"/>
        <w:jc w:val="left"/>
        <w:rPr>
          <w:rFonts w:ascii="宋体" w:hAnsi="宋体" w:cs="宋体"/>
          <w:color w:val="auto"/>
          <w:kern w:val="0"/>
          <w:szCs w:val="21"/>
          <w:highlight w:val="none"/>
        </w:rPr>
      </w:pPr>
      <w:bookmarkStart w:id="387" w:name="_Toc221950675"/>
      <w:r>
        <w:rPr>
          <w:rFonts w:hint="eastAsia" w:ascii="宋体" w:hAnsi="宋体"/>
          <w:color w:val="auto"/>
          <w:szCs w:val="21"/>
          <w:highlight w:val="none"/>
        </w:rPr>
        <w:t>1.1.3.11 临时占地：指发包人为建设本合同工程临时征用，承包人在完工后须按合同要求退还的场地</w:t>
      </w:r>
      <w:bookmarkEnd w:id="387"/>
    </w:p>
    <w:p w14:paraId="68B20407">
      <w:pPr>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1.1.4 日期</w:t>
      </w:r>
    </w:p>
    <w:p w14:paraId="7FD57679">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1.1.4.1 开工通知：指监理人按第11.1 款通知承包人开工的函件。</w:t>
      </w:r>
    </w:p>
    <w:p w14:paraId="7DC08FCD">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1.1.4.2 开工日期：指监理人按第11.1 款发出的开工通知中写明的开工日期。</w:t>
      </w:r>
    </w:p>
    <w:p w14:paraId="109778CE">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1.1.4.3 工期：指承包人在投标函中承诺的完成合同工程所需的期限，包括按第11.3 款、第11.4 款和第11.6 款约定所</w:t>
      </w:r>
      <w:r>
        <w:rPr>
          <w:rFonts w:hint="eastAsia" w:ascii="宋体" w:hAnsi="宋体"/>
          <w:color w:val="auto"/>
          <w:szCs w:val="21"/>
          <w:highlight w:val="none"/>
          <w:lang w:eastAsia="zh-CN"/>
        </w:rPr>
        <w:t>做</w:t>
      </w:r>
      <w:r>
        <w:rPr>
          <w:rFonts w:hint="eastAsia" w:ascii="宋体" w:hAnsi="宋体"/>
          <w:color w:val="auto"/>
          <w:szCs w:val="21"/>
          <w:highlight w:val="none"/>
        </w:rPr>
        <w:t>的变更。</w:t>
      </w:r>
    </w:p>
    <w:p w14:paraId="6F257BE8">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1.1.4.4 竣工日期：即合同工程完工日期，指第1.1.4.3 目约定工期届满时的日期。实际竣工完成日期以合同工程完工证书中写明的日期为准。</w:t>
      </w:r>
    </w:p>
    <w:p w14:paraId="53703A09">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1.1.4.5 缺陷责任期：即工程质量保修期，指履行第19.2 款约定的缺陷责任的期限，包括根据第19.3 款约定所作的延长，具体期限由专用合同条款约定。</w:t>
      </w:r>
    </w:p>
    <w:p w14:paraId="0EB04065">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1.1.4.6 基准日期：指投标截止时间前28 天的日期。</w:t>
      </w:r>
    </w:p>
    <w:p w14:paraId="1207C398">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1.1.4.7 天：除特别指明外，指日历天。合同中按天计算时间的，开始当天不计入，从次日开始计算。期限最后一天的截止时间为当天24:00。</w:t>
      </w:r>
    </w:p>
    <w:p w14:paraId="3BD124D5">
      <w:pPr>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1.1.5 合同价格和费用</w:t>
      </w:r>
    </w:p>
    <w:p w14:paraId="199B6EAF">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1.1.5.1 签约合同价：指</w:t>
      </w:r>
      <w:r>
        <w:rPr>
          <w:rFonts w:hint="eastAsia" w:ascii="宋体" w:hAnsi="宋体"/>
          <w:color w:val="auto"/>
          <w:szCs w:val="21"/>
          <w:highlight w:val="none"/>
          <w:lang w:eastAsia="zh-CN"/>
        </w:rPr>
        <w:t>签订合同时</w:t>
      </w:r>
      <w:r>
        <w:rPr>
          <w:rFonts w:hint="eastAsia" w:ascii="宋体" w:hAnsi="宋体"/>
          <w:color w:val="auto"/>
          <w:szCs w:val="21"/>
          <w:highlight w:val="none"/>
        </w:rPr>
        <w:t>合同协议书中写明的，包括了暂列金额、暂估价的合同总金额。</w:t>
      </w:r>
    </w:p>
    <w:p w14:paraId="38E95DFB">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1.1.5.2 合同价格：指承包人按合同约定完成了包括缺陷责任期内的全部承包工作后，发包人应付给承包人的金额，包括在履行合同过程中按合同约定进行的变更和调整。</w:t>
      </w:r>
    </w:p>
    <w:p w14:paraId="4DF13F4A">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1.1.5.3 费用：指为履行合同所发生的或将要发生的所有合理开支，包括管理费和应分摊的其他费用，但不包括利润。</w:t>
      </w:r>
    </w:p>
    <w:p w14:paraId="4E1D2435">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1.1.5.4 暂列金额：指已标价工程量清单中所列的暂列金额，用于在签订协议书时尚未确定或不可预见变更的施工及其所需材料、工程设备、服务等的金额，包括以计日工方式支付的金额。</w:t>
      </w:r>
    </w:p>
    <w:p w14:paraId="531F2E05">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1.1.5.5 暂估价：指发包人在工程量清单中给定的用于支付必然发生但暂时不能确定价格的材料、设备以及专业工程的金额。</w:t>
      </w:r>
    </w:p>
    <w:p w14:paraId="6A691C85">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1.1.5.6 计日工：指对零星工作采取的一种计价方式，按合同中的计日工子目及其单价计价付款。</w:t>
      </w:r>
    </w:p>
    <w:p w14:paraId="6D5DD2EC">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1.1.5.7 质量保证金（或称保留金）：指按第17.4.1项约定用于保证在缺陷责任期内履行缺陷修复义务的金额。</w:t>
      </w:r>
    </w:p>
    <w:p w14:paraId="30EBF98E">
      <w:pPr>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1.1.6 其他</w:t>
      </w:r>
    </w:p>
    <w:p w14:paraId="70F8AD42">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1.1.6.1 书面形式：指合同文件、信函、电报、传真等可以有形地表现所载内容的形式。</w:t>
      </w:r>
    </w:p>
    <w:p w14:paraId="34EB2BAD">
      <w:pPr>
        <w:spacing w:line="360" w:lineRule="auto"/>
        <w:rPr>
          <w:rFonts w:hint="eastAsia" w:ascii="宋体" w:hAnsi="宋体"/>
          <w:b/>
          <w:color w:val="auto"/>
          <w:sz w:val="24"/>
          <w:highlight w:val="none"/>
        </w:rPr>
      </w:pPr>
      <w:r>
        <w:rPr>
          <w:rFonts w:hint="eastAsia" w:ascii="宋体" w:hAnsi="宋体"/>
          <w:b/>
          <w:color w:val="auto"/>
          <w:sz w:val="24"/>
          <w:highlight w:val="none"/>
        </w:rPr>
        <w:t>1.2 语言文字</w:t>
      </w:r>
    </w:p>
    <w:p w14:paraId="024ED2F5">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除专用术语外，合同使用的语言文字为中文。必要时专用术语应附有中文注释。</w:t>
      </w:r>
    </w:p>
    <w:p w14:paraId="4BEB4FB0">
      <w:pPr>
        <w:spacing w:line="360" w:lineRule="auto"/>
        <w:rPr>
          <w:rFonts w:hint="eastAsia" w:ascii="宋体" w:hAnsi="宋体"/>
          <w:b/>
          <w:color w:val="auto"/>
          <w:sz w:val="24"/>
          <w:highlight w:val="none"/>
        </w:rPr>
      </w:pPr>
      <w:r>
        <w:rPr>
          <w:rFonts w:hint="eastAsia" w:ascii="宋体" w:hAnsi="宋体"/>
          <w:b/>
          <w:color w:val="auto"/>
          <w:sz w:val="24"/>
          <w:highlight w:val="none"/>
        </w:rPr>
        <w:t>1.3 法律</w:t>
      </w:r>
    </w:p>
    <w:p w14:paraId="11B20D6F">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适用于合同的法律包括中华人民共和国法律、行政法规、部门规章，以及工程所在地的</w:t>
      </w:r>
      <w:r>
        <w:rPr>
          <w:rFonts w:hint="eastAsia" w:ascii="宋体" w:hAnsi="宋体"/>
          <w:color w:val="auto"/>
          <w:szCs w:val="21"/>
          <w:highlight w:val="none"/>
          <w:lang w:eastAsia="zh-CN"/>
        </w:rPr>
        <w:t>地方性法规</w:t>
      </w:r>
      <w:r>
        <w:rPr>
          <w:rFonts w:hint="eastAsia" w:ascii="宋体" w:hAnsi="宋体"/>
          <w:color w:val="auto"/>
          <w:szCs w:val="21"/>
          <w:highlight w:val="none"/>
        </w:rPr>
        <w:t>、自治条例、单行条例和地方政府规章。</w:t>
      </w:r>
    </w:p>
    <w:p w14:paraId="1428186D">
      <w:pPr>
        <w:spacing w:line="360" w:lineRule="auto"/>
        <w:rPr>
          <w:rFonts w:hint="eastAsia" w:ascii="宋体" w:hAnsi="宋体"/>
          <w:b/>
          <w:color w:val="auto"/>
          <w:sz w:val="24"/>
          <w:highlight w:val="none"/>
        </w:rPr>
      </w:pPr>
      <w:r>
        <w:rPr>
          <w:rFonts w:hint="eastAsia" w:ascii="宋体" w:hAnsi="宋体"/>
          <w:b/>
          <w:color w:val="auto"/>
          <w:sz w:val="24"/>
          <w:highlight w:val="none"/>
        </w:rPr>
        <w:t>1.4 合同文件的优先顺序</w:t>
      </w:r>
    </w:p>
    <w:p w14:paraId="7EC6E558">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组成合同的各项文件应互相解释，互为说明。除专用合同条款另有约定外，解释合同文件的优先顺序如下：</w:t>
      </w:r>
    </w:p>
    <w:p w14:paraId="0F42AC7F">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l）合同协议书；</w:t>
      </w:r>
    </w:p>
    <w:p w14:paraId="0786EBB9">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2）中标通知书；</w:t>
      </w:r>
    </w:p>
    <w:p w14:paraId="690D518F">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3）投标函及投标函附录；</w:t>
      </w:r>
    </w:p>
    <w:p w14:paraId="5B52BFC5">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4）专用合同条款；</w:t>
      </w:r>
    </w:p>
    <w:p w14:paraId="336DD0E1">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5）通用合同条款；</w:t>
      </w:r>
    </w:p>
    <w:p w14:paraId="472833F2">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6）技术标准和要求；</w:t>
      </w:r>
    </w:p>
    <w:p w14:paraId="28663A36">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7）图纸；</w:t>
      </w:r>
    </w:p>
    <w:p w14:paraId="5815377F">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8）已标价工程量清单；</w:t>
      </w:r>
    </w:p>
    <w:p w14:paraId="4E85C536">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9）其他合同文件。</w:t>
      </w:r>
    </w:p>
    <w:p w14:paraId="4888779A">
      <w:pPr>
        <w:spacing w:line="360" w:lineRule="auto"/>
        <w:rPr>
          <w:rFonts w:hint="eastAsia" w:ascii="宋体" w:hAnsi="宋体"/>
          <w:b/>
          <w:color w:val="auto"/>
          <w:sz w:val="24"/>
          <w:highlight w:val="none"/>
        </w:rPr>
      </w:pPr>
      <w:r>
        <w:rPr>
          <w:rFonts w:hint="eastAsia" w:ascii="宋体" w:hAnsi="宋体"/>
          <w:b/>
          <w:color w:val="auto"/>
          <w:sz w:val="24"/>
          <w:highlight w:val="none"/>
        </w:rPr>
        <w:t>1.5 合同协议书</w:t>
      </w:r>
    </w:p>
    <w:p w14:paraId="16F16439">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承包人按中标通知书规定的时间与发包人签订合同协议书。除法律另有规定或合同另有约定外，发包人和承包人的法定代表人或其委托代理人在合同协议书上签字并盖单位章后，合同生效。</w:t>
      </w:r>
    </w:p>
    <w:p w14:paraId="5288C075">
      <w:pPr>
        <w:spacing w:line="360" w:lineRule="auto"/>
        <w:rPr>
          <w:rFonts w:hint="eastAsia" w:ascii="宋体" w:hAnsi="宋体"/>
          <w:b/>
          <w:color w:val="auto"/>
          <w:sz w:val="24"/>
          <w:highlight w:val="none"/>
        </w:rPr>
      </w:pPr>
      <w:bookmarkStart w:id="388" w:name="_Toc221950693"/>
      <w:r>
        <w:rPr>
          <w:rFonts w:hint="eastAsia" w:ascii="宋体" w:hAnsi="宋体"/>
          <w:b/>
          <w:color w:val="auto"/>
          <w:sz w:val="24"/>
          <w:highlight w:val="none"/>
        </w:rPr>
        <w:t>1.6图纸和承包人文件</w:t>
      </w:r>
    </w:p>
    <w:p w14:paraId="3ECB49BE">
      <w:pPr>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1.6.1 图纸的提供</w:t>
      </w:r>
    </w:p>
    <w:bookmarkEnd w:id="388"/>
    <w:p w14:paraId="4A8EA68E">
      <w:pPr>
        <w:spacing w:line="360" w:lineRule="auto"/>
        <w:ind w:firstLine="420" w:firstLineChars="200"/>
        <w:rPr>
          <w:rFonts w:hint="eastAsia" w:ascii="宋体" w:hAnsi="宋体"/>
          <w:color w:val="auto"/>
          <w:szCs w:val="21"/>
          <w:highlight w:val="none"/>
        </w:rPr>
      </w:pPr>
      <w:bookmarkStart w:id="389" w:name="_Toc221950694"/>
      <w:r>
        <w:rPr>
          <w:rFonts w:hint="eastAsia" w:ascii="宋体" w:hAnsi="宋体"/>
          <w:color w:val="auto"/>
          <w:szCs w:val="21"/>
          <w:highlight w:val="none"/>
        </w:rPr>
        <w:t>发包人应按技术标准和要求（合同技术条款）约定的期限和数量将施工图纸以及其他的图纸（包括配套说明和有关资料）提供给承包人。</w:t>
      </w:r>
      <w:bookmarkEnd w:id="389"/>
      <w:r>
        <w:rPr>
          <w:rFonts w:hint="eastAsia" w:ascii="宋体" w:hAnsi="宋体"/>
          <w:color w:val="auto"/>
          <w:szCs w:val="21"/>
          <w:highlight w:val="none"/>
        </w:rPr>
        <w:t>由于发包人未按时提供图纸造成工期延误的，按第11.3 款的约定办理。</w:t>
      </w:r>
    </w:p>
    <w:p w14:paraId="00CD308B">
      <w:pPr>
        <w:spacing w:line="360" w:lineRule="auto"/>
        <w:ind w:firstLine="422" w:firstLineChars="200"/>
        <w:rPr>
          <w:rFonts w:hint="eastAsia" w:ascii="宋体" w:hAnsi="宋体"/>
          <w:b/>
          <w:color w:val="auto"/>
          <w:szCs w:val="21"/>
          <w:highlight w:val="none"/>
        </w:rPr>
      </w:pPr>
      <w:bookmarkStart w:id="390" w:name="_Toc221950695"/>
      <w:r>
        <w:rPr>
          <w:rFonts w:ascii="宋体" w:hAnsi="宋体"/>
          <w:b/>
          <w:color w:val="auto"/>
          <w:szCs w:val="21"/>
          <w:highlight w:val="none"/>
        </w:rPr>
        <w:t>1</w:t>
      </w:r>
      <w:r>
        <w:rPr>
          <w:rFonts w:hint="eastAsia" w:ascii="宋体" w:hAnsi="宋体"/>
          <w:b/>
          <w:color w:val="auto"/>
          <w:szCs w:val="21"/>
          <w:highlight w:val="none"/>
        </w:rPr>
        <w:t>.</w:t>
      </w:r>
      <w:r>
        <w:rPr>
          <w:rFonts w:ascii="宋体" w:hAnsi="宋体"/>
          <w:b/>
          <w:color w:val="auto"/>
          <w:szCs w:val="21"/>
          <w:highlight w:val="none"/>
        </w:rPr>
        <w:t>6</w:t>
      </w:r>
      <w:r>
        <w:rPr>
          <w:rFonts w:hint="eastAsia" w:ascii="宋体" w:hAnsi="宋体"/>
          <w:b/>
          <w:color w:val="auto"/>
          <w:szCs w:val="21"/>
          <w:highlight w:val="none"/>
        </w:rPr>
        <w:t>.</w:t>
      </w:r>
      <w:r>
        <w:rPr>
          <w:rFonts w:ascii="宋体" w:hAnsi="宋体"/>
          <w:b/>
          <w:color w:val="auto"/>
          <w:szCs w:val="21"/>
          <w:highlight w:val="none"/>
        </w:rPr>
        <w:t>2</w:t>
      </w:r>
      <w:r>
        <w:rPr>
          <w:rFonts w:hint="eastAsia" w:ascii="宋体" w:hAnsi="宋体"/>
          <w:b/>
          <w:color w:val="auto"/>
          <w:szCs w:val="21"/>
          <w:highlight w:val="none"/>
        </w:rPr>
        <w:t xml:space="preserve"> </w:t>
      </w:r>
      <w:bookmarkEnd w:id="390"/>
      <w:bookmarkStart w:id="391" w:name="_Toc221950696"/>
      <w:r>
        <w:rPr>
          <w:rFonts w:hint="eastAsia" w:ascii="宋体" w:hAnsi="宋体"/>
          <w:b/>
          <w:color w:val="auto"/>
          <w:szCs w:val="21"/>
          <w:highlight w:val="none"/>
        </w:rPr>
        <w:t>承包人提供的文件</w:t>
      </w:r>
    </w:p>
    <w:p w14:paraId="741298FF">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承包人的文件应按技术标准和要求（合同技术条款）约定的期限和数量提供给监理人。监理人应按技术标准和要求（合同技术条款）约定的期限批复承包人。</w:t>
      </w:r>
      <w:bookmarkEnd w:id="391"/>
    </w:p>
    <w:p w14:paraId="45356BBB">
      <w:pPr>
        <w:spacing w:line="360" w:lineRule="auto"/>
        <w:ind w:firstLine="422" w:firstLineChars="200"/>
        <w:rPr>
          <w:rFonts w:hint="eastAsia" w:ascii="宋体" w:hAnsi="宋体"/>
          <w:b/>
          <w:color w:val="auto"/>
          <w:szCs w:val="21"/>
          <w:highlight w:val="none"/>
        </w:rPr>
      </w:pPr>
      <w:bookmarkStart w:id="392" w:name="_Toc221950697"/>
      <w:r>
        <w:rPr>
          <w:rFonts w:ascii="宋体" w:hAnsi="宋体"/>
          <w:b/>
          <w:color w:val="auto"/>
          <w:szCs w:val="21"/>
          <w:highlight w:val="none"/>
        </w:rPr>
        <w:t>1</w:t>
      </w:r>
      <w:r>
        <w:rPr>
          <w:rFonts w:hint="eastAsia" w:ascii="宋体" w:hAnsi="宋体"/>
          <w:b/>
          <w:color w:val="auto"/>
          <w:szCs w:val="21"/>
          <w:highlight w:val="none"/>
        </w:rPr>
        <w:t>.</w:t>
      </w:r>
      <w:r>
        <w:rPr>
          <w:rFonts w:ascii="宋体" w:hAnsi="宋体"/>
          <w:b/>
          <w:color w:val="auto"/>
          <w:szCs w:val="21"/>
          <w:highlight w:val="none"/>
        </w:rPr>
        <w:t>6</w:t>
      </w:r>
      <w:r>
        <w:rPr>
          <w:rFonts w:hint="eastAsia" w:ascii="宋体" w:hAnsi="宋体"/>
          <w:b/>
          <w:color w:val="auto"/>
          <w:szCs w:val="21"/>
          <w:highlight w:val="none"/>
        </w:rPr>
        <w:t>.</w:t>
      </w:r>
      <w:r>
        <w:rPr>
          <w:rFonts w:ascii="宋体" w:hAnsi="宋体"/>
          <w:b/>
          <w:color w:val="auto"/>
          <w:szCs w:val="21"/>
          <w:highlight w:val="none"/>
        </w:rPr>
        <w:t>3</w:t>
      </w:r>
      <w:r>
        <w:rPr>
          <w:rFonts w:hint="eastAsia" w:ascii="宋体" w:hAnsi="宋体"/>
          <w:b/>
          <w:color w:val="auto"/>
          <w:szCs w:val="21"/>
          <w:highlight w:val="none"/>
        </w:rPr>
        <w:t xml:space="preserve">  </w:t>
      </w:r>
      <w:bookmarkEnd w:id="392"/>
      <w:bookmarkStart w:id="393" w:name="_Toc221950698"/>
      <w:r>
        <w:rPr>
          <w:rFonts w:hint="eastAsia" w:ascii="宋体" w:hAnsi="宋体"/>
          <w:b/>
          <w:color w:val="auto"/>
          <w:szCs w:val="21"/>
          <w:highlight w:val="none"/>
        </w:rPr>
        <w:t>图纸的修改</w:t>
      </w:r>
    </w:p>
    <w:p w14:paraId="7430A9ED">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设计人需要对已发给承包人的施工图纸进行修改时，监理人应在技术标准和要求（合同技术条款）约定的期限内签发施工图纸的修改图给承包人</w:t>
      </w:r>
      <w:r>
        <w:rPr>
          <w:rFonts w:hint="eastAsia" w:ascii="宋体" w:hAnsi="宋体"/>
          <w:color w:val="auto"/>
          <w:sz w:val="24"/>
          <w:highlight w:val="none"/>
        </w:rPr>
        <w:t>。</w:t>
      </w:r>
      <w:bookmarkEnd w:id="393"/>
      <w:r>
        <w:rPr>
          <w:rFonts w:hint="eastAsia" w:ascii="宋体" w:hAnsi="宋体"/>
          <w:color w:val="auto"/>
          <w:szCs w:val="21"/>
          <w:highlight w:val="none"/>
        </w:rPr>
        <w:t>承包人应按技术标准和要求（合同技术条款）约定的编制一份承包人实施计划提交监理人批准后执行。</w:t>
      </w:r>
    </w:p>
    <w:p w14:paraId="6F1D4076">
      <w:pPr>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1.6.4 图纸的错误</w:t>
      </w:r>
    </w:p>
    <w:p w14:paraId="63366220">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承包人发现发包人提供的图纸存在明显错误或疏忽，应及时通知监理人。</w:t>
      </w:r>
    </w:p>
    <w:p w14:paraId="5DF6E633">
      <w:pPr>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1.6.5 图纸和承包人文件的保管</w:t>
      </w:r>
    </w:p>
    <w:p w14:paraId="5FB96C49">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监理人和承包人均应在施工场地各保存一套完整的包含第1.6.1 项、第1.6.2 项、第1.6.3 项约定内容的图纸和承包人文件。</w:t>
      </w:r>
    </w:p>
    <w:p w14:paraId="1C547A5D">
      <w:pPr>
        <w:spacing w:line="360" w:lineRule="auto"/>
        <w:rPr>
          <w:rFonts w:hint="eastAsia" w:ascii="宋体" w:hAnsi="宋体"/>
          <w:b/>
          <w:color w:val="auto"/>
          <w:sz w:val="24"/>
          <w:highlight w:val="none"/>
        </w:rPr>
      </w:pPr>
      <w:r>
        <w:rPr>
          <w:rFonts w:hint="eastAsia" w:ascii="宋体" w:hAnsi="宋体"/>
          <w:b/>
          <w:color w:val="auto"/>
          <w:sz w:val="24"/>
          <w:highlight w:val="none"/>
        </w:rPr>
        <w:t>1.7 联络</w:t>
      </w:r>
    </w:p>
    <w:p w14:paraId="30C2252F">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1.7.1 与合同有关的通知、批准、证明、证书、指示、要求、请求、同意、意见、确定和决定等，均应采用书面形式。</w:t>
      </w:r>
    </w:p>
    <w:p w14:paraId="31947F86">
      <w:pPr>
        <w:spacing w:line="360" w:lineRule="auto"/>
        <w:ind w:firstLine="420" w:firstLineChars="200"/>
        <w:rPr>
          <w:rFonts w:hint="eastAsia" w:ascii="宋体" w:hAnsi="宋体"/>
          <w:color w:val="auto"/>
          <w:szCs w:val="21"/>
          <w:highlight w:val="none"/>
        </w:rPr>
      </w:pPr>
      <w:bookmarkStart w:id="394" w:name="_Toc221950701"/>
      <w:r>
        <w:rPr>
          <w:rFonts w:hint="eastAsia" w:ascii="宋体" w:hAnsi="宋体"/>
          <w:color w:val="auto"/>
          <w:szCs w:val="21"/>
          <w:highlight w:val="none"/>
        </w:rPr>
        <w:t>1.7.2 第1.7.1 项中的通知、批准、证明、证书、指示、要求、请求、同意、意见、确定和决定等来往函件，均应在合同约定的期限内送达指定地点和接收人，并办理签收手续。来往函件的送达期限在技术标准和要求（合同技术条款）中约定，送达地点在专用合同条款中约定。</w:t>
      </w:r>
    </w:p>
    <w:p w14:paraId="48B01F34">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1.7.3  来往函件均应按合同约定的期限及时发出和答复，不得无故扣压和拖延，亦不得无故拒收。否则，由此造成的后果由责任方负责。</w:t>
      </w:r>
      <w:bookmarkEnd w:id="394"/>
    </w:p>
    <w:p w14:paraId="0E1DBDBF">
      <w:pPr>
        <w:spacing w:line="360" w:lineRule="auto"/>
        <w:rPr>
          <w:rFonts w:hint="eastAsia" w:ascii="宋体" w:hAnsi="宋体"/>
          <w:b/>
          <w:color w:val="auto"/>
          <w:sz w:val="24"/>
          <w:highlight w:val="none"/>
        </w:rPr>
      </w:pPr>
      <w:r>
        <w:rPr>
          <w:rFonts w:hint="eastAsia" w:ascii="宋体" w:hAnsi="宋体"/>
          <w:b/>
          <w:color w:val="auto"/>
          <w:sz w:val="24"/>
          <w:highlight w:val="none"/>
        </w:rPr>
        <w:t>1.8 转让</w:t>
      </w:r>
    </w:p>
    <w:p w14:paraId="2C6FA0DD">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除合同另有约定外，未经对方当事人同意，一方当事人不得将合同权利全部或部分转让给第三人，也不得全部或部分转移合同义务。</w:t>
      </w:r>
    </w:p>
    <w:p w14:paraId="00FAB135">
      <w:pPr>
        <w:spacing w:line="360" w:lineRule="auto"/>
        <w:rPr>
          <w:rFonts w:hint="eastAsia" w:ascii="宋体" w:hAnsi="宋体"/>
          <w:b/>
          <w:color w:val="auto"/>
          <w:sz w:val="24"/>
          <w:highlight w:val="none"/>
        </w:rPr>
      </w:pPr>
      <w:r>
        <w:rPr>
          <w:rFonts w:hint="eastAsia" w:ascii="宋体" w:hAnsi="宋体"/>
          <w:b/>
          <w:color w:val="auto"/>
          <w:sz w:val="24"/>
          <w:highlight w:val="none"/>
        </w:rPr>
        <w:t>1.9 严禁贿赂</w:t>
      </w:r>
    </w:p>
    <w:p w14:paraId="0DF9D101">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合同双方当事人不得以贿赂或变相贿赂的方式，谋取不当利益或损害对方权益。因贿赂造成对方损失的，行为人应赔偿损失，并承担相应的法律责任。</w:t>
      </w:r>
    </w:p>
    <w:p w14:paraId="795F3FD9">
      <w:pPr>
        <w:spacing w:line="360" w:lineRule="auto"/>
        <w:rPr>
          <w:rFonts w:hint="eastAsia" w:ascii="宋体" w:hAnsi="宋体"/>
          <w:b/>
          <w:color w:val="auto"/>
          <w:sz w:val="24"/>
          <w:highlight w:val="none"/>
        </w:rPr>
      </w:pPr>
      <w:r>
        <w:rPr>
          <w:rFonts w:hint="eastAsia" w:ascii="宋体" w:hAnsi="宋体"/>
          <w:b/>
          <w:color w:val="auto"/>
          <w:sz w:val="24"/>
          <w:highlight w:val="none"/>
        </w:rPr>
        <w:t>1.10 化石、文物</w:t>
      </w:r>
    </w:p>
    <w:p w14:paraId="2C81B768">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1.10.1 在施工场地发掘的所有文物、古迹以及具有地质研究或考古价值的其他遗迹、化石、钱币或物品属于国家所有。一旦发现上述文物，承包人应采取有效合理的保护措施，防止任何人员移动或损坏上述物品，并立即报告当地文物行政部门，同时通知监理人。发包人、监理人和承包人应按文物行政部门要求采取妥善保护措施，由此导致费用增加和（或）工期延误由发包人承担。</w:t>
      </w:r>
    </w:p>
    <w:p w14:paraId="348185E6">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1.10.2 承包人发现文物后不及时报告或隐瞒不报，致使文物丢失或损坏的，应赔偿损失，并承担相应的法律责任。</w:t>
      </w:r>
    </w:p>
    <w:p w14:paraId="1D8A88FC">
      <w:pPr>
        <w:spacing w:line="360" w:lineRule="auto"/>
        <w:rPr>
          <w:rFonts w:hint="eastAsia" w:ascii="宋体" w:hAnsi="宋体"/>
          <w:b/>
          <w:color w:val="auto"/>
          <w:sz w:val="24"/>
          <w:highlight w:val="none"/>
        </w:rPr>
      </w:pPr>
      <w:r>
        <w:rPr>
          <w:rFonts w:hint="eastAsia" w:ascii="宋体" w:hAnsi="宋体"/>
          <w:b/>
          <w:color w:val="auto"/>
          <w:sz w:val="24"/>
          <w:highlight w:val="none"/>
        </w:rPr>
        <w:t>1.11 专利技术</w:t>
      </w:r>
    </w:p>
    <w:p w14:paraId="00003B3E">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1.11.1 承包人在使用任何材料、承包人设备、工程设备或采用施工工艺时，因侵犯专利权或其他知识产权所引起的责任，由承包人承担，但由于遵照发包人提供的设计或技术标准和要求引起的除外。</w:t>
      </w:r>
    </w:p>
    <w:p w14:paraId="6EE3D14F">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1.11.2 承包人在投标文件中采用专利技术的，专利技术的使用费包含在投标报价内。</w:t>
      </w:r>
    </w:p>
    <w:p w14:paraId="0F786C07">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1.11.3 承包人的技术秘密和声明需要保密的资料和信息，发包人和监理人不得为合同以外的目的泄露给他人。</w:t>
      </w:r>
    </w:p>
    <w:p w14:paraId="47C84C5B">
      <w:pPr>
        <w:pStyle w:val="29"/>
        <w:spacing w:after="0" w:line="360" w:lineRule="auto"/>
        <w:ind w:left="0" w:leftChars="0" w:firstLine="400" w:firstLineChars="200"/>
        <w:rPr>
          <w:rFonts w:hint="eastAsia" w:ascii="宋体" w:hAnsi="宋体"/>
          <w:color w:val="auto"/>
          <w:szCs w:val="21"/>
          <w:highlight w:val="none"/>
        </w:rPr>
      </w:pPr>
      <w:bookmarkStart w:id="395" w:name="_Toc221950710"/>
      <w:r>
        <w:rPr>
          <w:rFonts w:hint="eastAsia" w:ascii="宋体" w:hAnsi="宋体"/>
          <w:color w:val="auto"/>
          <w:szCs w:val="21"/>
          <w:highlight w:val="none"/>
        </w:rPr>
        <w:t>1.11.4 合同实施过程中，发包人要求承包人采用专利技术的，发包人应办理相应的使用手续，承包人应按发包人约定的条件使用，并承担使用专利技术的相关试验工作。所需费用由发包人承担。</w:t>
      </w:r>
      <w:bookmarkEnd w:id="395"/>
    </w:p>
    <w:p w14:paraId="0AE27115">
      <w:pPr>
        <w:spacing w:line="360" w:lineRule="auto"/>
        <w:rPr>
          <w:rFonts w:hint="eastAsia" w:ascii="宋体" w:hAnsi="宋体"/>
          <w:b/>
          <w:color w:val="auto"/>
          <w:sz w:val="24"/>
          <w:highlight w:val="none"/>
        </w:rPr>
      </w:pPr>
      <w:r>
        <w:rPr>
          <w:rFonts w:hint="eastAsia" w:ascii="宋体" w:hAnsi="宋体"/>
          <w:b/>
          <w:color w:val="auto"/>
          <w:sz w:val="24"/>
          <w:highlight w:val="none"/>
        </w:rPr>
        <w:t>1.12 图纸和文件的保密</w:t>
      </w:r>
    </w:p>
    <w:p w14:paraId="1529FEC3">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1.12.1 发包人提供的图纸和文件，未经发包人同意，承包人不得为合同以外的目的泄露给他人或公开发表与引用。</w:t>
      </w:r>
    </w:p>
    <w:p w14:paraId="61876CA7">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1.12.2 承包人提供的文件，未经承包人同意，发包人和监理人不得为合同以外的目的泄露给他人或公开发表与引用。</w:t>
      </w:r>
    </w:p>
    <w:p w14:paraId="07CA3E13">
      <w:pPr>
        <w:pStyle w:val="5"/>
        <w:rPr>
          <w:rFonts w:hint="eastAsia" w:ascii="宋体" w:hAnsi="宋体"/>
          <w:color w:val="auto"/>
          <w:sz w:val="28"/>
          <w:highlight w:val="none"/>
        </w:rPr>
      </w:pPr>
      <w:bookmarkStart w:id="396" w:name="_Toc222031005"/>
      <w:bookmarkStart w:id="397" w:name="_Toc222029503"/>
      <w:bookmarkStart w:id="398" w:name="_Toc221950713"/>
      <w:bookmarkStart w:id="399" w:name="_Toc222032672"/>
      <w:bookmarkStart w:id="400" w:name="_Toc222033854"/>
      <w:bookmarkStart w:id="401" w:name="_Toc229408498"/>
      <w:bookmarkStart w:id="402" w:name="_Toc229305363"/>
      <w:r>
        <w:rPr>
          <w:rFonts w:hint="eastAsia" w:ascii="宋体" w:hAnsi="宋体"/>
          <w:color w:val="auto"/>
          <w:sz w:val="28"/>
          <w:highlight w:val="none"/>
        </w:rPr>
        <w:t>2. 发包人义务</w:t>
      </w:r>
      <w:bookmarkEnd w:id="396"/>
      <w:bookmarkEnd w:id="397"/>
      <w:bookmarkEnd w:id="398"/>
      <w:bookmarkEnd w:id="399"/>
      <w:bookmarkEnd w:id="400"/>
      <w:bookmarkEnd w:id="401"/>
      <w:bookmarkEnd w:id="402"/>
      <w:r>
        <w:rPr>
          <w:rFonts w:hint="eastAsia" w:ascii="宋体" w:hAnsi="宋体"/>
          <w:color w:val="auto"/>
          <w:sz w:val="28"/>
          <w:highlight w:val="none"/>
        </w:rPr>
        <w:t xml:space="preserve">  </w:t>
      </w:r>
    </w:p>
    <w:p w14:paraId="0A32192C">
      <w:pPr>
        <w:spacing w:line="360" w:lineRule="auto"/>
        <w:rPr>
          <w:rFonts w:hint="eastAsia" w:ascii="宋体" w:hAnsi="宋体"/>
          <w:b/>
          <w:color w:val="auto"/>
          <w:sz w:val="24"/>
          <w:highlight w:val="none"/>
        </w:rPr>
      </w:pPr>
      <w:bookmarkStart w:id="403" w:name="_Toc221950720"/>
      <w:r>
        <w:rPr>
          <w:rFonts w:hint="eastAsia" w:ascii="宋体" w:hAnsi="宋体"/>
          <w:b/>
          <w:color w:val="auto"/>
          <w:sz w:val="24"/>
          <w:highlight w:val="none"/>
        </w:rPr>
        <w:t>2.1 遵守法律</w:t>
      </w:r>
    </w:p>
    <w:p w14:paraId="38B0FA42">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发包人在履行合同过程中应遵守法律，并保证承包人免于承担因发包人违反法律而引起的任何责任。</w:t>
      </w:r>
    </w:p>
    <w:p w14:paraId="1F0F7A8D">
      <w:pPr>
        <w:spacing w:line="360" w:lineRule="auto"/>
        <w:rPr>
          <w:rFonts w:hint="eastAsia" w:ascii="宋体" w:hAnsi="宋体"/>
          <w:b/>
          <w:color w:val="auto"/>
          <w:sz w:val="24"/>
          <w:highlight w:val="none"/>
        </w:rPr>
      </w:pPr>
      <w:r>
        <w:rPr>
          <w:rFonts w:hint="eastAsia" w:ascii="宋体" w:hAnsi="宋体"/>
          <w:b/>
          <w:color w:val="auto"/>
          <w:sz w:val="24"/>
          <w:highlight w:val="none"/>
        </w:rPr>
        <w:t>2.2 发出开工通知</w:t>
      </w:r>
    </w:p>
    <w:p w14:paraId="17996E44">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发包人应委托监理人按第11.1 款的约定向承包人发出开工通知。</w:t>
      </w:r>
    </w:p>
    <w:p w14:paraId="4BF87C5A">
      <w:pPr>
        <w:spacing w:line="360" w:lineRule="auto"/>
        <w:rPr>
          <w:rFonts w:hint="eastAsia" w:ascii="宋体" w:hAnsi="宋体"/>
          <w:b/>
          <w:color w:val="auto"/>
          <w:sz w:val="24"/>
          <w:highlight w:val="none"/>
        </w:rPr>
      </w:pPr>
      <w:r>
        <w:rPr>
          <w:rFonts w:hint="eastAsia" w:ascii="宋体" w:hAnsi="宋体"/>
          <w:b/>
          <w:color w:val="auto"/>
          <w:sz w:val="24"/>
          <w:highlight w:val="none"/>
        </w:rPr>
        <w:t>2.3 提供施工场地</w:t>
      </w:r>
    </w:p>
    <w:p w14:paraId="437C8A10">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2.3.1发包人应在合同双方</w:t>
      </w:r>
      <w:r>
        <w:rPr>
          <w:rFonts w:hint="eastAsia" w:ascii="宋体" w:hAnsi="宋体"/>
          <w:color w:val="auto"/>
          <w:szCs w:val="21"/>
          <w:highlight w:val="none"/>
          <w:lang w:eastAsia="zh-CN"/>
        </w:rPr>
        <w:t>签订合同</w:t>
      </w:r>
      <w:r>
        <w:rPr>
          <w:rFonts w:hint="eastAsia" w:ascii="宋体" w:hAnsi="宋体"/>
          <w:color w:val="auto"/>
          <w:szCs w:val="21"/>
          <w:highlight w:val="none"/>
        </w:rPr>
        <w:t>协议书后的14天内，将本合同工程的施工场地范围图提交给承包人。发包人提供的施工场地范围图应标明场地范围内永久占地与临时占地的范围和界限，以及指明提供给承包人用于施工场地布置的范围和界限及其有关资料</w:t>
      </w:r>
      <w:bookmarkEnd w:id="403"/>
      <w:r>
        <w:rPr>
          <w:rFonts w:hint="eastAsia" w:ascii="宋体" w:hAnsi="宋体"/>
          <w:color w:val="auto"/>
          <w:szCs w:val="21"/>
          <w:highlight w:val="none"/>
        </w:rPr>
        <w:t xml:space="preserve"> 。</w:t>
      </w:r>
    </w:p>
    <w:p w14:paraId="1938379B">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2.3.2 发包人提供的施工用地范围在专用合同条款中约定</w:t>
      </w:r>
      <w:r>
        <w:rPr>
          <w:rFonts w:hint="eastAsia" w:ascii="宋体" w:hAnsi="宋体"/>
          <w:color w:val="auto"/>
          <w:sz w:val="24"/>
          <w:highlight w:val="none"/>
        </w:rPr>
        <w:t>。</w:t>
      </w:r>
    </w:p>
    <w:p w14:paraId="751961B8">
      <w:pPr>
        <w:spacing w:line="360" w:lineRule="auto"/>
        <w:ind w:firstLine="420" w:firstLineChars="200"/>
        <w:rPr>
          <w:rFonts w:hint="eastAsia" w:ascii="宋体" w:hAnsi="宋体"/>
          <w:color w:val="auto"/>
          <w:szCs w:val="21"/>
          <w:highlight w:val="none"/>
        </w:rPr>
      </w:pPr>
      <w:bookmarkStart w:id="404" w:name="_Toc221950721"/>
      <w:r>
        <w:rPr>
          <w:rFonts w:hint="eastAsia" w:ascii="宋体" w:hAnsi="宋体"/>
          <w:color w:val="auto"/>
          <w:szCs w:val="21"/>
          <w:highlight w:val="none"/>
        </w:rPr>
        <w:t>2.3.3 除专用合同条款另有约定外，发包人应技术标准和要求（合同技术条款）的约定，向承包人提供施工场地内的工程地质图纸和报告，以及地下障碍物图纸等施工场地有关资料，并保证资料的真实、准确、完整。</w:t>
      </w:r>
      <w:bookmarkEnd w:id="404"/>
    </w:p>
    <w:p w14:paraId="61A52437">
      <w:pPr>
        <w:spacing w:line="360" w:lineRule="auto"/>
        <w:rPr>
          <w:rFonts w:hint="eastAsia" w:ascii="宋体" w:hAnsi="宋体"/>
          <w:b/>
          <w:color w:val="auto"/>
          <w:sz w:val="24"/>
          <w:highlight w:val="none"/>
        </w:rPr>
      </w:pPr>
      <w:r>
        <w:rPr>
          <w:rFonts w:hint="eastAsia" w:ascii="宋体" w:hAnsi="宋体"/>
          <w:b/>
          <w:color w:val="auto"/>
          <w:sz w:val="24"/>
          <w:highlight w:val="none"/>
        </w:rPr>
        <w:t>2.4 协助承包人办理证件和批件</w:t>
      </w:r>
    </w:p>
    <w:p w14:paraId="40667896">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发包人应协助承包人办理法律规定的有关施工证件和批件。</w:t>
      </w:r>
    </w:p>
    <w:p w14:paraId="0C421EAC">
      <w:pPr>
        <w:spacing w:line="360" w:lineRule="auto"/>
        <w:rPr>
          <w:rFonts w:hint="eastAsia" w:ascii="宋体" w:hAnsi="宋体"/>
          <w:b/>
          <w:color w:val="auto"/>
          <w:sz w:val="24"/>
          <w:highlight w:val="none"/>
        </w:rPr>
      </w:pPr>
      <w:r>
        <w:rPr>
          <w:rFonts w:hint="eastAsia" w:ascii="宋体" w:hAnsi="宋体"/>
          <w:b/>
          <w:color w:val="auto"/>
          <w:sz w:val="24"/>
          <w:highlight w:val="none"/>
        </w:rPr>
        <w:t>2.5 组织设计交底</w:t>
      </w:r>
    </w:p>
    <w:p w14:paraId="0998F8F0">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发包人应根据合同进度计划，组织设计单位向承包人进行设计交底。</w:t>
      </w:r>
    </w:p>
    <w:p w14:paraId="1D042741">
      <w:pPr>
        <w:spacing w:line="360" w:lineRule="auto"/>
        <w:rPr>
          <w:rFonts w:hint="eastAsia" w:ascii="宋体" w:hAnsi="宋体"/>
          <w:b/>
          <w:color w:val="auto"/>
          <w:sz w:val="24"/>
          <w:highlight w:val="none"/>
        </w:rPr>
      </w:pPr>
      <w:r>
        <w:rPr>
          <w:rFonts w:hint="eastAsia" w:ascii="宋体" w:hAnsi="宋体"/>
          <w:b/>
          <w:color w:val="auto"/>
          <w:sz w:val="24"/>
          <w:highlight w:val="none"/>
        </w:rPr>
        <w:t>2.6 支付合同价款</w:t>
      </w:r>
    </w:p>
    <w:p w14:paraId="58DCCE05">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发包人应按合同约定向承包人及时支付合同价款。</w:t>
      </w:r>
    </w:p>
    <w:p w14:paraId="18FCA411">
      <w:pPr>
        <w:spacing w:line="360" w:lineRule="auto"/>
        <w:rPr>
          <w:rFonts w:hint="eastAsia" w:ascii="宋体" w:hAnsi="宋体"/>
          <w:b/>
          <w:color w:val="auto"/>
          <w:sz w:val="24"/>
          <w:highlight w:val="none"/>
        </w:rPr>
      </w:pPr>
      <w:r>
        <w:rPr>
          <w:rFonts w:hint="eastAsia" w:ascii="宋体" w:hAnsi="宋体"/>
          <w:b/>
          <w:color w:val="auto"/>
          <w:sz w:val="24"/>
          <w:highlight w:val="none"/>
        </w:rPr>
        <w:t>2.7 组织竣工验收（组织法人验收）</w:t>
      </w:r>
    </w:p>
    <w:p w14:paraId="2E53F3DD">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发包人应按合同约定及时组织法人验收。</w:t>
      </w:r>
    </w:p>
    <w:p w14:paraId="71606530">
      <w:pPr>
        <w:spacing w:line="360" w:lineRule="auto"/>
        <w:rPr>
          <w:rFonts w:hint="eastAsia" w:ascii="宋体" w:hAnsi="宋体"/>
          <w:b/>
          <w:color w:val="auto"/>
          <w:sz w:val="24"/>
          <w:highlight w:val="none"/>
        </w:rPr>
      </w:pPr>
      <w:r>
        <w:rPr>
          <w:rFonts w:hint="eastAsia" w:ascii="宋体" w:hAnsi="宋体"/>
          <w:b/>
          <w:color w:val="auto"/>
          <w:sz w:val="24"/>
          <w:highlight w:val="none"/>
        </w:rPr>
        <w:t>2.8 其他义务</w:t>
      </w:r>
    </w:p>
    <w:p w14:paraId="7F37296C">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其他义务在专用合同条款中补充约定。</w:t>
      </w:r>
    </w:p>
    <w:p w14:paraId="1A4F0A3E">
      <w:pPr>
        <w:pStyle w:val="5"/>
        <w:rPr>
          <w:rFonts w:hint="eastAsia" w:ascii="宋体" w:hAnsi="宋体"/>
          <w:color w:val="auto"/>
          <w:sz w:val="28"/>
          <w:highlight w:val="none"/>
        </w:rPr>
      </w:pPr>
      <w:bookmarkStart w:id="405" w:name="_Toc222031006"/>
      <w:bookmarkStart w:id="406" w:name="_Toc229408499"/>
      <w:bookmarkStart w:id="407" w:name="_Toc222032673"/>
      <w:bookmarkStart w:id="408" w:name="_Toc221950732"/>
      <w:bookmarkStart w:id="409" w:name="_Toc229305364"/>
      <w:bookmarkStart w:id="410" w:name="_Toc222029504"/>
      <w:bookmarkStart w:id="411" w:name="_Toc222033855"/>
      <w:r>
        <w:rPr>
          <w:rFonts w:hint="eastAsia" w:ascii="宋体" w:hAnsi="宋体"/>
          <w:color w:val="auto"/>
          <w:sz w:val="28"/>
          <w:highlight w:val="none"/>
        </w:rPr>
        <w:t>3. 监理人</w:t>
      </w:r>
      <w:bookmarkEnd w:id="405"/>
      <w:bookmarkEnd w:id="406"/>
      <w:bookmarkEnd w:id="407"/>
      <w:bookmarkEnd w:id="408"/>
      <w:bookmarkEnd w:id="409"/>
      <w:bookmarkEnd w:id="410"/>
      <w:bookmarkEnd w:id="411"/>
    </w:p>
    <w:p w14:paraId="49EB49C7">
      <w:pPr>
        <w:spacing w:line="360" w:lineRule="auto"/>
        <w:rPr>
          <w:rFonts w:hint="eastAsia" w:ascii="宋体" w:hAnsi="宋体"/>
          <w:b/>
          <w:color w:val="auto"/>
          <w:sz w:val="24"/>
          <w:highlight w:val="none"/>
        </w:rPr>
      </w:pPr>
      <w:bookmarkStart w:id="412" w:name="_Toc221950735"/>
      <w:r>
        <w:rPr>
          <w:rFonts w:hint="eastAsia" w:ascii="宋体" w:hAnsi="宋体"/>
          <w:b/>
          <w:color w:val="auto"/>
          <w:sz w:val="24"/>
          <w:highlight w:val="none"/>
        </w:rPr>
        <w:t>3.1监理人的职责和权力</w:t>
      </w:r>
    </w:p>
    <w:p w14:paraId="68143A05">
      <w:pPr>
        <w:spacing w:line="360" w:lineRule="auto"/>
        <w:ind w:firstLine="447" w:firstLineChars="213"/>
        <w:rPr>
          <w:rFonts w:hint="eastAsia" w:ascii="宋体" w:hAnsi="宋体"/>
          <w:color w:val="auto"/>
          <w:szCs w:val="21"/>
          <w:highlight w:val="none"/>
        </w:rPr>
      </w:pPr>
      <w:r>
        <w:rPr>
          <w:rFonts w:hint="eastAsia" w:ascii="宋体" w:hAnsi="宋体"/>
          <w:color w:val="auto"/>
          <w:szCs w:val="21"/>
          <w:highlight w:val="none"/>
        </w:rPr>
        <w:t>3.1.1监理人受发包人委托，享有合同约定的权力。监理人的权力范围在专用合同条款中明确。当监理人认为出现了危及生命、工程或毗邻财产等安全的紧急事件时，在不免除合同约定的承包人责任的情况下，监理人可以指示承包人实施为消除或减少这种危险所必须进行的工作，即使没有发包人的事先批准，承包人也应立即遵照执行。监理人应按第15条的约定增加相应的费用，并通知承包人。</w:t>
      </w:r>
      <w:bookmarkEnd w:id="412"/>
    </w:p>
    <w:p w14:paraId="6477BA32">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3.1.2 监理人发出的任何指示应视为已得到发包人的批准，但监理人无权免除或变更合同约定的发包人和承包人的权利、义务和责任。</w:t>
      </w:r>
    </w:p>
    <w:p w14:paraId="5A870B2F">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3.1.3 合同约定应由承包人承担的义务和责任，不因监理人对承包人提交文件的审查或批准，对工程、材料和设备的检查和检验，以及为实施监理作出的指示等职务行为而减轻或解除。</w:t>
      </w:r>
    </w:p>
    <w:p w14:paraId="533CD7C8">
      <w:pPr>
        <w:spacing w:line="360" w:lineRule="auto"/>
        <w:rPr>
          <w:rFonts w:hint="eastAsia" w:ascii="宋体" w:hAnsi="宋体"/>
          <w:b/>
          <w:color w:val="auto"/>
          <w:sz w:val="24"/>
          <w:highlight w:val="none"/>
        </w:rPr>
      </w:pPr>
      <w:r>
        <w:rPr>
          <w:rFonts w:hint="eastAsia" w:ascii="宋体" w:hAnsi="宋体"/>
          <w:b/>
          <w:color w:val="auto"/>
          <w:sz w:val="24"/>
          <w:highlight w:val="none"/>
        </w:rPr>
        <w:t>3.2 总监理工程师</w:t>
      </w:r>
    </w:p>
    <w:p w14:paraId="43A462DE">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发包人应在发出开工通知前将总监理工程师的任命通知承包人。总监理工程师更换时，应在调离14 天前通知承包人。总监理工程师短期离开施工场地的，应委派代表代行其职责，并通知承包人。</w:t>
      </w:r>
    </w:p>
    <w:p w14:paraId="53BA01F3">
      <w:pPr>
        <w:spacing w:line="360" w:lineRule="auto"/>
        <w:rPr>
          <w:rFonts w:hint="eastAsia" w:ascii="宋体" w:hAnsi="宋体"/>
          <w:b/>
          <w:color w:val="auto"/>
          <w:sz w:val="24"/>
          <w:highlight w:val="none"/>
        </w:rPr>
      </w:pPr>
      <w:r>
        <w:rPr>
          <w:rFonts w:hint="eastAsia" w:ascii="宋体" w:hAnsi="宋体"/>
          <w:b/>
          <w:color w:val="auto"/>
          <w:sz w:val="24"/>
          <w:highlight w:val="none"/>
        </w:rPr>
        <w:t>3.3 监理人员</w:t>
      </w:r>
    </w:p>
    <w:p w14:paraId="111B6F81">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3.3.1 总监理工程师可以授权其他监理人员负责执行其指派的一项或多项监理工作。总监理工程师应将被授权监理人员的姓名及其授权范围通知承包人。被授权的监理人员在授权范围内发出的指示视为</w:t>
      </w:r>
      <w:r>
        <w:rPr>
          <w:rFonts w:hint="eastAsia" w:ascii="宋体" w:hAnsi="宋体"/>
          <w:color w:val="auto"/>
          <w:szCs w:val="21"/>
          <w:highlight w:val="none"/>
          <w:lang w:eastAsia="zh-CN"/>
        </w:rPr>
        <w:t>已得到</w:t>
      </w:r>
      <w:r>
        <w:rPr>
          <w:rFonts w:hint="eastAsia" w:ascii="宋体" w:hAnsi="宋体"/>
          <w:color w:val="auto"/>
          <w:szCs w:val="21"/>
          <w:highlight w:val="none"/>
        </w:rPr>
        <w:t>总监理工程师的同意，与总监理工程师发出的指示具有同等效力。总监理工程师撤销某项授权时，应将撤销授权的决定及时通知承包人。</w:t>
      </w:r>
    </w:p>
    <w:p w14:paraId="36714FEF">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3.3.2 监理人员对承包人的任何工作、工程或其采用的材料和工程设备未在约定的或合理的期限内提出否定意见的，视为已获批准，但不影响监理人在以后拒绝该项工作、工程、材料或工程设备的权利。</w:t>
      </w:r>
    </w:p>
    <w:p w14:paraId="6BFF04E3">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3.3.3 承包人对总监理工程师授权的监理人员发出的指示有疑问的，可向总监理工程师提出书面异议，总监理工程师应在48小时内对该指示予以确认、更改或撤销。</w:t>
      </w:r>
    </w:p>
    <w:p w14:paraId="12749C35">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3.3.4 除专用合同条款另有约定外，总监理工程师不应将第3.5 款约定应由总监理工程师作出确定的权力授权或委托给其他监理人员。</w:t>
      </w:r>
    </w:p>
    <w:p w14:paraId="6C396DA8">
      <w:pPr>
        <w:spacing w:line="360" w:lineRule="auto"/>
        <w:rPr>
          <w:rFonts w:hint="eastAsia" w:ascii="宋体" w:hAnsi="宋体"/>
          <w:b/>
          <w:color w:val="auto"/>
          <w:sz w:val="24"/>
          <w:highlight w:val="none"/>
        </w:rPr>
      </w:pPr>
      <w:r>
        <w:rPr>
          <w:rFonts w:hint="eastAsia" w:ascii="宋体" w:hAnsi="宋体"/>
          <w:b/>
          <w:color w:val="auto"/>
          <w:sz w:val="24"/>
          <w:highlight w:val="none"/>
        </w:rPr>
        <w:t>3.4 监理人的指示</w:t>
      </w:r>
    </w:p>
    <w:p w14:paraId="06596A85">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3.4.1 监理人应按第3.1 款的约定向承包人发出指示，监理人的指示应盖有监理人授权的施工场地机构章，并由总监理工程师或总监理工程师按第3.3.1 项约定授权的监理人员签字。</w:t>
      </w:r>
    </w:p>
    <w:p w14:paraId="1F8662E2">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3.4.2 承包人收到监理人按第3.4.1 项作出的指示后应遵照执行。指示构成变更的，应按第15条处理。</w:t>
      </w:r>
    </w:p>
    <w:p w14:paraId="6A4D0469">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3.4.3 在紧急情况下，总监理工程师或被授权的监理人员可以当场签发临时书面指示，承包人应遵照执行。承包人应在收到上述临时书面指示后24小时内，向监理人发出书面确认函。监理人在收到书面确认函后24小时内未予答复的，该书面确认函应被视为监理人的正式指示。</w:t>
      </w:r>
    </w:p>
    <w:p w14:paraId="229802AA">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3.4.4 除合同另有约定外，承包人只从总监理工程师或按第3.3.1 项被授权的监理人员处取得指示。</w:t>
      </w:r>
    </w:p>
    <w:p w14:paraId="453D6BD7">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3.4.5 由于监理人未能按合同约定发出指示、指示延误或指示错误而导致承包人费用增加和（或）工期延误的，由发包人承担赔偿责任。</w:t>
      </w:r>
    </w:p>
    <w:p w14:paraId="33176762">
      <w:pPr>
        <w:spacing w:line="360" w:lineRule="auto"/>
        <w:rPr>
          <w:rFonts w:hint="eastAsia" w:ascii="宋体" w:hAnsi="宋体"/>
          <w:b/>
          <w:color w:val="auto"/>
          <w:sz w:val="24"/>
          <w:highlight w:val="none"/>
        </w:rPr>
      </w:pPr>
      <w:r>
        <w:rPr>
          <w:rFonts w:hint="eastAsia" w:ascii="宋体" w:hAnsi="宋体"/>
          <w:b/>
          <w:color w:val="auto"/>
          <w:sz w:val="24"/>
          <w:highlight w:val="none"/>
        </w:rPr>
        <w:t>3.5 商定或确定</w:t>
      </w:r>
    </w:p>
    <w:p w14:paraId="17F13B4E">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3.5.1 合同约定总监理工程师应按照本款对任何事项进行商定或确定时，总监理工程师应与合同当事人协商，尽量达成一致。不能达成一致的，总监理工程师应认真研究后审慎确定。</w:t>
      </w:r>
    </w:p>
    <w:p w14:paraId="3FA68774">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3.5.2 总监理工程师应将商定或确定的事项通知合同当事人，并附详细依据。对总监理工程师的确定有异议的，构成争议，按照第24 条的约定处理。在争议解决前，双方应暂按总监理工程师的确定执行，按照第24 条的约定对总监理工程师的确定作出修改的，按修改后的结果执行。</w:t>
      </w:r>
    </w:p>
    <w:p w14:paraId="056B334E">
      <w:pPr>
        <w:pStyle w:val="5"/>
        <w:rPr>
          <w:rFonts w:hint="eastAsia" w:ascii="宋体" w:hAnsi="宋体"/>
          <w:color w:val="auto"/>
          <w:sz w:val="28"/>
          <w:highlight w:val="none"/>
        </w:rPr>
      </w:pPr>
      <w:bookmarkStart w:id="413" w:name="_Toc222033856"/>
      <w:bookmarkStart w:id="414" w:name="_Toc221950744"/>
      <w:bookmarkStart w:id="415" w:name="_Toc222031007"/>
      <w:bookmarkStart w:id="416" w:name="_Toc222029505"/>
      <w:bookmarkStart w:id="417" w:name="_Toc229408500"/>
      <w:bookmarkStart w:id="418" w:name="_Toc229305365"/>
      <w:bookmarkStart w:id="419" w:name="_Toc222032674"/>
      <w:r>
        <w:rPr>
          <w:rFonts w:hint="eastAsia" w:ascii="宋体" w:hAnsi="宋体"/>
          <w:color w:val="auto"/>
          <w:sz w:val="28"/>
          <w:highlight w:val="none"/>
        </w:rPr>
        <w:t>4. 承包人</w:t>
      </w:r>
      <w:bookmarkEnd w:id="413"/>
      <w:bookmarkEnd w:id="414"/>
      <w:bookmarkEnd w:id="415"/>
      <w:bookmarkEnd w:id="416"/>
      <w:bookmarkEnd w:id="417"/>
      <w:bookmarkEnd w:id="418"/>
      <w:bookmarkEnd w:id="419"/>
    </w:p>
    <w:p w14:paraId="0E5D8D47">
      <w:pPr>
        <w:spacing w:line="360" w:lineRule="auto"/>
        <w:rPr>
          <w:rFonts w:hint="eastAsia" w:ascii="宋体" w:hAnsi="宋体"/>
          <w:b/>
          <w:color w:val="auto"/>
          <w:sz w:val="24"/>
          <w:highlight w:val="none"/>
        </w:rPr>
      </w:pPr>
      <w:bookmarkStart w:id="420" w:name="_Toc221950747"/>
      <w:r>
        <w:rPr>
          <w:rFonts w:hint="eastAsia" w:ascii="宋体" w:hAnsi="宋体"/>
          <w:b/>
          <w:color w:val="auto"/>
          <w:sz w:val="24"/>
          <w:highlight w:val="none"/>
        </w:rPr>
        <w:t>4.1承包人的一般义务</w:t>
      </w:r>
    </w:p>
    <w:p w14:paraId="56875FFD">
      <w:pPr>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4.1.1 遵守法律</w:t>
      </w:r>
    </w:p>
    <w:p w14:paraId="2EE436A9">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承包人在履行合同过程中应遵守法律，并保证发包人免于承担因承包人违反法律而引起的任何责任。</w:t>
      </w:r>
    </w:p>
    <w:p w14:paraId="2EA1DD4B">
      <w:pPr>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4.1.2 依法纳税</w:t>
      </w:r>
    </w:p>
    <w:p w14:paraId="4E83F9C8">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承包人应按有关法律规定纳税，应缴纳的税金包括在合同价格内。</w:t>
      </w:r>
    </w:p>
    <w:p w14:paraId="5E46D2B5">
      <w:pPr>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4.1.3 完成各项承包工作</w:t>
      </w:r>
    </w:p>
    <w:p w14:paraId="068180A0">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承包人应按合同约定以及监理人根据第3.4 款作出的指示，实施、完成全部工程，并修补工程中的任何缺陷。除第5.2款、第6.2款另有约定外，承包人应提供为完成合同工作所需的劳务、材料、施工设备、工程设备和其他物品，并按合同约定负责临时设施的设计、建造、运行、维护、管理和拆除。</w:t>
      </w:r>
    </w:p>
    <w:p w14:paraId="40BB6933">
      <w:pPr>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4.1.4 对施工作业和施工方法的完备性负责</w:t>
      </w:r>
    </w:p>
    <w:p w14:paraId="41B9DA3C">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承包人应按合同约定的工作内容和施工进度要求，编制施工组织设计和施工措施计划，并对所有施工作业和施工方法的完备性和安全可靠性负责。</w:t>
      </w:r>
    </w:p>
    <w:p w14:paraId="38B8440D">
      <w:pPr>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4.1.5 保证工程施工和人员的安全</w:t>
      </w:r>
    </w:p>
    <w:p w14:paraId="28AC088C">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承包人应按第9.2 款约定采取施工安全措施，确保工程及其人员、材料、设备和设施的安全，防止因工程施工造成的人身伤害和财产损失。</w:t>
      </w:r>
    </w:p>
    <w:p w14:paraId="703A0466">
      <w:pPr>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4.1.6 负责施工场地及其周边环境与生态的保护工作</w:t>
      </w:r>
    </w:p>
    <w:p w14:paraId="7ACD59D7">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承包人应按照第9.4 款约定负责施工场地及其周边环境与生态的保护工作。</w:t>
      </w:r>
    </w:p>
    <w:p w14:paraId="5E6C27E4">
      <w:pPr>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4.1.7 避免施工对公众与他人的利益造成损害</w:t>
      </w:r>
    </w:p>
    <w:p w14:paraId="5F46FD68">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承包人在进行合同约定的各项工作时，不得侵害发包人与他人使用公用道路、水源、市政管网等公共设施的权利，避免对邻近的公共设施产生干扰。承包人占用或使用他人的施工场地，影响他人作业或生活的，应承担相应责任。</w:t>
      </w:r>
    </w:p>
    <w:p w14:paraId="3A5CF021">
      <w:pPr>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4.1.8 为他人提供方便</w:t>
      </w:r>
    </w:p>
    <w:p w14:paraId="02E861DC">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承包人应按监理人的指示为他人在施工场地或附近实施与工程有关的其他各项工作提供可能的条件。除合同另有约定外，提供有关条件的内容和可能发生的费用，由监理人按第3.5 款商定或确定。</w:t>
      </w:r>
    </w:p>
    <w:p w14:paraId="5338255D">
      <w:pPr>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4.1.9 工程的维护和照管</w:t>
      </w:r>
    </w:p>
    <w:p w14:paraId="60555E79">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除合同另有约定外，合同工程完工证书颁发前，承包人应负责照管和维护工程。合同工程完工证书颁发时尚有部分未完工程的，承包人还应负责该未完工程的照管和维护工作，直至完工后移交给发包人为止。</w:t>
      </w:r>
    </w:p>
    <w:p w14:paraId="7809D85F">
      <w:pPr>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4.1.10 其他义务</w:t>
      </w:r>
    </w:p>
    <w:bookmarkEnd w:id="420"/>
    <w:p w14:paraId="3319DDF5">
      <w:pPr>
        <w:spacing w:line="360" w:lineRule="auto"/>
        <w:ind w:firstLine="447" w:firstLineChars="213"/>
        <w:rPr>
          <w:rFonts w:hint="eastAsia" w:ascii="宋体" w:hAnsi="宋体"/>
          <w:color w:val="auto"/>
          <w:szCs w:val="21"/>
          <w:highlight w:val="none"/>
        </w:rPr>
      </w:pPr>
      <w:r>
        <w:rPr>
          <w:rFonts w:hint="eastAsia" w:ascii="宋体" w:hAnsi="宋体"/>
          <w:color w:val="auto"/>
          <w:szCs w:val="21"/>
          <w:highlight w:val="none"/>
        </w:rPr>
        <w:t>其他义务在专用合同条款中补充约定。</w:t>
      </w:r>
    </w:p>
    <w:p w14:paraId="2318FDA6">
      <w:pPr>
        <w:spacing w:line="360" w:lineRule="auto"/>
        <w:rPr>
          <w:rFonts w:hint="eastAsia" w:ascii="宋体" w:hAnsi="宋体"/>
          <w:b/>
          <w:color w:val="auto"/>
          <w:sz w:val="24"/>
          <w:highlight w:val="none"/>
        </w:rPr>
      </w:pPr>
      <w:bookmarkStart w:id="421" w:name="_Toc221950749"/>
      <w:r>
        <w:rPr>
          <w:rFonts w:hint="eastAsia" w:ascii="宋体" w:hAnsi="宋体"/>
          <w:b/>
          <w:color w:val="auto"/>
          <w:sz w:val="24"/>
          <w:highlight w:val="none"/>
        </w:rPr>
        <w:t xml:space="preserve">4.2 </w:t>
      </w:r>
      <w:bookmarkEnd w:id="421"/>
      <w:bookmarkStart w:id="422" w:name="_Toc221950751"/>
      <w:r>
        <w:rPr>
          <w:rFonts w:hint="eastAsia" w:ascii="宋体" w:hAnsi="宋体"/>
          <w:b/>
          <w:color w:val="auto"/>
          <w:sz w:val="24"/>
          <w:highlight w:val="none"/>
        </w:rPr>
        <w:t>履约担保</w:t>
      </w:r>
    </w:p>
    <w:p w14:paraId="11670535">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承包人应保证其履约担保在发包人颁发合同工程完工证书前一直有效。发包人应在合同工程完工证书颁发后28 天内将履约担保退还给承包人。</w:t>
      </w:r>
    </w:p>
    <w:bookmarkEnd w:id="422"/>
    <w:p w14:paraId="02EF79C0">
      <w:pPr>
        <w:spacing w:line="360" w:lineRule="auto"/>
        <w:rPr>
          <w:rFonts w:hint="eastAsia" w:ascii="宋体" w:hAnsi="宋体"/>
          <w:b/>
          <w:color w:val="auto"/>
          <w:sz w:val="24"/>
          <w:highlight w:val="none"/>
        </w:rPr>
      </w:pPr>
      <w:bookmarkStart w:id="423" w:name="_Toc221950754"/>
      <w:r>
        <w:rPr>
          <w:rFonts w:hint="eastAsia" w:ascii="宋体" w:hAnsi="宋体"/>
          <w:b/>
          <w:color w:val="auto"/>
          <w:sz w:val="24"/>
          <w:highlight w:val="none"/>
        </w:rPr>
        <w:t>4.3 分包</w:t>
      </w:r>
    </w:p>
    <w:p w14:paraId="52674D5E">
      <w:pPr>
        <w:spacing w:line="360" w:lineRule="auto"/>
        <w:ind w:firstLine="315" w:firstLineChars="150"/>
        <w:rPr>
          <w:rFonts w:hint="eastAsia" w:ascii="宋体" w:hAnsi="宋体"/>
          <w:color w:val="auto"/>
          <w:szCs w:val="21"/>
          <w:highlight w:val="none"/>
        </w:rPr>
      </w:pPr>
      <w:r>
        <w:rPr>
          <w:rFonts w:hint="eastAsia" w:ascii="宋体" w:hAnsi="宋体"/>
          <w:color w:val="auto"/>
          <w:highlight w:val="none"/>
        </w:rPr>
        <w:t xml:space="preserve"> </w:t>
      </w:r>
      <w:r>
        <w:rPr>
          <w:rFonts w:hint="eastAsia" w:ascii="宋体" w:hAnsi="宋体"/>
          <w:color w:val="auto"/>
          <w:szCs w:val="21"/>
          <w:highlight w:val="none"/>
        </w:rPr>
        <w:t>4.3.1 承包人不得将其承包的全部工程转包给第三人，或将其承包的全部工程肢解后以分包的名义转包给第三人。</w:t>
      </w:r>
    </w:p>
    <w:p w14:paraId="004BFBAB">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4.3.2 承包人不得将工程主体、关键性工作分包给第三人。除专用合同条款另有约定外，未经发包人同意，承包人不得将工程的其他部分或工作分包给第三人。</w:t>
      </w:r>
    </w:p>
    <w:p w14:paraId="7EEEA53C">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4.3.3 分包人的资格能力应与其分包工程的标准和规模相适应。</w:t>
      </w:r>
    </w:p>
    <w:p w14:paraId="3C9831EC">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4.3.4 按投标函附录约定分包工程的，承包人应向发包人和监理人提交分包合同副本。</w:t>
      </w:r>
    </w:p>
    <w:p w14:paraId="7091973E">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4.3.5 承包人应与分包人就分包工程向发包人承担连带责任。</w:t>
      </w:r>
    </w:p>
    <w:p w14:paraId="0B26A2B0">
      <w:pPr>
        <w:spacing w:line="360" w:lineRule="auto"/>
        <w:ind w:firstLine="420" w:firstLineChars="200"/>
        <w:rPr>
          <w:rFonts w:hint="eastAsia" w:ascii="宋体" w:hAnsi="宋体"/>
          <w:color w:val="auto"/>
          <w:szCs w:val="21"/>
          <w:highlight w:val="none"/>
        </w:rPr>
      </w:pPr>
      <w:r>
        <w:rPr>
          <w:rFonts w:ascii="宋体" w:hAnsi="宋体"/>
          <w:color w:val="auto"/>
          <w:szCs w:val="21"/>
          <w:highlight w:val="none"/>
        </w:rPr>
        <w:t>4.3.</w:t>
      </w:r>
      <w:r>
        <w:rPr>
          <w:rFonts w:hint="eastAsia" w:ascii="宋体" w:hAnsi="宋体"/>
          <w:color w:val="auto"/>
          <w:szCs w:val="21"/>
          <w:highlight w:val="none"/>
        </w:rPr>
        <w:t xml:space="preserve">6分包分为工程分包和劳务作业分包。工程分包应遵循合同约定或者经发包人书面认定。禁止承包人将本合同工程进行违法分包。分包人应具备与分包工程规模和标准相适应的资质和业绩，在人力、设备、资金等方面具有承担分包工程施工的能力。分包人应自行完成所承包的任务。 </w:t>
      </w:r>
    </w:p>
    <w:p w14:paraId="440B6B2B">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4</w:t>
      </w:r>
      <w:r>
        <w:rPr>
          <w:rFonts w:ascii="宋体" w:hAnsi="宋体"/>
          <w:color w:val="auto"/>
          <w:szCs w:val="21"/>
          <w:highlight w:val="none"/>
        </w:rPr>
        <w:t>.3.</w:t>
      </w:r>
      <w:r>
        <w:rPr>
          <w:rFonts w:hint="eastAsia" w:ascii="宋体" w:hAnsi="宋体"/>
          <w:color w:val="auto"/>
          <w:szCs w:val="21"/>
          <w:highlight w:val="none"/>
        </w:rPr>
        <w:t>7</w:t>
      </w:r>
      <w:r>
        <w:rPr>
          <w:rFonts w:ascii="宋体" w:hAnsi="宋体"/>
          <w:color w:val="auto"/>
          <w:szCs w:val="21"/>
          <w:highlight w:val="none"/>
        </w:rPr>
        <w:t>在合同实施过程中，如承包人无力在合同规定的期限内完成合同中的应急防汛、抢险等危及公共安全和工程安全的项目，发包人可对该应急防汛、抢险等项目的部分工程指定分包人。因非承包人原因形成指定分包条件的，发包人的指定分包不得增加承包人的额外费用；因承包人原因形成指定分包条件的，承包人应</w:t>
      </w:r>
      <w:r>
        <w:rPr>
          <w:rFonts w:hint="eastAsia" w:ascii="宋体" w:hAnsi="宋体"/>
          <w:color w:val="auto"/>
          <w:szCs w:val="21"/>
          <w:highlight w:val="none"/>
        </w:rPr>
        <w:t>承担</w:t>
      </w:r>
      <w:r>
        <w:rPr>
          <w:rFonts w:ascii="宋体" w:hAnsi="宋体"/>
          <w:color w:val="auto"/>
          <w:szCs w:val="21"/>
          <w:highlight w:val="none"/>
        </w:rPr>
        <w:t>指定分包</w:t>
      </w:r>
      <w:r>
        <w:rPr>
          <w:rFonts w:hint="eastAsia" w:ascii="宋体" w:hAnsi="宋体"/>
          <w:color w:val="auto"/>
          <w:szCs w:val="21"/>
          <w:highlight w:val="none"/>
        </w:rPr>
        <w:t>所</w:t>
      </w:r>
      <w:r>
        <w:rPr>
          <w:rFonts w:ascii="宋体" w:hAnsi="宋体"/>
          <w:color w:val="auto"/>
          <w:szCs w:val="21"/>
          <w:highlight w:val="none"/>
        </w:rPr>
        <w:t>增加的费用。</w:t>
      </w:r>
    </w:p>
    <w:p w14:paraId="7356CE62">
      <w:pPr>
        <w:spacing w:line="360" w:lineRule="auto"/>
        <w:ind w:firstLine="420" w:firstLineChars="200"/>
        <w:rPr>
          <w:rFonts w:hint="eastAsia" w:ascii="宋体" w:hAnsi="宋体"/>
          <w:color w:val="auto"/>
          <w:szCs w:val="21"/>
          <w:highlight w:val="none"/>
        </w:rPr>
      </w:pPr>
      <w:r>
        <w:rPr>
          <w:rFonts w:ascii="宋体" w:hAnsi="宋体"/>
          <w:color w:val="auto"/>
          <w:szCs w:val="21"/>
          <w:highlight w:val="none"/>
        </w:rPr>
        <w:t>由指定分包人造成的与其分包工作有关的一切索赔、诉讼和损失赔偿由指定分包人直接对发包人负责，承包人不对此承担责任。</w:t>
      </w:r>
    </w:p>
    <w:p w14:paraId="4A68A22E">
      <w:pPr>
        <w:spacing w:line="360" w:lineRule="auto"/>
        <w:ind w:firstLine="420" w:firstLineChars="200"/>
        <w:rPr>
          <w:rFonts w:hint="eastAsia" w:ascii="宋体" w:hAnsi="宋体"/>
          <w:color w:val="auto"/>
          <w:szCs w:val="21"/>
          <w:highlight w:val="none"/>
        </w:rPr>
      </w:pPr>
      <w:r>
        <w:rPr>
          <w:rFonts w:ascii="宋体" w:hAnsi="宋体"/>
          <w:color w:val="auto"/>
          <w:szCs w:val="21"/>
          <w:highlight w:val="none"/>
        </w:rPr>
        <w:t>4.3.</w:t>
      </w:r>
      <w:r>
        <w:rPr>
          <w:rFonts w:hint="eastAsia" w:ascii="宋体" w:hAnsi="宋体"/>
          <w:color w:val="auto"/>
          <w:szCs w:val="21"/>
          <w:highlight w:val="none"/>
        </w:rPr>
        <w:t>8 承包人和分包人应当签订分包合同，并履行合同约定的义务。分包合同必须遵循承包合同的各项原则，满足承包合同中相应条款的要求。发包人可以对分包合同实施情况进行监督检查。承包人应将分包合同副本提交发包人和监理人。</w:t>
      </w:r>
    </w:p>
    <w:p w14:paraId="21389EF5">
      <w:pPr>
        <w:spacing w:line="360" w:lineRule="auto"/>
        <w:ind w:firstLine="420" w:firstLineChars="200"/>
        <w:rPr>
          <w:rFonts w:hint="eastAsia" w:ascii="宋体" w:hAnsi="宋体"/>
          <w:color w:val="auto"/>
          <w:szCs w:val="21"/>
          <w:highlight w:val="none"/>
        </w:rPr>
      </w:pPr>
      <w:r>
        <w:rPr>
          <w:rFonts w:ascii="宋体" w:hAnsi="宋体"/>
          <w:color w:val="auto"/>
          <w:szCs w:val="21"/>
          <w:highlight w:val="none"/>
        </w:rPr>
        <w:t>4.3.</w:t>
      </w:r>
      <w:r>
        <w:rPr>
          <w:rFonts w:hint="eastAsia" w:ascii="宋体" w:hAnsi="宋体"/>
          <w:color w:val="auto"/>
          <w:szCs w:val="21"/>
          <w:highlight w:val="none"/>
        </w:rPr>
        <w:t>9</w:t>
      </w:r>
      <w:r>
        <w:rPr>
          <w:rFonts w:ascii="宋体" w:hAnsi="宋体"/>
          <w:color w:val="auto"/>
          <w:szCs w:val="21"/>
          <w:highlight w:val="none"/>
        </w:rPr>
        <w:t xml:space="preserve"> 除4.3.</w:t>
      </w:r>
      <w:r>
        <w:rPr>
          <w:rFonts w:hint="eastAsia" w:ascii="宋体" w:hAnsi="宋体"/>
          <w:color w:val="auto"/>
          <w:szCs w:val="21"/>
          <w:highlight w:val="none"/>
        </w:rPr>
        <w:t>7项</w:t>
      </w:r>
      <w:r>
        <w:rPr>
          <w:rFonts w:ascii="宋体" w:hAnsi="宋体"/>
          <w:color w:val="auto"/>
          <w:szCs w:val="21"/>
          <w:highlight w:val="none"/>
        </w:rPr>
        <w:t>规定的指定分包外，承包人对其分包项目的实施以及分包人的行为向发包人负全部责任。承包人应对分包项目的工程进度、质量、安全、计量和验收等实施监督和管理。</w:t>
      </w:r>
      <w:bookmarkEnd w:id="423"/>
    </w:p>
    <w:p w14:paraId="3875FA1B">
      <w:pPr>
        <w:spacing w:line="360" w:lineRule="auto"/>
        <w:ind w:firstLine="420" w:firstLineChars="200"/>
        <w:rPr>
          <w:rFonts w:hint="eastAsia" w:ascii="宋体" w:hAnsi="宋体"/>
          <w:color w:val="auto"/>
          <w:szCs w:val="21"/>
          <w:highlight w:val="none"/>
        </w:rPr>
      </w:pPr>
      <w:r>
        <w:rPr>
          <w:rFonts w:ascii="宋体" w:hAnsi="宋体"/>
          <w:color w:val="auto"/>
          <w:szCs w:val="21"/>
          <w:highlight w:val="none"/>
        </w:rPr>
        <w:t>4.3.</w:t>
      </w:r>
      <w:r>
        <w:rPr>
          <w:rFonts w:hint="eastAsia" w:ascii="宋体" w:hAnsi="宋体"/>
          <w:color w:val="auto"/>
          <w:szCs w:val="21"/>
          <w:highlight w:val="none"/>
        </w:rPr>
        <w:t>10分包人应按专用合同条款的约定设立项目管理机构组织管理分包工程的施工活动。</w:t>
      </w:r>
    </w:p>
    <w:p w14:paraId="69CD336A">
      <w:pPr>
        <w:spacing w:line="360" w:lineRule="auto"/>
        <w:rPr>
          <w:rFonts w:hint="eastAsia" w:ascii="宋体" w:hAnsi="宋体"/>
          <w:b/>
          <w:color w:val="auto"/>
          <w:sz w:val="24"/>
          <w:highlight w:val="none"/>
        </w:rPr>
      </w:pPr>
      <w:r>
        <w:rPr>
          <w:rFonts w:hint="eastAsia" w:ascii="宋体" w:hAnsi="宋体"/>
          <w:b/>
          <w:color w:val="auto"/>
          <w:sz w:val="24"/>
          <w:highlight w:val="none"/>
        </w:rPr>
        <w:t>4.4 联合体</w:t>
      </w:r>
    </w:p>
    <w:p w14:paraId="2ADBA2F8">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4.4.1 联合体各方应共同与发包人签订合同协议书。联合体各方应为履行合同承担连带责任。</w:t>
      </w:r>
    </w:p>
    <w:p w14:paraId="37F8BA5F">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4.4.2 联合体协议经发包人确认后作为合同附件。在履行合同过程中，未经发包人同意，不得修改联合体协议。</w:t>
      </w:r>
    </w:p>
    <w:p w14:paraId="36325C37">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4.4.3 联合体牵头人负责与发包人和监理人联系，并接受指示，负责组织联合体各成员全面履行合同。</w:t>
      </w:r>
    </w:p>
    <w:p w14:paraId="65F0E586">
      <w:pPr>
        <w:spacing w:line="360" w:lineRule="auto"/>
        <w:rPr>
          <w:rFonts w:hint="eastAsia" w:ascii="宋体" w:hAnsi="宋体"/>
          <w:b/>
          <w:color w:val="auto"/>
          <w:sz w:val="24"/>
          <w:highlight w:val="none"/>
        </w:rPr>
      </w:pPr>
      <w:r>
        <w:rPr>
          <w:rFonts w:hint="eastAsia" w:ascii="宋体" w:hAnsi="宋体"/>
          <w:b/>
          <w:color w:val="auto"/>
          <w:sz w:val="24"/>
          <w:highlight w:val="none"/>
        </w:rPr>
        <w:t>4.5 承包人项目经理</w:t>
      </w:r>
    </w:p>
    <w:p w14:paraId="633B4BB4">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4.5.1 承包人应按合同约定指派项目经理，并在约定的期限内到职。承包人更换项目经理应事先征得发包人同意，并应在更换14天前通知发包人和监理人。承包人项目经理短期离开施工场地，应事先征得监理人同意，并委派代表代行其职责。</w:t>
      </w:r>
    </w:p>
    <w:p w14:paraId="1E1DE299">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4.5.2 承包人项目经理应按合同约定以及监理人按第3.4 款作出的指示，负责组织合同工程的实施。在情况紧急且无法与监理人取得联系时，可采取保证工程和人员</w:t>
      </w:r>
      <w:r>
        <w:rPr>
          <w:rFonts w:hint="eastAsia" w:ascii="宋体" w:hAnsi="宋体"/>
          <w:color w:val="auto"/>
          <w:szCs w:val="21"/>
          <w:highlight w:val="none"/>
          <w:lang w:eastAsia="zh-CN"/>
        </w:rPr>
        <w:t>生命财产安全</w:t>
      </w:r>
      <w:r>
        <w:rPr>
          <w:rFonts w:hint="eastAsia" w:ascii="宋体" w:hAnsi="宋体"/>
          <w:color w:val="auto"/>
          <w:szCs w:val="21"/>
          <w:highlight w:val="none"/>
        </w:rPr>
        <w:t>的紧急措施，并在采取措施后24小时内向监理人提交书面报告。</w:t>
      </w:r>
    </w:p>
    <w:p w14:paraId="7CD8D086">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4.5.3 承包人为履行合同发出的一切函件均应盖有承包人授权的施工场地管理机构章，并由承包人项目经理或其授权代表签字。</w:t>
      </w:r>
    </w:p>
    <w:p w14:paraId="378E4B7F">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4.5.4 承包人项目经理可以授权其下属人员履行其某项职责，但事先应将这些人员的姓名和授权范围通知监理人。</w:t>
      </w:r>
    </w:p>
    <w:p w14:paraId="461CD202">
      <w:pPr>
        <w:spacing w:line="360" w:lineRule="auto"/>
        <w:rPr>
          <w:rFonts w:hint="eastAsia" w:ascii="宋体" w:hAnsi="宋体"/>
          <w:b/>
          <w:color w:val="auto"/>
          <w:sz w:val="24"/>
          <w:highlight w:val="none"/>
        </w:rPr>
      </w:pPr>
      <w:r>
        <w:rPr>
          <w:rFonts w:hint="eastAsia" w:ascii="宋体" w:hAnsi="宋体"/>
          <w:b/>
          <w:color w:val="auto"/>
          <w:sz w:val="24"/>
          <w:highlight w:val="none"/>
        </w:rPr>
        <w:t>4.6 承包人人员的管理</w:t>
      </w:r>
    </w:p>
    <w:p w14:paraId="08625831">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4.6.1 承包人应在接到开工通知后28天内，向监理人提交承包人在施工场地的管理机构以及人员安排的报告，其内容应包括管理机构的设置、各主要岗位的技术和管理人员名单及其资格，以及各工种技术工人的安排状况。承包人应向监理人提交施工场地人员变动情况的报告。</w:t>
      </w:r>
    </w:p>
    <w:p w14:paraId="20F70F20">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4.6.2 为完成合同约定的各项工作，承包人应向施工场地派遣或雇佣足够数量的下列人员：</w:t>
      </w:r>
    </w:p>
    <w:p w14:paraId="1E511319">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1）具有相应资格的专业技工和合格的普工；</w:t>
      </w:r>
    </w:p>
    <w:p w14:paraId="343EA33D">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2）具有相应施工经验的技术人员；</w:t>
      </w:r>
    </w:p>
    <w:p w14:paraId="4FC172ED">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3）具有相应岗位资格的各级管理人员。</w:t>
      </w:r>
    </w:p>
    <w:p w14:paraId="5637E1A1">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4.6.3 承包人安排在施工场地的主要管理人员和技术骨干应相对稳定。承包人更换主要管理人员和技术骨干时，应取得监理人的同意。</w:t>
      </w:r>
    </w:p>
    <w:p w14:paraId="04A13DEC">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4.6.4 特殊岗位的工作人员均应持有相应的资格证明，监理人有权随时检查。监理人认为有必要时，可进行现场考核。</w:t>
      </w:r>
    </w:p>
    <w:p w14:paraId="2E8B438F">
      <w:pPr>
        <w:spacing w:line="360" w:lineRule="auto"/>
        <w:rPr>
          <w:rFonts w:hint="eastAsia" w:ascii="宋体" w:hAnsi="宋体"/>
          <w:b/>
          <w:color w:val="auto"/>
          <w:sz w:val="24"/>
          <w:highlight w:val="none"/>
        </w:rPr>
      </w:pPr>
      <w:r>
        <w:rPr>
          <w:rFonts w:hint="eastAsia" w:ascii="宋体" w:hAnsi="宋体"/>
          <w:b/>
          <w:color w:val="auto"/>
          <w:sz w:val="24"/>
          <w:highlight w:val="none"/>
        </w:rPr>
        <w:t>4.7 撤换承包人项目经理和其他人员</w:t>
      </w:r>
    </w:p>
    <w:p w14:paraId="0F9F9B46">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承包人应对其项目经理和其他人员进行有效管理。监理人要求撤换不能胜任本职工作、行为不端或玩忽职守的承包人项目经理和其他人员的，承包人应予以撤换。</w:t>
      </w:r>
    </w:p>
    <w:p w14:paraId="632352FE">
      <w:pPr>
        <w:spacing w:line="360" w:lineRule="auto"/>
        <w:rPr>
          <w:rFonts w:hint="eastAsia" w:ascii="宋体" w:hAnsi="宋体"/>
          <w:b/>
          <w:color w:val="auto"/>
          <w:sz w:val="24"/>
          <w:highlight w:val="none"/>
        </w:rPr>
      </w:pPr>
      <w:r>
        <w:rPr>
          <w:rFonts w:hint="eastAsia" w:ascii="宋体" w:hAnsi="宋体"/>
          <w:b/>
          <w:color w:val="auto"/>
          <w:sz w:val="24"/>
          <w:highlight w:val="none"/>
        </w:rPr>
        <w:t>4.8 保障承包人人员的合法权益</w:t>
      </w:r>
    </w:p>
    <w:p w14:paraId="323A67C3">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4.8.1 承包人应与其雇佣的人员签订劳动合同，并按时发放工资。</w:t>
      </w:r>
    </w:p>
    <w:p w14:paraId="292C4F5F">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4.8.2 承包人应按劳动法的规定安排工作时间，保证其雇佣人员享有休息和休假的权利。因工程施工的特殊需要占用休假日或延长工作时间的，应不超过法律规定的限度，并按法律规定给予补休或付酬。</w:t>
      </w:r>
    </w:p>
    <w:p w14:paraId="408A551D">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4.8.3 承包人应为其雇佣人员提供必要的食宿条件，以及符合环境保护和卫生要求的生活环境，在远离城镇的施工场地，还应配备必要的伤病防治和急救的医务人员与医疗设施。</w:t>
      </w:r>
    </w:p>
    <w:p w14:paraId="57F1FC55">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4.8.4 承包人应按国家有关劳动保护的规定，采取有效的防止粉尘、降低噪声、控制有害气体和保障高温、高寒、高空作业安全等劳动保护措施。其雇佣人员在施工中受到伤害的，承包人应立即采取有效措施进行抢救和治疗。</w:t>
      </w:r>
    </w:p>
    <w:p w14:paraId="5D7771FE">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4.8.5 承包人应按有关法律规定和合同约定，为其雇佣人员办理保险。</w:t>
      </w:r>
    </w:p>
    <w:p w14:paraId="129C18AA">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4.8.6 承包人应负责处理其雇佣人员因工伤亡事故的善后事宜。</w:t>
      </w:r>
    </w:p>
    <w:p w14:paraId="0FE4293B">
      <w:pPr>
        <w:spacing w:line="360" w:lineRule="auto"/>
        <w:rPr>
          <w:rFonts w:hint="eastAsia" w:ascii="宋体" w:hAnsi="宋体"/>
          <w:b/>
          <w:color w:val="auto"/>
          <w:sz w:val="24"/>
          <w:highlight w:val="none"/>
        </w:rPr>
      </w:pPr>
      <w:r>
        <w:rPr>
          <w:rFonts w:hint="eastAsia" w:ascii="宋体" w:hAnsi="宋体"/>
          <w:b/>
          <w:color w:val="auto"/>
          <w:sz w:val="24"/>
          <w:highlight w:val="none"/>
        </w:rPr>
        <w:t>4.9 工程价款应专款专用</w:t>
      </w:r>
    </w:p>
    <w:p w14:paraId="7B986B5E">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发包人按合同约定支付给承包人的各项价款应专用于合同工程。</w:t>
      </w:r>
    </w:p>
    <w:p w14:paraId="715F1190">
      <w:pPr>
        <w:spacing w:line="360" w:lineRule="auto"/>
        <w:rPr>
          <w:rFonts w:hint="eastAsia" w:ascii="宋体" w:hAnsi="宋体"/>
          <w:b/>
          <w:color w:val="auto"/>
          <w:sz w:val="24"/>
          <w:highlight w:val="none"/>
        </w:rPr>
      </w:pPr>
      <w:r>
        <w:rPr>
          <w:rFonts w:hint="eastAsia" w:ascii="宋体" w:hAnsi="宋体"/>
          <w:b/>
          <w:color w:val="auto"/>
          <w:sz w:val="24"/>
          <w:highlight w:val="none"/>
        </w:rPr>
        <w:t>4.10 承包人现场查勘</w:t>
      </w:r>
    </w:p>
    <w:p w14:paraId="3C42B612">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4.10.1 发包人应将其持有的现场地质勘探资料、水文气象资料提供给承包人，并对其</w:t>
      </w:r>
      <w:r>
        <w:rPr>
          <w:rFonts w:hint="eastAsia" w:ascii="宋体" w:hAnsi="宋体"/>
          <w:color w:val="auto"/>
          <w:szCs w:val="21"/>
          <w:highlight w:val="none"/>
          <w:lang w:eastAsia="zh-CN"/>
        </w:rPr>
        <w:t>准确性</w:t>
      </w:r>
      <w:r>
        <w:rPr>
          <w:rFonts w:hint="eastAsia" w:ascii="宋体" w:hAnsi="宋体"/>
          <w:color w:val="auto"/>
          <w:szCs w:val="21"/>
          <w:highlight w:val="none"/>
        </w:rPr>
        <w:t>负责。但承包人应对其阅读上述有关资料后所作出的解释和推断负责。</w:t>
      </w:r>
    </w:p>
    <w:p w14:paraId="199D3674">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4.10.2 承包人应对施工场地和周围环境进行查勘，并收集有关地质、水文、气象条件、交通条件、风俗习惯以及其他为完成合同工作有关的当地资料。在全部合同工作中，应视为承包人</w:t>
      </w:r>
      <w:r>
        <w:rPr>
          <w:rFonts w:hint="eastAsia" w:ascii="宋体" w:hAnsi="宋体"/>
          <w:color w:val="auto"/>
          <w:szCs w:val="21"/>
          <w:highlight w:val="none"/>
          <w:lang w:eastAsia="zh-CN"/>
        </w:rPr>
        <w:t>已充分</w:t>
      </w:r>
      <w:r>
        <w:rPr>
          <w:rFonts w:hint="eastAsia" w:ascii="宋体" w:hAnsi="宋体"/>
          <w:color w:val="auto"/>
          <w:szCs w:val="21"/>
          <w:highlight w:val="none"/>
        </w:rPr>
        <w:t>估计了应承担的责任和风险。</w:t>
      </w:r>
    </w:p>
    <w:p w14:paraId="5B87510C">
      <w:pPr>
        <w:spacing w:line="360" w:lineRule="auto"/>
        <w:rPr>
          <w:rFonts w:hint="eastAsia" w:ascii="宋体" w:hAnsi="宋体"/>
          <w:b/>
          <w:color w:val="auto"/>
          <w:sz w:val="24"/>
          <w:highlight w:val="none"/>
        </w:rPr>
      </w:pPr>
      <w:r>
        <w:rPr>
          <w:rFonts w:hint="eastAsia" w:ascii="宋体" w:hAnsi="宋体"/>
          <w:b/>
          <w:color w:val="auto"/>
          <w:sz w:val="24"/>
          <w:highlight w:val="none"/>
        </w:rPr>
        <w:t>4.11不利物质条件</w:t>
      </w:r>
    </w:p>
    <w:p w14:paraId="75B1CA89">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4.11.1除专用合同条款另有约定外，不利物质条件是指在施工中遭遇不可预见的外界障碍或自然条件造成施工受阻。</w:t>
      </w:r>
    </w:p>
    <w:p w14:paraId="0034BB2A">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 xml:space="preserve">4.11.2 承包人遇到不利物质条件时，应采取适应不利物质条件的合理措施继续施工，并及时通知监理人。承包人应有权根据第23.1款的约定，要求延长工期及增加费用。监理人收到此类要求后，应在分析上述外界障碍或自然条件是否不可预见及不可预见程度的基础上，按照通用合同条款第15条的约定办理． </w:t>
      </w:r>
    </w:p>
    <w:p w14:paraId="576B953F">
      <w:pPr>
        <w:pStyle w:val="5"/>
        <w:rPr>
          <w:rFonts w:hint="eastAsia" w:ascii="宋体" w:hAnsi="宋体"/>
          <w:color w:val="auto"/>
          <w:sz w:val="28"/>
          <w:highlight w:val="none"/>
        </w:rPr>
      </w:pPr>
      <w:bookmarkStart w:id="424" w:name="_Toc222029506"/>
      <w:bookmarkStart w:id="425" w:name="_Toc229305366"/>
      <w:bookmarkStart w:id="426" w:name="_Toc221950770"/>
      <w:bookmarkStart w:id="427" w:name="_Toc222032675"/>
      <w:bookmarkStart w:id="428" w:name="_Toc229408501"/>
      <w:bookmarkStart w:id="429" w:name="_Toc222033857"/>
      <w:bookmarkStart w:id="430" w:name="_Toc222031008"/>
      <w:r>
        <w:rPr>
          <w:rFonts w:hint="eastAsia" w:ascii="宋体" w:hAnsi="宋体"/>
          <w:color w:val="auto"/>
          <w:sz w:val="28"/>
          <w:highlight w:val="none"/>
        </w:rPr>
        <w:t>5. 材料和工程设备</w:t>
      </w:r>
      <w:bookmarkEnd w:id="424"/>
      <w:bookmarkEnd w:id="425"/>
      <w:bookmarkEnd w:id="426"/>
      <w:bookmarkEnd w:id="427"/>
      <w:bookmarkEnd w:id="428"/>
      <w:bookmarkEnd w:id="429"/>
      <w:bookmarkEnd w:id="430"/>
    </w:p>
    <w:p w14:paraId="07DC7279">
      <w:pPr>
        <w:spacing w:line="360" w:lineRule="auto"/>
        <w:rPr>
          <w:rFonts w:hint="eastAsia" w:ascii="宋体" w:hAnsi="宋体"/>
          <w:b/>
          <w:color w:val="auto"/>
          <w:sz w:val="24"/>
          <w:highlight w:val="none"/>
        </w:rPr>
      </w:pPr>
      <w:bookmarkStart w:id="431" w:name="_Toc221950773"/>
      <w:r>
        <w:rPr>
          <w:rFonts w:hint="eastAsia" w:ascii="宋体" w:hAnsi="宋体"/>
          <w:b/>
          <w:color w:val="auto"/>
          <w:sz w:val="24"/>
          <w:highlight w:val="none"/>
        </w:rPr>
        <w:t>5.1 承包人提供的材料和工程设备</w:t>
      </w:r>
    </w:p>
    <w:p w14:paraId="47927EDE">
      <w:pPr>
        <w:spacing w:line="360" w:lineRule="auto"/>
        <w:ind w:firstLine="420" w:firstLineChars="200"/>
        <w:rPr>
          <w:rFonts w:hint="eastAsia" w:ascii="宋体" w:hAnsi="宋体"/>
          <w:color w:val="auto"/>
          <w:szCs w:val="21"/>
          <w:highlight w:val="none"/>
        </w:rPr>
      </w:pPr>
      <w:r>
        <w:rPr>
          <w:rFonts w:ascii="宋体" w:hAnsi="宋体"/>
          <w:color w:val="auto"/>
          <w:szCs w:val="21"/>
          <w:highlight w:val="none"/>
        </w:rPr>
        <w:t>5</w:t>
      </w:r>
      <w:r>
        <w:rPr>
          <w:rFonts w:hint="eastAsia" w:ascii="宋体" w:hAnsi="宋体"/>
          <w:color w:val="auto"/>
          <w:szCs w:val="21"/>
          <w:highlight w:val="none"/>
        </w:rPr>
        <w:t>.</w:t>
      </w:r>
      <w:r>
        <w:rPr>
          <w:rFonts w:ascii="宋体" w:hAnsi="宋体"/>
          <w:color w:val="auto"/>
          <w:szCs w:val="21"/>
          <w:highlight w:val="none"/>
        </w:rPr>
        <w:t>1</w:t>
      </w:r>
      <w:r>
        <w:rPr>
          <w:rFonts w:hint="eastAsia" w:ascii="宋体" w:hAnsi="宋体"/>
          <w:color w:val="auto"/>
          <w:szCs w:val="21"/>
          <w:highlight w:val="none"/>
        </w:rPr>
        <w:t>.</w:t>
      </w:r>
      <w:r>
        <w:rPr>
          <w:rFonts w:ascii="宋体" w:hAnsi="宋体"/>
          <w:color w:val="auto"/>
          <w:szCs w:val="21"/>
          <w:highlight w:val="none"/>
        </w:rPr>
        <w:t>1</w:t>
      </w:r>
      <w:bookmarkEnd w:id="431"/>
      <w:r>
        <w:rPr>
          <w:rFonts w:hint="eastAsia" w:ascii="宋体" w:hAnsi="宋体"/>
          <w:color w:val="auto"/>
          <w:szCs w:val="21"/>
          <w:highlight w:val="none"/>
        </w:rPr>
        <w:t xml:space="preserve"> 除第5.2款约定由发包人提供的材料和工程设备外，承包人负责采购、运输和保管完成本合同各项工作所需的材料和工程设备。承包人应对其采购的材料和工程设备负责。</w:t>
      </w:r>
      <w:bookmarkStart w:id="432" w:name="_Toc221950777"/>
    </w:p>
    <w:bookmarkEnd w:id="432"/>
    <w:p w14:paraId="52BB67BB">
      <w:pPr>
        <w:spacing w:line="360" w:lineRule="auto"/>
        <w:ind w:firstLine="420" w:firstLineChars="200"/>
        <w:rPr>
          <w:rFonts w:hint="eastAsia" w:ascii="宋体" w:hAnsi="宋体"/>
          <w:color w:val="auto"/>
          <w:szCs w:val="21"/>
          <w:highlight w:val="none"/>
        </w:rPr>
      </w:pPr>
      <w:bookmarkStart w:id="433" w:name="_Toc221950779"/>
      <w:r>
        <w:rPr>
          <w:rFonts w:hint="eastAsia" w:ascii="宋体" w:hAnsi="宋体"/>
          <w:color w:val="auto"/>
          <w:szCs w:val="21"/>
          <w:highlight w:val="none"/>
        </w:rPr>
        <w:t>5.1.2 承包人应按专用合同条款的约定，将各项材料和工程设备的供货人及品种、规格、数量和供货时间等报送监理人审批。承包人应向监理人提交其负责提供的材料和工程设备的质量证明文件，并满足合同约定的质量标准。</w:t>
      </w:r>
    </w:p>
    <w:p w14:paraId="693DCD3C">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5.1.3 对承包人提供的材料和工程设备，承包人应会同监理人进行检验和交货验收，查验材料合格证明和产品合格证书，并按合同约定和监理人指示，进行材料的抽样检验和工程设备的检验测试，检验和测试结果应提交监理人，所需费用由承包人承担。</w:t>
      </w:r>
    </w:p>
    <w:p w14:paraId="262A8200">
      <w:pPr>
        <w:spacing w:line="360" w:lineRule="auto"/>
        <w:rPr>
          <w:rFonts w:hint="eastAsia" w:ascii="宋体" w:hAnsi="宋体"/>
          <w:b/>
          <w:color w:val="auto"/>
          <w:sz w:val="24"/>
          <w:highlight w:val="none"/>
        </w:rPr>
      </w:pPr>
      <w:r>
        <w:rPr>
          <w:rFonts w:hint="eastAsia" w:ascii="宋体" w:hAnsi="宋体"/>
          <w:b/>
          <w:color w:val="auto"/>
          <w:sz w:val="24"/>
          <w:highlight w:val="none"/>
        </w:rPr>
        <w:t>5.2 发包人提供的材料和工程设备</w:t>
      </w:r>
    </w:p>
    <w:p w14:paraId="1BA3FAF6">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5.2.1 发包人提供的材料和工程设备，应在专用合同条款中写明材料和工程设备的名称、规格、数量、价格、交货方式、交货地点和计划交货日期等。</w:t>
      </w:r>
    </w:p>
    <w:p w14:paraId="6FDF2C33">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5.2.2 承包人应根据合同进度计划的安排，向监理人报送要求发包人交货的日期计划。发包人应按照监理人与合同双方当事人商定的交货日期，向承包人提交材料和工程设备。</w:t>
      </w:r>
    </w:p>
    <w:p w14:paraId="4316D715">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5.2.3 发包人应在材料和工程设备到货7 天前通知承包人，承包人应会同监理人在约定的时间内，赴交货地点共同进行验收。发包人提供的材料和工程设备运至交货地点验收后，由承包人负责接收、卸货、运输和保管。</w:t>
      </w:r>
    </w:p>
    <w:p w14:paraId="6B677F65">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5.2.4 发包人要求向承包人提前交货的，承包人不得拒绝，但发包人应承担承包人由此增加的费用。</w:t>
      </w:r>
    </w:p>
    <w:p w14:paraId="24D381E5">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5.2.5 承包人要求更改交货日期或地点的，应事先报请监理人批准。由于承包人要求更改交货时间或地点所增加的费用和（或）工期延误由承包人承担。</w:t>
      </w:r>
    </w:p>
    <w:p w14:paraId="0357B48E">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5.2.6 发包人提供的材料和工程设备的规格、数量或质量不符合合同要求，或由于发包人原因发生交货日期延误及交货地点变更等情况的，发包人应承担由此增加的费用和（或）工期延误，并向承包人支付合理利润。</w:t>
      </w:r>
    </w:p>
    <w:p w14:paraId="62702E33">
      <w:pPr>
        <w:spacing w:line="360" w:lineRule="auto"/>
        <w:rPr>
          <w:rFonts w:hint="eastAsia" w:ascii="宋体" w:hAnsi="宋体"/>
          <w:b/>
          <w:color w:val="auto"/>
          <w:sz w:val="24"/>
          <w:highlight w:val="none"/>
        </w:rPr>
      </w:pPr>
      <w:r>
        <w:rPr>
          <w:rFonts w:hint="eastAsia" w:ascii="宋体" w:hAnsi="宋体"/>
          <w:b/>
          <w:color w:val="auto"/>
          <w:sz w:val="24"/>
          <w:highlight w:val="none"/>
        </w:rPr>
        <w:t>5.3 材料和工程设备专用于合同工程</w:t>
      </w:r>
    </w:p>
    <w:p w14:paraId="082D3F09">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5.3.1 运入施工场地的材料、工程设备，包括备品备件、安装专用工器具与随机资料，必须专用于合同工程，未经监理人同意，承包人不得运出施工场地或挪作他用。</w:t>
      </w:r>
    </w:p>
    <w:p w14:paraId="0FC1787C">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5.3.2 随同工程设备运入施工场地的备品备件、专用工器具与随机资料，应由承包人会同监理人按供货人的装箱单清点后共同封存，未经监理人同意不得启用。承包人因合同工作需要使用上述物品时，应向监理人提出申请。</w:t>
      </w:r>
    </w:p>
    <w:p w14:paraId="73365B0A">
      <w:pPr>
        <w:spacing w:line="360" w:lineRule="auto"/>
        <w:rPr>
          <w:rFonts w:hint="eastAsia" w:ascii="宋体" w:hAnsi="宋体"/>
          <w:b/>
          <w:color w:val="auto"/>
          <w:sz w:val="24"/>
          <w:highlight w:val="none"/>
        </w:rPr>
      </w:pPr>
      <w:r>
        <w:rPr>
          <w:rFonts w:hint="eastAsia" w:ascii="宋体" w:hAnsi="宋体"/>
          <w:b/>
          <w:color w:val="auto"/>
          <w:sz w:val="24"/>
          <w:highlight w:val="none"/>
        </w:rPr>
        <w:t>5.4 禁止使用不合格的材料和工程设备</w:t>
      </w:r>
    </w:p>
    <w:p w14:paraId="748DE2DD">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5.4.1  监理人有权拒绝承包人提供的不合格材料或工程设备，并要求承包人立即进行更换。监理人应在更换后再次进行检查和检验，由此增加的费用和（或）工期延误由承包人承担。</w:t>
      </w:r>
    </w:p>
    <w:p w14:paraId="106B0466">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5.4.2  监理人发现承包人使用了不合格的材料和工程设备，应即时发出指示要求承包人立即改正，并禁止在工程中继续使用不合格的材料和工程设备。</w:t>
      </w:r>
    </w:p>
    <w:p w14:paraId="7859C4E8">
      <w:pPr>
        <w:spacing w:line="360" w:lineRule="auto"/>
        <w:ind w:firstLine="420" w:firstLineChars="200"/>
        <w:rPr>
          <w:rFonts w:hint="eastAsia" w:ascii="宋体" w:hAnsi="宋体"/>
          <w:color w:val="auto"/>
          <w:highlight w:val="none"/>
        </w:rPr>
      </w:pPr>
      <w:r>
        <w:rPr>
          <w:rFonts w:hint="eastAsia" w:ascii="宋体" w:hAnsi="宋体"/>
          <w:color w:val="auto"/>
          <w:highlight w:val="none"/>
        </w:rPr>
        <w:t>5.4.3  发包人提供的材料或工程设备不符合合同要求的，承包人有权拒绝，并可要求发包人更换，由此增加的费用和（或）工期延误由发包人承担。</w:t>
      </w:r>
      <w:bookmarkEnd w:id="433"/>
      <w:bookmarkStart w:id="434" w:name="_Toc229408502"/>
      <w:bookmarkStart w:id="435" w:name="_Toc229305367"/>
      <w:bookmarkStart w:id="436" w:name="_Toc222032676"/>
      <w:bookmarkStart w:id="437" w:name="_Toc221950785"/>
      <w:bookmarkStart w:id="438" w:name="_Toc222031009"/>
      <w:bookmarkStart w:id="439" w:name="_Toc222033858"/>
      <w:bookmarkStart w:id="440" w:name="_Toc222029507"/>
    </w:p>
    <w:p w14:paraId="70797E52">
      <w:pPr>
        <w:pStyle w:val="5"/>
        <w:rPr>
          <w:rFonts w:hint="eastAsia" w:ascii="宋体" w:hAnsi="宋体"/>
          <w:color w:val="auto"/>
          <w:sz w:val="28"/>
          <w:highlight w:val="none"/>
        </w:rPr>
      </w:pPr>
      <w:r>
        <w:rPr>
          <w:rFonts w:hint="eastAsia" w:ascii="宋体" w:hAnsi="宋体"/>
          <w:color w:val="auto"/>
          <w:sz w:val="28"/>
          <w:highlight w:val="none"/>
        </w:rPr>
        <w:t>6. 施工设备和临时设施</w:t>
      </w:r>
      <w:bookmarkEnd w:id="434"/>
      <w:bookmarkEnd w:id="435"/>
      <w:bookmarkEnd w:id="436"/>
      <w:bookmarkEnd w:id="437"/>
      <w:bookmarkEnd w:id="438"/>
      <w:bookmarkEnd w:id="439"/>
      <w:bookmarkEnd w:id="440"/>
    </w:p>
    <w:p w14:paraId="547C1346">
      <w:pPr>
        <w:spacing w:line="360" w:lineRule="auto"/>
        <w:rPr>
          <w:rFonts w:hint="eastAsia" w:ascii="宋体" w:hAnsi="宋体"/>
          <w:b/>
          <w:color w:val="auto"/>
          <w:sz w:val="24"/>
          <w:highlight w:val="none"/>
        </w:rPr>
      </w:pPr>
      <w:bookmarkStart w:id="441" w:name="_Toc222031010"/>
      <w:bookmarkStart w:id="442" w:name="_Toc222032677"/>
      <w:bookmarkStart w:id="443" w:name="_Toc229305368"/>
      <w:bookmarkStart w:id="444" w:name="_Toc222033859"/>
      <w:bookmarkStart w:id="445" w:name="_Toc229408503"/>
      <w:bookmarkStart w:id="446" w:name="_Toc221950795"/>
      <w:bookmarkStart w:id="447" w:name="_Toc222029508"/>
      <w:r>
        <w:rPr>
          <w:rFonts w:hint="eastAsia" w:ascii="宋体" w:hAnsi="宋体"/>
          <w:b/>
          <w:color w:val="auto"/>
          <w:sz w:val="24"/>
          <w:highlight w:val="none"/>
        </w:rPr>
        <w:t>6.1 承包人提供的施工设备和临时设施</w:t>
      </w:r>
    </w:p>
    <w:p w14:paraId="34E51C06">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6.1.1 承包人应按合同进度计划的要求，及时配置施工设备和修建临时设施。进入施工场地的承包人设备需经监理人核查后才能投入使用。承包人更换合同约定的承包人设备的，应报监理人批准。</w:t>
      </w:r>
    </w:p>
    <w:p w14:paraId="3CDE35D5">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6.1.2 除专用合同条款另有约定外，承包人应自行承担修建临时设施的费用，需要临时占地的，应由发包人办理申请手续并承担相应费用。</w:t>
      </w:r>
    </w:p>
    <w:p w14:paraId="2B2AB1FE">
      <w:pPr>
        <w:spacing w:line="360" w:lineRule="auto"/>
        <w:rPr>
          <w:rFonts w:hint="eastAsia" w:ascii="宋体" w:hAnsi="宋体"/>
          <w:b/>
          <w:color w:val="auto"/>
          <w:sz w:val="24"/>
          <w:highlight w:val="none"/>
        </w:rPr>
      </w:pPr>
      <w:r>
        <w:rPr>
          <w:rFonts w:hint="eastAsia" w:ascii="宋体" w:hAnsi="宋体"/>
          <w:b/>
          <w:color w:val="auto"/>
          <w:sz w:val="24"/>
          <w:highlight w:val="none"/>
        </w:rPr>
        <w:t>6.2 发包人提供的施工设备和临时设施</w:t>
      </w:r>
    </w:p>
    <w:p w14:paraId="3250FA53">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发包人提供的施工设备或临时设施在专用合同条款中约定。</w:t>
      </w:r>
    </w:p>
    <w:p w14:paraId="2BDAFF43">
      <w:pPr>
        <w:spacing w:line="360" w:lineRule="auto"/>
        <w:rPr>
          <w:rFonts w:hint="eastAsia" w:ascii="宋体" w:hAnsi="宋体"/>
          <w:b/>
          <w:color w:val="auto"/>
          <w:sz w:val="24"/>
          <w:highlight w:val="none"/>
        </w:rPr>
      </w:pPr>
      <w:r>
        <w:rPr>
          <w:rFonts w:hint="eastAsia" w:ascii="宋体" w:hAnsi="宋体"/>
          <w:b/>
          <w:color w:val="auto"/>
          <w:sz w:val="24"/>
          <w:highlight w:val="none"/>
        </w:rPr>
        <w:t>6.3 要求承包人增加或更换施工设备</w:t>
      </w:r>
    </w:p>
    <w:p w14:paraId="1D014D89">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承包人使用的施工设备不能满足合同进度计划和（或）质量要求时，监理人有权要求承包人增加或更换施工设备，承包人应及时增加或更换，由此增加的费用和（或）工期延误由承包人承担。</w:t>
      </w:r>
    </w:p>
    <w:p w14:paraId="1C117704">
      <w:pPr>
        <w:spacing w:line="360" w:lineRule="auto"/>
        <w:rPr>
          <w:rFonts w:hint="eastAsia" w:ascii="宋体" w:hAnsi="宋体"/>
          <w:b/>
          <w:color w:val="auto"/>
          <w:sz w:val="24"/>
          <w:highlight w:val="none"/>
        </w:rPr>
      </w:pPr>
      <w:r>
        <w:rPr>
          <w:rFonts w:hint="eastAsia" w:ascii="宋体" w:hAnsi="宋体"/>
          <w:b/>
          <w:color w:val="auto"/>
          <w:sz w:val="24"/>
          <w:highlight w:val="none"/>
        </w:rPr>
        <w:t>6.4 施工设备和临时设施专用于合同工程</w:t>
      </w:r>
    </w:p>
    <w:p w14:paraId="43751BED">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6.4.1 除合同另有约定外，运入施工场地的所有施工设备以及在施工场地建设的临时设施应专用于合同工程。未经监理人同意，不得将上述施工设备和临时设施中的任何部分运出施工场地或挪作他用。</w:t>
      </w:r>
    </w:p>
    <w:p w14:paraId="53622D4B">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6.4.2 经监理人同意，承包人可根据合同进度计划撤走闲置的施工设备。</w:t>
      </w:r>
    </w:p>
    <w:p w14:paraId="29E8259E">
      <w:pPr>
        <w:pStyle w:val="5"/>
        <w:rPr>
          <w:rFonts w:hint="eastAsia" w:ascii="宋体" w:hAnsi="宋体"/>
          <w:color w:val="auto"/>
          <w:sz w:val="28"/>
          <w:highlight w:val="none"/>
        </w:rPr>
      </w:pPr>
      <w:r>
        <w:rPr>
          <w:rFonts w:hint="eastAsia" w:ascii="宋体" w:hAnsi="宋体"/>
          <w:color w:val="auto"/>
          <w:sz w:val="28"/>
          <w:highlight w:val="none"/>
        </w:rPr>
        <w:t>7. 交通运输</w:t>
      </w:r>
      <w:bookmarkEnd w:id="441"/>
      <w:bookmarkEnd w:id="442"/>
      <w:bookmarkEnd w:id="443"/>
      <w:bookmarkEnd w:id="444"/>
      <w:bookmarkEnd w:id="445"/>
      <w:bookmarkEnd w:id="446"/>
      <w:bookmarkEnd w:id="447"/>
    </w:p>
    <w:p w14:paraId="5D452DA8">
      <w:pPr>
        <w:spacing w:line="360" w:lineRule="auto"/>
        <w:rPr>
          <w:rFonts w:hint="eastAsia" w:ascii="宋体" w:hAnsi="宋体"/>
          <w:b/>
          <w:color w:val="auto"/>
          <w:sz w:val="24"/>
          <w:highlight w:val="none"/>
        </w:rPr>
      </w:pPr>
      <w:r>
        <w:rPr>
          <w:rFonts w:hint="eastAsia" w:ascii="宋体" w:hAnsi="宋体"/>
          <w:b/>
          <w:color w:val="auto"/>
          <w:sz w:val="24"/>
          <w:highlight w:val="none"/>
        </w:rPr>
        <w:t>7.1道路通行权和场外设施</w:t>
      </w:r>
    </w:p>
    <w:p w14:paraId="3DF7CBB8">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除专用合同条款另有约定外，承包人应根据合同工程的施工需要，负责办理取得出入施工场地的专用和临时道路的通行权，以及取得为工程建设所需修建场外设施的权利，并承担相关费用。发包人应协助承包人办理上述手续。</w:t>
      </w:r>
    </w:p>
    <w:p w14:paraId="2B043F76">
      <w:pPr>
        <w:spacing w:line="360" w:lineRule="auto"/>
        <w:rPr>
          <w:rFonts w:hint="eastAsia" w:ascii="宋体" w:hAnsi="宋体"/>
          <w:b/>
          <w:color w:val="auto"/>
          <w:sz w:val="24"/>
          <w:highlight w:val="none"/>
        </w:rPr>
      </w:pPr>
      <w:bookmarkStart w:id="448" w:name="_Toc221950800"/>
      <w:r>
        <w:rPr>
          <w:rFonts w:hint="eastAsia" w:ascii="宋体" w:hAnsi="宋体"/>
          <w:b/>
          <w:color w:val="auto"/>
          <w:sz w:val="24"/>
          <w:highlight w:val="none"/>
        </w:rPr>
        <w:t>7.2场内施工道路</w:t>
      </w:r>
    </w:p>
    <w:p w14:paraId="6F07CB29">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7.2.1 除本合同约定由发包人提供的部分道路和交通设施外，承包人应负责修建、维修、养护和管理其施工所需的全部临时道路和交通设施</w:t>
      </w:r>
      <w:r>
        <w:rPr>
          <w:rFonts w:hint="eastAsia" w:ascii="宋体" w:hAnsi="宋体"/>
          <w:color w:val="auto"/>
          <w:szCs w:val="21"/>
          <w:highlight w:val="none"/>
          <w:lang w:eastAsia="zh-CN"/>
        </w:rPr>
        <w:t>（</w:t>
      </w:r>
      <w:r>
        <w:rPr>
          <w:rFonts w:hint="eastAsia" w:ascii="宋体" w:hAnsi="宋体"/>
          <w:color w:val="auto"/>
          <w:szCs w:val="21"/>
          <w:highlight w:val="none"/>
        </w:rPr>
        <w:t>包括合同约定由发包人提供的部分道路和交通设施的维修、养护和管理</w:t>
      </w:r>
      <w:r>
        <w:rPr>
          <w:rFonts w:hint="eastAsia" w:ascii="宋体" w:hAnsi="宋体"/>
          <w:color w:val="auto"/>
          <w:szCs w:val="21"/>
          <w:highlight w:val="none"/>
          <w:lang w:eastAsia="zh-CN"/>
        </w:rPr>
        <w:t>），</w:t>
      </w:r>
      <w:r>
        <w:rPr>
          <w:rFonts w:hint="eastAsia" w:ascii="宋体" w:hAnsi="宋体"/>
          <w:color w:val="auto"/>
          <w:szCs w:val="21"/>
          <w:highlight w:val="none"/>
        </w:rPr>
        <w:t>并承担相应费用。</w:t>
      </w:r>
      <w:bookmarkEnd w:id="448"/>
    </w:p>
    <w:p w14:paraId="4DE17AA1">
      <w:pPr>
        <w:spacing w:line="360" w:lineRule="auto"/>
        <w:ind w:firstLine="480"/>
        <w:rPr>
          <w:rFonts w:hint="eastAsia" w:ascii="宋体" w:hAnsi="宋体"/>
          <w:color w:val="auto"/>
          <w:szCs w:val="21"/>
          <w:highlight w:val="none"/>
        </w:rPr>
      </w:pPr>
      <w:bookmarkStart w:id="449" w:name="_Toc221950801"/>
      <w:r>
        <w:rPr>
          <w:rFonts w:hint="eastAsia" w:ascii="宋体" w:hAnsi="宋体"/>
          <w:color w:val="auto"/>
          <w:szCs w:val="21"/>
          <w:highlight w:val="none"/>
        </w:rPr>
        <w:t>7.2.2 承包人修建的临时道路和交通设施</w:t>
      </w:r>
      <w:r>
        <w:rPr>
          <w:rFonts w:hint="eastAsia" w:ascii="宋体" w:hAnsi="宋体"/>
          <w:color w:val="auto"/>
          <w:szCs w:val="21"/>
          <w:highlight w:val="none"/>
          <w:lang w:eastAsia="zh-CN"/>
        </w:rPr>
        <w:t>，</w:t>
      </w:r>
      <w:r>
        <w:rPr>
          <w:rFonts w:hint="eastAsia" w:ascii="宋体" w:hAnsi="宋体"/>
          <w:color w:val="auto"/>
          <w:szCs w:val="21"/>
          <w:highlight w:val="none"/>
        </w:rPr>
        <w:t>应免费提供发包人、监理人以及与本合同有关的其他承包人使用。</w:t>
      </w:r>
      <w:bookmarkEnd w:id="449"/>
    </w:p>
    <w:p w14:paraId="5EB418A4">
      <w:pPr>
        <w:spacing w:line="360" w:lineRule="auto"/>
        <w:rPr>
          <w:rFonts w:hint="eastAsia" w:ascii="宋体" w:hAnsi="宋体"/>
          <w:b/>
          <w:color w:val="auto"/>
          <w:sz w:val="24"/>
          <w:highlight w:val="none"/>
        </w:rPr>
      </w:pPr>
      <w:r>
        <w:rPr>
          <w:rFonts w:hint="eastAsia" w:ascii="宋体" w:hAnsi="宋体"/>
          <w:b/>
          <w:color w:val="auto"/>
          <w:sz w:val="24"/>
          <w:highlight w:val="none"/>
        </w:rPr>
        <w:t>7.3 场外交通</w:t>
      </w:r>
    </w:p>
    <w:p w14:paraId="18FA3ACA">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7.3.1 承包人车辆外出行驶所需的场外公共道路的通行费、养路费和税款等由承包人承担。</w:t>
      </w:r>
    </w:p>
    <w:p w14:paraId="3B037DFE">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7.3.2 承包人应遵守有关交通法规，严格按照道路和桥梁的限制荷重安全行驶，并服从交通管理部门的检查和监督。</w:t>
      </w:r>
    </w:p>
    <w:p w14:paraId="55462A34">
      <w:pPr>
        <w:spacing w:line="360" w:lineRule="auto"/>
        <w:rPr>
          <w:rFonts w:hint="eastAsia" w:ascii="宋体" w:hAnsi="宋体"/>
          <w:b/>
          <w:color w:val="auto"/>
          <w:sz w:val="24"/>
          <w:highlight w:val="none"/>
        </w:rPr>
      </w:pPr>
      <w:r>
        <w:rPr>
          <w:rFonts w:hint="eastAsia" w:ascii="宋体" w:hAnsi="宋体"/>
          <w:b/>
          <w:color w:val="auto"/>
          <w:sz w:val="24"/>
          <w:highlight w:val="none"/>
        </w:rPr>
        <w:t>7.4 超大件和超重件的运输</w:t>
      </w:r>
    </w:p>
    <w:p w14:paraId="69B2CD1B">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由承包人负责运输的超大件或超重件，应由承包人负责向交通管理部门办理申请手续，发包人给予协助。运输超大件或超重件所需的道路和桥梁临时加固改造费用和其他有关费用，由承包人承担，但专用合同条款另有约定除外。</w:t>
      </w:r>
    </w:p>
    <w:p w14:paraId="30E44364">
      <w:pPr>
        <w:spacing w:line="360" w:lineRule="auto"/>
        <w:rPr>
          <w:rFonts w:hint="eastAsia" w:ascii="宋体" w:hAnsi="宋体"/>
          <w:b/>
          <w:color w:val="auto"/>
          <w:sz w:val="24"/>
          <w:highlight w:val="none"/>
        </w:rPr>
      </w:pPr>
      <w:r>
        <w:rPr>
          <w:rFonts w:hint="eastAsia" w:ascii="宋体" w:hAnsi="宋体"/>
          <w:b/>
          <w:color w:val="auto"/>
          <w:sz w:val="24"/>
          <w:highlight w:val="none"/>
        </w:rPr>
        <w:t>7.5 道路和桥梁的损坏责任</w:t>
      </w:r>
    </w:p>
    <w:p w14:paraId="0B22C1AC">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因承包人运输造成施工场地内外公共道路和桥梁损坏的，由承包人承担修复损坏的全部费用和可能引起的赔偿。</w:t>
      </w:r>
    </w:p>
    <w:p w14:paraId="5293E8E9">
      <w:pPr>
        <w:spacing w:line="360" w:lineRule="auto"/>
        <w:rPr>
          <w:rFonts w:hint="eastAsia" w:ascii="宋体" w:hAnsi="宋体"/>
          <w:b/>
          <w:color w:val="auto"/>
          <w:sz w:val="24"/>
          <w:highlight w:val="none"/>
        </w:rPr>
      </w:pPr>
      <w:r>
        <w:rPr>
          <w:rFonts w:hint="eastAsia" w:ascii="宋体" w:hAnsi="宋体"/>
          <w:b/>
          <w:color w:val="auto"/>
          <w:sz w:val="24"/>
          <w:highlight w:val="none"/>
        </w:rPr>
        <w:t>7.6 水路和航空运输</w:t>
      </w:r>
    </w:p>
    <w:p w14:paraId="59C41999">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本条上述各款的内容适用于水路运输和航空运输，其中“道路”一词的涵义包括河道、航线、船闸、机场、码头、堤防以及水路或航空运输中其他相似结构物；“车辆”一词的</w:t>
      </w:r>
      <w:r>
        <w:rPr>
          <w:rFonts w:hint="eastAsia" w:ascii="宋体" w:hAnsi="宋体"/>
          <w:color w:val="auto"/>
          <w:szCs w:val="21"/>
          <w:highlight w:val="none"/>
          <w:lang w:eastAsia="zh-CN"/>
        </w:rPr>
        <w:t>含义</w:t>
      </w:r>
      <w:r>
        <w:rPr>
          <w:rFonts w:hint="eastAsia" w:ascii="宋体" w:hAnsi="宋体"/>
          <w:color w:val="auto"/>
          <w:szCs w:val="21"/>
          <w:highlight w:val="none"/>
        </w:rPr>
        <w:t>包括船舶和飞机等。</w:t>
      </w:r>
    </w:p>
    <w:p w14:paraId="708E4F51">
      <w:pPr>
        <w:pStyle w:val="5"/>
        <w:rPr>
          <w:rFonts w:hint="eastAsia" w:ascii="宋体" w:hAnsi="宋体"/>
          <w:color w:val="auto"/>
          <w:sz w:val="28"/>
          <w:highlight w:val="none"/>
        </w:rPr>
      </w:pPr>
      <w:bookmarkStart w:id="450" w:name="_Toc222031011"/>
      <w:bookmarkStart w:id="451" w:name="_Toc222029509"/>
      <w:bookmarkStart w:id="452" w:name="_Toc229305369"/>
      <w:bookmarkStart w:id="453" w:name="_Toc222032678"/>
      <w:bookmarkStart w:id="454" w:name="_Toc229408504"/>
      <w:bookmarkStart w:id="455" w:name="_Toc221950810"/>
      <w:bookmarkStart w:id="456" w:name="_Toc222033860"/>
      <w:r>
        <w:rPr>
          <w:rFonts w:hint="eastAsia" w:ascii="宋体" w:hAnsi="宋体"/>
          <w:color w:val="auto"/>
          <w:sz w:val="28"/>
          <w:highlight w:val="none"/>
        </w:rPr>
        <w:t>8. 测量放线</w:t>
      </w:r>
      <w:bookmarkEnd w:id="450"/>
      <w:bookmarkEnd w:id="451"/>
      <w:bookmarkEnd w:id="452"/>
      <w:bookmarkEnd w:id="453"/>
      <w:bookmarkEnd w:id="454"/>
      <w:bookmarkEnd w:id="455"/>
      <w:bookmarkEnd w:id="456"/>
      <w:bookmarkStart w:id="457" w:name="_Toc221950814"/>
    </w:p>
    <w:p w14:paraId="6AC8876E">
      <w:pPr>
        <w:spacing w:line="360" w:lineRule="auto"/>
        <w:rPr>
          <w:rFonts w:hint="eastAsia" w:ascii="宋体" w:hAnsi="宋体"/>
          <w:b/>
          <w:color w:val="auto"/>
          <w:sz w:val="24"/>
          <w:highlight w:val="none"/>
        </w:rPr>
      </w:pPr>
      <w:r>
        <w:rPr>
          <w:rFonts w:hint="eastAsia" w:ascii="宋体" w:hAnsi="宋体"/>
          <w:b/>
          <w:color w:val="auto"/>
          <w:sz w:val="24"/>
          <w:highlight w:val="none"/>
        </w:rPr>
        <w:t>8.1施工控制网</w:t>
      </w:r>
    </w:p>
    <w:p w14:paraId="76E3A5B7">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8.1.1 除专用合同条款另有约定外，施工控制网由承包人负责测设，发包人应在本合同协议书签订后的14天内，向承包人提供测量基准点、基准线和水准点及其相关资料。承包人应在收到上述资料后的28天内，将施测的施工控制网资料提交监理人审批。监理人应在收到报批件后的14天内批复承包人。</w:t>
      </w:r>
    </w:p>
    <w:p w14:paraId="77AD562A">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8.1.2 承包人应负责管理施工控制网点。施工控制网点丢失或损坏的，承包人应及时修复。承包人应承担施工控制网点的管理与修复费用，并在工程竣工后将施工控制网点移交发包人。</w:t>
      </w:r>
    </w:p>
    <w:p w14:paraId="3557137C">
      <w:pPr>
        <w:spacing w:line="360" w:lineRule="auto"/>
        <w:rPr>
          <w:rFonts w:hint="eastAsia" w:ascii="宋体" w:hAnsi="宋体"/>
          <w:b/>
          <w:color w:val="auto"/>
          <w:sz w:val="24"/>
          <w:highlight w:val="none"/>
        </w:rPr>
      </w:pPr>
      <w:r>
        <w:rPr>
          <w:rFonts w:hint="eastAsia" w:ascii="宋体" w:hAnsi="宋体"/>
          <w:b/>
          <w:color w:val="auto"/>
          <w:sz w:val="24"/>
          <w:highlight w:val="none"/>
        </w:rPr>
        <w:t>8.2 施工测量</w:t>
      </w:r>
    </w:p>
    <w:p w14:paraId="421A6064">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8.2.1 承包人应负责施工过程中的全部施工测量放线工作，并配置合格的人员、仪器、设备和其他物品。</w:t>
      </w:r>
    </w:p>
    <w:p w14:paraId="3FBB0AC3">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8.2.2 监理人可以指示承包人进行抽样复测，当复测中发现错误或出现超过合同约定的误差时，承包人应按监理人指示进行修正或补测，并承担相应的复测费用。</w:t>
      </w:r>
    </w:p>
    <w:p w14:paraId="449E54E5">
      <w:pPr>
        <w:spacing w:line="360" w:lineRule="auto"/>
        <w:rPr>
          <w:rFonts w:hint="eastAsia" w:ascii="宋体" w:hAnsi="宋体"/>
          <w:b/>
          <w:color w:val="auto"/>
          <w:sz w:val="24"/>
          <w:highlight w:val="none"/>
        </w:rPr>
      </w:pPr>
      <w:r>
        <w:rPr>
          <w:rFonts w:hint="eastAsia" w:ascii="宋体" w:hAnsi="宋体"/>
          <w:b/>
          <w:color w:val="auto"/>
          <w:sz w:val="24"/>
          <w:highlight w:val="none"/>
        </w:rPr>
        <w:t>8.3 基准资料错误的责任</w:t>
      </w:r>
    </w:p>
    <w:p w14:paraId="320DC78E">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发包人应对其提供的测量基准点、基准线和水准点及其书面资料的真实性、准确性和完整性负责。发包人提供上述基准资料错误导致承包人测量放线工作的返工或造成工程损失的，发包人应当承担由此增加的费用和（或）工期延误，并向承包人支付合理利润。承包人发现发包人提供的上述基准资料存在明显错误或疏忽的，应及时通知监理人。</w:t>
      </w:r>
    </w:p>
    <w:p w14:paraId="273F4760">
      <w:pPr>
        <w:spacing w:line="360" w:lineRule="auto"/>
        <w:rPr>
          <w:rFonts w:hint="eastAsia" w:ascii="宋体" w:hAnsi="宋体"/>
          <w:b/>
          <w:color w:val="auto"/>
          <w:sz w:val="24"/>
          <w:highlight w:val="none"/>
        </w:rPr>
      </w:pPr>
      <w:r>
        <w:rPr>
          <w:rFonts w:hint="eastAsia" w:ascii="宋体" w:hAnsi="宋体"/>
          <w:b/>
          <w:color w:val="auto"/>
          <w:sz w:val="24"/>
          <w:highlight w:val="none"/>
        </w:rPr>
        <w:t>8.4 监理人使用施工控制网</w:t>
      </w:r>
    </w:p>
    <w:p w14:paraId="4029C8FF">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监理人需要使用施工控制网的，承包人应提供必要的协助，发包人不再为此支付费用。</w:t>
      </w:r>
    </w:p>
    <w:bookmarkEnd w:id="457"/>
    <w:p w14:paraId="31B8EBC2">
      <w:pPr>
        <w:spacing w:line="360" w:lineRule="auto"/>
        <w:rPr>
          <w:rFonts w:hint="eastAsia" w:ascii="宋体" w:hAnsi="宋体"/>
          <w:b/>
          <w:color w:val="auto"/>
          <w:sz w:val="24"/>
          <w:highlight w:val="none"/>
        </w:rPr>
      </w:pPr>
      <w:bookmarkStart w:id="458" w:name="_Toc221950821"/>
      <w:r>
        <w:rPr>
          <w:rFonts w:hint="eastAsia" w:ascii="宋体" w:hAnsi="宋体"/>
          <w:b/>
          <w:color w:val="auto"/>
          <w:sz w:val="24"/>
          <w:highlight w:val="none"/>
        </w:rPr>
        <w:t>8.5补充地质勘探</w:t>
      </w:r>
      <w:bookmarkEnd w:id="458"/>
    </w:p>
    <w:p w14:paraId="6FD1E839">
      <w:pPr>
        <w:spacing w:line="360" w:lineRule="auto"/>
        <w:ind w:firstLine="420" w:firstLineChars="200"/>
        <w:rPr>
          <w:rFonts w:hint="eastAsia" w:ascii="宋体" w:hAnsi="宋体"/>
          <w:color w:val="auto"/>
          <w:szCs w:val="21"/>
          <w:highlight w:val="none"/>
        </w:rPr>
      </w:pPr>
      <w:bookmarkStart w:id="459" w:name="_Toc221950822"/>
      <w:r>
        <w:rPr>
          <w:rFonts w:hint="eastAsia" w:ascii="宋体" w:hAnsi="宋体"/>
          <w:color w:val="auto"/>
          <w:szCs w:val="21"/>
          <w:highlight w:val="none"/>
        </w:rPr>
        <w:t>在合同实施期间，监理人可以指示承包人进行必要的补充地质勘探和提供有关资料；承包人为本合同永久工程施工的需要进行补充地质勘探时，须经监理人批准，并应向监理人提交有关资料，上述补充勘探的费用由发包人承担。承包人为其临时工程设计及施工所需进行的补充地质勘探，其费用由承包人承担。</w:t>
      </w:r>
      <w:bookmarkEnd w:id="459"/>
    </w:p>
    <w:p w14:paraId="496E9D31">
      <w:pPr>
        <w:pStyle w:val="5"/>
        <w:rPr>
          <w:rFonts w:hint="eastAsia" w:ascii="宋体" w:hAnsi="宋体"/>
          <w:color w:val="auto"/>
          <w:sz w:val="28"/>
          <w:highlight w:val="none"/>
        </w:rPr>
      </w:pPr>
      <w:bookmarkStart w:id="460" w:name="_Toc229408505"/>
      <w:bookmarkStart w:id="461" w:name="_Toc222032679"/>
      <w:bookmarkStart w:id="462" w:name="_Toc222031012"/>
      <w:bookmarkStart w:id="463" w:name="_Toc222029510"/>
      <w:bookmarkStart w:id="464" w:name="_Toc222033861"/>
      <w:bookmarkStart w:id="465" w:name="_Toc229305370"/>
      <w:bookmarkStart w:id="466" w:name="_Toc221950823"/>
      <w:r>
        <w:rPr>
          <w:rFonts w:hint="eastAsia" w:ascii="宋体" w:hAnsi="宋体"/>
          <w:color w:val="auto"/>
          <w:sz w:val="28"/>
          <w:highlight w:val="none"/>
        </w:rPr>
        <w:t>9. 施工安全、治安保卫和环境保护</w:t>
      </w:r>
      <w:bookmarkEnd w:id="460"/>
      <w:bookmarkEnd w:id="461"/>
      <w:bookmarkEnd w:id="462"/>
      <w:bookmarkEnd w:id="463"/>
      <w:bookmarkEnd w:id="464"/>
      <w:bookmarkEnd w:id="465"/>
      <w:bookmarkEnd w:id="466"/>
    </w:p>
    <w:p w14:paraId="6927D618">
      <w:pPr>
        <w:spacing w:line="360" w:lineRule="auto"/>
        <w:rPr>
          <w:rFonts w:hint="eastAsia" w:ascii="宋体" w:hAnsi="宋体"/>
          <w:b/>
          <w:color w:val="auto"/>
          <w:sz w:val="24"/>
          <w:highlight w:val="none"/>
        </w:rPr>
      </w:pPr>
      <w:bookmarkStart w:id="467" w:name="_Toc221950826"/>
      <w:r>
        <w:rPr>
          <w:rFonts w:hint="eastAsia" w:ascii="宋体" w:hAnsi="宋体"/>
          <w:b/>
          <w:color w:val="auto"/>
          <w:sz w:val="24"/>
          <w:highlight w:val="none"/>
        </w:rPr>
        <w:t>9.1发包人的施工安全责任</w:t>
      </w:r>
    </w:p>
    <w:p w14:paraId="3909267B">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9.1.1发包人应按合同约定履行安全责任。发包人应委托监理人根据国家有关安全的</w:t>
      </w:r>
      <w:r>
        <w:rPr>
          <w:rFonts w:hint="eastAsia" w:ascii="宋体" w:hAnsi="宋体"/>
          <w:color w:val="auto"/>
          <w:szCs w:val="21"/>
          <w:highlight w:val="none"/>
          <w:lang w:eastAsia="zh-CN"/>
        </w:rPr>
        <w:t>法律法规</w:t>
      </w:r>
      <w:r>
        <w:rPr>
          <w:rFonts w:hint="eastAsia" w:ascii="宋体" w:hAnsi="宋体"/>
          <w:color w:val="auto"/>
          <w:szCs w:val="21"/>
          <w:highlight w:val="none"/>
        </w:rPr>
        <w:t>，对承包人的施工安全工作进行全面和全过程的监督和检查。监理人的监督检查不减轻承包人应负的安全责任。</w:t>
      </w:r>
      <w:bookmarkEnd w:id="467"/>
    </w:p>
    <w:p w14:paraId="3EC0121E">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9.1.2发包人应对其现场机构雇佣的全部人员的工伤事故承担责任，但由于承包人原因造成发包人人员工伤的，应由承包人承担责任。</w:t>
      </w:r>
    </w:p>
    <w:p w14:paraId="0AAC54B9">
      <w:pPr>
        <w:spacing w:line="360" w:lineRule="auto"/>
        <w:ind w:firstLine="420"/>
        <w:rPr>
          <w:rFonts w:hint="eastAsia" w:ascii="宋体" w:hAnsi="宋体"/>
          <w:color w:val="auto"/>
          <w:szCs w:val="21"/>
          <w:highlight w:val="none"/>
        </w:rPr>
      </w:pPr>
      <w:r>
        <w:rPr>
          <w:rFonts w:hint="eastAsia" w:ascii="宋体" w:hAnsi="宋体"/>
          <w:color w:val="auto"/>
          <w:szCs w:val="21"/>
          <w:highlight w:val="none"/>
        </w:rPr>
        <w:t>9.1.3发包人应负责赔偿以下各种情况造成的第三者人身伤亡和财产损失</w:t>
      </w:r>
      <w:r>
        <w:rPr>
          <w:rFonts w:hint="eastAsia" w:ascii="宋体" w:hAnsi="宋体"/>
          <w:color w:val="auto"/>
          <w:szCs w:val="21"/>
          <w:highlight w:val="none"/>
          <w:lang w:eastAsia="zh-CN"/>
        </w:rPr>
        <w:t>：</w:t>
      </w:r>
    </w:p>
    <w:p w14:paraId="7F9814AB">
      <w:pPr>
        <w:spacing w:line="360" w:lineRule="auto"/>
        <w:ind w:firstLine="42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1</w:t>
      </w:r>
      <w:r>
        <w:rPr>
          <w:rFonts w:hint="eastAsia" w:ascii="宋体" w:hAnsi="宋体"/>
          <w:color w:val="auto"/>
          <w:szCs w:val="21"/>
          <w:highlight w:val="none"/>
          <w:lang w:eastAsia="zh-CN"/>
        </w:rPr>
        <w:t>）</w:t>
      </w:r>
      <w:r>
        <w:rPr>
          <w:rFonts w:hint="eastAsia" w:ascii="宋体" w:hAnsi="宋体"/>
          <w:color w:val="auto"/>
          <w:szCs w:val="21"/>
          <w:highlight w:val="none"/>
        </w:rPr>
        <w:t>工程或工程的任何部分对土地的占用所造成的第三者财产损失</w:t>
      </w:r>
      <w:r>
        <w:rPr>
          <w:rFonts w:hint="eastAsia" w:ascii="宋体" w:hAnsi="宋体"/>
          <w:color w:val="auto"/>
          <w:szCs w:val="21"/>
          <w:highlight w:val="none"/>
          <w:lang w:eastAsia="zh-CN"/>
        </w:rPr>
        <w:t>；</w:t>
      </w:r>
    </w:p>
    <w:p w14:paraId="2DBF61EC">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由于发包人原因在施工场地及其毗邻地带造成的第三者人身伤亡和财产损失。</w:t>
      </w:r>
    </w:p>
    <w:p w14:paraId="1EED8CA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9.1.4除专用合同条款另有约定外，发包人负责向承包人提供施工现场及施工可能影响的毗邻区域内供水、排水、供电、供气、供热、通信、广播电视等地下管线资料，气象和水文观测资料，拟建工程可能影响的相邻建筑物地下工程的有关资料，并保证有关资料的真实、准确、完整，满足有关技术规程的要求。</w:t>
      </w:r>
    </w:p>
    <w:p w14:paraId="6093FE17">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9.1.5发包人按照已标价工程量清单所列金额和合同约定的计量支付规定，支付安全作业环境及安全施工措施所需费用。</w:t>
      </w:r>
    </w:p>
    <w:p w14:paraId="551255E6">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9.1.6发包人负责组织工程参建单位编制保证安全生产的措施方案。工程开工前，就落实保证安全生产的措施进行全面系统的布置，进一步明确承包人的安全生产责任。</w:t>
      </w:r>
    </w:p>
    <w:p w14:paraId="0AB72EE9">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9.1.7发包人负责在拆除工程和爆破工程施工14天前向有关部门或机构报送相关备案资料。</w:t>
      </w:r>
    </w:p>
    <w:p w14:paraId="03CB300C">
      <w:pPr>
        <w:spacing w:line="360" w:lineRule="auto"/>
        <w:rPr>
          <w:rFonts w:hint="eastAsia" w:ascii="宋体" w:hAnsi="宋体"/>
          <w:b/>
          <w:color w:val="auto"/>
          <w:sz w:val="24"/>
          <w:highlight w:val="none"/>
        </w:rPr>
      </w:pPr>
      <w:r>
        <w:rPr>
          <w:rFonts w:hint="eastAsia" w:ascii="宋体" w:hAnsi="宋体"/>
          <w:b/>
          <w:color w:val="auto"/>
          <w:sz w:val="24"/>
          <w:highlight w:val="none"/>
        </w:rPr>
        <w:t>9.2承包人的施工安全责任</w:t>
      </w:r>
    </w:p>
    <w:p w14:paraId="7C17CDF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9.2.1承包人应按合同约定履行安全职责，执行监理人有关安全工作的指示。承包人应按技术标准和要求</w:t>
      </w:r>
      <w:r>
        <w:rPr>
          <w:rFonts w:hint="eastAsia" w:ascii="宋体" w:hAnsi="宋体"/>
          <w:color w:val="auto"/>
          <w:szCs w:val="21"/>
          <w:highlight w:val="none"/>
          <w:lang w:eastAsia="zh-CN"/>
        </w:rPr>
        <w:t>（</w:t>
      </w:r>
      <w:r>
        <w:rPr>
          <w:rFonts w:hint="eastAsia" w:ascii="宋体" w:hAnsi="宋体"/>
          <w:color w:val="auto"/>
          <w:szCs w:val="21"/>
          <w:highlight w:val="none"/>
        </w:rPr>
        <w:t>合同技术条款</w:t>
      </w:r>
      <w:r>
        <w:rPr>
          <w:rFonts w:hint="eastAsia" w:ascii="宋体" w:hAnsi="宋体"/>
          <w:color w:val="auto"/>
          <w:szCs w:val="21"/>
          <w:highlight w:val="none"/>
          <w:lang w:eastAsia="zh-CN"/>
        </w:rPr>
        <w:t>）</w:t>
      </w:r>
      <w:r>
        <w:rPr>
          <w:rFonts w:hint="eastAsia" w:ascii="宋体" w:hAnsi="宋体"/>
          <w:color w:val="auto"/>
          <w:szCs w:val="21"/>
          <w:highlight w:val="none"/>
        </w:rPr>
        <w:t>约定的内容和期限，以及监理人的指示，编制施工安全技术措施提交监理人审批。监理人应在技术标准和要求</w:t>
      </w:r>
      <w:r>
        <w:rPr>
          <w:rFonts w:hint="eastAsia" w:ascii="宋体" w:hAnsi="宋体"/>
          <w:color w:val="auto"/>
          <w:szCs w:val="21"/>
          <w:highlight w:val="none"/>
          <w:lang w:eastAsia="zh-CN"/>
        </w:rPr>
        <w:t>（</w:t>
      </w:r>
      <w:r>
        <w:rPr>
          <w:rFonts w:hint="eastAsia" w:ascii="宋体" w:hAnsi="宋体"/>
          <w:color w:val="auto"/>
          <w:szCs w:val="21"/>
          <w:highlight w:val="none"/>
        </w:rPr>
        <w:t>合同技术条款</w:t>
      </w:r>
      <w:r>
        <w:rPr>
          <w:rFonts w:hint="eastAsia" w:ascii="宋体" w:hAnsi="宋体"/>
          <w:color w:val="auto"/>
          <w:szCs w:val="21"/>
          <w:highlight w:val="none"/>
          <w:lang w:eastAsia="zh-CN"/>
        </w:rPr>
        <w:t>）</w:t>
      </w:r>
      <w:r>
        <w:rPr>
          <w:rFonts w:hint="eastAsia" w:ascii="宋体" w:hAnsi="宋体"/>
          <w:color w:val="auto"/>
          <w:szCs w:val="21"/>
          <w:highlight w:val="none"/>
        </w:rPr>
        <w:t>约定的期限内批复承包人。</w:t>
      </w:r>
    </w:p>
    <w:p w14:paraId="5FE72C67">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9.2.2承包人应加强施工作业安全管理，特别应加强易燃、易爆材料、火工器材、有毒与腐蚀</w:t>
      </w:r>
    </w:p>
    <w:p w14:paraId="4001CFAA">
      <w:pPr>
        <w:spacing w:line="360" w:lineRule="auto"/>
        <w:rPr>
          <w:rFonts w:hint="eastAsia" w:ascii="宋体" w:hAnsi="宋体"/>
          <w:color w:val="auto"/>
          <w:szCs w:val="21"/>
          <w:highlight w:val="none"/>
        </w:rPr>
      </w:pPr>
      <w:r>
        <w:rPr>
          <w:rFonts w:hint="eastAsia" w:ascii="宋体" w:hAnsi="宋体"/>
          <w:color w:val="auto"/>
          <w:szCs w:val="21"/>
          <w:highlight w:val="none"/>
        </w:rPr>
        <w:t>性材料和其他危险品的管理，以及对爆破作业和地下工程施工等危险作业的管理。</w:t>
      </w:r>
    </w:p>
    <w:p w14:paraId="73F4EFD8">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9.2.3承包人应严格按照国家安全标准制定施工安全操作规程，配备必要的安全生产和劳动保护设施，加强对承包人人员的安全教育，并发放安全工作手册和劳动保护用具。</w:t>
      </w:r>
    </w:p>
    <w:p w14:paraId="14F47C8C">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9.2.4承包人应按监理人的指示制定应对灾害的紧急预案，报送监理人审批。承包人还应按预案做好安全检查，配置必要的救助物资和器材，切实保护好有关人员的人身和财产安全。</w:t>
      </w:r>
    </w:p>
    <w:p w14:paraId="288A0DDC">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9.2.5合同约定的安全作业环境及安全施工措施所需费用应遵守有关规定，并包括在相关工作的合同价格中。因采取合同未约定的安全作业环境及安全施工措施增加的费用，由监理人按第3. 5款商定或确定。</w:t>
      </w:r>
    </w:p>
    <w:p w14:paraId="286DAB42">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9.2.6承包人应对其履行合同所雇佣的全部人员，包括分包人人员的工伤事故承担责任，但由于发包人原因造成承包人人员工伤事故的，应由发包人承担责任。</w:t>
      </w:r>
    </w:p>
    <w:p w14:paraId="0BE7AB3F">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9.2.7由于承包人原因在施工场地内及其毗邻地带造成的第三者人员伤亡和财产损失，由承包人负责赔偿。</w:t>
      </w:r>
    </w:p>
    <w:p w14:paraId="2A2FA7FD">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9.2.8 承包人已标价工程量清单应包含工程安全作业环境及安全施工措施所需费用。</w:t>
      </w:r>
    </w:p>
    <w:p w14:paraId="2AD19769">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9.2.9 承包人应建立健全安全生产责任制度和安全生产教育培训制度，制定安全生产规章制度和操作规程，保证本单位建立和完善安全生产条件所需资金的投入，对本工程进行定期和专项安全检查，并做好安全检查记录。</w:t>
      </w:r>
    </w:p>
    <w:p w14:paraId="4C24AB81">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9.2.10 承包人应设立安全生产管理机构，施工现场应有专职安全生产管理人员。</w:t>
      </w:r>
    </w:p>
    <w:p w14:paraId="02FEF724">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9.2.11承包人应负责对特种作业人员进行专门的安全作业培训，并保证特种作业人员持证上岗。</w:t>
      </w:r>
    </w:p>
    <w:p w14:paraId="3EAF525C">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9.2.12承包人应在施工组织设计中编制安全技术措施和施工现场临时用电方案。对专用合</w:t>
      </w:r>
    </w:p>
    <w:p w14:paraId="67722BCD">
      <w:pPr>
        <w:spacing w:line="360" w:lineRule="auto"/>
        <w:rPr>
          <w:rFonts w:hint="eastAsia" w:ascii="宋体" w:hAnsi="宋体"/>
          <w:color w:val="auto"/>
          <w:szCs w:val="21"/>
          <w:highlight w:val="none"/>
        </w:rPr>
      </w:pPr>
      <w:r>
        <w:rPr>
          <w:rFonts w:hint="eastAsia" w:ascii="宋体" w:hAnsi="宋体"/>
          <w:color w:val="auto"/>
          <w:szCs w:val="21"/>
          <w:highlight w:val="none"/>
        </w:rPr>
        <w:t>同条款约定的工程，应编制专项施工方案报监理人批准。对专用合同条款约定的专项施工方案，</w:t>
      </w:r>
    </w:p>
    <w:p w14:paraId="55719269">
      <w:pPr>
        <w:spacing w:line="360" w:lineRule="auto"/>
        <w:rPr>
          <w:rFonts w:hint="eastAsia" w:ascii="宋体" w:hAnsi="宋体"/>
          <w:color w:val="auto"/>
          <w:szCs w:val="21"/>
          <w:highlight w:val="none"/>
        </w:rPr>
      </w:pPr>
      <w:r>
        <w:rPr>
          <w:rFonts w:hint="eastAsia" w:ascii="宋体" w:hAnsi="宋体"/>
          <w:color w:val="auto"/>
          <w:szCs w:val="21"/>
          <w:highlight w:val="none"/>
        </w:rPr>
        <w:t>还应组织专家进行论证、审查，其中专家1/2人员应经发包人同意。</w:t>
      </w:r>
    </w:p>
    <w:p w14:paraId="45187E29">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9.2.13承包人在使用施工起重机械和整体提升脚手架、模板等自升式架设设施前，应组织</w:t>
      </w:r>
    </w:p>
    <w:p w14:paraId="6CEA36CA">
      <w:pPr>
        <w:spacing w:line="360" w:lineRule="auto"/>
        <w:rPr>
          <w:rFonts w:hint="eastAsia" w:ascii="宋体" w:hAnsi="宋体"/>
          <w:color w:val="auto"/>
          <w:szCs w:val="21"/>
          <w:highlight w:val="none"/>
        </w:rPr>
      </w:pPr>
      <w:r>
        <w:rPr>
          <w:rFonts w:hint="eastAsia" w:ascii="宋体" w:hAnsi="宋体"/>
          <w:color w:val="auto"/>
          <w:szCs w:val="21"/>
          <w:highlight w:val="none"/>
        </w:rPr>
        <w:t>有关单位进行验收。</w:t>
      </w:r>
    </w:p>
    <w:p w14:paraId="55C4ACF8">
      <w:pPr>
        <w:spacing w:line="360" w:lineRule="auto"/>
        <w:rPr>
          <w:rFonts w:hint="eastAsia" w:ascii="宋体" w:hAnsi="宋体"/>
          <w:b/>
          <w:color w:val="auto"/>
          <w:sz w:val="24"/>
          <w:highlight w:val="none"/>
        </w:rPr>
      </w:pPr>
      <w:r>
        <w:rPr>
          <w:rFonts w:hint="eastAsia" w:ascii="宋体" w:hAnsi="宋体"/>
          <w:b/>
          <w:color w:val="auto"/>
          <w:sz w:val="24"/>
          <w:highlight w:val="none"/>
        </w:rPr>
        <w:t>9.3治安保卫</w:t>
      </w:r>
    </w:p>
    <w:p w14:paraId="30A20697">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9.3.1除合同另有约定外，发包人应与当地公安部门协商，在现场建立治安管理机构或联防组织，统一管理施工场地的治安保卫事项，履行合同工程的治安保卫职责。</w:t>
      </w:r>
    </w:p>
    <w:p w14:paraId="09702486">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9.3.2发包人和承包人除应协助现场治安管理机构或联防组织维护施工场地的社会治安外，还应做好包括生活区在内的各自管辖区的治安保卫工作。</w:t>
      </w:r>
    </w:p>
    <w:p w14:paraId="2272716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9.3.3除合同另有约定外，发包人和承包人应在工程开工后，共同编制施工场地治安管理计划，并制定应对突发治安事件的紧急预案。在工程施工过程中，发生暴乱、爆炸等恐怖事件，以及群殴、械斗等群体性突发治安事件的，发包人和承包人应立即向当地政府报告。发包人和承包人应积极协助当地有关部门采取措施平息事态，防止事态扩大，尽量减少财产损失和避免人员伤亡。</w:t>
      </w:r>
    </w:p>
    <w:p w14:paraId="6012E84F">
      <w:pPr>
        <w:spacing w:line="360" w:lineRule="auto"/>
        <w:rPr>
          <w:rFonts w:hint="eastAsia" w:ascii="宋体" w:hAnsi="宋体"/>
          <w:b/>
          <w:color w:val="auto"/>
          <w:sz w:val="24"/>
          <w:highlight w:val="none"/>
        </w:rPr>
      </w:pPr>
      <w:r>
        <w:rPr>
          <w:rFonts w:hint="eastAsia" w:ascii="宋体" w:hAnsi="宋体"/>
          <w:b/>
          <w:color w:val="auto"/>
          <w:sz w:val="24"/>
          <w:highlight w:val="none"/>
        </w:rPr>
        <w:t>9.4环境保护</w:t>
      </w:r>
    </w:p>
    <w:p w14:paraId="43487D6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9.4.1承包人在施工过程中，应遵守有关环境保护的法律，履行合同约定的环境保护义务，并对违反法律和合同约定义务所造成的环境破坏、人身伤害和财产损失负责。</w:t>
      </w:r>
    </w:p>
    <w:p w14:paraId="4E7280C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9.4.2承包人应按合同约定的环保工作内容，编制施工环保措施计划，报送监理人审批。</w:t>
      </w:r>
    </w:p>
    <w:p w14:paraId="5C9D80CA">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9.4.3承包人应按照批准的施工环保措施计划有序地堆放和处理施工废弃物，避免对环境造成破坏。因承包人任意堆放或弃置施工废弃物造成妨碍公共交通、影响城镇居民生活、降低河流行洪能力、危及居民安全、破坏周边环境，或者影响其他承包人施工等后果的，承包人应承担责任。</w:t>
      </w:r>
    </w:p>
    <w:p w14:paraId="1D32155F">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9.4.4承包人应按合同约定采取有效措施，对施工开挖的边坡及时进行支护，维护排水设施，并进行水土保护，避免因施工造成的地质灾害。</w:t>
      </w:r>
    </w:p>
    <w:p w14:paraId="155407A6">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9.4.5承包人应按国家饮用水管理标准定期对饮用水源进行监测，防止施工活动污染饮用水源。</w:t>
      </w:r>
    </w:p>
    <w:p w14:paraId="7258563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9.4.6承包人应按合同约定，加强对噪声、粉尘、废气、废水和废油的控制，努力降低噪声，控制粉尘和废气浓度，做好废水和废油的治理和排放。</w:t>
      </w:r>
    </w:p>
    <w:p w14:paraId="7234C85D">
      <w:pPr>
        <w:spacing w:line="360" w:lineRule="auto"/>
        <w:rPr>
          <w:rFonts w:hint="eastAsia" w:ascii="宋体" w:hAnsi="宋体"/>
          <w:b/>
          <w:color w:val="auto"/>
          <w:sz w:val="24"/>
          <w:highlight w:val="none"/>
        </w:rPr>
      </w:pPr>
      <w:r>
        <w:rPr>
          <w:rFonts w:hint="eastAsia" w:ascii="宋体" w:hAnsi="宋体"/>
          <w:b/>
          <w:color w:val="auto"/>
          <w:sz w:val="24"/>
          <w:highlight w:val="none"/>
        </w:rPr>
        <w:t>9.5事故处理</w:t>
      </w:r>
    </w:p>
    <w:p w14:paraId="0A49FA40">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9.5.1发包人负责组织参建单位制定本工程的质量与安全事故应急预案，建立质量与安全事故应急处置指挥部。</w:t>
      </w:r>
    </w:p>
    <w:p w14:paraId="6D8CA066">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9.5.2承包人应对施工现场易发生重大事故的部位、环节进行监控，配备救援器材、设备，并定期组织演练。</w:t>
      </w:r>
    </w:p>
    <w:p w14:paraId="3BCCF99E">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9.5.3工程开工前，承包人应根据工程的特点制定施工现场施工质量与安全事故应急预案，并报发包人备案。</w:t>
      </w:r>
    </w:p>
    <w:p w14:paraId="66D33BEA">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9.5.4施工过程中发生事故时，发包人、承包人应立即启动应急预案。</w:t>
      </w:r>
    </w:p>
    <w:p w14:paraId="244FF9FA">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9.5.5事故调查处理由发包人按相关规定履行手续，承包人应配合。</w:t>
      </w:r>
    </w:p>
    <w:p w14:paraId="7CC58ED2">
      <w:pPr>
        <w:spacing w:line="360" w:lineRule="auto"/>
        <w:rPr>
          <w:rFonts w:hint="eastAsia" w:ascii="宋体" w:hAnsi="宋体"/>
          <w:b/>
          <w:color w:val="auto"/>
          <w:sz w:val="24"/>
          <w:highlight w:val="none"/>
        </w:rPr>
      </w:pPr>
      <w:r>
        <w:rPr>
          <w:rFonts w:hint="eastAsia" w:ascii="宋体" w:hAnsi="宋体"/>
          <w:b/>
          <w:color w:val="auto"/>
          <w:sz w:val="24"/>
          <w:highlight w:val="none"/>
        </w:rPr>
        <w:t>9.6水土保持</w:t>
      </w:r>
    </w:p>
    <w:p w14:paraId="3383A087">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9.6.1发包人应及时向承包人提供水土保持方案。</w:t>
      </w:r>
    </w:p>
    <w:p w14:paraId="2E26F814">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9.6.2承包人在施工过程中，应遵守有关水土保持的法律法规和规章，履行合同约定的水土保持义务，并对其违反法律和合同约定义务所造成的水土流失灾害、人身伤害和财产损失负责。</w:t>
      </w:r>
    </w:p>
    <w:p w14:paraId="4D68BBF8">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9.6.3承包人的水土保持措施计划，应满足技术标准和要求</w:t>
      </w:r>
      <w:r>
        <w:rPr>
          <w:rFonts w:hint="eastAsia" w:ascii="宋体" w:hAnsi="宋体"/>
          <w:color w:val="auto"/>
          <w:szCs w:val="21"/>
          <w:highlight w:val="none"/>
          <w:lang w:eastAsia="zh-CN"/>
        </w:rPr>
        <w:t>（</w:t>
      </w:r>
      <w:r>
        <w:rPr>
          <w:rFonts w:hint="eastAsia" w:ascii="宋体" w:hAnsi="宋体"/>
          <w:color w:val="auto"/>
          <w:szCs w:val="21"/>
          <w:highlight w:val="none"/>
        </w:rPr>
        <w:t>合同技术条款</w:t>
      </w:r>
      <w:r>
        <w:rPr>
          <w:rFonts w:hint="eastAsia" w:ascii="宋体" w:hAnsi="宋体"/>
          <w:color w:val="auto"/>
          <w:szCs w:val="21"/>
          <w:highlight w:val="none"/>
          <w:lang w:eastAsia="zh-CN"/>
        </w:rPr>
        <w:t>）</w:t>
      </w:r>
      <w:r>
        <w:rPr>
          <w:rFonts w:hint="eastAsia" w:ascii="宋体" w:hAnsi="宋体"/>
          <w:color w:val="auto"/>
          <w:szCs w:val="21"/>
          <w:highlight w:val="none"/>
        </w:rPr>
        <w:t>约定的要求。</w:t>
      </w:r>
    </w:p>
    <w:p w14:paraId="664D6FE8">
      <w:pPr>
        <w:spacing w:line="360" w:lineRule="auto"/>
        <w:rPr>
          <w:rFonts w:hint="eastAsia" w:ascii="宋体" w:hAnsi="宋体"/>
          <w:b/>
          <w:color w:val="auto"/>
          <w:sz w:val="24"/>
          <w:highlight w:val="none"/>
        </w:rPr>
      </w:pPr>
      <w:r>
        <w:rPr>
          <w:rFonts w:hint="eastAsia" w:ascii="宋体" w:hAnsi="宋体"/>
          <w:b/>
          <w:color w:val="auto"/>
          <w:sz w:val="24"/>
          <w:highlight w:val="none"/>
        </w:rPr>
        <w:t>9.7文明工地</w:t>
      </w:r>
    </w:p>
    <w:p w14:paraId="227C0D17">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9.7.1发包人应按专用合同条款的约定，负责建立创建文明建设工地的组织机构，制定创建文明建设工地的规划和办法。</w:t>
      </w:r>
    </w:p>
    <w:p w14:paraId="076AC43D">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9.7.2承包人应按创建文明建设工地的规划和办法，履行职责，承担相应责任。所需费用应含在已标价工程量清单中。</w:t>
      </w:r>
    </w:p>
    <w:p w14:paraId="0F963D6A">
      <w:pPr>
        <w:spacing w:line="360" w:lineRule="auto"/>
        <w:rPr>
          <w:rFonts w:hint="eastAsia" w:ascii="宋体" w:hAnsi="宋体"/>
          <w:b/>
          <w:color w:val="auto"/>
          <w:sz w:val="24"/>
          <w:highlight w:val="none"/>
        </w:rPr>
      </w:pPr>
      <w:r>
        <w:rPr>
          <w:rFonts w:hint="eastAsia" w:ascii="宋体" w:hAnsi="宋体"/>
          <w:b/>
          <w:color w:val="auto"/>
          <w:sz w:val="24"/>
          <w:highlight w:val="none"/>
        </w:rPr>
        <w:t>9.8防汛度汛</w:t>
      </w:r>
    </w:p>
    <w:p w14:paraId="68F0E7F6">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9.8.1发包人负责组织工程参建单位编制本工程的度汛方案和措施。</w:t>
      </w:r>
    </w:p>
    <w:p w14:paraId="1018C197">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9.8.2承包人应根据发包人编制的本工程度汛方案和措施，制定相应的度汛方案，报发包人批准后实施。</w:t>
      </w:r>
    </w:p>
    <w:p w14:paraId="3943F8F6">
      <w:pPr>
        <w:pStyle w:val="5"/>
        <w:rPr>
          <w:rFonts w:hint="eastAsia" w:ascii="宋体" w:hAnsi="宋体"/>
          <w:color w:val="auto"/>
          <w:sz w:val="28"/>
          <w:highlight w:val="none"/>
        </w:rPr>
      </w:pPr>
      <w:r>
        <w:rPr>
          <w:rFonts w:hint="eastAsia" w:ascii="宋体" w:hAnsi="宋体"/>
          <w:color w:val="auto"/>
          <w:sz w:val="28"/>
          <w:highlight w:val="none"/>
        </w:rPr>
        <w:t>10.进度计划</w:t>
      </w:r>
    </w:p>
    <w:p w14:paraId="65BE09E2">
      <w:pPr>
        <w:spacing w:line="360" w:lineRule="auto"/>
        <w:rPr>
          <w:rFonts w:hint="eastAsia" w:ascii="宋体" w:hAnsi="宋体"/>
          <w:b/>
          <w:color w:val="auto"/>
          <w:sz w:val="24"/>
          <w:highlight w:val="none"/>
        </w:rPr>
      </w:pPr>
      <w:r>
        <w:rPr>
          <w:rFonts w:hint="eastAsia" w:ascii="宋体" w:hAnsi="宋体"/>
          <w:b/>
          <w:color w:val="auto"/>
          <w:sz w:val="24"/>
          <w:highlight w:val="none"/>
        </w:rPr>
        <w:t>10.1 合同进度计划</w:t>
      </w:r>
    </w:p>
    <w:p w14:paraId="562AF1C3">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承包人应按技术标准和要求</w:t>
      </w:r>
      <w:r>
        <w:rPr>
          <w:rFonts w:hint="eastAsia" w:ascii="宋体" w:hAnsi="宋体"/>
          <w:color w:val="auto"/>
          <w:szCs w:val="21"/>
          <w:highlight w:val="none"/>
          <w:lang w:eastAsia="zh-CN"/>
        </w:rPr>
        <w:t>（</w:t>
      </w:r>
      <w:r>
        <w:rPr>
          <w:rFonts w:hint="eastAsia" w:ascii="宋体" w:hAnsi="宋体"/>
          <w:color w:val="auto"/>
          <w:szCs w:val="21"/>
          <w:highlight w:val="none"/>
        </w:rPr>
        <w:t>合同技术条款</w:t>
      </w:r>
      <w:r>
        <w:rPr>
          <w:rFonts w:hint="eastAsia" w:ascii="宋体" w:hAnsi="宋体"/>
          <w:color w:val="auto"/>
          <w:szCs w:val="21"/>
          <w:highlight w:val="none"/>
          <w:lang w:eastAsia="zh-CN"/>
        </w:rPr>
        <w:t>）</w:t>
      </w:r>
      <w:r>
        <w:rPr>
          <w:rFonts w:hint="eastAsia" w:ascii="宋体" w:hAnsi="宋体"/>
          <w:color w:val="auto"/>
          <w:szCs w:val="21"/>
          <w:highlight w:val="none"/>
        </w:rPr>
        <w:t>约定的内容和期限以及监理人的指示，编制详</w:t>
      </w:r>
    </w:p>
    <w:p w14:paraId="46A09FE5">
      <w:pPr>
        <w:spacing w:line="360" w:lineRule="auto"/>
        <w:rPr>
          <w:rFonts w:hint="eastAsia" w:ascii="宋体" w:hAnsi="宋体"/>
          <w:color w:val="auto"/>
          <w:szCs w:val="21"/>
          <w:highlight w:val="none"/>
        </w:rPr>
      </w:pPr>
      <w:r>
        <w:rPr>
          <w:rFonts w:hint="eastAsia" w:ascii="宋体" w:hAnsi="宋体"/>
          <w:color w:val="auto"/>
          <w:szCs w:val="21"/>
          <w:highlight w:val="none"/>
        </w:rPr>
        <w:t>细的施工总进度计划及其说明提交监理人审批。监理人应在技术标准和要求</w:t>
      </w:r>
      <w:r>
        <w:rPr>
          <w:rFonts w:hint="eastAsia" w:ascii="宋体" w:hAnsi="宋体"/>
          <w:color w:val="auto"/>
          <w:szCs w:val="21"/>
          <w:highlight w:val="none"/>
          <w:lang w:eastAsia="zh-CN"/>
        </w:rPr>
        <w:t>（</w:t>
      </w:r>
      <w:r>
        <w:rPr>
          <w:rFonts w:hint="eastAsia" w:ascii="宋体" w:hAnsi="宋体"/>
          <w:color w:val="auto"/>
          <w:szCs w:val="21"/>
          <w:highlight w:val="none"/>
        </w:rPr>
        <w:t>合同技术条款</w:t>
      </w:r>
      <w:r>
        <w:rPr>
          <w:rFonts w:hint="eastAsia" w:ascii="宋体" w:hAnsi="宋体"/>
          <w:color w:val="auto"/>
          <w:szCs w:val="21"/>
          <w:highlight w:val="none"/>
          <w:lang w:eastAsia="zh-CN"/>
        </w:rPr>
        <w:t>）</w:t>
      </w:r>
      <w:r>
        <w:rPr>
          <w:rFonts w:hint="eastAsia" w:ascii="宋体" w:hAnsi="宋体"/>
          <w:color w:val="auto"/>
          <w:szCs w:val="21"/>
          <w:highlight w:val="none"/>
        </w:rPr>
        <w:t>约</w:t>
      </w:r>
    </w:p>
    <w:p w14:paraId="30D67842">
      <w:pPr>
        <w:spacing w:line="360" w:lineRule="auto"/>
        <w:rPr>
          <w:rFonts w:hint="eastAsia" w:ascii="宋体" w:hAnsi="宋体"/>
          <w:color w:val="auto"/>
          <w:szCs w:val="21"/>
          <w:highlight w:val="none"/>
        </w:rPr>
      </w:pPr>
      <w:r>
        <w:rPr>
          <w:rFonts w:hint="eastAsia" w:ascii="宋体" w:hAnsi="宋体"/>
          <w:color w:val="auto"/>
          <w:szCs w:val="21"/>
          <w:highlight w:val="none"/>
        </w:rPr>
        <w:t>定的期限内批复承包人，否则该进度计划视为已得到批准。经监理人批准的施工进度计划称为合</w:t>
      </w:r>
    </w:p>
    <w:p w14:paraId="45EDD515">
      <w:pPr>
        <w:spacing w:line="360" w:lineRule="auto"/>
        <w:rPr>
          <w:rFonts w:hint="eastAsia" w:ascii="宋体" w:hAnsi="宋体"/>
          <w:color w:val="auto"/>
          <w:szCs w:val="21"/>
          <w:highlight w:val="none"/>
        </w:rPr>
      </w:pPr>
      <w:r>
        <w:rPr>
          <w:rFonts w:hint="eastAsia" w:ascii="宋体" w:hAnsi="宋体"/>
          <w:color w:val="auto"/>
          <w:szCs w:val="21"/>
          <w:highlight w:val="none"/>
        </w:rPr>
        <w:t>同进度计划，是控制合同工程进度的依据。承包人还应根据合同进度计划，编制更为详细的分阶</w:t>
      </w:r>
    </w:p>
    <w:p w14:paraId="3C93E076">
      <w:pPr>
        <w:spacing w:line="360" w:lineRule="auto"/>
        <w:rPr>
          <w:rFonts w:hint="eastAsia" w:ascii="宋体" w:hAnsi="宋体"/>
          <w:color w:val="auto"/>
          <w:szCs w:val="21"/>
          <w:highlight w:val="none"/>
        </w:rPr>
      </w:pPr>
      <w:r>
        <w:rPr>
          <w:rFonts w:hint="eastAsia" w:ascii="宋体" w:hAnsi="宋体"/>
          <w:color w:val="auto"/>
          <w:szCs w:val="21"/>
          <w:highlight w:val="none"/>
        </w:rPr>
        <w:t>段或单位工程或分部工程进度计划，报监理人审批。</w:t>
      </w:r>
    </w:p>
    <w:p w14:paraId="6509ECE0">
      <w:pPr>
        <w:spacing w:line="360" w:lineRule="auto"/>
        <w:rPr>
          <w:rFonts w:hint="eastAsia" w:ascii="宋体" w:hAnsi="宋体"/>
          <w:b/>
          <w:color w:val="auto"/>
          <w:sz w:val="24"/>
          <w:highlight w:val="none"/>
        </w:rPr>
      </w:pPr>
      <w:r>
        <w:rPr>
          <w:rFonts w:hint="eastAsia" w:ascii="宋体" w:hAnsi="宋体"/>
          <w:b/>
          <w:color w:val="auto"/>
          <w:sz w:val="24"/>
          <w:highlight w:val="none"/>
        </w:rPr>
        <w:t>10.2合同进度计划的修订</w:t>
      </w:r>
    </w:p>
    <w:p w14:paraId="012B3116">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不论何种原因造成工程的实际进度与第10.1款的合同进度计划不符时，承包人均应在14天内向监理人提交修订合同进度计划的</w:t>
      </w:r>
      <w:r>
        <w:rPr>
          <w:rFonts w:hint="eastAsia" w:ascii="宋体" w:hAnsi="宋体"/>
          <w:color w:val="auto"/>
          <w:szCs w:val="21"/>
          <w:highlight w:val="none"/>
          <w:lang w:eastAsia="zh-CN"/>
        </w:rPr>
        <w:t>申请报告</w:t>
      </w:r>
      <w:r>
        <w:rPr>
          <w:rFonts w:hint="eastAsia" w:ascii="宋体" w:hAnsi="宋体"/>
          <w:color w:val="auto"/>
          <w:szCs w:val="21"/>
          <w:highlight w:val="none"/>
        </w:rPr>
        <w:t>，并附有关措施和相关资料，报监理人审批，监理人应在收到</w:t>
      </w:r>
      <w:r>
        <w:rPr>
          <w:rFonts w:hint="eastAsia" w:ascii="宋体" w:hAnsi="宋体"/>
          <w:color w:val="auto"/>
          <w:szCs w:val="21"/>
          <w:highlight w:val="none"/>
          <w:lang w:eastAsia="zh-CN"/>
        </w:rPr>
        <w:t>申请</w:t>
      </w:r>
      <w:r>
        <w:rPr>
          <w:rFonts w:hint="eastAsia" w:ascii="宋体" w:hAnsi="宋体"/>
          <w:color w:val="auto"/>
          <w:szCs w:val="21"/>
          <w:highlight w:val="none"/>
        </w:rPr>
        <w:t>报告后的14天内批复。当监理人认为需要修订合同进度计划时，承包人应按监理人的指示，在14天内向监理人提交修订的合同进度计划，并附调整计划的相关资料，提交监理人审批。监理人应在收到进度计划后的14天内批复。</w:t>
      </w:r>
    </w:p>
    <w:p w14:paraId="114E13CA">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不论何种原因造成施工进度延迟，承包人均应按监理人的指示，采取有效措施赶上进度。承包人应在向监理人提交修订合同进度计划的同时，编制一份赶工措施报告提交监理人审批。由于</w:t>
      </w:r>
    </w:p>
    <w:p w14:paraId="2AE655C0">
      <w:pPr>
        <w:spacing w:line="360" w:lineRule="auto"/>
        <w:rPr>
          <w:rFonts w:hint="eastAsia" w:ascii="宋体" w:hAnsi="宋体"/>
          <w:color w:val="auto"/>
          <w:szCs w:val="21"/>
          <w:highlight w:val="none"/>
        </w:rPr>
      </w:pPr>
      <w:r>
        <w:rPr>
          <w:rFonts w:hint="eastAsia" w:ascii="宋体" w:hAnsi="宋体"/>
          <w:color w:val="auto"/>
          <w:szCs w:val="21"/>
          <w:highlight w:val="none"/>
        </w:rPr>
        <w:t>发包人原因造成施工进度延迟，应按第11.3款的约定办理</w:t>
      </w:r>
      <w:r>
        <w:rPr>
          <w:rFonts w:hint="eastAsia" w:ascii="宋体" w:hAnsi="宋体"/>
          <w:color w:val="auto"/>
          <w:szCs w:val="21"/>
          <w:highlight w:val="none"/>
          <w:lang w:eastAsia="zh-CN"/>
        </w:rPr>
        <w:t>；</w:t>
      </w:r>
      <w:r>
        <w:rPr>
          <w:rFonts w:hint="eastAsia" w:ascii="宋体" w:hAnsi="宋体"/>
          <w:color w:val="auto"/>
          <w:szCs w:val="21"/>
          <w:highlight w:val="none"/>
        </w:rPr>
        <w:t>由于承包人原因造成施工进度延迟，</w:t>
      </w:r>
    </w:p>
    <w:p w14:paraId="3C3EF4AF">
      <w:pPr>
        <w:spacing w:line="360" w:lineRule="auto"/>
        <w:rPr>
          <w:rFonts w:hint="eastAsia" w:ascii="宋体" w:hAnsi="宋体"/>
          <w:color w:val="auto"/>
          <w:szCs w:val="21"/>
          <w:highlight w:val="none"/>
        </w:rPr>
      </w:pPr>
      <w:r>
        <w:rPr>
          <w:rFonts w:hint="eastAsia" w:ascii="宋体" w:hAnsi="宋体"/>
          <w:color w:val="auto"/>
          <w:szCs w:val="21"/>
          <w:highlight w:val="none"/>
        </w:rPr>
        <w:t>应按第11.5款的约定办理。</w:t>
      </w:r>
    </w:p>
    <w:p w14:paraId="03AF0469">
      <w:pPr>
        <w:spacing w:line="360" w:lineRule="auto"/>
        <w:rPr>
          <w:rFonts w:hint="eastAsia" w:ascii="宋体" w:hAnsi="宋体"/>
          <w:b/>
          <w:color w:val="auto"/>
          <w:sz w:val="24"/>
          <w:highlight w:val="none"/>
        </w:rPr>
      </w:pPr>
      <w:r>
        <w:rPr>
          <w:rFonts w:hint="eastAsia" w:ascii="宋体" w:hAnsi="宋体"/>
          <w:b/>
          <w:color w:val="auto"/>
          <w:sz w:val="24"/>
          <w:highlight w:val="none"/>
        </w:rPr>
        <w:t>10.3单位工程进度计划</w:t>
      </w:r>
    </w:p>
    <w:p w14:paraId="0512A4D2">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监理人认为有必要时，承包人应按监理人指示的内容和期限，并根据合同进度计划的进度控制要求，编制单位工程进度计划，提交监理人审批。</w:t>
      </w:r>
    </w:p>
    <w:p w14:paraId="30FBA14C">
      <w:pPr>
        <w:spacing w:line="360" w:lineRule="auto"/>
        <w:rPr>
          <w:rFonts w:hint="eastAsia" w:ascii="宋体" w:hAnsi="宋体"/>
          <w:b/>
          <w:color w:val="auto"/>
          <w:sz w:val="24"/>
          <w:highlight w:val="none"/>
        </w:rPr>
      </w:pPr>
      <w:r>
        <w:rPr>
          <w:rFonts w:hint="eastAsia" w:ascii="宋体" w:hAnsi="宋体"/>
          <w:b/>
          <w:color w:val="auto"/>
          <w:sz w:val="24"/>
          <w:highlight w:val="none"/>
        </w:rPr>
        <w:t>10.4 提交资金流估算表</w:t>
      </w:r>
    </w:p>
    <w:p w14:paraId="2780DC45">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承包人应在按第10.1款约定向监理人提交施工总进度计划的同时，按下表约定的格式，向监理人提交按月的资金流估算表。估算表应包括承包人计划可从发包人处得到的全部款额，以供发包人参考。此后，当监理人提出要求时，承包人应在监理人指定的期限内提交修订的资金流估算表。</w:t>
      </w:r>
    </w:p>
    <w:p w14:paraId="7E09547A">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w:t>
      </w:r>
      <w:r>
        <w:rPr>
          <w:rFonts w:hint="eastAsia" w:ascii="宋体" w:hAnsi="宋体"/>
          <w:b/>
          <w:color w:val="auto"/>
          <w:szCs w:val="21"/>
          <w:highlight w:val="none"/>
        </w:rPr>
        <w:t>资金流估算表</w:t>
      </w:r>
      <w:r>
        <w:rPr>
          <w:rFonts w:hint="eastAsia" w:ascii="宋体" w:hAnsi="宋体"/>
          <w:b/>
          <w:color w:val="auto"/>
          <w:szCs w:val="21"/>
          <w:highlight w:val="none"/>
          <w:lang w:eastAsia="zh-CN"/>
        </w:rPr>
        <w:t>（</w:t>
      </w:r>
      <w:r>
        <w:rPr>
          <w:rFonts w:hint="eastAsia" w:ascii="宋体" w:hAnsi="宋体"/>
          <w:color w:val="auto"/>
          <w:szCs w:val="21"/>
          <w:highlight w:val="none"/>
        </w:rPr>
        <w:t>参考格式</w:t>
      </w:r>
      <w:r>
        <w:rPr>
          <w:rFonts w:hint="eastAsia" w:ascii="宋体" w:hAnsi="宋体"/>
          <w:color w:val="auto"/>
          <w:szCs w:val="21"/>
          <w:highlight w:val="none"/>
          <w:lang w:eastAsia="zh-CN"/>
        </w:rPr>
        <w:t>）</w:t>
      </w:r>
      <w:r>
        <w:rPr>
          <w:rFonts w:hint="eastAsia" w:ascii="宋体" w:hAnsi="宋体"/>
          <w:color w:val="auto"/>
          <w:szCs w:val="21"/>
          <w:highlight w:val="none"/>
        </w:rPr>
        <w:t xml:space="preserve">                 金额单位</w:t>
      </w:r>
    </w:p>
    <w:tbl>
      <w:tblPr>
        <w:tblStyle w:val="49"/>
        <w:tblW w:w="0" w:type="auto"/>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452"/>
        <w:gridCol w:w="452"/>
        <w:gridCol w:w="1047"/>
        <w:gridCol w:w="1259"/>
        <w:gridCol w:w="1151"/>
        <w:gridCol w:w="1027"/>
        <w:gridCol w:w="1031"/>
        <w:gridCol w:w="1031"/>
        <w:gridCol w:w="1145"/>
        <w:gridCol w:w="1259"/>
      </w:tblGrid>
      <w:tr w14:paraId="18F9649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452" w:type="dxa"/>
            <w:noWrap w:val="0"/>
            <w:vAlign w:val="center"/>
          </w:tcPr>
          <w:p w14:paraId="3AB7BBAB">
            <w:pPr>
              <w:spacing w:line="360" w:lineRule="auto"/>
              <w:jc w:val="center"/>
              <w:rPr>
                <w:rFonts w:hint="eastAsia" w:ascii="宋体" w:hAnsi="宋体"/>
                <w:color w:val="auto"/>
                <w:szCs w:val="21"/>
                <w:highlight w:val="none"/>
              </w:rPr>
            </w:pPr>
            <w:r>
              <w:rPr>
                <w:rFonts w:hint="eastAsia" w:ascii="宋体" w:hAnsi="宋体"/>
                <w:color w:val="auto"/>
                <w:szCs w:val="21"/>
                <w:highlight w:val="none"/>
              </w:rPr>
              <w:t>年</w:t>
            </w:r>
          </w:p>
        </w:tc>
        <w:tc>
          <w:tcPr>
            <w:tcW w:w="452" w:type="dxa"/>
            <w:noWrap w:val="0"/>
            <w:vAlign w:val="center"/>
          </w:tcPr>
          <w:p w14:paraId="4AAC6848">
            <w:pPr>
              <w:spacing w:line="360" w:lineRule="auto"/>
              <w:jc w:val="center"/>
              <w:rPr>
                <w:rFonts w:hint="eastAsia" w:ascii="宋体" w:hAnsi="宋体"/>
                <w:color w:val="auto"/>
                <w:szCs w:val="21"/>
                <w:highlight w:val="none"/>
              </w:rPr>
            </w:pPr>
            <w:r>
              <w:rPr>
                <w:rFonts w:hint="eastAsia" w:ascii="宋体" w:hAnsi="宋体"/>
                <w:color w:val="auto"/>
                <w:szCs w:val="21"/>
                <w:highlight w:val="none"/>
              </w:rPr>
              <w:t>月</w:t>
            </w:r>
          </w:p>
        </w:tc>
        <w:tc>
          <w:tcPr>
            <w:tcW w:w="1047" w:type="dxa"/>
            <w:noWrap w:val="0"/>
            <w:vAlign w:val="center"/>
          </w:tcPr>
          <w:p w14:paraId="57BB466B">
            <w:pPr>
              <w:spacing w:line="300" w:lineRule="exact"/>
              <w:jc w:val="center"/>
              <w:rPr>
                <w:rFonts w:hint="eastAsia" w:ascii="宋体" w:hAnsi="宋体"/>
                <w:color w:val="auto"/>
                <w:szCs w:val="21"/>
                <w:highlight w:val="none"/>
              </w:rPr>
            </w:pPr>
            <w:r>
              <w:rPr>
                <w:rFonts w:hint="eastAsia" w:ascii="宋体" w:hAnsi="宋体"/>
                <w:color w:val="auto"/>
                <w:szCs w:val="21"/>
                <w:highlight w:val="none"/>
              </w:rPr>
              <w:t>工程</w:t>
            </w:r>
          </w:p>
          <w:p w14:paraId="233AD6A1">
            <w:pPr>
              <w:spacing w:line="300" w:lineRule="exact"/>
              <w:jc w:val="center"/>
              <w:rPr>
                <w:rFonts w:hint="eastAsia" w:ascii="宋体" w:hAnsi="宋体"/>
                <w:color w:val="auto"/>
                <w:szCs w:val="21"/>
                <w:highlight w:val="none"/>
              </w:rPr>
            </w:pPr>
            <w:r>
              <w:rPr>
                <w:rFonts w:hint="eastAsia" w:ascii="宋体" w:hAnsi="宋体"/>
                <w:color w:val="auto"/>
                <w:szCs w:val="21"/>
                <w:highlight w:val="none"/>
              </w:rPr>
              <w:t>预付款</w:t>
            </w:r>
          </w:p>
        </w:tc>
        <w:tc>
          <w:tcPr>
            <w:tcW w:w="1259" w:type="dxa"/>
            <w:noWrap w:val="0"/>
            <w:vAlign w:val="center"/>
          </w:tcPr>
          <w:p w14:paraId="79E8BFE9">
            <w:pPr>
              <w:spacing w:line="300" w:lineRule="exact"/>
              <w:jc w:val="center"/>
              <w:rPr>
                <w:rFonts w:hint="eastAsia" w:ascii="宋体" w:hAnsi="宋体"/>
                <w:color w:val="auto"/>
                <w:szCs w:val="21"/>
                <w:highlight w:val="none"/>
              </w:rPr>
            </w:pPr>
            <w:r>
              <w:rPr>
                <w:rFonts w:hint="eastAsia" w:ascii="宋体" w:hAnsi="宋体"/>
                <w:color w:val="auto"/>
                <w:szCs w:val="21"/>
                <w:highlight w:val="none"/>
              </w:rPr>
              <w:t>完成工作量付款</w:t>
            </w:r>
          </w:p>
        </w:tc>
        <w:tc>
          <w:tcPr>
            <w:tcW w:w="1151" w:type="dxa"/>
            <w:noWrap w:val="0"/>
            <w:vAlign w:val="center"/>
          </w:tcPr>
          <w:p w14:paraId="5384DB1C">
            <w:pPr>
              <w:spacing w:line="300" w:lineRule="exact"/>
              <w:jc w:val="center"/>
              <w:rPr>
                <w:rFonts w:hint="eastAsia" w:ascii="宋体" w:hAnsi="宋体"/>
                <w:color w:val="auto"/>
                <w:szCs w:val="21"/>
                <w:highlight w:val="none"/>
              </w:rPr>
            </w:pPr>
            <w:r>
              <w:rPr>
                <w:rFonts w:hint="eastAsia" w:ascii="宋体" w:hAnsi="宋体"/>
                <w:color w:val="auto"/>
                <w:szCs w:val="21"/>
                <w:highlight w:val="none"/>
              </w:rPr>
              <w:t>质量保留金扣留</w:t>
            </w:r>
          </w:p>
        </w:tc>
        <w:tc>
          <w:tcPr>
            <w:tcW w:w="1027" w:type="dxa"/>
            <w:noWrap w:val="0"/>
            <w:vAlign w:val="center"/>
          </w:tcPr>
          <w:p w14:paraId="5BBB371E">
            <w:pPr>
              <w:spacing w:line="300" w:lineRule="exact"/>
              <w:jc w:val="center"/>
              <w:rPr>
                <w:rFonts w:hint="eastAsia" w:ascii="宋体" w:hAnsi="宋体"/>
                <w:color w:val="auto"/>
                <w:szCs w:val="21"/>
                <w:highlight w:val="none"/>
              </w:rPr>
            </w:pPr>
            <w:r>
              <w:rPr>
                <w:rFonts w:hint="eastAsia" w:ascii="宋体" w:hAnsi="宋体"/>
                <w:color w:val="auto"/>
                <w:szCs w:val="21"/>
                <w:highlight w:val="none"/>
              </w:rPr>
              <w:t>材料款</w:t>
            </w:r>
          </w:p>
          <w:p w14:paraId="1BA9E42B">
            <w:pPr>
              <w:spacing w:line="300" w:lineRule="exact"/>
              <w:jc w:val="center"/>
              <w:rPr>
                <w:rFonts w:hint="eastAsia" w:ascii="宋体" w:hAnsi="宋体"/>
                <w:color w:val="auto"/>
                <w:szCs w:val="21"/>
                <w:highlight w:val="none"/>
              </w:rPr>
            </w:pPr>
            <w:r>
              <w:rPr>
                <w:rFonts w:hint="eastAsia" w:ascii="宋体" w:hAnsi="宋体"/>
                <w:color w:val="auto"/>
                <w:szCs w:val="21"/>
                <w:highlight w:val="none"/>
              </w:rPr>
              <w:t>扣除</w:t>
            </w:r>
          </w:p>
        </w:tc>
        <w:tc>
          <w:tcPr>
            <w:tcW w:w="1031" w:type="dxa"/>
            <w:noWrap w:val="0"/>
            <w:vAlign w:val="center"/>
          </w:tcPr>
          <w:p w14:paraId="39157053">
            <w:pPr>
              <w:spacing w:line="300" w:lineRule="exact"/>
              <w:jc w:val="center"/>
              <w:rPr>
                <w:rFonts w:hint="eastAsia" w:ascii="宋体" w:hAnsi="宋体"/>
                <w:color w:val="auto"/>
                <w:szCs w:val="21"/>
                <w:highlight w:val="none"/>
              </w:rPr>
            </w:pPr>
            <w:r>
              <w:rPr>
                <w:rFonts w:hint="eastAsia" w:ascii="宋体" w:hAnsi="宋体"/>
                <w:color w:val="auto"/>
                <w:szCs w:val="21"/>
                <w:highlight w:val="none"/>
              </w:rPr>
              <w:t>预付款</w:t>
            </w:r>
          </w:p>
          <w:p w14:paraId="3DBDAF44">
            <w:pPr>
              <w:spacing w:line="300" w:lineRule="exact"/>
              <w:jc w:val="center"/>
              <w:rPr>
                <w:rFonts w:hint="eastAsia" w:ascii="宋体" w:hAnsi="宋体"/>
                <w:color w:val="auto"/>
                <w:szCs w:val="21"/>
                <w:highlight w:val="none"/>
              </w:rPr>
            </w:pPr>
            <w:r>
              <w:rPr>
                <w:rFonts w:hint="eastAsia" w:ascii="宋体" w:hAnsi="宋体"/>
                <w:color w:val="auto"/>
                <w:szCs w:val="21"/>
                <w:highlight w:val="none"/>
              </w:rPr>
              <w:t>扣还</w:t>
            </w:r>
          </w:p>
        </w:tc>
        <w:tc>
          <w:tcPr>
            <w:tcW w:w="1031" w:type="dxa"/>
            <w:noWrap w:val="0"/>
            <w:vAlign w:val="center"/>
          </w:tcPr>
          <w:p w14:paraId="2AD87A2E">
            <w:pPr>
              <w:spacing w:line="300" w:lineRule="exact"/>
              <w:jc w:val="center"/>
              <w:rPr>
                <w:rFonts w:hint="eastAsia" w:ascii="宋体" w:hAnsi="宋体"/>
                <w:color w:val="auto"/>
                <w:szCs w:val="21"/>
                <w:highlight w:val="none"/>
              </w:rPr>
            </w:pPr>
            <w:r>
              <w:rPr>
                <w:rFonts w:hint="eastAsia" w:ascii="宋体" w:hAnsi="宋体"/>
                <w:color w:val="auto"/>
                <w:szCs w:val="21"/>
                <w:highlight w:val="none"/>
              </w:rPr>
              <w:t>其他</w:t>
            </w:r>
          </w:p>
        </w:tc>
        <w:tc>
          <w:tcPr>
            <w:tcW w:w="1145" w:type="dxa"/>
            <w:noWrap w:val="0"/>
            <w:vAlign w:val="center"/>
          </w:tcPr>
          <w:p w14:paraId="32503CCA">
            <w:pPr>
              <w:spacing w:line="300" w:lineRule="exact"/>
              <w:jc w:val="center"/>
              <w:rPr>
                <w:rFonts w:hint="eastAsia" w:ascii="宋体" w:hAnsi="宋体"/>
                <w:color w:val="auto"/>
                <w:szCs w:val="21"/>
                <w:highlight w:val="none"/>
              </w:rPr>
            </w:pPr>
            <w:r>
              <w:rPr>
                <w:rFonts w:hint="eastAsia" w:ascii="宋体" w:hAnsi="宋体"/>
                <w:color w:val="auto"/>
                <w:szCs w:val="21"/>
                <w:highlight w:val="none"/>
              </w:rPr>
              <w:t>应收款</w:t>
            </w:r>
          </w:p>
        </w:tc>
        <w:tc>
          <w:tcPr>
            <w:tcW w:w="1259" w:type="dxa"/>
            <w:noWrap w:val="0"/>
            <w:vAlign w:val="center"/>
          </w:tcPr>
          <w:p w14:paraId="3BEC710A">
            <w:pPr>
              <w:spacing w:line="300" w:lineRule="exact"/>
              <w:jc w:val="center"/>
              <w:rPr>
                <w:rFonts w:hint="eastAsia" w:ascii="宋体" w:hAnsi="宋体"/>
                <w:color w:val="auto"/>
                <w:szCs w:val="21"/>
                <w:highlight w:val="none"/>
              </w:rPr>
            </w:pPr>
            <w:r>
              <w:rPr>
                <w:rFonts w:hint="eastAsia" w:ascii="宋体" w:hAnsi="宋体"/>
                <w:color w:val="auto"/>
                <w:szCs w:val="21"/>
                <w:highlight w:val="none"/>
              </w:rPr>
              <w:t>累计</w:t>
            </w:r>
          </w:p>
          <w:p w14:paraId="612A9CA5">
            <w:pPr>
              <w:spacing w:line="300" w:lineRule="exact"/>
              <w:jc w:val="center"/>
              <w:rPr>
                <w:rFonts w:hint="eastAsia" w:ascii="宋体" w:hAnsi="宋体"/>
                <w:color w:val="auto"/>
                <w:szCs w:val="21"/>
                <w:highlight w:val="none"/>
              </w:rPr>
            </w:pPr>
            <w:r>
              <w:rPr>
                <w:rFonts w:hint="eastAsia" w:ascii="宋体" w:hAnsi="宋体"/>
                <w:color w:val="auto"/>
                <w:szCs w:val="21"/>
                <w:highlight w:val="none"/>
              </w:rPr>
              <w:t>应收款</w:t>
            </w:r>
          </w:p>
        </w:tc>
      </w:tr>
      <w:tr w14:paraId="5670F30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452" w:type="dxa"/>
            <w:noWrap w:val="0"/>
            <w:vAlign w:val="center"/>
          </w:tcPr>
          <w:p w14:paraId="67F75C4A">
            <w:pPr>
              <w:spacing w:line="360" w:lineRule="auto"/>
              <w:jc w:val="center"/>
              <w:rPr>
                <w:rFonts w:hint="eastAsia" w:ascii="宋体" w:hAnsi="宋体"/>
                <w:color w:val="auto"/>
                <w:sz w:val="24"/>
                <w:highlight w:val="none"/>
              </w:rPr>
            </w:pPr>
          </w:p>
        </w:tc>
        <w:tc>
          <w:tcPr>
            <w:tcW w:w="452" w:type="dxa"/>
            <w:noWrap w:val="0"/>
            <w:vAlign w:val="center"/>
          </w:tcPr>
          <w:p w14:paraId="038030F0">
            <w:pPr>
              <w:spacing w:line="360" w:lineRule="auto"/>
              <w:jc w:val="center"/>
              <w:rPr>
                <w:rFonts w:hint="eastAsia" w:ascii="宋体" w:hAnsi="宋体"/>
                <w:color w:val="auto"/>
                <w:sz w:val="24"/>
                <w:highlight w:val="none"/>
              </w:rPr>
            </w:pPr>
          </w:p>
        </w:tc>
        <w:tc>
          <w:tcPr>
            <w:tcW w:w="1047" w:type="dxa"/>
            <w:noWrap w:val="0"/>
            <w:vAlign w:val="center"/>
          </w:tcPr>
          <w:p w14:paraId="5944122B">
            <w:pPr>
              <w:spacing w:line="360" w:lineRule="auto"/>
              <w:jc w:val="center"/>
              <w:rPr>
                <w:rFonts w:hint="eastAsia" w:ascii="宋体" w:hAnsi="宋体"/>
                <w:color w:val="auto"/>
                <w:sz w:val="24"/>
                <w:highlight w:val="none"/>
              </w:rPr>
            </w:pPr>
          </w:p>
        </w:tc>
        <w:tc>
          <w:tcPr>
            <w:tcW w:w="1259" w:type="dxa"/>
            <w:noWrap w:val="0"/>
            <w:vAlign w:val="center"/>
          </w:tcPr>
          <w:p w14:paraId="3C9A90DD">
            <w:pPr>
              <w:spacing w:line="360" w:lineRule="auto"/>
              <w:jc w:val="center"/>
              <w:rPr>
                <w:rFonts w:hint="eastAsia" w:ascii="宋体" w:hAnsi="宋体"/>
                <w:color w:val="auto"/>
                <w:sz w:val="24"/>
                <w:highlight w:val="none"/>
              </w:rPr>
            </w:pPr>
          </w:p>
        </w:tc>
        <w:tc>
          <w:tcPr>
            <w:tcW w:w="1151" w:type="dxa"/>
            <w:noWrap w:val="0"/>
            <w:vAlign w:val="center"/>
          </w:tcPr>
          <w:p w14:paraId="179A9796">
            <w:pPr>
              <w:spacing w:line="360" w:lineRule="auto"/>
              <w:jc w:val="center"/>
              <w:rPr>
                <w:rFonts w:hint="eastAsia" w:ascii="宋体" w:hAnsi="宋体"/>
                <w:color w:val="auto"/>
                <w:sz w:val="24"/>
                <w:highlight w:val="none"/>
              </w:rPr>
            </w:pPr>
          </w:p>
        </w:tc>
        <w:tc>
          <w:tcPr>
            <w:tcW w:w="1027" w:type="dxa"/>
            <w:noWrap w:val="0"/>
            <w:vAlign w:val="center"/>
          </w:tcPr>
          <w:p w14:paraId="19F320FD">
            <w:pPr>
              <w:spacing w:line="360" w:lineRule="auto"/>
              <w:jc w:val="center"/>
              <w:rPr>
                <w:rFonts w:hint="eastAsia" w:ascii="宋体" w:hAnsi="宋体"/>
                <w:color w:val="auto"/>
                <w:sz w:val="24"/>
                <w:highlight w:val="none"/>
              </w:rPr>
            </w:pPr>
          </w:p>
        </w:tc>
        <w:tc>
          <w:tcPr>
            <w:tcW w:w="1031" w:type="dxa"/>
            <w:noWrap w:val="0"/>
            <w:vAlign w:val="center"/>
          </w:tcPr>
          <w:p w14:paraId="64606E5F">
            <w:pPr>
              <w:spacing w:line="360" w:lineRule="auto"/>
              <w:jc w:val="center"/>
              <w:rPr>
                <w:rFonts w:hint="eastAsia" w:ascii="宋体" w:hAnsi="宋体"/>
                <w:color w:val="auto"/>
                <w:sz w:val="24"/>
                <w:highlight w:val="none"/>
              </w:rPr>
            </w:pPr>
          </w:p>
        </w:tc>
        <w:tc>
          <w:tcPr>
            <w:tcW w:w="1031" w:type="dxa"/>
            <w:noWrap w:val="0"/>
            <w:vAlign w:val="top"/>
          </w:tcPr>
          <w:p w14:paraId="6CE4F4C4">
            <w:pPr>
              <w:spacing w:line="360" w:lineRule="auto"/>
              <w:jc w:val="center"/>
              <w:rPr>
                <w:rFonts w:hint="eastAsia" w:ascii="宋体" w:hAnsi="宋体"/>
                <w:color w:val="auto"/>
                <w:sz w:val="24"/>
                <w:highlight w:val="none"/>
              </w:rPr>
            </w:pPr>
          </w:p>
        </w:tc>
        <w:tc>
          <w:tcPr>
            <w:tcW w:w="1145" w:type="dxa"/>
            <w:noWrap w:val="0"/>
            <w:vAlign w:val="top"/>
          </w:tcPr>
          <w:p w14:paraId="5576BA34">
            <w:pPr>
              <w:spacing w:line="360" w:lineRule="auto"/>
              <w:jc w:val="center"/>
              <w:rPr>
                <w:rFonts w:hint="eastAsia" w:ascii="宋体" w:hAnsi="宋体"/>
                <w:color w:val="auto"/>
                <w:sz w:val="24"/>
                <w:highlight w:val="none"/>
              </w:rPr>
            </w:pPr>
          </w:p>
        </w:tc>
        <w:tc>
          <w:tcPr>
            <w:tcW w:w="1259" w:type="dxa"/>
            <w:noWrap w:val="0"/>
            <w:vAlign w:val="center"/>
          </w:tcPr>
          <w:p w14:paraId="0070594E">
            <w:pPr>
              <w:spacing w:line="360" w:lineRule="auto"/>
              <w:jc w:val="center"/>
              <w:rPr>
                <w:rFonts w:hint="eastAsia" w:ascii="宋体" w:hAnsi="宋体"/>
                <w:color w:val="auto"/>
                <w:sz w:val="24"/>
                <w:highlight w:val="none"/>
              </w:rPr>
            </w:pPr>
          </w:p>
        </w:tc>
      </w:tr>
      <w:tr w14:paraId="5C44213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452" w:type="dxa"/>
            <w:noWrap w:val="0"/>
            <w:vAlign w:val="center"/>
          </w:tcPr>
          <w:p w14:paraId="44E37D43">
            <w:pPr>
              <w:spacing w:line="360" w:lineRule="auto"/>
              <w:jc w:val="center"/>
              <w:rPr>
                <w:rFonts w:hint="eastAsia" w:ascii="宋体" w:hAnsi="宋体"/>
                <w:color w:val="auto"/>
                <w:sz w:val="24"/>
                <w:highlight w:val="none"/>
              </w:rPr>
            </w:pPr>
          </w:p>
        </w:tc>
        <w:tc>
          <w:tcPr>
            <w:tcW w:w="452" w:type="dxa"/>
            <w:noWrap w:val="0"/>
            <w:vAlign w:val="center"/>
          </w:tcPr>
          <w:p w14:paraId="099C61B2">
            <w:pPr>
              <w:spacing w:line="360" w:lineRule="auto"/>
              <w:jc w:val="center"/>
              <w:rPr>
                <w:rFonts w:hint="eastAsia" w:ascii="宋体" w:hAnsi="宋体"/>
                <w:color w:val="auto"/>
                <w:sz w:val="24"/>
                <w:highlight w:val="none"/>
              </w:rPr>
            </w:pPr>
          </w:p>
        </w:tc>
        <w:tc>
          <w:tcPr>
            <w:tcW w:w="1047" w:type="dxa"/>
            <w:noWrap w:val="0"/>
            <w:vAlign w:val="center"/>
          </w:tcPr>
          <w:p w14:paraId="6D1D46CE">
            <w:pPr>
              <w:spacing w:line="360" w:lineRule="auto"/>
              <w:jc w:val="center"/>
              <w:rPr>
                <w:rFonts w:hint="eastAsia" w:ascii="宋体" w:hAnsi="宋体"/>
                <w:color w:val="auto"/>
                <w:sz w:val="24"/>
                <w:highlight w:val="none"/>
              </w:rPr>
            </w:pPr>
          </w:p>
        </w:tc>
        <w:tc>
          <w:tcPr>
            <w:tcW w:w="1259" w:type="dxa"/>
            <w:noWrap w:val="0"/>
            <w:vAlign w:val="center"/>
          </w:tcPr>
          <w:p w14:paraId="7912C3C1">
            <w:pPr>
              <w:spacing w:line="360" w:lineRule="auto"/>
              <w:jc w:val="center"/>
              <w:rPr>
                <w:rFonts w:hint="eastAsia" w:ascii="宋体" w:hAnsi="宋体"/>
                <w:color w:val="auto"/>
                <w:sz w:val="24"/>
                <w:highlight w:val="none"/>
              </w:rPr>
            </w:pPr>
          </w:p>
        </w:tc>
        <w:tc>
          <w:tcPr>
            <w:tcW w:w="1151" w:type="dxa"/>
            <w:noWrap w:val="0"/>
            <w:vAlign w:val="center"/>
          </w:tcPr>
          <w:p w14:paraId="5923936F">
            <w:pPr>
              <w:spacing w:line="360" w:lineRule="auto"/>
              <w:jc w:val="center"/>
              <w:rPr>
                <w:rFonts w:hint="eastAsia" w:ascii="宋体" w:hAnsi="宋体"/>
                <w:color w:val="auto"/>
                <w:sz w:val="24"/>
                <w:highlight w:val="none"/>
              </w:rPr>
            </w:pPr>
          </w:p>
        </w:tc>
        <w:tc>
          <w:tcPr>
            <w:tcW w:w="1027" w:type="dxa"/>
            <w:noWrap w:val="0"/>
            <w:vAlign w:val="center"/>
          </w:tcPr>
          <w:p w14:paraId="5B16BB5F">
            <w:pPr>
              <w:spacing w:line="360" w:lineRule="auto"/>
              <w:jc w:val="center"/>
              <w:rPr>
                <w:rFonts w:hint="eastAsia" w:ascii="宋体" w:hAnsi="宋体"/>
                <w:color w:val="auto"/>
                <w:sz w:val="24"/>
                <w:highlight w:val="none"/>
              </w:rPr>
            </w:pPr>
          </w:p>
        </w:tc>
        <w:tc>
          <w:tcPr>
            <w:tcW w:w="1031" w:type="dxa"/>
            <w:noWrap w:val="0"/>
            <w:vAlign w:val="center"/>
          </w:tcPr>
          <w:p w14:paraId="19D9E6A7">
            <w:pPr>
              <w:spacing w:line="360" w:lineRule="auto"/>
              <w:jc w:val="center"/>
              <w:rPr>
                <w:rFonts w:hint="eastAsia" w:ascii="宋体" w:hAnsi="宋体"/>
                <w:color w:val="auto"/>
                <w:sz w:val="24"/>
                <w:highlight w:val="none"/>
              </w:rPr>
            </w:pPr>
          </w:p>
        </w:tc>
        <w:tc>
          <w:tcPr>
            <w:tcW w:w="1031" w:type="dxa"/>
            <w:noWrap w:val="0"/>
            <w:vAlign w:val="top"/>
          </w:tcPr>
          <w:p w14:paraId="1375621D">
            <w:pPr>
              <w:spacing w:line="360" w:lineRule="auto"/>
              <w:jc w:val="center"/>
              <w:rPr>
                <w:rFonts w:hint="eastAsia" w:ascii="宋体" w:hAnsi="宋体"/>
                <w:color w:val="auto"/>
                <w:sz w:val="24"/>
                <w:highlight w:val="none"/>
              </w:rPr>
            </w:pPr>
          </w:p>
        </w:tc>
        <w:tc>
          <w:tcPr>
            <w:tcW w:w="1145" w:type="dxa"/>
            <w:noWrap w:val="0"/>
            <w:vAlign w:val="top"/>
          </w:tcPr>
          <w:p w14:paraId="2F06FC55">
            <w:pPr>
              <w:spacing w:line="360" w:lineRule="auto"/>
              <w:jc w:val="center"/>
              <w:rPr>
                <w:rFonts w:hint="eastAsia" w:ascii="宋体" w:hAnsi="宋体"/>
                <w:color w:val="auto"/>
                <w:sz w:val="24"/>
                <w:highlight w:val="none"/>
              </w:rPr>
            </w:pPr>
          </w:p>
        </w:tc>
        <w:tc>
          <w:tcPr>
            <w:tcW w:w="1259" w:type="dxa"/>
            <w:noWrap w:val="0"/>
            <w:vAlign w:val="center"/>
          </w:tcPr>
          <w:p w14:paraId="65D3739E">
            <w:pPr>
              <w:spacing w:line="360" w:lineRule="auto"/>
              <w:jc w:val="center"/>
              <w:rPr>
                <w:rFonts w:hint="eastAsia" w:ascii="宋体" w:hAnsi="宋体"/>
                <w:color w:val="auto"/>
                <w:sz w:val="24"/>
                <w:highlight w:val="none"/>
              </w:rPr>
            </w:pPr>
          </w:p>
        </w:tc>
      </w:tr>
      <w:tr w14:paraId="0223762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452" w:type="dxa"/>
            <w:noWrap w:val="0"/>
            <w:vAlign w:val="center"/>
          </w:tcPr>
          <w:p w14:paraId="4D7EB827">
            <w:pPr>
              <w:spacing w:line="360" w:lineRule="auto"/>
              <w:jc w:val="center"/>
              <w:rPr>
                <w:rFonts w:hint="eastAsia" w:ascii="宋体" w:hAnsi="宋体"/>
                <w:color w:val="auto"/>
                <w:sz w:val="24"/>
                <w:highlight w:val="none"/>
              </w:rPr>
            </w:pPr>
          </w:p>
        </w:tc>
        <w:tc>
          <w:tcPr>
            <w:tcW w:w="452" w:type="dxa"/>
            <w:noWrap w:val="0"/>
            <w:vAlign w:val="center"/>
          </w:tcPr>
          <w:p w14:paraId="06412660">
            <w:pPr>
              <w:spacing w:line="360" w:lineRule="auto"/>
              <w:jc w:val="center"/>
              <w:rPr>
                <w:rFonts w:hint="eastAsia" w:ascii="宋体" w:hAnsi="宋体"/>
                <w:color w:val="auto"/>
                <w:sz w:val="24"/>
                <w:highlight w:val="none"/>
              </w:rPr>
            </w:pPr>
          </w:p>
        </w:tc>
        <w:tc>
          <w:tcPr>
            <w:tcW w:w="1047" w:type="dxa"/>
            <w:noWrap w:val="0"/>
            <w:vAlign w:val="center"/>
          </w:tcPr>
          <w:p w14:paraId="524C2EE2">
            <w:pPr>
              <w:spacing w:line="360" w:lineRule="auto"/>
              <w:jc w:val="center"/>
              <w:rPr>
                <w:rFonts w:hint="eastAsia" w:ascii="宋体" w:hAnsi="宋体"/>
                <w:color w:val="auto"/>
                <w:sz w:val="24"/>
                <w:highlight w:val="none"/>
              </w:rPr>
            </w:pPr>
          </w:p>
        </w:tc>
        <w:tc>
          <w:tcPr>
            <w:tcW w:w="1259" w:type="dxa"/>
            <w:noWrap w:val="0"/>
            <w:vAlign w:val="center"/>
          </w:tcPr>
          <w:p w14:paraId="23E9558E">
            <w:pPr>
              <w:spacing w:line="360" w:lineRule="auto"/>
              <w:jc w:val="center"/>
              <w:rPr>
                <w:rFonts w:hint="eastAsia" w:ascii="宋体" w:hAnsi="宋体"/>
                <w:color w:val="auto"/>
                <w:sz w:val="24"/>
                <w:highlight w:val="none"/>
              </w:rPr>
            </w:pPr>
          </w:p>
        </w:tc>
        <w:tc>
          <w:tcPr>
            <w:tcW w:w="1151" w:type="dxa"/>
            <w:noWrap w:val="0"/>
            <w:vAlign w:val="center"/>
          </w:tcPr>
          <w:p w14:paraId="39479637">
            <w:pPr>
              <w:spacing w:line="360" w:lineRule="auto"/>
              <w:jc w:val="center"/>
              <w:rPr>
                <w:rFonts w:hint="eastAsia" w:ascii="宋体" w:hAnsi="宋体"/>
                <w:color w:val="auto"/>
                <w:sz w:val="24"/>
                <w:highlight w:val="none"/>
              </w:rPr>
            </w:pPr>
          </w:p>
        </w:tc>
        <w:tc>
          <w:tcPr>
            <w:tcW w:w="1027" w:type="dxa"/>
            <w:noWrap w:val="0"/>
            <w:vAlign w:val="center"/>
          </w:tcPr>
          <w:p w14:paraId="244DA683">
            <w:pPr>
              <w:spacing w:line="360" w:lineRule="auto"/>
              <w:jc w:val="center"/>
              <w:rPr>
                <w:rFonts w:hint="eastAsia" w:ascii="宋体" w:hAnsi="宋体"/>
                <w:color w:val="auto"/>
                <w:sz w:val="24"/>
                <w:highlight w:val="none"/>
              </w:rPr>
            </w:pPr>
          </w:p>
        </w:tc>
        <w:tc>
          <w:tcPr>
            <w:tcW w:w="1031" w:type="dxa"/>
            <w:noWrap w:val="0"/>
            <w:vAlign w:val="center"/>
          </w:tcPr>
          <w:p w14:paraId="4FA3553C">
            <w:pPr>
              <w:spacing w:line="360" w:lineRule="auto"/>
              <w:jc w:val="center"/>
              <w:rPr>
                <w:rFonts w:hint="eastAsia" w:ascii="宋体" w:hAnsi="宋体"/>
                <w:color w:val="auto"/>
                <w:sz w:val="24"/>
                <w:highlight w:val="none"/>
              </w:rPr>
            </w:pPr>
          </w:p>
        </w:tc>
        <w:tc>
          <w:tcPr>
            <w:tcW w:w="1031" w:type="dxa"/>
            <w:noWrap w:val="0"/>
            <w:vAlign w:val="top"/>
          </w:tcPr>
          <w:p w14:paraId="4D324762">
            <w:pPr>
              <w:spacing w:line="360" w:lineRule="auto"/>
              <w:jc w:val="center"/>
              <w:rPr>
                <w:rFonts w:hint="eastAsia" w:ascii="宋体" w:hAnsi="宋体"/>
                <w:color w:val="auto"/>
                <w:sz w:val="24"/>
                <w:highlight w:val="none"/>
              </w:rPr>
            </w:pPr>
          </w:p>
        </w:tc>
        <w:tc>
          <w:tcPr>
            <w:tcW w:w="1145" w:type="dxa"/>
            <w:noWrap w:val="0"/>
            <w:vAlign w:val="top"/>
          </w:tcPr>
          <w:p w14:paraId="5C17B672">
            <w:pPr>
              <w:spacing w:line="360" w:lineRule="auto"/>
              <w:jc w:val="center"/>
              <w:rPr>
                <w:rFonts w:hint="eastAsia" w:ascii="宋体" w:hAnsi="宋体"/>
                <w:color w:val="auto"/>
                <w:sz w:val="24"/>
                <w:highlight w:val="none"/>
              </w:rPr>
            </w:pPr>
          </w:p>
        </w:tc>
        <w:tc>
          <w:tcPr>
            <w:tcW w:w="1259" w:type="dxa"/>
            <w:noWrap w:val="0"/>
            <w:vAlign w:val="center"/>
          </w:tcPr>
          <w:p w14:paraId="4FC9AA4C">
            <w:pPr>
              <w:spacing w:line="360" w:lineRule="auto"/>
              <w:jc w:val="center"/>
              <w:rPr>
                <w:rFonts w:hint="eastAsia" w:ascii="宋体" w:hAnsi="宋体"/>
                <w:color w:val="auto"/>
                <w:sz w:val="24"/>
                <w:highlight w:val="none"/>
              </w:rPr>
            </w:pPr>
          </w:p>
        </w:tc>
      </w:tr>
    </w:tbl>
    <w:p w14:paraId="553D1073">
      <w:pPr>
        <w:pStyle w:val="5"/>
        <w:rPr>
          <w:rFonts w:hint="eastAsia" w:ascii="宋体" w:hAnsi="宋体"/>
          <w:color w:val="auto"/>
          <w:sz w:val="28"/>
          <w:highlight w:val="none"/>
        </w:rPr>
      </w:pPr>
      <w:r>
        <w:rPr>
          <w:rFonts w:hint="eastAsia" w:ascii="宋体" w:hAnsi="宋体"/>
          <w:color w:val="auto"/>
          <w:sz w:val="28"/>
          <w:highlight w:val="none"/>
        </w:rPr>
        <w:t>11 开工和竣工</w:t>
      </w:r>
      <w:r>
        <w:rPr>
          <w:rFonts w:hint="eastAsia" w:ascii="宋体" w:hAnsi="宋体"/>
          <w:color w:val="auto"/>
          <w:sz w:val="28"/>
          <w:highlight w:val="none"/>
          <w:lang w:eastAsia="zh-CN"/>
        </w:rPr>
        <w:t>（</w:t>
      </w:r>
      <w:r>
        <w:rPr>
          <w:rFonts w:hint="eastAsia" w:ascii="宋体" w:hAnsi="宋体"/>
          <w:color w:val="auto"/>
          <w:sz w:val="28"/>
          <w:highlight w:val="none"/>
        </w:rPr>
        <w:t>完工</w:t>
      </w:r>
      <w:r>
        <w:rPr>
          <w:rFonts w:hint="eastAsia" w:ascii="宋体" w:hAnsi="宋体"/>
          <w:color w:val="auto"/>
          <w:sz w:val="28"/>
          <w:highlight w:val="none"/>
          <w:lang w:eastAsia="zh-CN"/>
        </w:rPr>
        <w:t>）</w:t>
      </w:r>
    </w:p>
    <w:p w14:paraId="32D9BAA0">
      <w:pPr>
        <w:spacing w:line="360" w:lineRule="auto"/>
        <w:rPr>
          <w:rFonts w:hint="eastAsia" w:ascii="宋体" w:hAnsi="宋体"/>
          <w:b/>
          <w:color w:val="auto"/>
          <w:sz w:val="24"/>
          <w:highlight w:val="none"/>
        </w:rPr>
      </w:pPr>
      <w:r>
        <w:rPr>
          <w:rFonts w:hint="eastAsia" w:ascii="宋体" w:hAnsi="宋体"/>
          <w:b/>
          <w:color w:val="auto"/>
          <w:sz w:val="24"/>
          <w:highlight w:val="none"/>
        </w:rPr>
        <w:t>11.1 开工</w:t>
      </w:r>
    </w:p>
    <w:p w14:paraId="5C71B01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11.1.1监理人应在开工日期7天前向承包人发出开工通知。监理人在发出开工通知前应获得发包人同意。工期自监理人发出的开工通知中载明的开工日期起计算。承包人应在开工日期后尽快施工。</w:t>
      </w:r>
    </w:p>
    <w:p w14:paraId="672A39B5">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11.1.2承包人应按第10.1款约定的合同进度计划，向监理人提交工程开工报审表，经监理人审批后执行。开工报审表应详细说明按合同进度计划正常施工所需的施工道路、临时设施、材料设备、施工人员等施工组织措施的落实情况以及工程的进度安排。</w:t>
      </w:r>
    </w:p>
    <w:p w14:paraId="4A547C81">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11.1.3若发包人未能按合同约定向承包人提供开工的必要条件，承包人有权要求延长工期。监理人应在收到承包人的书面要求后，按第3. 5款的约定，与合同双方商定或确定增加的费用和延长的工期。</w:t>
      </w:r>
    </w:p>
    <w:p w14:paraId="04B3CF9B">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11.1.4承包人在接到开工通知后14天内未按进度计划要求及时进场组织施工，监理人可通知承包人在接到通知后7天内提交一份说明其进场延误的书面报告，报送监理人。书面报告应说明不能及时进场的原因和补救措施，由此增加的费用和工期延误责任由承包人承担。</w:t>
      </w:r>
    </w:p>
    <w:p w14:paraId="3BED6D0A">
      <w:pPr>
        <w:spacing w:line="360" w:lineRule="auto"/>
        <w:rPr>
          <w:rFonts w:hint="eastAsia" w:ascii="宋体" w:hAnsi="宋体"/>
          <w:b/>
          <w:color w:val="auto"/>
          <w:sz w:val="24"/>
          <w:highlight w:val="none"/>
        </w:rPr>
      </w:pPr>
      <w:r>
        <w:rPr>
          <w:rFonts w:hint="eastAsia" w:ascii="宋体" w:hAnsi="宋体"/>
          <w:b/>
          <w:color w:val="auto"/>
          <w:sz w:val="24"/>
          <w:highlight w:val="none"/>
        </w:rPr>
        <w:t>11.2 竣工</w:t>
      </w:r>
      <w:r>
        <w:rPr>
          <w:rFonts w:hint="eastAsia" w:ascii="宋体" w:hAnsi="宋体"/>
          <w:b/>
          <w:color w:val="auto"/>
          <w:sz w:val="24"/>
          <w:highlight w:val="none"/>
          <w:lang w:eastAsia="zh-CN"/>
        </w:rPr>
        <w:t>（</w:t>
      </w:r>
      <w:r>
        <w:rPr>
          <w:rFonts w:hint="eastAsia" w:ascii="宋体" w:hAnsi="宋体"/>
          <w:b/>
          <w:color w:val="auto"/>
          <w:sz w:val="24"/>
          <w:highlight w:val="none"/>
        </w:rPr>
        <w:t>完工</w:t>
      </w:r>
      <w:r>
        <w:rPr>
          <w:rFonts w:hint="eastAsia" w:ascii="宋体" w:hAnsi="宋体"/>
          <w:b/>
          <w:color w:val="auto"/>
          <w:sz w:val="24"/>
          <w:highlight w:val="none"/>
          <w:lang w:eastAsia="zh-CN"/>
        </w:rPr>
        <w:t>）</w:t>
      </w:r>
    </w:p>
    <w:p w14:paraId="02332F9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承包人应在第1.1.4.3目约定的期限内完成合同工程。合同工程实际完工日期在合同工程完工证书中明确。</w:t>
      </w:r>
    </w:p>
    <w:p w14:paraId="7B599CDC">
      <w:pPr>
        <w:spacing w:line="360" w:lineRule="auto"/>
        <w:rPr>
          <w:rFonts w:hint="eastAsia" w:ascii="宋体" w:hAnsi="宋体"/>
          <w:b/>
          <w:color w:val="auto"/>
          <w:sz w:val="24"/>
          <w:highlight w:val="none"/>
        </w:rPr>
      </w:pPr>
      <w:r>
        <w:rPr>
          <w:rFonts w:hint="eastAsia" w:ascii="宋体" w:hAnsi="宋体"/>
          <w:b/>
          <w:color w:val="auto"/>
          <w:sz w:val="24"/>
          <w:highlight w:val="none"/>
        </w:rPr>
        <w:t>11.3 发包人的工期延误</w:t>
      </w:r>
    </w:p>
    <w:p w14:paraId="250F1DBA">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在履行合同过程中，由于发包人的下列原因造成工期延误的，承包人有权要求发包人延长工期和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增加费用，并支付合理利润。需要修订合同进度计划的，按照第10.2款的约定办理。</w:t>
      </w:r>
    </w:p>
    <w:p w14:paraId="2C17E64E">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增加合同工作内容</w:t>
      </w:r>
      <w:r>
        <w:rPr>
          <w:rFonts w:hint="eastAsia" w:ascii="宋体" w:hAnsi="宋体"/>
          <w:color w:val="auto"/>
          <w:szCs w:val="21"/>
          <w:highlight w:val="none"/>
          <w:lang w:eastAsia="zh-CN"/>
        </w:rPr>
        <w:t>；</w:t>
      </w:r>
    </w:p>
    <w:p w14:paraId="2F16C5F7">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改变合同中任何一项工作的质量要求或其他特性</w:t>
      </w:r>
      <w:r>
        <w:rPr>
          <w:rFonts w:hint="eastAsia" w:ascii="宋体" w:hAnsi="宋体"/>
          <w:color w:val="auto"/>
          <w:szCs w:val="21"/>
          <w:highlight w:val="none"/>
          <w:lang w:eastAsia="zh-CN"/>
        </w:rPr>
        <w:t>；</w:t>
      </w:r>
    </w:p>
    <w:p w14:paraId="199DFC98">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(3</w:t>
      </w:r>
      <w:r>
        <w:rPr>
          <w:rFonts w:hint="eastAsia" w:ascii="宋体" w:hAnsi="宋体"/>
          <w:color w:val="auto"/>
          <w:szCs w:val="21"/>
          <w:highlight w:val="none"/>
          <w:lang w:eastAsia="zh-CN"/>
        </w:rPr>
        <w:t>）</w:t>
      </w:r>
      <w:r>
        <w:rPr>
          <w:rFonts w:hint="eastAsia" w:ascii="宋体" w:hAnsi="宋体"/>
          <w:color w:val="auto"/>
          <w:szCs w:val="21"/>
          <w:highlight w:val="none"/>
        </w:rPr>
        <w:t>发包人迟延提供材料、工程设备或变更交货地点的</w:t>
      </w:r>
      <w:r>
        <w:rPr>
          <w:rFonts w:hint="eastAsia" w:ascii="宋体" w:hAnsi="宋体"/>
          <w:color w:val="auto"/>
          <w:szCs w:val="21"/>
          <w:highlight w:val="none"/>
          <w:lang w:eastAsia="zh-CN"/>
        </w:rPr>
        <w:t>；</w:t>
      </w:r>
    </w:p>
    <w:p w14:paraId="295FC6C5">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(4</w:t>
      </w:r>
      <w:r>
        <w:rPr>
          <w:rFonts w:hint="eastAsia" w:ascii="宋体" w:hAnsi="宋体"/>
          <w:color w:val="auto"/>
          <w:szCs w:val="21"/>
          <w:highlight w:val="none"/>
          <w:lang w:eastAsia="zh-CN"/>
        </w:rPr>
        <w:t>）</w:t>
      </w:r>
      <w:r>
        <w:rPr>
          <w:rFonts w:hint="eastAsia" w:ascii="宋体" w:hAnsi="宋体"/>
          <w:color w:val="auto"/>
          <w:szCs w:val="21"/>
          <w:highlight w:val="none"/>
        </w:rPr>
        <w:t>因发包人原因导致的暂停施工</w:t>
      </w:r>
      <w:r>
        <w:rPr>
          <w:rFonts w:hint="eastAsia" w:ascii="宋体" w:hAnsi="宋体"/>
          <w:color w:val="auto"/>
          <w:szCs w:val="21"/>
          <w:highlight w:val="none"/>
          <w:lang w:eastAsia="zh-CN"/>
        </w:rPr>
        <w:t>；</w:t>
      </w:r>
    </w:p>
    <w:p w14:paraId="639F77CE">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(5</w:t>
      </w:r>
      <w:r>
        <w:rPr>
          <w:rFonts w:hint="eastAsia" w:ascii="宋体" w:hAnsi="宋体"/>
          <w:color w:val="auto"/>
          <w:szCs w:val="21"/>
          <w:highlight w:val="none"/>
          <w:lang w:eastAsia="zh-CN"/>
        </w:rPr>
        <w:t>）</w:t>
      </w:r>
      <w:r>
        <w:rPr>
          <w:rFonts w:hint="eastAsia" w:ascii="宋体" w:hAnsi="宋体"/>
          <w:color w:val="auto"/>
          <w:szCs w:val="21"/>
          <w:highlight w:val="none"/>
        </w:rPr>
        <w:t>提供图纸延误</w:t>
      </w:r>
      <w:r>
        <w:rPr>
          <w:rFonts w:hint="eastAsia" w:ascii="宋体" w:hAnsi="宋体"/>
          <w:color w:val="auto"/>
          <w:szCs w:val="21"/>
          <w:highlight w:val="none"/>
          <w:lang w:eastAsia="zh-CN"/>
        </w:rPr>
        <w:t>；</w:t>
      </w:r>
    </w:p>
    <w:p w14:paraId="10BBCCB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(6</w:t>
      </w:r>
      <w:r>
        <w:rPr>
          <w:rFonts w:hint="eastAsia" w:ascii="宋体" w:hAnsi="宋体"/>
          <w:color w:val="auto"/>
          <w:szCs w:val="21"/>
          <w:highlight w:val="none"/>
          <w:lang w:eastAsia="zh-CN"/>
        </w:rPr>
        <w:t>）</w:t>
      </w:r>
      <w:r>
        <w:rPr>
          <w:rFonts w:hint="eastAsia" w:ascii="宋体" w:hAnsi="宋体"/>
          <w:color w:val="auto"/>
          <w:szCs w:val="21"/>
          <w:highlight w:val="none"/>
        </w:rPr>
        <w:t>未按合同约定及时支付预付款、进度款</w:t>
      </w:r>
      <w:r>
        <w:rPr>
          <w:rFonts w:hint="eastAsia" w:ascii="宋体" w:hAnsi="宋体"/>
          <w:color w:val="auto"/>
          <w:szCs w:val="21"/>
          <w:highlight w:val="none"/>
          <w:lang w:eastAsia="zh-CN"/>
        </w:rPr>
        <w:t>；</w:t>
      </w:r>
    </w:p>
    <w:p w14:paraId="0C434F3E">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(7</w:t>
      </w:r>
      <w:r>
        <w:rPr>
          <w:rFonts w:hint="eastAsia" w:ascii="宋体" w:hAnsi="宋体"/>
          <w:color w:val="auto"/>
          <w:szCs w:val="21"/>
          <w:highlight w:val="none"/>
          <w:lang w:eastAsia="zh-CN"/>
        </w:rPr>
        <w:t>）</w:t>
      </w:r>
      <w:r>
        <w:rPr>
          <w:rFonts w:hint="eastAsia" w:ascii="宋体" w:hAnsi="宋体"/>
          <w:color w:val="auto"/>
          <w:szCs w:val="21"/>
          <w:highlight w:val="none"/>
        </w:rPr>
        <w:t>发包人造成工期延误的其他原因。</w:t>
      </w:r>
    </w:p>
    <w:p w14:paraId="39F10F70">
      <w:pPr>
        <w:spacing w:line="360" w:lineRule="auto"/>
        <w:rPr>
          <w:rFonts w:hint="eastAsia" w:ascii="宋体" w:hAnsi="宋体"/>
          <w:b/>
          <w:color w:val="auto"/>
          <w:sz w:val="24"/>
          <w:highlight w:val="none"/>
        </w:rPr>
      </w:pPr>
      <w:r>
        <w:rPr>
          <w:rFonts w:hint="eastAsia" w:ascii="宋体" w:hAnsi="宋体"/>
          <w:b/>
          <w:color w:val="auto"/>
          <w:sz w:val="24"/>
          <w:highlight w:val="none"/>
        </w:rPr>
        <w:t>11.4异常恶劣的气候条件</w:t>
      </w:r>
    </w:p>
    <w:p w14:paraId="62C70CA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11.4.1当工程所在地发生危及施工安全的异常恶劣气候时，发包人和承包人应按本合同通</w:t>
      </w:r>
    </w:p>
    <w:p w14:paraId="62104880">
      <w:pPr>
        <w:spacing w:line="360" w:lineRule="auto"/>
        <w:rPr>
          <w:rFonts w:hint="eastAsia" w:ascii="宋体" w:hAnsi="宋体"/>
          <w:color w:val="auto"/>
          <w:szCs w:val="21"/>
          <w:highlight w:val="none"/>
        </w:rPr>
      </w:pPr>
      <w:r>
        <w:rPr>
          <w:rFonts w:hint="eastAsia" w:ascii="宋体" w:hAnsi="宋体"/>
          <w:color w:val="auto"/>
          <w:szCs w:val="21"/>
          <w:highlight w:val="none"/>
        </w:rPr>
        <w:t>用合同条款第12条的约定，及时采取暂停施工或部分暂停施工措施。异常恶劣气候条件解除后，</w:t>
      </w:r>
    </w:p>
    <w:p w14:paraId="4B7A9448">
      <w:pPr>
        <w:spacing w:line="360" w:lineRule="auto"/>
        <w:rPr>
          <w:rFonts w:hint="eastAsia" w:ascii="宋体" w:hAnsi="宋体"/>
          <w:color w:val="auto"/>
          <w:szCs w:val="21"/>
          <w:highlight w:val="none"/>
        </w:rPr>
      </w:pPr>
      <w:r>
        <w:rPr>
          <w:rFonts w:hint="eastAsia" w:ascii="宋体" w:hAnsi="宋体"/>
          <w:color w:val="auto"/>
          <w:szCs w:val="21"/>
          <w:highlight w:val="none"/>
        </w:rPr>
        <w:t>承包人应及时安排复工。</w:t>
      </w:r>
    </w:p>
    <w:p w14:paraId="493E86E2">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11.4.2异常恶劣气候条件造成的工期延误和工程损坏，应由发包人与承包人参照本合同通</w:t>
      </w:r>
    </w:p>
    <w:p w14:paraId="2E30D20F">
      <w:pPr>
        <w:spacing w:line="360" w:lineRule="auto"/>
        <w:rPr>
          <w:rFonts w:hint="eastAsia" w:ascii="宋体" w:hAnsi="宋体"/>
          <w:color w:val="auto"/>
          <w:szCs w:val="21"/>
          <w:highlight w:val="none"/>
        </w:rPr>
      </w:pPr>
      <w:r>
        <w:rPr>
          <w:rFonts w:hint="eastAsia" w:ascii="宋体" w:hAnsi="宋体"/>
          <w:color w:val="auto"/>
          <w:szCs w:val="21"/>
          <w:highlight w:val="none"/>
        </w:rPr>
        <w:t>用合同条款第21.3款的约定协商处理。</w:t>
      </w:r>
    </w:p>
    <w:p w14:paraId="146877ED">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11.4.3本合同工程界定异常恶劣气候条件的范围在专用合同条款中约定。</w:t>
      </w:r>
    </w:p>
    <w:p w14:paraId="68629300">
      <w:pPr>
        <w:spacing w:line="360" w:lineRule="auto"/>
        <w:rPr>
          <w:rFonts w:hint="eastAsia" w:ascii="宋体" w:hAnsi="宋体"/>
          <w:b/>
          <w:color w:val="auto"/>
          <w:sz w:val="24"/>
          <w:highlight w:val="none"/>
        </w:rPr>
      </w:pPr>
      <w:r>
        <w:rPr>
          <w:rFonts w:hint="eastAsia" w:ascii="宋体" w:hAnsi="宋体"/>
          <w:b/>
          <w:color w:val="auto"/>
          <w:sz w:val="24"/>
          <w:highlight w:val="none"/>
        </w:rPr>
        <w:t>11.5 承包人的工期延误</w:t>
      </w:r>
    </w:p>
    <w:p w14:paraId="28CBC8D1">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由于承包人原因，未能按合同进度计划完成工作，或监理人认为承包人施工进度不能满足合同工期要求的，承包人应采取措施加快进度，并承担加快进度所增加的费用。由于承包人原因造成工期延误，承包人应支付逾期竣工违约金。逾期竣工违约金的计算方法在专用合同条款中约定。承包人支付逾期竣工违约金，不免除承包人完成工程及修补缺陷的义务。</w:t>
      </w:r>
    </w:p>
    <w:p w14:paraId="07F619D3">
      <w:pPr>
        <w:spacing w:line="360" w:lineRule="auto"/>
        <w:rPr>
          <w:rFonts w:hint="eastAsia" w:ascii="宋体" w:hAnsi="宋体"/>
          <w:b/>
          <w:color w:val="auto"/>
          <w:sz w:val="24"/>
          <w:highlight w:val="none"/>
        </w:rPr>
      </w:pPr>
      <w:r>
        <w:rPr>
          <w:rFonts w:hint="eastAsia" w:ascii="宋体" w:hAnsi="宋体"/>
          <w:b/>
          <w:color w:val="auto"/>
          <w:sz w:val="24"/>
          <w:highlight w:val="none"/>
        </w:rPr>
        <w:t>11.6工期提前</w:t>
      </w:r>
    </w:p>
    <w:p w14:paraId="23F91DA4">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发包人要求承包人提前完工，或承包人提出提前完工的建议能够给发包人带来效益的，应由</w:t>
      </w:r>
    </w:p>
    <w:p w14:paraId="3F9750A9">
      <w:pPr>
        <w:spacing w:line="360" w:lineRule="auto"/>
        <w:rPr>
          <w:rFonts w:hint="eastAsia" w:ascii="宋体" w:hAnsi="宋体"/>
          <w:color w:val="auto"/>
          <w:szCs w:val="21"/>
          <w:highlight w:val="none"/>
        </w:rPr>
      </w:pPr>
      <w:r>
        <w:rPr>
          <w:rFonts w:hint="eastAsia" w:ascii="宋体" w:hAnsi="宋体"/>
          <w:color w:val="auto"/>
          <w:szCs w:val="21"/>
          <w:highlight w:val="none"/>
        </w:rPr>
        <w:t>监理人与承包人</w:t>
      </w:r>
      <w:r>
        <w:rPr>
          <w:rFonts w:hint="eastAsia" w:ascii="宋体" w:hAnsi="宋体"/>
          <w:color w:val="auto"/>
          <w:szCs w:val="21"/>
          <w:highlight w:val="none"/>
          <w:lang w:eastAsia="zh-CN"/>
        </w:rPr>
        <w:t>协商</w:t>
      </w:r>
      <w:r>
        <w:rPr>
          <w:rFonts w:hint="eastAsia" w:ascii="宋体" w:hAnsi="宋体"/>
          <w:color w:val="auto"/>
          <w:szCs w:val="21"/>
          <w:highlight w:val="none"/>
        </w:rPr>
        <w:t>采取加快工程进度的措施和修订合同进度计划。发包人应承担承包人由</w:t>
      </w:r>
    </w:p>
    <w:p w14:paraId="4F6B560D">
      <w:pPr>
        <w:spacing w:line="360" w:lineRule="auto"/>
        <w:rPr>
          <w:rFonts w:hint="eastAsia" w:ascii="宋体" w:hAnsi="宋体"/>
          <w:color w:val="auto"/>
          <w:szCs w:val="21"/>
          <w:highlight w:val="none"/>
        </w:rPr>
      </w:pPr>
      <w:r>
        <w:rPr>
          <w:rFonts w:hint="eastAsia" w:ascii="宋体" w:hAnsi="宋体"/>
          <w:color w:val="auto"/>
          <w:szCs w:val="21"/>
          <w:highlight w:val="none"/>
        </w:rPr>
        <w:t>此增加的费用，并向承包人支付专用合同条款约定的相应奖金。</w:t>
      </w:r>
    </w:p>
    <w:p w14:paraId="0F5D2D2F">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发包人要求提前完工的，双方协商一致后应签订提前完工协议，协议内容包括</w:t>
      </w:r>
      <w:r>
        <w:rPr>
          <w:rFonts w:hint="eastAsia" w:ascii="宋体" w:hAnsi="宋体"/>
          <w:color w:val="auto"/>
          <w:szCs w:val="21"/>
          <w:highlight w:val="none"/>
          <w:lang w:eastAsia="zh-CN"/>
        </w:rPr>
        <w:t>：</w:t>
      </w:r>
    </w:p>
    <w:p w14:paraId="7378F0A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提前的时间和修订后的进度计划</w:t>
      </w:r>
      <w:r>
        <w:rPr>
          <w:rFonts w:hint="eastAsia" w:ascii="宋体" w:hAnsi="宋体"/>
          <w:color w:val="auto"/>
          <w:szCs w:val="21"/>
          <w:highlight w:val="none"/>
          <w:lang w:eastAsia="zh-CN"/>
        </w:rPr>
        <w:t>；</w:t>
      </w:r>
    </w:p>
    <w:p w14:paraId="4478965B">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承包人的赶工措施</w:t>
      </w:r>
      <w:r>
        <w:rPr>
          <w:rFonts w:hint="eastAsia" w:ascii="宋体" w:hAnsi="宋体"/>
          <w:color w:val="auto"/>
          <w:szCs w:val="21"/>
          <w:highlight w:val="none"/>
          <w:lang w:eastAsia="zh-CN"/>
        </w:rPr>
        <w:t>；</w:t>
      </w:r>
    </w:p>
    <w:p w14:paraId="6BD0BC57">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(3</w:t>
      </w:r>
      <w:r>
        <w:rPr>
          <w:rFonts w:hint="eastAsia" w:ascii="宋体" w:hAnsi="宋体"/>
          <w:color w:val="auto"/>
          <w:szCs w:val="21"/>
          <w:highlight w:val="none"/>
          <w:lang w:eastAsia="zh-CN"/>
        </w:rPr>
        <w:t>）</w:t>
      </w:r>
      <w:r>
        <w:rPr>
          <w:rFonts w:hint="eastAsia" w:ascii="宋体" w:hAnsi="宋体"/>
          <w:color w:val="auto"/>
          <w:szCs w:val="21"/>
          <w:highlight w:val="none"/>
        </w:rPr>
        <w:t>发包人为赶工提供的条件</w:t>
      </w:r>
      <w:r>
        <w:rPr>
          <w:rFonts w:hint="eastAsia" w:ascii="宋体" w:hAnsi="宋体"/>
          <w:color w:val="auto"/>
          <w:szCs w:val="21"/>
          <w:highlight w:val="none"/>
          <w:lang w:eastAsia="zh-CN"/>
        </w:rPr>
        <w:t>；</w:t>
      </w:r>
    </w:p>
    <w:p w14:paraId="168874C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(4</w:t>
      </w:r>
      <w:r>
        <w:rPr>
          <w:rFonts w:hint="eastAsia" w:ascii="宋体" w:hAnsi="宋体"/>
          <w:color w:val="auto"/>
          <w:szCs w:val="21"/>
          <w:highlight w:val="none"/>
          <w:lang w:eastAsia="zh-CN"/>
        </w:rPr>
        <w:t>）</w:t>
      </w:r>
      <w:r>
        <w:rPr>
          <w:rFonts w:hint="eastAsia" w:ascii="宋体" w:hAnsi="宋体"/>
          <w:color w:val="auto"/>
          <w:szCs w:val="21"/>
          <w:highlight w:val="none"/>
        </w:rPr>
        <w:t>赶工费用</w:t>
      </w:r>
      <w:r>
        <w:rPr>
          <w:rFonts w:hint="eastAsia" w:ascii="宋体" w:hAnsi="宋体"/>
          <w:color w:val="auto"/>
          <w:szCs w:val="21"/>
          <w:highlight w:val="none"/>
          <w:lang w:eastAsia="zh-CN"/>
        </w:rPr>
        <w:t>（</w:t>
      </w:r>
      <w:r>
        <w:rPr>
          <w:rFonts w:hint="eastAsia" w:ascii="宋体" w:hAnsi="宋体"/>
          <w:color w:val="auto"/>
          <w:szCs w:val="21"/>
          <w:highlight w:val="none"/>
        </w:rPr>
        <w:t>包括利润和奖金</w:t>
      </w:r>
      <w:r>
        <w:rPr>
          <w:rFonts w:hint="eastAsia" w:ascii="宋体" w:hAnsi="宋体"/>
          <w:color w:val="auto"/>
          <w:szCs w:val="21"/>
          <w:highlight w:val="none"/>
          <w:lang w:eastAsia="zh-CN"/>
        </w:rPr>
        <w:t>）</w:t>
      </w:r>
      <w:r>
        <w:rPr>
          <w:rFonts w:hint="eastAsia" w:ascii="宋体" w:hAnsi="宋体"/>
          <w:color w:val="auto"/>
          <w:szCs w:val="21"/>
          <w:highlight w:val="none"/>
        </w:rPr>
        <w:t>。</w:t>
      </w:r>
    </w:p>
    <w:p w14:paraId="324A43A8">
      <w:pPr>
        <w:pStyle w:val="5"/>
        <w:rPr>
          <w:rFonts w:hint="eastAsia" w:ascii="宋体" w:hAnsi="宋体"/>
          <w:color w:val="auto"/>
          <w:sz w:val="28"/>
          <w:highlight w:val="none"/>
        </w:rPr>
      </w:pPr>
      <w:r>
        <w:rPr>
          <w:rFonts w:hint="eastAsia" w:ascii="宋体" w:hAnsi="宋体"/>
          <w:color w:val="auto"/>
          <w:sz w:val="28"/>
          <w:highlight w:val="none"/>
        </w:rPr>
        <w:t>12. 暂停施工</w:t>
      </w:r>
    </w:p>
    <w:p w14:paraId="306B1618">
      <w:pPr>
        <w:spacing w:line="360" w:lineRule="auto"/>
        <w:rPr>
          <w:rFonts w:hint="eastAsia" w:ascii="宋体" w:hAnsi="宋体"/>
          <w:b/>
          <w:color w:val="auto"/>
          <w:sz w:val="24"/>
          <w:highlight w:val="none"/>
        </w:rPr>
      </w:pPr>
      <w:r>
        <w:rPr>
          <w:rFonts w:hint="eastAsia" w:ascii="宋体" w:hAnsi="宋体"/>
          <w:b/>
          <w:color w:val="auto"/>
          <w:sz w:val="24"/>
          <w:highlight w:val="none"/>
        </w:rPr>
        <w:t>12.1 承包人暂停施工的责任</w:t>
      </w:r>
    </w:p>
    <w:p w14:paraId="3252A980">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因下列暂停施工增加的费用和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工期延误由承包人承担</w:t>
      </w:r>
      <w:r>
        <w:rPr>
          <w:rFonts w:hint="eastAsia" w:ascii="宋体" w:hAnsi="宋体"/>
          <w:color w:val="auto"/>
          <w:szCs w:val="21"/>
          <w:highlight w:val="none"/>
          <w:lang w:eastAsia="zh-CN"/>
        </w:rPr>
        <w:t>：</w:t>
      </w:r>
    </w:p>
    <w:p w14:paraId="4438E3F2">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承包人违约引起的暂停施工</w:t>
      </w:r>
      <w:r>
        <w:rPr>
          <w:rFonts w:hint="eastAsia" w:ascii="宋体" w:hAnsi="宋体"/>
          <w:color w:val="auto"/>
          <w:szCs w:val="21"/>
          <w:highlight w:val="none"/>
          <w:lang w:eastAsia="zh-CN"/>
        </w:rPr>
        <w:t>；</w:t>
      </w:r>
    </w:p>
    <w:p w14:paraId="264A34CD">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由于承包人原因为工程合理施工和安全保障所必需的暂停施工</w:t>
      </w:r>
      <w:r>
        <w:rPr>
          <w:rFonts w:hint="eastAsia" w:ascii="宋体" w:hAnsi="宋体"/>
          <w:color w:val="auto"/>
          <w:szCs w:val="21"/>
          <w:highlight w:val="none"/>
          <w:lang w:eastAsia="zh-CN"/>
        </w:rPr>
        <w:t>；</w:t>
      </w:r>
    </w:p>
    <w:p w14:paraId="1B047736">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(3</w:t>
      </w:r>
      <w:r>
        <w:rPr>
          <w:rFonts w:hint="eastAsia" w:ascii="宋体" w:hAnsi="宋体"/>
          <w:color w:val="auto"/>
          <w:szCs w:val="21"/>
          <w:highlight w:val="none"/>
          <w:lang w:eastAsia="zh-CN"/>
        </w:rPr>
        <w:t>）</w:t>
      </w:r>
      <w:r>
        <w:rPr>
          <w:rFonts w:hint="eastAsia" w:ascii="宋体" w:hAnsi="宋体"/>
          <w:color w:val="auto"/>
          <w:szCs w:val="21"/>
          <w:highlight w:val="none"/>
        </w:rPr>
        <w:t>承包人擅自暂停施工</w:t>
      </w:r>
      <w:r>
        <w:rPr>
          <w:rFonts w:hint="eastAsia" w:ascii="宋体" w:hAnsi="宋体"/>
          <w:color w:val="auto"/>
          <w:szCs w:val="21"/>
          <w:highlight w:val="none"/>
          <w:lang w:eastAsia="zh-CN"/>
        </w:rPr>
        <w:t>；</w:t>
      </w:r>
    </w:p>
    <w:p w14:paraId="464CC41D">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(4</w:t>
      </w:r>
      <w:r>
        <w:rPr>
          <w:rFonts w:hint="eastAsia" w:ascii="宋体" w:hAnsi="宋体"/>
          <w:color w:val="auto"/>
          <w:szCs w:val="21"/>
          <w:highlight w:val="none"/>
          <w:lang w:eastAsia="zh-CN"/>
        </w:rPr>
        <w:t>）</w:t>
      </w:r>
      <w:r>
        <w:rPr>
          <w:rFonts w:hint="eastAsia" w:ascii="宋体" w:hAnsi="宋体"/>
          <w:color w:val="auto"/>
          <w:szCs w:val="21"/>
          <w:highlight w:val="none"/>
        </w:rPr>
        <w:t>承包人其他原因引起的暂停施工</w:t>
      </w:r>
      <w:r>
        <w:rPr>
          <w:rFonts w:hint="eastAsia" w:ascii="宋体" w:hAnsi="宋体"/>
          <w:color w:val="auto"/>
          <w:szCs w:val="21"/>
          <w:highlight w:val="none"/>
          <w:lang w:eastAsia="zh-CN"/>
        </w:rPr>
        <w:t>；</w:t>
      </w:r>
    </w:p>
    <w:p w14:paraId="642E7F72">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(5</w:t>
      </w:r>
      <w:r>
        <w:rPr>
          <w:rFonts w:hint="eastAsia" w:ascii="宋体" w:hAnsi="宋体"/>
          <w:color w:val="auto"/>
          <w:szCs w:val="21"/>
          <w:highlight w:val="none"/>
          <w:lang w:eastAsia="zh-CN"/>
        </w:rPr>
        <w:t>）</w:t>
      </w:r>
      <w:r>
        <w:rPr>
          <w:rFonts w:hint="eastAsia" w:ascii="宋体" w:hAnsi="宋体"/>
          <w:color w:val="auto"/>
          <w:szCs w:val="21"/>
          <w:highlight w:val="none"/>
        </w:rPr>
        <w:t>专用合同条款约定由承包人承担的其他暂停施工。</w:t>
      </w:r>
    </w:p>
    <w:p w14:paraId="4FEB5EDF">
      <w:pPr>
        <w:spacing w:line="360" w:lineRule="auto"/>
        <w:rPr>
          <w:rFonts w:hint="eastAsia" w:ascii="宋体" w:hAnsi="宋体"/>
          <w:b/>
          <w:color w:val="auto"/>
          <w:sz w:val="24"/>
          <w:highlight w:val="none"/>
        </w:rPr>
      </w:pPr>
      <w:r>
        <w:rPr>
          <w:rFonts w:hint="eastAsia" w:ascii="宋体" w:hAnsi="宋体"/>
          <w:b/>
          <w:color w:val="auto"/>
          <w:sz w:val="24"/>
          <w:highlight w:val="none"/>
        </w:rPr>
        <w:t>12.2 发包人暂停施工的责任</w:t>
      </w:r>
    </w:p>
    <w:p w14:paraId="567A2635">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由于发包人原因引起的暂停施工造成工期延误，承包人有权要求发包人延长工期和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增</w:t>
      </w:r>
    </w:p>
    <w:p w14:paraId="3E77AF15">
      <w:pPr>
        <w:spacing w:line="360" w:lineRule="auto"/>
        <w:rPr>
          <w:rFonts w:hint="eastAsia" w:ascii="宋体" w:hAnsi="宋体"/>
          <w:color w:val="auto"/>
          <w:szCs w:val="21"/>
          <w:highlight w:val="none"/>
        </w:rPr>
      </w:pPr>
      <w:r>
        <w:rPr>
          <w:rFonts w:hint="eastAsia" w:ascii="宋体" w:hAnsi="宋体"/>
          <w:color w:val="auto"/>
          <w:szCs w:val="21"/>
          <w:highlight w:val="none"/>
        </w:rPr>
        <w:t>加费用，并支付合理利润。</w:t>
      </w:r>
    </w:p>
    <w:p w14:paraId="7E6F70FC">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属于下列任何一种情况引起的暂停施工，均为发包人的责任</w:t>
      </w:r>
      <w:r>
        <w:rPr>
          <w:rFonts w:hint="eastAsia" w:ascii="宋体" w:hAnsi="宋体"/>
          <w:color w:val="auto"/>
          <w:szCs w:val="21"/>
          <w:highlight w:val="none"/>
          <w:lang w:eastAsia="zh-CN"/>
        </w:rPr>
        <w:t>：</w:t>
      </w:r>
    </w:p>
    <w:p w14:paraId="6252C7AA">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由于发包人违约引起的暂停施工</w:t>
      </w:r>
      <w:r>
        <w:rPr>
          <w:rFonts w:hint="eastAsia" w:ascii="宋体" w:hAnsi="宋体"/>
          <w:color w:val="auto"/>
          <w:szCs w:val="21"/>
          <w:highlight w:val="none"/>
          <w:lang w:eastAsia="zh-CN"/>
        </w:rPr>
        <w:t>；</w:t>
      </w:r>
    </w:p>
    <w:p w14:paraId="15423FBD">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由于不可抗力的自然或社会因素引起的暂停施工</w:t>
      </w:r>
      <w:r>
        <w:rPr>
          <w:rFonts w:hint="eastAsia" w:ascii="宋体" w:hAnsi="宋体"/>
          <w:color w:val="auto"/>
          <w:szCs w:val="21"/>
          <w:highlight w:val="none"/>
          <w:lang w:eastAsia="zh-CN"/>
        </w:rPr>
        <w:t>；</w:t>
      </w:r>
    </w:p>
    <w:p w14:paraId="26FA1D3A">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(3</w:t>
      </w:r>
      <w:r>
        <w:rPr>
          <w:rFonts w:hint="eastAsia" w:ascii="宋体" w:hAnsi="宋体"/>
          <w:color w:val="auto"/>
          <w:szCs w:val="21"/>
          <w:highlight w:val="none"/>
          <w:lang w:eastAsia="zh-CN"/>
        </w:rPr>
        <w:t>）</w:t>
      </w:r>
      <w:r>
        <w:rPr>
          <w:rFonts w:hint="eastAsia" w:ascii="宋体" w:hAnsi="宋体"/>
          <w:color w:val="auto"/>
          <w:szCs w:val="21"/>
          <w:highlight w:val="none"/>
        </w:rPr>
        <w:t>专用合同条款中约定</w:t>
      </w:r>
      <w:r>
        <w:rPr>
          <w:rFonts w:hint="eastAsia" w:ascii="宋体" w:hAnsi="宋体"/>
          <w:color w:val="auto"/>
          <w:szCs w:val="21"/>
          <w:highlight w:val="none"/>
          <w:lang w:eastAsia="zh-CN"/>
        </w:rPr>
        <w:t>的其他</w:t>
      </w:r>
      <w:r>
        <w:rPr>
          <w:rFonts w:hint="eastAsia" w:ascii="宋体" w:hAnsi="宋体"/>
          <w:color w:val="auto"/>
          <w:szCs w:val="21"/>
          <w:highlight w:val="none"/>
        </w:rPr>
        <w:t>由于发包人原因引起的暂停施工。</w:t>
      </w:r>
    </w:p>
    <w:p w14:paraId="52BBF36B">
      <w:pPr>
        <w:spacing w:line="360" w:lineRule="auto"/>
        <w:rPr>
          <w:rFonts w:hint="eastAsia" w:ascii="宋体" w:hAnsi="宋体"/>
          <w:b/>
          <w:color w:val="auto"/>
          <w:sz w:val="24"/>
          <w:highlight w:val="none"/>
        </w:rPr>
      </w:pPr>
      <w:r>
        <w:rPr>
          <w:rFonts w:hint="eastAsia" w:ascii="宋体" w:hAnsi="宋体"/>
          <w:b/>
          <w:color w:val="auto"/>
          <w:sz w:val="24"/>
          <w:highlight w:val="none"/>
        </w:rPr>
        <w:t>12.3 监理人暂停施工指示</w:t>
      </w:r>
    </w:p>
    <w:p w14:paraId="56E4F52C">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12.3.1监理人认为有必要时，可向承包人作出暂停施工的指示，承包人应按监理人指示暂停施工。不论由于何种原因引起的暂停施工，暂停</w:t>
      </w:r>
      <w:r>
        <w:rPr>
          <w:rFonts w:hint="eastAsia" w:ascii="宋体" w:hAnsi="宋体"/>
          <w:color w:val="auto"/>
          <w:szCs w:val="21"/>
          <w:highlight w:val="none"/>
          <w:lang w:eastAsia="zh-CN"/>
        </w:rPr>
        <w:t>施工期间</w:t>
      </w:r>
      <w:r>
        <w:rPr>
          <w:rFonts w:hint="eastAsia" w:ascii="宋体" w:hAnsi="宋体"/>
          <w:color w:val="auto"/>
          <w:szCs w:val="21"/>
          <w:highlight w:val="none"/>
        </w:rPr>
        <w:t>承包人应负责妥善保护工程并提供安全保障。</w:t>
      </w:r>
    </w:p>
    <w:p w14:paraId="5B23824A">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12.3.2由于发包人的原因发生暂停施工的紧急情况，且监理人未及时下达暂停施工指示的，承包人可先暂停施工，并及时向监理人提出暂停施工的书面</w:t>
      </w:r>
      <w:r>
        <w:rPr>
          <w:rFonts w:hint="eastAsia" w:ascii="宋体" w:hAnsi="宋体"/>
          <w:color w:val="auto"/>
          <w:szCs w:val="21"/>
          <w:highlight w:val="none"/>
          <w:lang w:eastAsia="zh-CN"/>
        </w:rPr>
        <w:t>请求</w:t>
      </w:r>
      <w:r>
        <w:rPr>
          <w:rFonts w:hint="eastAsia" w:ascii="宋体" w:hAnsi="宋体"/>
          <w:color w:val="auto"/>
          <w:szCs w:val="21"/>
          <w:highlight w:val="none"/>
        </w:rPr>
        <w:t>。监理人应在接到书面</w:t>
      </w:r>
      <w:r>
        <w:rPr>
          <w:rFonts w:hint="eastAsia" w:ascii="宋体" w:hAnsi="宋体"/>
          <w:color w:val="auto"/>
          <w:szCs w:val="21"/>
          <w:highlight w:val="none"/>
          <w:lang w:eastAsia="zh-CN"/>
        </w:rPr>
        <w:t>请</w:t>
      </w:r>
      <w:r>
        <w:rPr>
          <w:rFonts w:hint="eastAsia" w:ascii="宋体" w:hAnsi="宋体"/>
          <w:color w:val="auto"/>
          <w:szCs w:val="21"/>
          <w:highlight w:val="none"/>
        </w:rPr>
        <w:t>求后的24小时内予以答复，逾期未答复的，视为同意承包人的暂停施工</w:t>
      </w:r>
      <w:r>
        <w:rPr>
          <w:rFonts w:hint="eastAsia" w:ascii="宋体" w:hAnsi="宋体"/>
          <w:color w:val="auto"/>
          <w:szCs w:val="21"/>
          <w:highlight w:val="none"/>
          <w:lang w:eastAsia="zh-CN"/>
        </w:rPr>
        <w:t>请求</w:t>
      </w:r>
      <w:r>
        <w:rPr>
          <w:rFonts w:hint="eastAsia" w:ascii="宋体" w:hAnsi="宋体"/>
          <w:color w:val="auto"/>
          <w:szCs w:val="21"/>
          <w:highlight w:val="none"/>
        </w:rPr>
        <w:t>。</w:t>
      </w:r>
    </w:p>
    <w:p w14:paraId="50990FAD">
      <w:pPr>
        <w:spacing w:line="360" w:lineRule="auto"/>
        <w:rPr>
          <w:rFonts w:hint="eastAsia" w:ascii="宋体" w:hAnsi="宋体"/>
          <w:b/>
          <w:color w:val="auto"/>
          <w:sz w:val="24"/>
          <w:highlight w:val="none"/>
        </w:rPr>
      </w:pPr>
      <w:r>
        <w:rPr>
          <w:rFonts w:hint="eastAsia" w:ascii="宋体" w:hAnsi="宋体"/>
          <w:b/>
          <w:color w:val="auto"/>
          <w:sz w:val="24"/>
          <w:highlight w:val="none"/>
        </w:rPr>
        <w:t>12.4 暂停施工后的复工</w:t>
      </w:r>
    </w:p>
    <w:p w14:paraId="5C19410C">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12.4.1暂停施工后，监理人应与发包人和承包人协商，采取有效措施积极消除暂停施工的影响。当工程具备复工条件时，监理人应立即向承包人发出复工通知。承包人收到复工通知后，应在监理人指定的期限内复工。</w:t>
      </w:r>
    </w:p>
    <w:p w14:paraId="6854A3B8">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12.4.2承包人无故拖延和拒绝复工的，由此增加的费用和工期延误由承包人承担</w:t>
      </w:r>
      <w:r>
        <w:rPr>
          <w:rFonts w:hint="eastAsia" w:ascii="宋体" w:hAnsi="宋体"/>
          <w:color w:val="auto"/>
          <w:szCs w:val="21"/>
          <w:highlight w:val="none"/>
          <w:lang w:eastAsia="zh-CN"/>
        </w:rPr>
        <w:t>；</w:t>
      </w:r>
      <w:r>
        <w:rPr>
          <w:rFonts w:hint="eastAsia" w:ascii="宋体" w:hAnsi="宋体"/>
          <w:color w:val="auto"/>
          <w:szCs w:val="21"/>
          <w:highlight w:val="none"/>
        </w:rPr>
        <w:t>因发包人原因无法按时复工的，承包人有权要求发包人延长工期和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增加费用，并支付合理利润。</w:t>
      </w:r>
    </w:p>
    <w:p w14:paraId="771AF5B6">
      <w:pPr>
        <w:spacing w:line="360" w:lineRule="auto"/>
        <w:rPr>
          <w:rFonts w:hint="eastAsia" w:ascii="宋体" w:hAnsi="宋体"/>
          <w:b/>
          <w:color w:val="auto"/>
          <w:sz w:val="24"/>
          <w:highlight w:val="none"/>
        </w:rPr>
      </w:pPr>
      <w:r>
        <w:rPr>
          <w:rFonts w:hint="eastAsia" w:ascii="宋体" w:hAnsi="宋体"/>
          <w:b/>
          <w:color w:val="auto"/>
          <w:sz w:val="24"/>
          <w:highlight w:val="none"/>
        </w:rPr>
        <w:t>12.5 暂停施工持续56天以上</w:t>
      </w:r>
    </w:p>
    <w:p w14:paraId="2EDFFE8B">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12.5.1监理人发出暂停施工指示后56天内未向承包人发出复工通知，除了该项停工属于第12. 1款的情况外，承包人可向监理人提交书面通知，要求监理人在收到书面通知后28天内准许已暂停施工的工程或其中一部分工程继续施工。如监理人逾期不予批准，则承包人可以通知监理人，将工程受影响的部分视为按第15. 1(1</w:t>
      </w:r>
      <w:r>
        <w:rPr>
          <w:rFonts w:hint="eastAsia" w:ascii="宋体" w:hAnsi="宋体"/>
          <w:color w:val="auto"/>
          <w:szCs w:val="21"/>
          <w:highlight w:val="none"/>
          <w:lang w:eastAsia="zh-CN"/>
        </w:rPr>
        <w:t>）</w:t>
      </w:r>
      <w:r>
        <w:rPr>
          <w:rFonts w:hint="eastAsia" w:ascii="宋体" w:hAnsi="宋体"/>
          <w:color w:val="auto"/>
          <w:szCs w:val="21"/>
          <w:highlight w:val="none"/>
        </w:rPr>
        <w:t>项的可取消工作。如暂停施工影响到整个工程，可视为发包人违约，应按第22.2款的规定办理。12.5.2项由于承包人责任引起的暂停施工，如承包人在收到监理人暂停施工指示后56天内不认真采取有效的复工措施，造成工期延误，可视为承包人违约，应按第22.1款的约定办理。</w:t>
      </w:r>
    </w:p>
    <w:p w14:paraId="31F447ED">
      <w:pPr>
        <w:pStyle w:val="5"/>
        <w:rPr>
          <w:rFonts w:hint="eastAsia" w:ascii="宋体" w:hAnsi="宋体"/>
          <w:color w:val="auto"/>
          <w:sz w:val="28"/>
          <w:highlight w:val="none"/>
        </w:rPr>
      </w:pPr>
      <w:r>
        <w:rPr>
          <w:rFonts w:hint="eastAsia" w:ascii="宋体" w:hAnsi="宋体"/>
          <w:color w:val="auto"/>
          <w:sz w:val="28"/>
          <w:highlight w:val="none"/>
        </w:rPr>
        <w:t>13. 工程质量</w:t>
      </w:r>
    </w:p>
    <w:p w14:paraId="4A6AC6F4">
      <w:pPr>
        <w:spacing w:line="360" w:lineRule="auto"/>
        <w:rPr>
          <w:rFonts w:hint="eastAsia" w:ascii="宋体" w:hAnsi="宋体"/>
          <w:b/>
          <w:color w:val="auto"/>
          <w:sz w:val="24"/>
          <w:highlight w:val="none"/>
        </w:rPr>
      </w:pPr>
      <w:r>
        <w:rPr>
          <w:rFonts w:hint="eastAsia" w:ascii="宋体" w:hAnsi="宋体"/>
          <w:b/>
          <w:color w:val="auto"/>
          <w:sz w:val="24"/>
          <w:highlight w:val="none"/>
        </w:rPr>
        <w:t>13.1 工程质量要求</w:t>
      </w:r>
    </w:p>
    <w:p w14:paraId="0AF0DFD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13.1.1工程质量验收按合同约定验收标准执行。</w:t>
      </w:r>
    </w:p>
    <w:p w14:paraId="60AB986C">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13.1.2因承包人原因造成工程质量达不到合同约定验收标准的，监理人有权要求承包人返工直至符合合同要求为止，由此造成的费用增加和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工期延误由承包人承担。</w:t>
      </w:r>
    </w:p>
    <w:p w14:paraId="48ABC588">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13.1.3因发包人原因造成工程质量达不到合同约定验收标准的，发包人应承担由于承包人返工造成的费用增加和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工期延误，并支付承包人合理利润。</w:t>
      </w:r>
    </w:p>
    <w:p w14:paraId="39C49AFE">
      <w:pPr>
        <w:spacing w:line="360" w:lineRule="auto"/>
        <w:rPr>
          <w:rFonts w:hint="eastAsia" w:ascii="宋体" w:hAnsi="宋体"/>
          <w:b/>
          <w:color w:val="auto"/>
          <w:sz w:val="24"/>
          <w:highlight w:val="none"/>
        </w:rPr>
      </w:pPr>
      <w:r>
        <w:rPr>
          <w:rFonts w:hint="eastAsia" w:ascii="宋体" w:hAnsi="宋体"/>
          <w:b/>
          <w:color w:val="auto"/>
          <w:sz w:val="24"/>
          <w:highlight w:val="none"/>
        </w:rPr>
        <w:t>13.2承包人的质量管理</w:t>
      </w:r>
    </w:p>
    <w:p w14:paraId="7F5CB025">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13.2.1承包人应在施工场地设置专门的质量检查机构，配备专职质量检查人员，建立完善的质量检查制度。承包人应按技术标准和要求</w:t>
      </w:r>
      <w:r>
        <w:rPr>
          <w:rFonts w:hint="eastAsia" w:ascii="宋体" w:hAnsi="宋体"/>
          <w:color w:val="auto"/>
          <w:szCs w:val="21"/>
          <w:highlight w:val="none"/>
          <w:lang w:eastAsia="zh-CN"/>
        </w:rPr>
        <w:t>（</w:t>
      </w:r>
      <w:r>
        <w:rPr>
          <w:rFonts w:hint="eastAsia" w:ascii="宋体" w:hAnsi="宋体"/>
          <w:color w:val="auto"/>
          <w:szCs w:val="21"/>
          <w:highlight w:val="none"/>
        </w:rPr>
        <w:t>合同技术条款</w:t>
      </w:r>
      <w:r>
        <w:rPr>
          <w:rFonts w:hint="eastAsia" w:ascii="宋体" w:hAnsi="宋体"/>
          <w:color w:val="auto"/>
          <w:szCs w:val="21"/>
          <w:highlight w:val="none"/>
          <w:lang w:eastAsia="zh-CN"/>
        </w:rPr>
        <w:t>）</w:t>
      </w:r>
      <w:r>
        <w:rPr>
          <w:rFonts w:hint="eastAsia" w:ascii="宋体" w:hAnsi="宋体"/>
          <w:color w:val="auto"/>
          <w:szCs w:val="21"/>
          <w:highlight w:val="none"/>
        </w:rPr>
        <w:t>约定的内容和期限，编制工程质量保证措施文件，包括质量检查机构的组织和岗位责任、质量检查人员的组成、质量检查程序和实施细则等，提交监理人审批。监理人应在技术标准和要求</w:t>
      </w:r>
      <w:r>
        <w:rPr>
          <w:rFonts w:hint="eastAsia" w:ascii="宋体" w:hAnsi="宋体"/>
          <w:color w:val="auto"/>
          <w:szCs w:val="21"/>
          <w:highlight w:val="none"/>
          <w:lang w:eastAsia="zh-CN"/>
        </w:rPr>
        <w:t>（</w:t>
      </w:r>
      <w:r>
        <w:rPr>
          <w:rFonts w:hint="eastAsia" w:ascii="宋体" w:hAnsi="宋体"/>
          <w:color w:val="auto"/>
          <w:szCs w:val="21"/>
          <w:highlight w:val="none"/>
        </w:rPr>
        <w:t>合同技术条款</w:t>
      </w:r>
      <w:r>
        <w:rPr>
          <w:rFonts w:hint="eastAsia" w:ascii="宋体" w:hAnsi="宋体"/>
          <w:color w:val="auto"/>
          <w:szCs w:val="21"/>
          <w:highlight w:val="none"/>
          <w:lang w:eastAsia="zh-CN"/>
        </w:rPr>
        <w:t>）</w:t>
      </w:r>
      <w:r>
        <w:rPr>
          <w:rFonts w:hint="eastAsia" w:ascii="宋体" w:hAnsi="宋体"/>
          <w:color w:val="auto"/>
          <w:szCs w:val="21"/>
          <w:highlight w:val="none"/>
        </w:rPr>
        <w:t>约定的期限内批复承包人。</w:t>
      </w:r>
    </w:p>
    <w:p w14:paraId="2543F00F">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13.2.2承包人应加强对施工人员的质量教育和技术培训，定期考核施工人员的劳动技能，严格执行规范和操作规程。</w:t>
      </w:r>
    </w:p>
    <w:p w14:paraId="60A07EE0">
      <w:pPr>
        <w:spacing w:line="360" w:lineRule="auto"/>
        <w:rPr>
          <w:rFonts w:hint="eastAsia" w:ascii="宋体" w:hAnsi="宋体"/>
          <w:b/>
          <w:color w:val="auto"/>
          <w:sz w:val="24"/>
          <w:highlight w:val="none"/>
        </w:rPr>
      </w:pPr>
      <w:r>
        <w:rPr>
          <w:rFonts w:hint="eastAsia" w:ascii="宋体" w:hAnsi="宋体"/>
          <w:b/>
          <w:color w:val="auto"/>
          <w:sz w:val="24"/>
          <w:highlight w:val="none"/>
        </w:rPr>
        <w:t>13.3承包人的质量检查</w:t>
      </w:r>
    </w:p>
    <w:p w14:paraId="0C9A78E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承包人应按合同约定对材料、工程设备以及工程的所有部位及其施工工艺进行全过程的质量检查和检验，并</w:t>
      </w:r>
      <w:r>
        <w:rPr>
          <w:rFonts w:hint="eastAsia" w:ascii="宋体" w:hAnsi="宋体"/>
          <w:color w:val="auto"/>
          <w:szCs w:val="21"/>
          <w:highlight w:val="none"/>
          <w:lang w:eastAsia="zh-CN"/>
        </w:rPr>
        <w:t>做</w:t>
      </w:r>
      <w:r>
        <w:rPr>
          <w:rFonts w:hint="eastAsia" w:ascii="宋体" w:hAnsi="宋体"/>
          <w:color w:val="auto"/>
          <w:szCs w:val="21"/>
          <w:highlight w:val="none"/>
        </w:rPr>
        <w:t>详细记录，编制工程质量报表，报送监理人审查。</w:t>
      </w:r>
    </w:p>
    <w:p w14:paraId="5F132691">
      <w:pPr>
        <w:spacing w:line="360" w:lineRule="auto"/>
        <w:rPr>
          <w:rFonts w:hint="eastAsia" w:ascii="宋体" w:hAnsi="宋体"/>
          <w:b/>
          <w:color w:val="auto"/>
          <w:sz w:val="24"/>
          <w:highlight w:val="none"/>
        </w:rPr>
      </w:pPr>
      <w:r>
        <w:rPr>
          <w:rFonts w:hint="eastAsia" w:ascii="宋体" w:hAnsi="宋体"/>
          <w:b/>
          <w:color w:val="auto"/>
          <w:sz w:val="24"/>
          <w:highlight w:val="none"/>
        </w:rPr>
        <w:t>13.4监理人的质量检查</w:t>
      </w:r>
    </w:p>
    <w:p w14:paraId="1EB4896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监理人有权对工程的所有部位及其施工工艺、材料和工程设备进行检查和检验。承包人应为监理人的检查和检验提供方便，包括监理人到施工场地，或制造、加工地点，或合同约定的其他地方进行察看和查阅施工原始记录。承包人还应按监理人指示，进行施工场地取样试验、工程复核测量和设备性能检测，提供试验样品、提交试验报告和测量成果以及监理人要求进行的其他工作。监理人的检查和检验，不免除承包人按合同约定应负的责任。</w:t>
      </w:r>
    </w:p>
    <w:p w14:paraId="6A3F62D5">
      <w:pPr>
        <w:spacing w:line="360" w:lineRule="auto"/>
        <w:rPr>
          <w:rFonts w:hint="eastAsia" w:ascii="宋体" w:hAnsi="宋体"/>
          <w:b/>
          <w:color w:val="auto"/>
          <w:sz w:val="24"/>
          <w:highlight w:val="none"/>
        </w:rPr>
      </w:pPr>
      <w:r>
        <w:rPr>
          <w:rFonts w:hint="eastAsia" w:ascii="宋体" w:hAnsi="宋体"/>
          <w:b/>
          <w:color w:val="auto"/>
          <w:sz w:val="24"/>
          <w:highlight w:val="none"/>
        </w:rPr>
        <w:t>13.5工程隐蔽部位覆盖前的检查</w:t>
      </w:r>
    </w:p>
    <w:p w14:paraId="2B65F6A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13.5.1 通知监理人检查</w:t>
      </w:r>
    </w:p>
    <w:p w14:paraId="04E4C56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经承包人自检确认的工程隐蔽部位具备覆盖条件后，承包人应通知监理人在约定的期限内检查。承包人的通知应附有自检记录和必要的检查资料。监理人应按时到场检查。经监理人检查确认质量符合隐蔽要求，并在检查记录上签字后，承包人才能进行覆盖。监理人检查确认质量不合格的，承包人应在监理人指示</w:t>
      </w:r>
      <w:r>
        <w:rPr>
          <w:rFonts w:hint="eastAsia" w:ascii="宋体" w:hAnsi="宋体"/>
          <w:color w:val="auto"/>
          <w:szCs w:val="21"/>
          <w:highlight w:val="none"/>
          <w:lang w:eastAsia="zh-CN"/>
        </w:rPr>
        <w:t>的时间内</w:t>
      </w:r>
      <w:r>
        <w:rPr>
          <w:rFonts w:hint="eastAsia" w:ascii="宋体" w:hAnsi="宋体"/>
          <w:color w:val="auto"/>
          <w:szCs w:val="21"/>
          <w:highlight w:val="none"/>
        </w:rPr>
        <w:t>修整返工后，由监理人重新检查。</w:t>
      </w:r>
    </w:p>
    <w:p w14:paraId="4AF34B0D">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13.5.2 监理人未到场检查</w:t>
      </w:r>
    </w:p>
    <w:p w14:paraId="4BFE0AEC">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监理人未按第13.5.1项约定</w:t>
      </w:r>
      <w:r>
        <w:rPr>
          <w:rFonts w:hint="eastAsia" w:ascii="宋体" w:hAnsi="宋体"/>
          <w:color w:val="auto"/>
          <w:szCs w:val="21"/>
          <w:highlight w:val="none"/>
          <w:lang w:eastAsia="zh-CN"/>
        </w:rPr>
        <w:t>的时间</w:t>
      </w:r>
      <w:r>
        <w:rPr>
          <w:rFonts w:hint="eastAsia" w:ascii="宋体" w:hAnsi="宋体"/>
          <w:color w:val="auto"/>
          <w:szCs w:val="21"/>
          <w:highlight w:val="none"/>
        </w:rPr>
        <w:t>进行检查的，除监理人另有指示外，承包人可自行完成覆盖工作，并作相应记录报送监理人，监理人应签字确认。监理人事后对检查记录有疑问的，可按第13.5.3项的约定重新检查。</w:t>
      </w:r>
    </w:p>
    <w:p w14:paraId="161BC081">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13.5.3 监理人重新检查</w:t>
      </w:r>
    </w:p>
    <w:p w14:paraId="3A950297">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承包人按第13.5.1项或第13.5.2项覆盖工程隐蔽部位后，监理人对质量有疑问的，可要求承包人对已覆盖的部位进行钻孔探测或揭开重新检验，承包人应遵照执行，并在检验后重新覆盖恢复原状。经检验证明工程质量符合合同要求的，由发包人承担由此增加的费用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工期延误，并支付承包人合理利润</w:t>
      </w:r>
      <w:r>
        <w:rPr>
          <w:rFonts w:hint="eastAsia" w:ascii="宋体" w:hAnsi="宋体"/>
          <w:color w:val="auto"/>
          <w:szCs w:val="21"/>
          <w:highlight w:val="none"/>
          <w:lang w:eastAsia="zh-CN"/>
        </w:rPr>
        <w:t>；</w:t>
      </w:r>
      <w:r>
        <w:rPr>
          <w:rFonts w:hint="eastAsia" w:ascii="宋体" w:hAnsi="宋体"/>
          <w:color w:val="auto"/>
          <w:szCs w:val="21"/>
          <w:highlight w:val="none"/>
        </w:rPr>
        <w:t>经检验证明工程质量不符合合同要求的，由此增加的费用和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工期延误由承包人承担。</w:t>
      </w:r>
    </w:p>
    <w:p w14:paraId="538F3A19">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13.5.4承包人私自覆盖</w:t>
      </w:r>
    </w:p>
    <w:p w14:paraId="07BEDB2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承包人未通知监理人到场检查，私自将工程隐蔽部位覆盖的，监理人有权指示承包人钻孔探测或揭开检查，由此增加的费用和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工期延误由承包人承担。</w:t>
      </w:r>
    </w:p>
    <w:p w14:paraId="50E14050">
      <w:pPr>
        <w:spacing w:line="360" w:lineRule="auto"/>
        <w:rPr>
          <w:rFonts w:hint="eastAsia" w:ascii="宋体" w:hAnsi="宋体"/>
          <w:b/>
          <w:color w:val="auto"/>
          <w:sz w:val="24"/>
          <w:highlight w:val="none"/>
        </w:rPr>
      </w:pPr>
      <w:r>
        <w:rPr>
          <w:rFonts w:hint="eastAsia" w:ascii="宋体" w:hAnsi="宋体"/>
          <w:b/>
          <w:color w:val="auto"/>
          <w:sz w:val="24"/>
          <w:highlight w:val="none"/>
        </w:rPr>
        <w:t>13.6 清除不合格工程</w:t>
      </w:r>
    </w:p>
    <w:p w14:paraId="2F8A0D2F">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13.6.1承包人使用不合格材料、工程设备，或采用不适当的施工工艺，或施工不当，造成工程不合格的，监理人可以随时发出指示，要求承包人立即采取措施进行补救，直至达到合同要求的质量标准，由此增加的费用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工期延误由承包人承担。</w:t>
      </w:r>
    </w:p>
    <w:p w14:paraId="2AC8DFD2">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13.6.2由于发包人提供的材料或工程设备不合格造成的工程不合格，需要承包人采取措施补救的，发包人应承担由此增加的费用和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工期延误，并支付承包人合理利润。</w:t>
      </w:r>
    </w:p>
    <w:p w14:paraId="558F91A9">
      <w:pPr>
        <w:spacing w:line="360" w:lineRule="auto"/>
        <w:rPr>
          <w:rFonts w:hint="eastAsia" w:ascii="宋体" w:hAnsi="宋体"/>
          <w:b/>
          <w:color w:val="auto"/>
          <w:sz w:val="24"/>
          <w:highlight w:val="none"/>
        </w:rPr>
      </w:pPr>
      <w:r>
        <w:rPr>
          <w:rFonts w:hint="eastAsia" w:ascii="宋体" w:hAnsi="宋体"/>
          <w:b/>
          <w:color w:val="auto"/>
          <w:sz w:val="24"/>
          <w:highlight w:val="none"/>
        </w:rPr>
        <w:t>13.7质量评定</w:t>
      </w:r>
    </w:p>
    <w:p w14:paraId="03C8B09F">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13.7.1发包人应组织承包人进行工程项目划分，并确定单位工程、主要分部工程、重要隐蔽单元工程和关键部位单元工程。</w:t>
      </w:r>
    </w:p>
    <w:p w14:paraId="13318814">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13.7.2工程实施过程中，单位工程、主要分部工程、重要隐蔽单元工程和关键部位单元工程的项目划分需要调整时，承包人应报发包人确认。</w:t>
      </w:r>
    </w:p>
    <w:p w14:paraId="4044F98C">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13.7.3承包人应在单元</w:t>
      </w:r>
      <w:r>
        <w:rPr>
          <w:rFonts w:hint="eastAsia" w:ascii="宋体" w:hAnsi="宋体"/>
          <w:color w:val="auto"/>
          <w:szCs w:val="21"/>
          <w:highlight w:val="none"/>
          <w:lang w:eastAsia="zh-CN"/>
        </w:rPr>
        <w:t>（</w:t>
      </w:r>
      <w:r>
        <w:rPr>
          <w:rFonts w:hint="eastAsia" w:ascii="宋体" w:hAnsi="宋体"/>
          <w:color w:val="auto"/>
          <w:szCs w:val="21"/>
          <w:highlight w:val="none"/>
        </w:rPr>
        <w:t>工序</w:t>
      </w:r>
      <w:r>
        <w:rPr>
          <w:rFonts w:hint="eastAsia" w:ascii="宋体" w:hAnsi="宋体"/>
          <w:color w:val="auto"/>
          <w:szCs w:val="21"/>
          <w:highlight w:val="none"/>
          <w:lang w:eastAsia="zh-CN"/>
        </w:rPr>
        <w:t>）</w:t>
      </w:r>
      <w:r>
        <w:rPr>
          <w:rFonts w:hint="eastAsia" w:ascii="宋体" w:hAnsi="宋体"/>
          <w:color w:val="auto"/>
          <w:szCs w:val="21"/>
          <w:highlight w:val="none"/>
        </w:rPr>
        <w:t>工程质量自评合格后，报监理人核定质量等级并签证认可。</w:t>
      </w:r>
    </w:p>
    <w:p w14:paraId="538B17EB">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13.7.4除专用合同条款另有约定外，承包人应在重要隐蔽单元工程及关键部位单元工程质量自评合格以及监理人抽检后，由监理人组织承包人等单位组成的联合小组，共同检查核定其质量等级并填写签证表。发包人按有关规定完成质量结论报工程质量监督机构核备手续。</w:t>
      </w:r>
    </w:p>
    <w:p w14:paraId="23C9E6A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13.7.5承包人应在分部工程质量自评合格后，报监理人复核和发包人认定。发包人负责按有关规定完成分部工程质量结论报工程质量监督机构核备</w:t>
      </w:r>
      <w:r>
        <w:rPr>
          <w:rFonts w:hint="eastAsia" w:ascii="宋体" w:hAnsi="宋体"/>
          <w:color w:val="auto"/>
          <w:szCs w:val="21"/>
          <w:highlight w:val="none"/>
          <w:lang w:eastAsia="zh-CN"/>
        </w:rPr>
        <w:t>（</w:t>
      </w:r>
      <w:r>
        <w:rPr>
          <w:rFonts w:hint="eastAsia" w:ascii="宋体" w:hAnsi="宋体"/>
          <w:color w:val="auto"/>
          <w:szCs w:val="21"/>
          <w:highlight w:val="none"/>
        </w:rPr>
        <w:t>核定</w:t>
      </w:r>
      <w:r>
        <w:rPr>
          <w:rFonts w:hint="eastAsia" w:ascii="宋体" w:hAnsi="宋体"/>
          <w:color w:val="auto"/>
          <w:szCs w:val="21"/>
          <w:highlight w:val="none"/>
          <w:lang w:eastAsia="zh-CN"/>
        </w:rPr>
        <w:t>）</w:t>
      </w:r>
      <w:r>
        <w:rPr>
          <w:rFonts w:hint="eastAsia" w:ascii="宋体" w:hAnsi="宋体"/>
          <w:color w:val="auto"/>
          <w:szCs w:val="21"/>
          <w:highlight w:val="none"/>
        </w:rPr>
        <w:t>手续。</w:t>
      </w:r>
    </w:p>
    <w:p w14:paraId="18416D0F">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13.7.6承包人应在单位工程质量自评合格后，报监理人复核和发包人认定。发包人负责按有关规定完成单位工程质量结论报工程质量监督机构核定手续。</w:t>
      </w:r>
    </w:p>
    <w:p w14:paraId="5223A625">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13.7.7除专用合同条款另有约定外，工程质量等级分为合格和优良，应分别达到约定的标准。</w:t>
      </w:r>
    </w:p>
    <w:p w14:paraId="5E0FAC02">
      <w:pPr>
        <w:spacing w:line="360" w:lineRule="auto"/>
        <w:rPr>
          <w:rFonts w:hint="eastAsia" w:ascii="宋体" w:hAnsi="宋体"/>
          <w:b/>
          <w:color w:val="auto"/>
          <w:sz w:val="24"/>
          <w:highlight w:val="none"/>
        </w:rPr>
      </w:pPr>
      <w:r>
        <w:rPr>
          <w:rFonts w:hint="eastAsia" w:ascii="宋体" w:hAnsi="宋体"/>
          <w:b/>
          <w:color w:val="auto"/>
          <w:sz w:val="24"/>
          <w:highlight w:val="none"/>
        </w:rPr>
        <w:t xml:space="preserve">13.8质量事故处理  </w:t>
      </w:r>
    </w:p>
    <w:p w14:paraId="028D9DD8">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13.8.1发生质量事故时，承包人应及时向发包人和监理人报告。</w:t>
      </w:r>
    </w:p>
    <w:p w14:paraId="59058B67">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13.8.2质量事故调查处理由发包人按相关规定履行手续，承包人应配合。</w:t>
      </w:r>
    </w:p>
    <w:p w14:paraId="359F4C81">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13.8.3承包人应对质量缺陷进行备案。发包人委托监理人对质量缺陷备案情况进行监督检查并履行相关手续。</w:t>
      </w:r>
    </w:p>
    <w:p w14:paraId="014B2AC7">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13.8.4除专用合同条款另有约定外，工程竣工验收时，发包人负责向竣工验收委员会汇报并提交历次质量缺陷处理的备案资料。</w:t>
      </w:r>
    </w:p>
    <w:p w14:paraId="4F173DDA">
      <w:pPr>
        <w:pStyle w:val="5"/>
        <w:rPr>
          <w:rFonts w:hint="eastAsia" w:ascii="宋体" w:hAnsi="宋体"/>
          <w:color w:val="auto"/>
          <w:sz w:val="28"/>
          <w:highlight w:val="none"/>
        </w:rPr>
      </w:pPr>
      <w:r>
        <w:rPr>
          <w:rFonts w:hint="eastAsia" w:ascii="宋体" w:hAnsi="宋体"/>
          <w:color w:val="auto"/>
          <w:sz w:val="28"/>
          <w:highlight w:val="none"/>
        </w:rPr>
        <w:t>14.试验和检验</w:t>
      </w:r>
    </w:p>
    <w:p w14:paraId="2A5A8AB2">
      <w:pPr>
        <w:spacing w:line="360" w:lineRule="auto"/>
        <w:rPr>
          <w:rFonts w:hint="eastAsia" w:ascii="宋体" w:hAnsi="宋体"/>
          <w:b/>
          <w:color w:val="auto"/>
          <w:sz w:val="24"/>
          <w:highlight w:val="none"/>
        </w:rPr>
      </w:pPr>
      <w:r>
        <w:rPr>
          <w:rFonts w:hint="eastAsia" w:ascii="宋体" w:hAnsi="宋体"/>
          <w:b/>
          <w:color w:val="auto"/>
          <w:sz w:val="24"/>
          <w:highlight w:val="none"/>
        </w:rPr>
        <w:t>14.1材料、工程设备和工程的试验和检验</w:t>
      </w:r>
    </w:p>
    <w:p w14:paraId="7C57E078">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14.1.1承包人应按合同约定进行材料、工程设备和工程的试验和检验，并为监理人对上述材料、工程设备和工程的质量检查提供必要的试验资料和原始记录。按合同约定应由监理人与承包人共同进行试验和检验的，由承包人负责提供必要的试验资料和原始记录。</w:t>
      </w:r>
    </w:p>
    <w:p w14:paraId="5DEF6D4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14.1.2监理人未按合同约定派员参加试验和检验的，除监理人另有指示外，承包人可自行试验和检验，并应立即将试验和检验结果报送监理人，监理人应签字确认。</w:t>
      </w:r>
    </w:p>
    <w:p w14:paraId="700A12F9">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14.1.3监理人对承包人的试验和检验结果有疑问的，或为查清承包人试验和检验成果的可靠性要求承包人重新试验和检验的，可按合同约定由监理人与承包人共同进行。重新试验和检验的结果证明该项材料、工程设备或工程的质量不符合合同要求的，由此增加的费用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工期延误由承包人承担</w:t>
      </w:r>
      <w:r>
        <w:rPr>
          <w:rFonts w:hint="eastAsia" w:ascii="宋体" w:hAnsi="宋体"/>
          <w:color w:val="auto"/>
          <w:szCs w:val="21"/>
          <w:highlight w:val="none"/>
          <w:lang w:eastAsia="zh-CN"/>
        </w:rPr>
        <w:t>；</w:t>
      </w:r>
      <w:r>
        <w:rPr>
          <w:rFonts w:hint="eastAsia" w:ascii="宋体" w:hAnsi="宋体"/>
          <w:color w:val="auto"/>
          <w:szCs w:val="21"/>
          <w:highlight w:val="none"/>
        </w:rPr>
        <w:t>重新试验和检验结果证明该项材料、工程设备和工程符合合同要求，由发包人承担由此增加的费用和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工期延误，并支付承包人合理利润。</w:t>
      </w:r>
    </w:p>
    <w:p w14:paraId="36D1C527">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14.1.4承包人应按相关规定和标准对水泥、钢材等原材料与</w:t>
      </w:r>
      <w:r>
        <w:rPr>
          <w:rFonts w:hint="eastAsia" w:ascii="宋体" w:hAnsi="宋体"/>
          <w:color w:val="auto"/>
          <w:szCs w:val="21"/>
          <w:highlight w:val="none"/>
          <w:lang w:eastAsia="zh-CN"/>
        </w:rPr>
        <w:t>中间</w:t>
      </w:r>
      <w:r>
        <w:rPr>
          <w:rFonts w:hint="eastAsia" w:ascii="宋体" w:hAnsi="宋体"/>
          <w:color w:val="auto"/>
          <w:szCs w:val="21"/>
          <w:highlight w:val="none"/>
        </w:rPr>
        <w:t>产品质量进行检验，并报监理人复核。</w:t>
      </w:r>
    </w:p>
    <w:p w14:paraId="24857A21">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14.1.5除专用合同条款另有约定外，水工金属结构、启闭机及机电产品进场后，监理人组织发包人按合同进行交货检查和验收。安装前，承包人应检查产品是否有出厂合格证、设备安装说明书及有关技术文件，对在运输和存放过程中发生的变形、受潮、损坏等问题应</w:t>
      </w:r>
      <w:r>
        <w:rPr>
          <w:rFonts w:hint="eastAsia" w:ascii="宋体" w:hAnsi="宋体"/>
          <w:color w:val="auto"/>
          <w:szCs w:val="21"/>
          <w:highlight w:val="none"/>
          <w:lang w:eastAsia="zh-CN"/>
        </w:rPr>
        <w:t>做好</w:t>
      </w:r>
      <w:r>
        <w:rPr>
          <w:rFonts w:hint="eastAsia" w:ascii="宋体" w:hAnsi="宋体"/>
          <w:color w:val="auto"/>
          <w:szCs w:val="21"/>
          <w:highlight w:val="none"/>
        </w:rPr>
        <w:t>记录，并进行妥善处理。</w:t>
      </w:r>
    </w:p>
    <w:p w14:paraId="5EF05FA2">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14.1.6对专用合同条款约定的试块、试件及有关材料，监理人实行见证取样。见证取样资料由承包人制备，记录应真实齐全，监理人、承包人等参与见证取样人员应在相关文件上签字。</w:t>
      </w:r>
    </w:p>
    <w:p w14:paraId="55120D9B">
      <w:pPr>
        <w:spacing w:line="360" w:lineRule="auto"/>
        <w:rPr>
          <w:rFonts w:hint="eastAsia" w:ascii="宋体" w:hAnsi="宋体"/>
          <w:b/>
          <w:color w:val="auto"/>
          <w:sz w:val="24"/>
          <w:highlight w:val="none"/>
        </w:rPr>
      </w:pPr>
      <w:r>
        <w:rPr>
          <w:rFonts w:hint="eastAsia" w:ascii="宋体" w:hAnsi="宋体"/>
          <w:b/>
          <w:color w:val="auto"/>
          <w:sz w:val="24"/>
          <w:highlight w:val="none"/>
        </w:rPr>
        <w:t>14.2现场材料试验</w:t>
      </w:r>
    </w:p>
    <w:p w14:paraId="1E20BAA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14.2.1承包人根据合同约定或监理人指示进行的现场材料试验，应由承包人提供试验场所、试验人员、试验设备器材以及其他必要的试验条件。</w:t>
      </w:r>
    </w:p>
    <w:p w14:paraId="15B72B16">
      <w:pPr>
        <w:spacing w:line="360" w:lineRule="auto"/>
        <w:ind w:firstLine="420"/>
        <w:rPr>
          <w:rFonts w:hint="eastAsia" w:ascii="宋体" w:hAnsi="宋体"/>
          <w:color w:val="auto"/>
          <w:szCs w:val="21"/>
          <w:highlight w:val="none"/>
        </w:rPr>
      </w:pPr>
      <w:r>
        <w:rPr>
          <w:rFonts w:hint="eastAsia" w:ascii="宋体" w:hAnsi="宋体"/>
          <w:color w:val="auto"/>
          <w:szCs w:val="21"/>
          <w:highlight w:val="none"/>
        </w:rPr>
        <w:t>14.2.2监理人在必要时可以使用承包人的试验场所、试验设备器材以及其他试验条件，进行以工程质量检查为目的的复核性材料试验，承包人应予以协助。</w:t>
      </w:r>
    </w:p>
    <w:p w14:paraId="73E46324">
      <w:pPr>
        <w:spacing w:line="360" w:lineRule="auto"/>
        <w:ind w:firstLine="420"/>
        <w:rPr>
          <w:rFonts w:hint="eastAsia" w:ascii="宋体" w:hAnsi="宋体"/>
          <w:color w:val="auto"/>
          <w:szCs w:val="21"/>
          <w:highlight w:val="none"/>
        </w:rPr>
      </w:pPr>
      <w:r>
        <w:rPr>
          <w:rFonts w:hint="eastAsia" w:ascii="宋体" w:hAnsi="宋体"/>
          <w:color w:val="auto"/>
          <w:szCs w:val="21"/>
          <w:highlight w:val="none"/>
        </w:rPr>
        <w:t>14.3现场工艺试验</w:t>
      </w:r>
    </w:p>
    <w:p w14:paraId="01D2AB2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承包人应按合同约定或监理人指示进行现场工艺试验。对大型的现场工艺试验，监理人认为必要时，应由承包人根据监理人提出的工艺试验要求，编制工艺试验措施计划，报送监理人审批。</w:t>
      </w:r>
    </w:p>
    <w:p w14:paraId="56918303">
      <w:pPr>
        <w:pStyle w:val="5"/>
        <w:rPr>
          <w:rFonts w:hint="eastAsia" w:ascii="宋体" w:hAnsi="宋体"/>
          <w:b w:val="0"/>
          <w:color w:val="auto"/>
          <w:sz w:val="28"/>
          <w:highlight w:val="none"/>
        </w:rPr>
      </w:pPr>
      <w:r>
        <w:rPr>
          <w:rFonts w:hint="eastAsia" w:ascii="宋体" w:hAnsi="宋体"/>
          <w:color w:val="auto"/>
          <w:sz w:val="28"/>
          <w:highlight w:val="none"/>
        </w:rPr>
        <w:t>15．变更</w:t>
      </w:r>
    </w:p>
    <w:p w14:paraId="21B7E362">
      <w:pPr>
        <w:spacing w:line="360" w:lineRule="auto"/>
        <w:rPr>
          <w:rFonts w:hint="eastAsia" w:ascii="宋体" w:hAnsi="宋体"/>
          <w:b/>
          <w:color w:val="auto"/>
          <w:sz w:val="24"/>
          <w:highlight w:val="none"/>
        </w:rPr>
      </w:pPr>
      <w:r>
        <w:rPr>
          <w:rFonts w:hint="eastAsia" w:ascii="宋体" w:hAnsi="宋体"/>
          <w:b/>
          <w:color w:val="auto"/>
          <w:sz w:val="24"/>
          <w:highlight w:val="none"/>
        </w:rPr>
        <w:t>15.1变更的范围和内容</w:t>
      </w:r>
    </w:p>
    <w:p w14:paraId="06529D39">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在履行合同中发生以下情形之一，应按照本款规定进行变更。</w:t>
      </w:r>
    </w:p>
    <w:p w14:paraId="0930F9D7">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1</w:t>
      </w:r>
      <w:r>
        <w:rPr>
          <w:rFonts w:hint="eastAsia" w:ascii="宋体" w:hAnsi="宋体"/>
          <w:color w:val="auto"/>
          <w:szCs w:val="21"/>
          <w:highlight w:val="none"/>
          <w:lang w:eastAsia="zh-CN"/>
        </w:rPr>
        <w:t>）</w:t>
      </w:r>
      <w:r>
        <w:rPr>
          <w:rFonts w:hint="eastAsia" w:ascii="宋体" w:hAnsi="宋体"/>
          <w:color w:val="auto"/>
          <w:szCs w:val="21"/>
          <w:highlight w:val="none"/>
        </w:rPr>
        <w:t>取消合同中任何一项工作，但被取消的工作不能转由发包人或其他人实施；</w:t>
      </w:r>
    </w:p>
    <w:p w14:paraId="5D8DC369">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2</w:t>
      </w:r>
      <w:r>
        <w:rPr>
          <w:rFonts w:hint="eastAsia" w:ascii="宋体" w:hAnsi="宋体"/>
          <w:color w:val="auto"/>
          <w:szCs w:val="21"/>
          <w:highlight w:val="none"/>
          <w:lang w:eastAsia="zh-CN"/>
        </w:rPr>
        <w:t>）</w:t>
      </w:r>
      <w:r>
        <w:rPr>
          <w:rFonts w:hint="eastAsia" w:ascii="宋体" w:hAnsi="宋体"/>
          <w:color w:val="auto"/>
          <w:szCs w:val="21"/>
          <w:highlight w:val="none"/>
        </w:rPr>
        <w:t>改变合同中任何一项工作的质量或其他特性；</w:t>
      </w:r>
    </w:p>
    <w:p w14:paraId="444B00BB">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3</w:t>
      </w:r>
      <w:r>
        <w:rPr>
          <w:rFonts w:hint="eastAsia" w:ascii="宋体" w:hAnsi="宋体"/>
          <w:color w:val="auto"/>
          <w:szCs w:val="21"/>
          <w:highlight w:val="none"/>
          <w:lang w:eastAsia="zh-CN"/>
        </w:rPr>
        <w:t>）</w:t>
      </w:r>
      <w:r>
        <w:rPr>
          <w:rFonts w:hint="eastAsia" w:ascii="宋体" w:hAnsi="宋体"/>
          <w:color w:val="auto"/>
          <w:szCs w:val="21"/>
          <w:highlight w:val="none"/>
        </w:rPr>
        <w:t>改变合同工程的基线、标高、位置或尺寸；</w:t>
      </w:r>
    </w:p>
    <w:p w14:paraId="31870CF1">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4</w:t>
      </w:r>
      <w:r>
        <w:rPr>
          <w:rFonts w:hint="eastAsia" w:ascii="宋体" w:hAnsi="宋体"/>
          <w:color w:val="auto"/>
          <w:szCs w:val="21"/>
          <w:highlight w:val="none"/>
          <w:lang w:eastAsia="zh-CN"/>
        </w:rPr>
        <w:t>）</w:t>
      </w:r>
      <w:r>
        <w:rPr>
          <w:rFonts w:hint="eastAsia" w:ascii="宋体" w:hAnsi="宋体"/>
          <w:color w:val="auto"/>
          <w:szCs w:val="21"/>
          <w:highlight w:val="none"/>
        </w:rPr>
        <w:t>改变合同中任何一项工作的施工时间或改变已批准的施工工艺或顺序；</w:t>
      </w:r>
    </w:p>
    <w:p w14:paraId="28ACCE1D">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5</w:t>
      </w:r>
      <w:r>
        <w:rPr>
          <w:rFonts w:hint="eastAsia" w:ascii="宋体" w:hAnsi="宋体"/>
          <w:color w:val="auto"/>
          <w:szCs w:val="21"/>
          <w:highlight w:val="none"/>
          <w:lang w:eastAsia="zh-CN"/>
        </w:rPr>
        <w:t>）</w:t>
      </w:r>
      <w:r>
        <w:rPr>
          <w:rFonts w:hint="eastAsia" w:ascii="宋体" w:hAnsi="宋体"/>
          <w:color w:val="auto"/>
          <w:szCs w:val="21"/>
          <w:highlight w:val="none"/>
        </w:rPr>
        <w:t>为完成工程需要追加的额外工作；</w:t>
      </w:r>
    </w:p>
    <w:p w14:paraId="68AA43A2">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6</w:t>
      </w:r>
      <w:r>
        <w:rPr>
          <w:rFonts w:hint="eastAsia" w:ascii="宋体" w:hAnsi="宋体"/>
          <w:color w:val="auto"/>
          <w:szCs w:val="21"/>
          <w:highlight w:val="none"/>
          <w:lang w:eastAsia="zh-CN"/>
        </w:rPr>
        <w:t>）</w:t>
      </w:r>
      <w:r>
        <w:rPr>
          <w:rFonts w:hint="eastAsia" w:ascii="宋体" w:hAnsi="宋体"/>
          <w:color w:val="auto"/>
          <w:szCs w:val="21"/>
          <w:highlight w:val="none"/>
        </w:rPr>
        <w:t>增加或减少专用合同条款中约定的关键项目的工程量超过其工程总量的一定数量百分比。</w:t>
      </w:r>
    </w:p>
    <w:p w14:paraId="0E356B35">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上述第</w:t>
      </w:r>
      <w:r>
        <w:rPr>
          <w:rFonts w:hint="eastAsia" w:ascii="宋体" w:hAnsi="宋体"/>
          <w:color w:val="auto"/>
          <w:szCs w:val="21"/>
          <w:highlight w:val="none"/>
          <w:lang w:eastAsia="zh-CN"/>
        </w:rPr>
        <w:t>（</w:t>
      </w:r>
      <w:r>
        <w:rPr>
          <w:rFonts w:hint="eastAsia" w:ascii="宋体" w:hAnsi="宋体"/>
          <w:color w:val="auto"/>
          <w:szCs w:val="21"/>
          <w:highlight w:val="none"/>
        </w:rPr>
        <w:t>1</w:t>
      </w:r>
      <w:r>
        <w:rPr>
          <w:rFonts w:hint="eastAsia" w:ascii="宋体" w:hAnsi="宋体"/>
          <w:color w:val="auto"/>
          <w:szCs w:val="21"/>
          <w:highlight w:val="none"/>
          <w:lang w:eastAsia="zh-CN"/>
        </w:rPr>
        <w:t>）</w:t>
      </w:r>
      <w:r>
        <w:rPr>
          <w:rFonts w:hint="eastAsia" w:ascii="宋体" w:hAnsi="宋体"/>
          <w:color w:val="auto"/>
          <w:szCs w:val="21"/>
          <w:highlight w:val="none"/>
        </w:rPr>
        <w:t>一</w:t>
      </w:r>
      <w:r>
        <w:rPr>
          <w:rFonts w:hint="eastAsia" w:ascii="宋体" w:hAnsi="宋体"/>
          <w:color w:val="auto"/>
          <w:szCs w:val="21"/>
          <w:highlight w:val="none"/>
          <w:lang w:eastAsia="zh-CN"/>
        </w:rPr>
        <w:t>（</w:t>
      </w:r>
      <w:r>
        <w:rPr>
          <w:rFonts w:hint="eastAsia" w:ascii="宋体" w:hAnsi="宋体"/>
          <w:color w:val="auto"/>
          <w:szCs w:val="21"/>
          <w:highlight w:val="none"/>
        </w:rPr>
        <w:t>6</w:t>
      </w:r>
      <w:r>
        <w:rPr>
          <w:rFonts w:hint="eastAsia" w:ascii="宋体" w:hAnsi="宋体"/>
          <w:color w:val="auto"/>
          <w:szCs w:val="21"/>
          <w:highlight w:val="none"/>
          <w:lang w:eastAsia="zh-CN"/>
        </w:rPr>
        <w:t>)项</w:t>
      </w:r>
      <w:r>
        <w:rPr>
          <w:rFonts w:hint="eastAsia" w:ascii="宋体" w:hAnsi="宋体"/>
          <w:color w:val="auto"/>
          <w:szCs w:val="21"/>
          <w:highlight w:val="none"/>
        </w:rPr>
        <w:t>目的变更内容引起工程施工组织和进度计划发生实质性变动和影响其原定的价格时，才予调整该项目的单价。第</w:t>
      </w:r>
      <w:r>
        <w:rPr>
          <w:rFonts w:hint="eastAsia" w:ascii="宋体" w:hAnsi="宋体"/>
          <w:color w:val="auto"/>
          <w:szCs w:val="21"/>
          <w:highlight w:val="none"/>
          <w:lang w:eastAsia="zh-CN"/>
        </w:rPr>
        <w:t>（</w:t>
      </w:r>
      <w:r>
        <w:rPr>
          <w:rFonts w:hint="eastAsia" w:ascii="宋体" w:hAnsi="宋体"/>
          <w:color w:val="auto"/>
          <w:szCs w:val="21"/>
          <w:highlight w:val="none"/>
        </w:rPr>
        <w:t>6</w:t>
      </w:r>
      <w:r>
        <w:rPr>
          <w:rFonts w:hint="eastAsia" w:ascii="宋体" w:hAnsi="宋体"/>
          <w:color w:val="auto"/>
          <w:szCs w:val="21"/>
          <w:highlight w:val="none"/>
          <w:lang w:eastAsia="zh-CN"/>
        </w:rPr>
        <w:t>）</w:t>
      </w:r>
      <w:r>
        <w:rPr>
          <w:rFonts w:hint="eastAsia" w:ascii="宋体" w:hAnsi="宋体"/>
          <w:color w:val="auto"/>
          <w:szCs w:val="21"/>
          <w:highlight w:val="none"/>
        </w:rPr>
        <w:t>目情形下单价调整方式在专用合同条款中约定。</w:t>
      </w:r>
    </w:p>
    <w:p w14:paraId="47A3E23C">
      <w:pPr>
        <w:spacing w:line="360" w:lineRule="auto"/>
        <w:rPr>
          <w:rFonts w:hint="eastAsia" w:ascii="宋体" w:hAnsi="宋体"/>
          <w:b/>
          <w:color w:val="auto"/>
          <w:sz w:val="24"/>
          <w:highlight w:val="none"/>
        </w:rPr>
      </w:pPr>
      <w:r>
        <w:rPr>
          <w:rFonts w:hint="eastAsia" w:ascii="宋体" w:hAnsi="宋体"/>
          <w:b/>
          <w:color w:val="auto"/>
          <w:sz w:val="24"/>
          <w:highlight w:val="none"/>
        </w:rPr>
        <w:t>15.2 变更权</w:t>
      </w:r>
    </w:p>
    <w:p w14:paraId="339D56FE">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在履行合同过程中，经发包人同意，监理人可按第15.3款约定的变更程序向承包人作出变更指示，承包人应遵照执行。没有监理人的变更指示，承包人不得擅自变更。</w:t>
      </w:r>
    </w:p>
    <w:p w14:paraId="08EA6372">
      <w:pPr>
        <w:spacing w:line="360" w:lineRule="auto"/>
        <w:rPr>
          <w:rFonts w:hint="eastAsia" w:ascii="宋体" w:hAnsi="宋体"/>
          <w:b/>
          <w:color w:val="auto"/>
          <w:sz w:val="24"/>
          <w:highlight w:val="none"/>
        </w:rPr>
      </w:pPr>
      <w:r>
        <w:rPr>
          <w:rFonts w:hint="eastAsia" w:ascii="宋体" w:hAnsi="宋体"/>
          <w:b/>
          <w:color w:val="auto"/>
          <w:sz w:val="24"/>
          <w:highlight w:val="none"/>
        </w:rPr>
        <w:t>15.3 变更程序</w:t>
      </w:r>
    </w:p>
    <w:p w14:paraId="73537CB2">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15.3.1变更的提出</w:t>
      </w:r>
    </w:p>
    <w:p w14:paraId="5C83BF57">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在合同履行过程中，可能发生第15.1款约定情形的，监理人可向承包人发出变更意向书。</w:t>
      </w:r>
    </w:p>
    <w:p w14:paraId="74666627">
      <w:pPr>
        <w:spacing w:line="360" w:lineRule="auto"/>
        <w:rPr>
          <w:rFonts w:hint="eastAsia" w:ascii="宋体" w:hAnsi="宋体"/>
          <w:color w:val="auto"/>
          <w:szCs w:val="21"/>
          <w:highlight w:val="none"/>
        </w:rPr>
      </w:pPr>
      <w:r>
        <w:rPr>
          <w:rFonts w:hint="eastAsia" w:ascii="宋体" w:hAnsi="宋体"/>
          <w:color w:val="auto"/>
          <w:szCs w:val="21"/>
          <w:highlight w:val="none"/>
        </w:rPr>
        <w:t>变更意向书应说明变更的具体内容和发包人对变更的时间要求，并附必要的图纸和相关资料。变更意向书应要求承包人提交包括拟实施变更工作的计划、措施和竣工时间等内容的实施方案。发包人同意承包人根据变更意向书要求提交的变更实施方案的，由监理人按第15.3.3项约定发出变更指示。</w:t>
      </w:r>
    </w:p>
    <w:p w14:paraId="3E64ED16">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在合同履行过程中，发生第15.1款约定情形的，监理人应按照第15.3.3项约定向承包人发出变更指示。</w:t>
      </w:r>
    </w:p>
    <w:p w14:paraId="6067E93B">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(3</w:t>
      </w:r>
      <w:r>
        <w:rPr>
          <w:rFonts w:hint="eastAsia" w:ascii="宋体" w:hAnsi="宋体"/>
          <w:color w:val="auto"/>
          <w:szCs w:val="21"/>
          <w:highlight w:val="none"/>
          <w:lang w:eastAsia="zh-CN"/>
        </w:rPr>
        <w:t>）</w:t>
      </w:r>
      <w:r>
        <w:rPr>
          <w:rFonts w:hint="eastAsia" w:ascii="宋体" w:hAnsi="宋体"/>
          <w:color w:val="auto"/>
          <w:szCs w:val="21"/>
          <w:highlight w:val="none"/>
        </w:rPr>
        <w:t>承包人收到监理人按合同约定发出的图纸和文件，经检查认为其中存在第15.1款约定情</w:t>
      </w:r>
    </w:p>
    <w:p w14:paraId="3A4B2BC2">
      <w:pPr>
        <w:spacing w:line="360" w:lineRule="auto"/>
        <w:rPr>
          <w:rFonts w:hint="eastAsia" w:ascii="宋体" w:hAnsi="宋体"/>
          <w:color w:val="auto"/>
          <w:szCs w:val="21"/>
          <w:highlight w:val="none"/>
        </w:rPr>
      </w:pPr>
      <w:r>
        <w:rPr>
          <w:rFonts w:hint="eastAsia" w:ascii="宋体" w:hAnsi="宋体"/>
          <w:color w:val="auto"/>
          <w:szCs w:val="21"/>
          <w:highlight w:val="none"/>
        </w:rPr>
        <w:t>形的，可向监理人提出书面变更建议。变更建议应阐明要求变更的依据，并附必要的图纸和说明。</w:t>
      </w:r>
    </w:p>
    <w:p w14:paraId="1B14ABB6">
      <w:pPr>
        <w:spacing w:line="360" w:lineRule="auto"/>
        <w:rPr>
          <w:rFonts w:hint="eastAsia" w:ascii="宋体" w:hAnsi="宋体"/>
          <w:color w:val="auto"/>
          <w:szCs w:val="21"/>
          <w:highlight w:val="none"/>
        </w:rPr>
      </w:pPr>
      <w:r>
        <w:rPr>
          <w:rFonts w:hint="eastAsia" w:ascii="宋体" w:hAnsi="宋体"/>
          <w:color w:val="auto"/>
          <w:szCs w:val="21"/>
          <w:highlight w:val="none"/>
        </w:rPr>
        <w:t>监理人收到承包人书面建议后，应与发包人共同研究，确认存在变更的，应在收到承包人书面建议后的14天内作出变更指示。经研究后不同意作为变更的，应由监理人书面答复承包人。</w:t>
      </w:r>
    </w:p>
    <w:p w14:paraId="0847951E">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(4</w:t>
      </w:r>
      <w:r>
        <w:rPr>
          <w:rFonts w:hint="eastAsia" w:ascii="宋体" w:hAnsi="宋体"/>
          <w:color w:val="auto"/>
          <w:szCs w:val="21"/>
          <w:highlight w:val="none"/>
          <w:lang w:eastAsia="zh-CN"/>
        </w:rPr>
        <w:t>）</w:t>
      </w:r>
      <w:r>
        <w:rPr>
          <w:rFonts w:hint="eastAsia" w:ascii="宋体" w:hAnsi="宋体"/>
          <w:color w:val="auto"/>
          <w:szCs w:val="21"/>
          <w:highlight w:val="none"/>
        </w:rPr>
        <w:t>若承包人收到监理人的变更意向书后认为难以实施此项变更，应立即通知监理人，说明原因并附详细依据。监理人与承包人和发包人协商后确定撤销、改变或不改变原变更意向书。</w:t>
      </w:r>
    </w:p>
    <w:p w14:paraId="3D38940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15.3.2变更估价</w:t>
      </w:r>
    </w:p>
    <w:p w14:paraId="10E5B08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除专用合同条款对期限另有约定外，承包人应在收到变更指示或变更意向书后的14天内，向监理人提交变更报价书，报价内容应根据第15.4款约定的估价原则，详细开列变更工作的价格组成及其依据，并附必要的施工方法说明和有关图纸。</w:t>
      </w:r>
    </w:p>
    <w:p w14:paraId="1C72ED43">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2</w:t>
      </w:r>
      <w:r>
        <w:rPr>
          <w:rFonts w:hint="eastAsia" w:ascii="宋体" w:hAnsi="宋体"/>
          <w:color w:val="auto"/>
          <w:szCs w:val="21"/>
          <w:highlight w:val="none"/>
          <w:lang w:eastAsia="zh-CN"/>
        </w:rPr>
        <w:t>）</w:t>
      </w:r>
      <w:r>
        <w:rPr>
          <w:rFonts w:hint="eastAsia" w:ascii="宋体" w:hAnsi="宋体"/>
          <w:color w:val="auto"/>
          <w:szCs w:val="21"/>
          <w:highlight w:val="none"/>
        </w:rPr>
        <w:t>变更工作影响工期的，承包人应提出调整工期的具体细节。监理人认为有必要时，可要求承包人提交要求提前或延长工期的施工进度计划及相应施工措施等详细资料。</w:t>
      </w:r>
    </w:p>
    <w:p w14:paraId="3581C2A5">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(3</w:t>
      </w:r>
      <w:r>
        <w:rPr>
          <w:rFonts w:hint="eastAsia" w:ascii="宋体" w:hAnsi="宋体"/>
          <w:color w:val="auto"/>
          <w:szCs w:val="21"/>
          <w:highlight w:val="none"/>
          <w:lang w:eastAsia="zh-CN"/>
        </w:rPr>
        <w:t>）</w:t>
      </w:r>
      <w:r>
        <w:rPr>
          <w:rFonts w:hint="eastAsia" w:ascii="宋体" w:hAnsi="宋体"/>
          <w:color w:val="auto"/>
          <w:szCs w:val="21"/>
          <w:highlight w:val="none"/>
        </w:rPr>
        <w:t>除专用合同条款对期限另有约定外，监理人收到承包人变更报价书后的14天内，根据第15.4款约定的估价原则，按照第3.5款商定或确定变更价格。</w:t>
      </w:r>
    </w:p>
    <w:p w14:paraId="3035EFA5">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15.3.3变更指示</w:t>
      </w:r>
    </w:p>
    <w:p w14:paraId="79E9C75D">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变更指示只能由监理人发出。</w:t>
      </w:r>
    </w:p>
    <w:p w14:paraId="3F90801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变更指示应说明变更的目的、范围、变更内容以及变更的工程量及其进度和技术要求，并附有关图纸和文件。承包人收到变更指示后，应按变更指示进行变更工作。</w:t>
      </w:r>
    </w:p>
    <w:p w14:paraId="59848B21">
      <w:pPr>
        <w:spacing w:line="360" w:lineRule="auto"/>
        <w:rPr>
          <w:rFonts w:hint="eastAsia" w:ascii="宋体" w:hAnsi="宋体"/>
          <w:b/>
          <w:color w:val="auto"/>
          <w:sz w:val="24"/>
          <w:highlight w:val="none"/>
        </w:rPr>
      </w:pPr>
      <w:r>
        <w:rPr>
          <w:rFonts w:hint="eastAsia" w:ascii="宋体" w:hAnsi="宋体"/>
          <w:b/>
          <w:color w:val="auto"/>
          <w:sz w:val="24"/>
          <w:highlight w:val="none"/>
        </w:rPr>
        <w:t>15.4变更的估价原则</w:t>
      </w:r>
    </w:p>
    <w:p w14:paraId="44B94D7C">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除专用合同条款另有约定外，因变更引起的价格调整按照本款约定处理。</w:t>
      </w:r>
    </w:p>
    <w:p w14:paraId="782CD95D">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15.4.1已标价工程量清单中有适用于变更工作的子目的，采用该子目的单价。</w:t>
      </w:r>
    </w:p>
    <w:p w14:paraId="02257E2C">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15.4.2 已标价工程量清单中无适用于变更工作的子目，但有类似子目的，可在合理范围内参照类似子目的单价，由监理人按第3.5款商定或确定变更工作的单价。</w:t>
      </w:r>
    </w:p>
    <w:p w14:paraId="1593E692">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15.4.3 已标价工程量清单中无适用或类似子目的单价，可按照成本加利润的原则，由监理人按第3.5款商定或确定变更工作的单价。</w:t>
      </w:r>
    </w:p>
    <w:p w14:paraId="53166394">
      <w:pPr>
        <w:spacing w:line="360" w:lineRule="auto"/>
        <w:rPr>
          <w:rFonts w:hint="eastAsia" w:ascii="宋体" w:hAnsi="宋体"/>
          <w:b/>
          <w:color w:val="auto"/>
          <w:sz w:val="24"/>
          <w:highlight w:val="none"/>
        </w:rPr>
      </w:pPr>
      <w:r>
        <w:rPr>
          <w:rFonts w:hint="eastAsia" w:ascii="宋体" w:hAnsi="宋体"/>
          <w:b/>
          <w:color w:val="auto"/>
          <w:sz w:val="24"/>
          <w:highlight w:val="none"/>
        </w:rPr>
        <w:t>15.5承包人的合理化建议</w:t>
      </w:r>
    </w:p>
    <w:p w14:paraId="119CED2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15.5.1在履行合同过程中，承包人对发包人提供的图纸、技术要求以及其他方面提出的合理化建议，均应以书面形式提交监理人。合理化建议书的内容应包括建议工作的详细说明、进度计划和效益以及与其他工作的协调等，并附必要的设计文件。监理人应与发包人协商是否采纳建议。建议被采纳并构成变更的，应按第15.3.3项约定向承包人发出变更指示。</w:t>
      </w:r>
    </w:p>
    <w:p w14:paraId="189BC13F">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15.5.2承包人提出的合理化建议降低了合同价格、缩短了工期或者提高了工程经济效益的，发包人可按国家有关规定在专用合同条款中约定给予奖励。</w:t>
      </w:r>
    </w:p>
    <w:p w14:paraId="65E2E7FC">
      <w:pPr>
        <w:spacing w:line="360" w:lineRule="auto"/>
        <w:rPr>
          <w:rFonts w:hint="eastAsia" w:ascii="宋体" w:hAnsi="宋体"/>
          <w:b/>
          <w:color w:val="auto"/>
          <w:sz w:val="24"/>
          <w:highlight w:val="none"/>
        </w:rPr>
      </w:pPr>
      <w:r>
        <w:rPr>
          <w:rFonts w:hint="eastAsia" w:ascii="宋体" w:hAnsi="宋体"/>
          <w:b/>
          <w:color w:val="auto"/>
          <w:sz w:val="24"/>
          <w:highlight w:val="none"/>
        </w:rPr>
        <w:t>15.6暂列金额</w:t>
      </w:r>
    </w:p>
    <w:p w14:paraId="7CFE7BFA">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暂列金额只能按照监理人的指示使用，并对合同价格进行相应调整。</w:t>
      </w:r>
    </w:p>
    <w:p w14:paraId="5E85F312">
      <w:pPr>
        <w:spacing w:line="360" w:lineRule="auto"/>
        <w:rPr>
          <w:rFonts w:hint="eastAsia" w:ascii="宋体" w:hAnsi="宋体"/>
          <w:b/>
          <w:color w:val="auto"/>
          <w:sz w:val="24"/>
          <w:highlight w:val="none"/>
        </w:rPr>
      </w:pPr>
      <w:r>
        <w:rPr>
          <w:rFonts w:hint="eastAsia" w:ascii="宋体" w:hAnsi="宋体"/>
          <w:b/>
          <w:color w:val="auto"/>
          <w:sz w:val="24"/>
          <w:highlight w:val="none"/>
        </w:rPr>
        <w:t>15.7计日工</w:t>
      </w:r>
    </w:p>
    <w:p w14:paraId="33D0CEBA">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15.7.1发包人认为有必要时，由监理人通知承包人以计日工方式实施变更的零星工作。其价款按列入已标价工程量清单中的计日工计价子目及其单价进行计算。</w:t>
      </w:r>
    </w:p>
    <w:p w14:paraId="701A0AEA">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15.7.2采用计日工计价的任何一项变更工作，应从暂列金额中支付，承包人应在该项变更的实施过程中，每天提交以下报表和有关凭证报送监理人审批</w:t>
      </w:r>
      <w:r>
        <w:rPr>
          <w:rFonts w:hint="eastAsia" w:ascii="宋体" w:hAnsi="宋体"/>
          <w:color w:val="auto"/>
          <w:szCs w:val="21"/>
          <w:highlight w:val="none"/>
          <w:lang w:eastAsia="zh-CN"/>
        </w:rPr>
        <w:t>：</w:t>
      </w:r>
    </w:p>
    <w:p w14:paraId="60D4E736">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工作名称、内容和数量</w:t>
      </w:r>
      <w:r>
        <w:rPr>
          <w:rFonts w:hint="eastAsia" w:ascii="宋体" w:hAnsi="宋体"/>
          <w:color w:val="auto"/>
          <w:szCs w:val="21"/>
          <w:highlight w:val="none"/>
          <w:lang w:eastAsia="zh-CN"/>
        </w:rPr>
        <w:t>；</w:t>
      </w:r>
      <w:r>
        <w:rPr>
          <w:rFonts w:hint="eastAsia" w:ascii="宋体" w:hAnsi="宋体"/>
          <w:color w:val="auto"/>
          <w:szCs w:val="21"/>
          <w:highlight w:val="none"/>
        </w:rPr>
        <w:t xml:space="preserve">      </w:t>
      </w:r>
    </w:p>
    <w:p w14:paraId="119993D2">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2</w:t>
      </w:r>
      <w:r>
        <w:rPr>
          <w:rFonts w:hint="eastAsia" w:ascii="宋体" w:hAnsi="宋体"/>
          <w:color w:val="auto"/>
          <w:szCs w:val="21"/>
          <w:highlight w:val="none"/>
          <w:lang w:eastAsia="zh-CN"/>
        </w:rPr>
        <w:t>）</w:t>
      </w:r>
      <w:r>
        <w:rPr>
          <w:rFonts w:hint="eastAsia" w:ascii="宋体" w:hAnsi="宋体"/>
          <w:color w:val="auto"/>
          <w:szCs w:val="21"/>
          <w:highlight w:val="none"/>
        </w:rPr>
        <w:t>投入该工作所有人员的姓名、工种、级别和耗用工时</w:t>
      </w:r>
      <w:r>
        <w:rPr>
          <w:rFonts w:hint="eastAsia" w:ascii="宋体" w:hAnsi="宋体"/>
          <w:color w:val="auto"/>
          <w:szCs w:val="21"/>
          <w:highlight w:val="none"/>
          <w:lang w:eastAsia="zh-CN"/>
        </w:rPr>
        <w:t>；</w:t>
      </w:r>
    </w:p>
    <w:p w14:paraId="4AAACBBB">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(3</w:t>
      </w:r>
      <w:r>
        <w:rPr>
          <w:rFonts w:hint="eastAsia" w:ascii="宋体" w:hAnsi="宋体"/>
          <w:color w:val="auto"/>
          <w:szCs w:val="21"/>
          <w:highlight w:val="none"/>
          <w:lang w:eastAsia="zh-CN"/>
        </w:rPr>
        <w:t>）</w:t>
      </w:r>
      <w:r>
        <w:rPr>
          <w:rFonts w:hint="eastAsia" w:ascii="宋体" w:hAnsi="宋体"/>
          <w:color w:val="auto"/>
          <w:szCs w:val="21"/>
          <w:highlight w:val="none"/>
        </w:rPr>
        <w:t>投入该工作的材料类别和数量</w:t>
      </w:r>
      <w:r>
        <w:rPr>
          <w:rFonts w:hint="eastAsia" w:ascii="宋体" w:hAnsi="宋体"/>
          <w:color w:val="auto"/>
          <w:szCs w:val="21"/>
          <w:highlight w:val="none"/>
          <w:lang w:eastAsia="zh-CN"/>
        </w:rPr>
        <w:t>；</w:t>
      </w:r>
    </w:p>
    <w:p w14:paraId="717C9F64">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(4</w:t>
      </w:r>
      <w:r>
        <w:rPr>
          <w:rFonts w:hint="eastAsia" w:ascii="宋体" w:hAnsi="宋体"/>
          <w:color w:val="auto"/>
          <w:szCs w:val="21"/>
          <w:highlight w:val="none"/>
          <w:lang w:eastAsia="zh-CN"/>
        </w:rPr>
        <w:t>）</w:t>
      </w:r>
      <w:r>
        <w:rPr>
          <w:rFonts w:hint="eastAsia" w:ascii="宋体" w:hAnsi="宋体"/>
          <w:color w:val="auto"/>
          <w:szCs w:val="21"/>
          <w:highlight w:val="none"/>
        </w:rPr>
        <w:t>投入该工作的施工设备型号、台数和耗用台时</w:t>
      </w:r>
      <w:r>
        <w:rPr>
          <w:rFonts w:hint="eastAsia" w:ascii="宋体" w:hAnsi="宋体"/>
          <w:color w:val="auto"/>
          <w:szCs w:val="21"/>
          <w:highlight w:val="none"/>
          <w:lang w:eastAsia="zh-CN"/>
        </w:rPr>
        <w:t>；</w:t>
      </w:r>
    </w:p>
    <w:p w14:paraId="652F9E9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(5</w:t>
      </w:r>
      <w:r>
        <w:rPr>
          <w:rFonts w:hint="eastAsia" w:ascii="宋体" w:hAnsi="宋体"/>
          <w:color w:val="auto"/>
          <w:szCs w:val="21"/>
          <w:highlight w:val="none"/>
          <w:lang w:eastAsia="zh-CN"/>
        </w:rPr>
        <w:t>）</w:t>
      </w:r>
      <w:r>
        <w:rPr>
          <w:rFonts w:hint="eastAsia" w:ascii="宋体" w:hAnsi="宋体"/>
          <w:color w:val="auto"/>
          <w:szCs w:val="21"/>
          <w:highlight w:val="none"/>
        </w:rPr>
        <w:t>监理人要求提交的其他资料和凭证。</w:t>
      </w:r>
    </w:p>
    <w:p w14:paraId="71E873A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15.7.3计日工由承包人汇总后，按第17.3.2项的约定列入进度付款</w:t>
      </w:r>
      <w:r>
        <w:rPr>
          <w:rFonts w:hint="eastAsia" w:ascii="宋体" w:hAnsi="宋体"/>
          <w:color w:val="auto"/>
          <w:szCs w:val="21"/>
          <w:highlight w:val="none"/>
          <w:lang w:eastAsia="zh-CN"/>
        </w:rPr>
        <w:t>申请单</w:t>
      </w:r>
      <w:r>
        <w:rPr>
          <w:rFonts w:hint="eastAsia" w:ascii="宋体" w:hAnsi="宋体"/>
          <w:color w:val="auto"/>
          <w:szCs w:val="21"/>
          <w:highlight w:val="none"/>
        </w:rPr>
        <w:t>，由监理人复核并经发包人同意后列入进度付款。</w:t>
      </w:r>
    </w:p>
    <w:p w14:paraId="14833DA9">
      <w:pPr>
        <w:spacing w:line="360" w:lineRule="auto"/>
        <w:rPr>
          <w:rFonts w:hint="eastAsia" w:ascii="宋体" w:hAnsi="宋体"/>
          <w:b/>
          <w:color w:val="auto"/>
          <w:sz w:val="24"/>
          <w:highlight w:val="none"/>
        </w:rPr>
      </w:pPr>
      <w:r>
        <w:rPr>
          <w:rFonts w:hint="eastAsia" w:ascii="宋体" w:hAnsi="宋体"/>
          <w:b/>
          <w:color w:val="auto"/>
          <w:sz w:val="24"/>
          <w:highlight w:val="none"/>
        </w:rPr>
        <w:t>15.8暂估价</w:t>
      </w:r>
    </w:p>
    <w:p w14:paraId="685D8F91">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15.8.1 发包人在工程量清单中给定暂估价的材料、工程设备和专业工程属于依法必须招标的范围并达到规定的规模标准的，若承包人不具备承担暂估价项目的能力或具备承担暂估价项目的能力但明确不参与投标的，由发包人和承包人组织招标</w:t>
      </w:r>
      <w:r>
        <w:rPr>
          <w:rFonts w:hint="eastAsia" w:ascii="宋体" w:hAnsi="宋体"/>
          <w:color w:val="auto"/>
          <w:szCs w:val="21"/>
          <w:highlight w:val="none"/>
          <w:lang w:eastAsia="zh-CN"/>
        </w:rPr>
        <w:t>；</w:t>
      </w:r>
      <w:r>
        <w:rPr>
          <w:rFonts w:hint="eastAsia" w:ascii="宋体" w:hAnsi="宋体"/>
          <w:color w:val="auto"/>
          <w:szCs w:val="21"/>
          <w:highlight w:val="none"/>
        </w:rPr>
        <w:t>若承包人具备承担暂估价项目的能力目_明确参与投标的，由发包人组织招标。暂估价项目中标金额与工程量清单中所列金额差以及相应的税金</w:t>
      </w:r>
      <w:r>
        <w:rPr>
          <w:rFonts w:hint="eastAsia" w:ascii="宋体" w:hAnsi="宋体"/>
          <w:color w:val="auto"/>
          <w:szCs w:val="21"/>
          <w:highlight w:val="none"/>
          <w:lang w:eastAsia="zh-CN"/>
        </w:rPr>
        <w:t>等其他费用</w:t>
      </w:r>
      <w:r>
        <w:rPr>
          <w:rFonts w:hint="eastAsia" w:ascii="宋体" w:hAnsi="宋体"/>
          <w:color w:val="auto"/>
          <w:szCs w:val="21"/>
          <w:highlight w:val="none"/>
        </w:rPr>
        <w:t>列入合同价格。必须招标的暂估价项目招标组织形式、发包人和承包人组织招标时的权利义务关系在专用合同条款中约定。</w:t>
      </w:r>
    </w:p>
    <w:p w14:paraId="020F5469">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15.8.2发包人在工程量清单中给定暂估价的材料和工程设备不属于依法必须招标的范围或未达到规定的规模标准的，应由承包人按第5.1款的约定提供。经监理人确认的材料、工程设备的价格与工程量清单中所列的暂估价的金额差以及相应的税金等其他费用列入合同价格。</w:t>
      </w:r>
    </w:p>
    <w:p w14:paraId="183EBACC">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15.8.3发包人在工程量清单中给定暂估价的专业工程不属于依法必须招标的范围或未达到规定的规模标准的，由监理人按照第15.4款进行估价，但专用合同条款另有约定的除外。经估价的专业工程与工程量清单中所列的暂估价的金额差以及相应的税金等其他费用列入合同价格。</w:t>
      </w:r>
    </w:p>
    <w:p w14:paraId="44B96D9A">
      <w:pPr>
        <w:pStyle w:val="5"/>
        <w:rPr>
          <w:rFonts w:hint="eastAsia" w:ascii="宋体" w:hAnsi="宋体"/>
          <w:b w:val="0"/>
          <w:color w:val="auto"/>
          <w:sz w:val="28"/>
          <w:highlight w:val="none"/>
        </w:rPr>
      </w:pPr>
      <w:r>
        <w:rPr>
          <w:rFonts w:hint="eastAsia" w:ascii="宋体" w:hAnsi="宋体"/>
          <w:color w:val="auto"/>
          <w:sz w:val="28"/>
          <w:highlight w:val="none"/>
        </w:rPr>
        <w:t>16  价格调整</w:t>
      </w:r>
    </w:p>
    <w:p w14:paraId="3F12D75A">
      <w:pPr>
        <w:spacing w:line="360" w:lineRule="auto"/>
        <w:rPr>
          <w:rFonts w:hint="eastAsia" w:ascii="宋体" w:hAnsi="宋体"/>
          <w:b/>
          <w:color w:val="auto"/>
          <w:sz w:val="24"/>
          <w:highlight w:val="none"/>
        </w:rPr>
      </w:pPr>
      <w:r>
        <w:rPr>
          <w:rFonts w:hint="eastAsia" w:ascii="宋体" w:hAnsi="宋体"/>
          <w:b/>
          <w:color w:val="auto"/>
          <w:sz w:val="24"/>
          <w:highlight w:val="none"/>
        </w:rPr>
        <w:t>16.1物价波动引起的价格调整</w:t>
      </w:r>
    </w:p>
    <w:p w14:paraId="07B3041F">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由于物价波动原因引起合同价格需要调整的，其价格调整方式在专用合同条款中约定。</w:t>
      </w:r>
    </w:p>
    <w:p w14:paraId="64AC2A42">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16.1.1 采用价格指数调整价格差额</w:t>
      </w:r>
    </w:p>
    <w:p w14:paraId="6F41321F">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16.1.1.1 价格调整公式</w:t>
      </w:r>
    </w:p>
    <w:p w14:paraId="2044B34C">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因人工、材料和设备等价格波动影响合同价格时，根据投标函附录中的价格指数和权重表约定的数据，按以下公式计算差额并调整合同价格。</w:t>
      </w:r>
    </w:p>
    <w:p w14:paraId="6E78F88E">
      <w:pPr>
        <w:spacing w:line="200" w:lineRule="exact"/>
        <w:ind w:firstLine="1785" w:firstLineChars="850"/>
        <w:rPr>
          <w:rFonts w:hint="eastAsia" w:ascii="宋体" w:hAnsi="宋体"/>
          <w:color w:val="auto"/>
          <w:szCs w:val="21"/>
          <w:highlight w:val="none"/>
        </w:rPr>
      </w:pPr>
      <w:r>
        <w:rPr>
          <w:rFonts w:hint="eastAsia" w:ascii="宋体" w:hAnsi="宋体"/>
          <w:color w:val="auto"/>
          <w:szCs w:val="21"/>
          <w:highlight w:val="none"/>
        </w:rPr>
        <w:t>F</w:t>
      </w:r>
      <w:r>
        <w:rPr>
          <w:rFonts w:hint="eastAsia" w:ascii="宋体" w:hAnsi="宋体"/>
          <w:color w:val="auto"/>
          <w:sz w:val="28"/>
          <w:szCs w:val="28"/>
          <w:highlight w:val="none"/>
          <w:vertAlign w:val="subscript"/>
        </w:rPr>
        <w:t>t1</w:t>
      </w:r>
      <w:r>
        <w:rPr>
          <w:rFonts w:hint="eastAsia" w:ascii="宋体" w:hAnsi="宋体"/>
          <w:color w:val="auto"/>
          <w:szCs w:val="21"/>
          <w:highlight w:val="none"/>
          <w:vertAlign w:val="subscript"/>
        </w:rPr>
        <w:t xml:space="preserve">        </w:t>
      </w:r>
      <w:r>
        <w:rPr>
          <w:rFonts w:hint="eastAsia" w:ascii="宋体" w:hAnsi="宋体"/>
          <w:color w:val="auto"/>
          <w:szCs w:val="21"/>
          <w:highlight w:val="none"/>
        </w:rPr>
        <w:t xml:space="preserve"> F</w:t>
      </w:r>
      <w:r>
        <w:rPr>
          <w:rFonts w:hint="eastAsia" w:ascii="宋体" w:hAnsi="宋体"/>
          <w:color w:val="auto"/>
          <w:sz w:val="28"/>
          <w:szCs w:val="28"/>
          <w:highlight w:val="none"/>
          <w:vertAlign w:val="subscript"/>
        </w:rPr>
        <w:t>t2</w:t>
      </w:r>
      <w:r>
        <w:rPr>
          <w:rFonts w:hint="eastAsia" w:ascii="宋体" w:hAnsi="宋体"/>
          <w:color w:val="auto"/>
          <w:szCs w:val="21"/>
          <w:highlight w:val="none"/>
          <w:vertAlign w:val="subscript"/>
        </w:rPr>
        <w:t xml:space="preserve">         </w:t>
      </w:r>
      <w:r>
        <w:rPr>
          <w:rFonts w:hint="eastAsia" w:ascii="宋体" w:hAnsi="宋体"/>
          <w:color w:val="auto"/>
          <w:szCs w:val="21"/>
          <w:highlight w:val="none"/>
        </w:rPr>
        <w:t>F</w:t>
      </w:r>
      <w:r>
        <w:rPr>
          <w:rFonts w:hint="eastAsia" w:ascii="宋体" w:hAnsi="宋体"/>
          <w:color w:val="auto"/>
          <w:sz w:val="28"/>
          <w:szCs w:val="28"/>
          <w:highlight w:val="none"/>
          <w:vertAlign w:val="subscript"/>
        </w:rPr>
        <w:t>t3</w:t>
      </w:r>
      <w:r>
        <w:rPr>
          <w:rFonts w:hint="eastAsia" w:ascii="宋体" w:hAnsi="宋体"/>
          <w:color w:val="auto"/>
          <w:szCs w:val="21"/>
          <w:highlight w:val="none"/>
          <w:vertAlign w:val="subscript"/>
        </w:rPr>
        <w:t xml:space="preserve">                 </w:t>
      </w:r>
      <w:r>
        <w:rPr>
          <w:rFonts w:hint="eastAsia" w:ascii="宋体" w:hAnsi="宋体"/>
          <w:color w:val="auto"/>
          <w:szCs w:val="21"/>
          <w:highlight w:val="none"/>
        </w:rPr>
        <w:t>F</w:t>
      </w:r>
      <w:r>
        <w:rPr>
          <w:rFonts w:hint="eastAsia" w:ascii="宋体" w:hAnsi="宋体"/>
          <w:color w:val="auto"/>
          <w:sz w:val="28"/>
          <w:szCs w:val="28"/>
          <w:highlight w:val="none"/>
          <w:vertAlign w:val="subscript"/>
        </w:rPr>
        <w:t>t</w:t>
      </w:r>
      <w:r>
        <w:rPr>
          <w:rFonts w:hint="eastAsia" w:ascii="宋体" w:hAnsi="宋体"/>
          <w:color w:val="auto"/>
          <w:sz w:val="32"/>
          <w:szCs w:val="32"/>
          <w:highlight w:val="none"/>
          <w:vertAlign w:val="subscript"/>
        </w:rPr>
        <w:t>n</w:t>
      </w:r>
    </w:p>
    <w:p w14:paraId="3955A63A">
      <w:pPr>
        <w:spacing w:line="200" w:lineRule="exact"/>
        <w:ind w:firstLine="210" w:firstLineChars="100"/>
        <w:rPr>
          <w:rFonts w:hint="eastAsia" w:ascii="宋体" w:hAnsi="宋体"/>
          <w:color w:val="auto"/>
          <w:szCs w:val="21"/>
          <w:highlight w:val="none"/>
        </w:rPr>
      </w:pPr>
      <w:r>
        <w:rPr>
          <w:rFonts w:hint="eastAsia" w:ascii="宋体" w:hAnsi="宋体"/>
          <w:color w:val="auto"/>
          <w:szCs w:val="21"/>
          <w:highlight w:val="none"/>
        </w:rPr>
        <w:t>△P=P</w:t>
      </w:r>
      <w:r>
        <w:rPr>
          <w:rFonts w:hint="eastAsia" w:ascii="宋体" w:hAnsi="宋体"/>
          <w:color w:val="auto"/>
          <w:szCs w:val="21"/>
          <w:highlight w:val="none"/>
          <w:vertAlign w:val="subscript"/>
        </w:rPr>
        <w:t>O</w:t>
      </w:r>
      <w:r>
        <w:rPr>
          <w:rFonts w:hint="eastAsia" w:ascii="宋体" w:hAnsi="宋体"/>
          <w:color w:val="auto"/>
          <w:szCs w:val="21"/>
          <w:highlight w:val="none"/>
        </w:rPr>
        <w:t>［A+｛B</w:t>
      </w:r>
      <w:r>
        <w:rPr>
          <w:rFonts w:hint="eastAsia" w:ascii="宋体" w:hAnsi="宋体"/>
          <w:color w:val="auto"/>
          <w:szCs w:val="21"/>
          <w:highlight w:val="none"/>
          <w:vertAlign w:val="subscript"/>
        </w:rPr>
        <w:t>1</w:t>
      </w:r>
      <w:r>
        <w:rPr>
          <w:rFonts w:hint="eastAsia" w:ascii="宋体" w:hAnsi="宋体"/>
          <w:color w:val="auto"/>
          <w:szCs w:val="21"/>
          <w:highlight w:val="none"/>
        </w:rPr>
        <w:t>×—＋B</w:t>
      </w:r>
      <w:r>
        <w:rPr>
          <w:rFonts w:hint="eastAsia" w:ascii="宋体" w:hAnsi="宋体"/>
          <w:color w:val="auto"/>
          <w:szCs w:val="21"/>
          <w:highlight w:val="none"/>
          <w:vertAlign w:val="subscript"/>
        </w:rPr>
        <w:t>2</w:t>
      </w:r>
      <w:r>
        <w:rPr>
          <w:rFonts w:hint="eastAsia" w:ascii="宋体" w:hAnsi="宋体"/>
          <w:color w:val="auto"/>
          <w:szCs w:val="21"/>
          <w:highlight w:val="none"/>
        </w:rPr>
        <w:t>×—＋B</w:t>
      </w:r>
      <w:r>
        <w:rPr>
          <w:rFonts w:hint="eastAsia" w:ascii="宋体" w:hAnsi="宋体"/>
          <w:color w:val="auto"/>
          <w:szCs w:val="21"/>
          <w:highlight w:val="none"/>
          <w:vertAlign w:val="subscript"/>
        </w:rPr>
        <w:t>3</w:t>
      </w:r>
      <w:r>
        <w:rPr>
          <w:rFonts w:hint="eastAsia" w:ascii="宋体" w:hAnsi="宋体"/>
          <w:color w:val="auto"/>
          <w:szCs w:val="21"/>
          <w:highlight w:val="none"/>
        </w:rPr>
        <w:t>×—＋…＋B</w:t>
      </w:r>
      <w:r>
        <w:rPr>
          <w:rFonts w:hint="eastAsia" w:ascii="宋体" w:hAnsi="宋体"/>
          <w:color w:val="auto"/>
          <w:szCs w:val="21"/>
          <w:highlight w:val="none"/>
          <w:vertAlign w:val="subscript"/>
        </w:rPr>
        <w:t>n</w:t>
      </w:r>
      <w:r>
        <w:rPr>
          <w:rFonts w:hint="eastAsia" w:ascii="宋体" w:hAnsi="宋体"/>
          <w:color w:val="auto"/>
          <w:szCs w:val="21"/>
          <w:highlight w:val="none"/>
        </w:rPr>
        <w:t xml:space="preserve">×—｝－1］ </w:t>
      </w:r>
    </w:p>
    <w:p w14:paraId="301D3897">
      <w:pPr>
        <w:spacing w:line="200" w:lineRule="exact"/>
        <w:ind w:firstLine="1785" w:firstLineChars="850"/>
        <w:rPr>
          <w:rFonts w:hint="eastAsia" w:ascii="宋体" w:hAnsi="宋体"/>
          <w:color w:val="auto"/>
          <w:szCs w:val="21"/>
          <w:highlight w:val="none"/>
        </w:rPr>
      </w:pPr>
      <w:r>
        <w:rPr>
          <w:rFonts w:hint="eastAsia" w:ascii="宋体" w:hAnsi="宋体"/>
          <w:color w:val="auto"/>
          <w:szCs w:val="21"/>
          <w:highlight w:val="none"/>
        </w:rPr>
        <w:t>F</w:t>
      </w:r>
      <w:r>
        <w:rPr>
          <w:rFonts w:hint="eastAsia" w:ascii="宋体" w:hAnsi="宋体"/>
          <w:color w:val="auto"/>
          <w:sz w:val="28"/>
          <w:szCs w:val="28"/>
          <w:highlight w:val="none"/>
          <w:vertAlign w:val="subscript"/>
        </w:rPr>
        <w:t xml:space="preserve">01        </w:t>
      </w:r>
      <w:r>
        <w:rPr>
          <w:rFonts w:hint="eastAsia" w:ascii="宋体" w:hAnsi="宋体"/>
          <w:color w:val="auto"/>
          <w:szCs w:val="21"/>
          <w:highlight w:val="none"/>
        </w:rPr>
        <w:t>F</w:t>
      </w:r>
      <w:r>
        <w:rPr>
          <w:rFonts w:hint="eastAsia" w:ascii="宋体" w:hAnsi="宋体"/>
          <w:color w:val="auto"/>
          <w:sz w:val="28"/>
          <w:szCs w:val="28"/>
          <w:highlight w:val="none"/>
          <w:vertAlign w:val="subscript"/>
        </w:rPr>
        <w:t xml:space="preserve">02       </w:t>
      </w:r>
      <w:r>
        <w:rPr>
          <w:rFonts w:hint="eastAsia" w:ascii="宋体" w:hAnsi="宋体"/>
          <w:color w:val="auto"/>
          <w:szCs w:val="21"/>
          <w:highlight w:val="none"/>
        </w:rPr>
        <w:t>F</w:t>
      </w:r>
      <w:r>
        <w:rPr>
          <w:rFonts w:hint="eastAsia" w:ascii="宋体" w:hAnsi="宋体"/>
          <w:color w:val="auto"/>
          <w:sz w:val="28"/>
          <w:szCs w:val="28"/>
          <w:highlight w:val="none"/>
          <w:vertAlign w:val="subscript"/>
        </w:rPr>
        <w:t xml:space="preserve">03              </w:t>
      </w:r>
      <w:r>
        <w:rPr>
          <w:rFonts w:hint="eastAsia" w:ascii="宋体" w:hAnsi="宋体"/>
          <w:color w:val="auto"/>
          <w:szCs w:val="21"/>
          <w:highlight w:val="none"/>
        </w:rPr>
        <w:t>F</w:t>
      </w:r>
      <w:r>
        <w:rPr>
          <w:rFonts w:hint="eastAsia" w:ascii="宋体" w:hAnsi="宋体"/>
          <w:color w:val="auto"/>
          <w:sz w:val="28"/>
          <w:szCs w:val="28"/>
          <w:highlight w:val="none"/>
          <w:vertAlign w:val="subscript"/>
        </w:rPr>
        <w:t>0n</w:t>
      </w:r>
    </w:p>
    <w:p w14:paraId="1A78122D">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式中：△ P 一需调整的价格差额；</w:t>
      </w:r>
    </w:p>
    <w:p w14:paraId="02888039">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P</w:t>
      </w:r>
      <w:r>
        <w:rPr>
          <w:rFonts w:hint="eastAsia" w:ascii="宋体" w:hAnsi="宋体"/>
          <w:color w:val="auto"/>
          <w:szCs w:val="21"/>
          <w:highlight w:val="none"/>
          <w:vertAlign w:val="subscript"/>
        </w:rPr>
        <w:t>O</w:t>
      </w:r>
      <w:r>
        <w:rPr>
          <w:rFonts w:hint="eastAsia" w:ascii="宋体" w:hAnsi="宋体"/>
          <w:color w:val="auto"/>
          <w:szCs w:val="21"/>
          <w:highlight w:val="none"/>
        </w:rPr>
        <w:t>一第17.3.3 项、第17.5.2 项和第17.6.2 项约定的付款证书中承包人应得到的</w:t>
      </w:r>
      <w:r>
        <w:rPr>
          <w:rFonts w:hint="eastAsia" w:ascii="宋体" w:hAnsi="宋体"/>
          <w:color w:val="auto"/>
          <w:szCs w:val="21"/>
          <w:highlight w:val="none"/>
          <w:lang w:eastAsia="zh-CN"/>
        </w:rPr>
        <w:t>已完成</w:t>
      </w:r>
      <w:r>
        <w:rPr>
          <w:rFonts w:hint="eastAsia" w:ascii="宋体" w:hAnsi="宋体"/>
          <w:color w:val="auto"/>
          <w:szCs w:val="21"/>
          <w:highlight w:val="none"/>
        </w:rPr>
        <w:t>工程量的金额。此项金额应不包括价格调整、不计质量保证金的扣留和支付、预付款的支付和扣回。第15条约定的变更及其他金额已按现行价格计价的，也不计在内；</w:t>
      </w:r>
    </w:p>
    <w:p w14:paraId="3B42AD10">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 xml:space="preserve">A ---定值权重（即不调部分的权重）； </w:t>
      </w:r>
    </w:p>
    <w:p w14:paraId="2F7C1116">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B</w:t>
      </w:r>
      <w:r>
        <w:rPr>
          <w:rFonts w:hint="eastAsia" w:ascii="宋体" w:hAnsi="宋体"/>
          <w:color w:val="auto"/>
          <w:sz w:val="28"/>
          <w:szCs w:val="28"/>
          <w:highlight w:val="none"/>
          <w:vertAlign w:val="subscript"/>
        </w:rPr>
        <w:t>1</w:t>
      </w:r>
      <w:r>
        <w:rPr>
          <w:rFonts w:hint="eastAsia" w:ascii="宋体" w:hAnsi="宋体"/>
          <w:color w:val="auto"/>
          <w:szCs w:val="21"/>
          <w:highlight w:val="none"/>
        </w:rPr>
        <w:t>；B</w:t>
      </w:r>
      <w:r>
        <w:rPr>
          <w:rFonts w:hint="eastAsia" w:ascii="宋体" w:hAnsi="宋体"/>
          <w:color w:val="auto"/>
          <w:sz w:val="28"/>
          <w:szCs w:val="28"/>
          <w:highlight w:val="none"/>
          <w:vertAlign w:val="subscript"/>
        </w:rPr>
        <w:t>2</w:t>
      </w:r>
      <w:r>
        <w:rPr>
          <w:rFonts w:hint="eastAsia" w:ascii="宋体" w:hAnsi="宋体"/>
          <w:color w:val="auto"/>
          <w:szCs w:val="21"/>
          <w:highlight w:val="none"/>
        </w:rPr>
        <w:t>；B</w:t>
      </w:r>
      <w:r>
        <w:rPr>
          <w:rFonts w:hint="eastAsia" w:ascii="宋体" w:hAnsi="宋体"/>
          <w:color w:val="auto"/>
          <w:sz w:val="28"/>
          <w:szCs w:val="28"/>
          <w:highlight w:val="none"/>
          <w:vertAlign w:val="subscript"/>
        </w:rPr>
        <w:t>3</w:t>
      </w:r>
      <w:r>
        <w:rPr>
          <w:rFonts w:hint="eastAsia" w:ascii="宋体" w:hAnsi="宋体"/>
          <w:color w:val="auto"/>
          <w:szCs w:val="21"/>
          <w:highlight w:val="none"/>
        </w:rPr>
        <w:t>；……B</w:t>
      </w:r>
      <w:r>
        <w:rPr>
          <w:rFonts w:hint="eastAsia" w:ascii="宋体" w:hAnsi="宋体"/>
          <w:color w:val="auto"/>
          <w:sz w:val="32"/>
          <w:szCs w:val="32"/>
          <w:highlight w:val="none"/>
          <w:vertAlign w:val="subscript"/>
        </w:rPr>
        <w:t>n</w:t>
      </w:r>
      <w:r>
        <w:rPr>
          <w:rFonts w:hint="eastAsia" w:ascii="宋体" w:hAnsi="宋体"/>
          <w:color w:val="auto"/>
          <w:szCs w:val="21"/>
          <w:highlight w:val="none"/>
        </w:rPr>
        <w:t>---各可调因子的变值权重（即可调部分的权重）为各可调因子在投标函投标总报价中所占的比例；</w:t>
      </w:r>
    </w:p>
    <w:p w14:paraId="11BCDB69">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F</w:t>
      </w:r>
      <w:r>
        <w:rPr>
          <w:rFonts w:hint="eastAsia" w:ascii="宋体" w:hAnsi="宋体"/>
          <w:color w:val="auto"/>
          <w:sz w:val="28"/>
          <w:szCs w:val="28"/>
          <w:highlight w:val="none"/>
          <w:vertAlign w:val="subscript"/>
        </w:rPr>
        <w:t>t1</w:t>
      </w:r>
      <w:r>
        <w:rPr>
          <w:rFonts w:hint="eastAsia" w:ascii="宋体" w:hAnsi="宋体"/>
          <w:color w:val="auto"/>
          <w:szCs w:val="21"/>
          <w:highlight w:val="none"/>
        </w:rPr>
        <w:t>；F</w:t>
      </w:r>
      <w:r>
        <w:rPr>
          <w:rFonts w:hint="eastAsia" w:ascii="宋体" w:hAnsi="宋体"/>
          <w:color w:val="auto"/>
          <w:sz w:val="28"/>
          <w:szCs w:val="28"/>
          <w:highlight w:val="none"/>
          <w:vertAlign w:val="subscript"/>
        </w:rPr>
        <w:t>t2</w:t>
      </w:r>
      <w:r>
        <w:rPr>
          <w:rFonts w:hint="eastAsia" w:ascii="宋体" w:hAnsi="宋体"/>
          <w:color w:val="auto"/>
          <w:szCs w:val="21"/>
          <w:highlight w:val="none"/>
        </w:rPr>
        <w:t>；F</w:t>
      </w:r>
      <w:r>
        <w:rPr>
          <w:rFonts w:hint="eastAsia" w:ascii="宋体" w:hAnsi="宋体"/>
          <w:color w:val="auto"/>
          <w:sz w:val="28"/>
          <w:szCs w:val="28"/>
          <w:highlight w:val="none"/>
          <w:vertAlign w:val="subscript"/>
        </w:rPr>
        <w:t>t3</w:t>
      </w:r>
      <w:r>
        <w:rPr>
          <w:rFonts w:hint="eastAsia" w:ascii="宋体" w:hAnsi="宋体"/>
          <w:color w:val="auto"/>
          <w:szCs w:val="21"/>
          <w:highlight w:val="none"/>
        </w:rPr>
        <w:t>；……F</w:t>
      </w:r>
      <w:r>
        <w:rPr>
          <w:rFonts w:hint="eastAsia" w:ascii="宋体" w:hAnsi="宋体"/>
          <w:color w:val="auto"/>
          <w:sz w:val="28"/>
          <w:szCs w:val="28"/>
          <w:highlight w:val="none"/>
          <w:vertAlign w:val="subscript"/>
        </w:rPr>
        <w:t>t</w:t>
      </w:r>
      <w:r>
        <w:rPr>
          <w:rFonts w:hint="eastAsia" w:ascii="宋体" w:hAnsi="宋体"/>
          <w:color w:val="auto"/>
          <w:sz w:val="32"/>
          <w:szCs w:val="32"/>
          <w:highlight w:val="none"/>
          <w:vertAlign w:val="subscript"/>
        </w:rPr>
        <w:t>n</w:t>
      </w:r>
      <w:r>
        <w:rPr>
          <w:rFonts w:hint="eastAsia" w:ascii="宋体" w:hAnsi="宋体"/>
          <w:color w:val="auto"/>
          <w:szCs w:val="21"/>
          <w:highlight w:val="none"/>
        </w:rPr>
        <w:t>---各可调因子的现行价格指数，指第17.3.3 项、第17.5.2 项和第17.6.2 项约定的付款证书相关周期最后一天的前42天的各可调因子的价格指数；</w:t>
      </w:r>
    </w:p>
    <w:p w14:paraId="43B88305">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F</w:t>
      </w:r>
      <w:r>
        <w:rPr>
          <w:rFonts w:hint="eastAsia" w:ascii="宋体" w:hAnsi="宋体"/>
          <w:color w:val="auto"/>
          <w:sz w:val="28"/>
          <w:szCs w:val="28"/>
          <w:highlight w:val="none"/>
          <w:vertAlign w:val="subscript"/>
        </w:rPr>
        <w:t>01</w:t>
      </w:r>
      <w:r>
        <w:rPr>
          <w:rFonts w:hint="eastAsia" w:ascii="宋体" w:hAnsi="宋体"/>
          <w:color w:val="auto"/>
          <w:szCs w:val="21"/>
          <w:highlight w:val="none"/>
        </w:rPr>
        <w:t>；F</w:t>
      </w:r>
      <w:r>
        <w:rPr>
          <w:rFonts w:hint="eastAsia" w:ascii="宋体" w:hAnsi="宋体"/>
          <w:color w:val="auto"/>
          <w:sz w:val="28"/>
          <w:szCs w:val="28"/>
          <w:highlight w:val="none"/>
          <w:vertAlign w:val="subscript"/>
        </w:rPr>
        <w:t>02</w:t>
      </w:r>
      <w:r>
        <w:rPr>
          <w:rFonts w:hint="eastAsia" w:ascii="宋体" w:hAnsi="宋体"/>
          <w:color w:val="auto"/>
          <w:szCs w:val="21"/>
          <w:highlight w:val="none"/>
        </w:rPr>
        <w:t>；F</w:t>
      </w:r>
      <w:r>
        <w:rPr>
          <w:rFonts w:hint="eastAsia" w:ascii="宋体" w:hAnsi="宋体"/>
          <w:color w:val="auto"/>
          <w:sz w:val="28"/>
          <w:szCs w:val="28"/>
          <w:highlight w:val="none"/>
          <w:vertAlign w:val="subscript"/>
        </w:rPr>
        <w:t>03</w:t>
      </w:r>
      <w:r>
        <w:rPr>
          <w:rFonts w:hint="eastAsia" w:ascii="宋体" w:hAnsi="宋体"/>
          <w:color w:val="auto"/>
          <w:szCs w:val="21"/>
          <w:highlight w:val="none"/>
        </w:rPr>
        <w:t>；……F</w:t>
      </w:r>
      <w:r>
        <w:rPr>
          <w:rFonts w:hint="eastAsia" w:ascii="宋体" w:hAnsi="宋体"/>
          <w:color w:val="auto"/>
          <w:sz w:val="28"/>
          <w:szCs w:val="28"/>
          <w:highlight w:val="none"/>
          <w:vertAlign w:val="subscript"/>
        </w:rPr>
        <w:t>0</w:t>
      </w:r>
      <w:r>
        <w:rPr>
          <w:rFonts w:hint="eastAsia" w:ascii="宋体" w:hAnsi="宋体"/>
          <w:color w:val="auto"/>
          <w:sz w:val="30"/>
          <w:szCs w:val="30"/>
          <w:highlight w:val="none"/>
          <w:vertAlign w:val="subscript"/>
        </w:rPr>
        <w:t>n</w:t>
      </w:r>
      <w:r>
        <w:rPr>
          <w:rFonts w:hint="eastAsia" w:ascii="宋体" w:hAnsi="宋体"/>
          <w:color w:val="auto"/>
          <w:szCs w:val="21"/>
          <w:highlight w:val="none"/>
        </w:rPr>
        <w:t>---各可调因子的基本价格指数，指基准日期的各可调因子的价格指数。</w:t>
      </w:r>
    </w:p>
    <w:p w14:paraId="3F38DB4D">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以上价格调整公式中的各可调因子、定值和变值权重，以及基本价格指数及其来源在投标函附录价格指数和权重表中约定。价格指数应首先采用有关部门提供的价格指数，缺乏上述价格指数时，可采用有关部门提供的价格代替。</w:t>
      </w:r>
    </w:p>
    <w:p w14:paraId="68E375E4">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16.1.1.2暂时确定调整差额</w:t>
      </w:r>
    </w:p>
    <w:p w14:paraId="470A79A6">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在计算调整差额时得不到现行价格指数的，可暂用上一次价格指数计算，并在以后的付款中再按实际价格指数进行调整。</w:t>
      </w:r>
    </w:p>
    <w:p w14:paraId="123CEFCD">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16.1.1.3权重的调整</w:t>
      </w:r>
    </w:p>
    <w:p w14:paraId="6C6EFC50">
      <w:pPr>
        <w:spacing w:line="360" w:lineRule="auto"/>
        <w:ind w:firstLine="420"/>
        <w:rPr>
          <w:rFonts w:hint="eastAsia" w:ascii="宋体" w:hAnsi="宋体"/>
          <w:color w:val="auto"/>
          <w:szCs w:val="21"/>
          <w:highlight w:val="none"/>
        </w:rPr>
      </w:pPr>
      <w:r>
        <w:rPr>
          <w:rFonts w:hint="eastAsia" w:ascii="宋体" w:hAnsi="宋体"/>
          <w:color w:val="auto"/>
          <w:szCs w:val="21"/>
          <w:highlight w:val="none"/>
        </w:rPr>
        <w:t>按第15.1款约定的变更导致原定合同中的权重不合理时，由监理人与承包人和发包人协商后进行调整。</w:t>
      </w:r>
    </w:p>
    <w:p w14:paraId="29BAC5B7">
      <w:pPr>
        <w:spacing w:line="360" w:lineRule="auto"/>
        <w:ind w:firstLine="420"/>
        <w:rPr>
          <w:rFonts w:hint="eastAsia" w:ascii="宋体" w:hAnsi="宋体"/>
          <w:color w:val="auto"/>
          <w:szCs w:val="21"/>
          <w:highlight w:val="none"/>
        </w:rPr>
      </w:pPr>
      <w:r>
        <w:rPr>
          <w:rFonts w:hint="eastAsia" w:ascii="宋体" w:hAnsi="宋体"/>
          <w:color w:val="auto"/>
          <w:szCs w:val="21"/>
          <w:highlight w:val="none"/>
        </w:rPr>
        <w:t>16.1.1.4承包人工期延误后的价格调整</w:t>
      </w:r>
    </w:p>
    <w:p w14:paraId="6D82E37E">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由于承包人原因未在约定的工期内竣工的，则对原约定竣工日期后继续施工的工程，在使用第16.1.1.1目价格调整公式时，应采用原约定竣工日期与实际竣工日期的两个价格指数中较低的一个作为现行价格指数。</w:t>
      </w:r>
    </w:p>
    <w:p w14:paraId="00F631B1">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16.1.2采用造价信息调整价格差额</w:t>
      </w:r>
    </w:p>
    <w:p w14:paraId="65D0C6DF">
      <w:pPr>
        <w:spacing w:line="360" w:lineRule="auto"/>
        <w:ind w:firstLine="420"/>
        <w:rPr>
          <w:rFonts w:hint="eastAsia" w:ascii="宋体" w:hAnsi="宋体"/>
          <w:color w:val="auto"/>
          <w:szCs w:val="21"/>
          <w:highlight w:val="none"/>
        </w:rPr>
      </w:pPr>
      <w:r>
        <w:rPr>
          <w:rFonts w:hint="eastAsia" w:ascii="宋体" w:hAnsi="宋体"/>
          <w:color w:val="auto"/>
          <w:szCs w:val="21"/>
          <w:highlight w:val="none"/>
        </w:rPr>
        <w:t>施工期内，因人工、材料、设备和机械台班价格波动影响合同价格时，人工、机械使用费按照国家或省</w:t>
      </w:r>
      <w:r>
        <w:rPr>
          <w:rFonts w:hint="eastAsia" w:ascii="宋体" w:hAnsi="宋体"/>
          <w:color w:val="auto"/>
          <w:szCs w:val="21"/>
          <w:highlight w:val="none"/>
          <w:lang w:eastAsia="zh-CN"/>
        </w:rPr>
        <w:t>（</w:t>
      </w:r>
      <w:r>
        <w:rPr>
          <w:rFonts w:hint="eastAsia" w:ascii="宋体" w:hAnsi="宋体"/>
          <w:color w:val="auto"/>
          <w:szCs w:val="21"/>
          <w:highlight w:val="none"/>
        </w:rPr>
        <w:t>自治区、直辖市</w:t>
      </w:r>
      <w:r>
        <w:rPr>
          <w:rFonts w:hint="eastAsia" w:ascii="宋体" w:hAnsi="宋体"/>
          <w:color w:val="auto"/>
          <w:szCs w:val="21"/>
          <w:highlight w:val="none"/>
          <w:lang w:eastAsia="zh-CN"/>
        </w:rPr>
        <w:t>）</w:t>
      </w:r>
      <w:r>
        <w:rPr>
          <w:rFonts w:hint="eastAsia" w:ascii="宋体" w:hAnsi="宋体"/>
          <w:color w:val="auto"/>
          <w:szCs w:val="21"/>
          <w:highlight w:val="none"/>
        </w:rPr>
        <w:t>建设行政管理部门、行业建设管理部门或其授权的工程造价管理机构发布的人工成本信息、机械台班单价或机械使用费系数进行调整</w:t>
      </w:r>
      <w:r>
        <w:rPr>
          <w:rFonts w:hint="eastAsia" w:ascii="宋体" w:hAnsi="宋体"/>
          <w:color w:val="auto"/>
          <w:szCs w:val="21"/>
          <w:highlight w:val="none"/>
          <w:lang w:eastAsia="zh-CN"/>
        </w:rPr>
        <w:t>；</w:t>
      </w:r>
      <w:r>
        <w:rPr>
          <w:rFonts w:hint="eastAsia" w:ascii="宋体" w:hAnsi="宋体"/>
          <w:color w:val="auto"/>
          <w:szCs w:val="21"/>
          <w:highlight w:val="none"/>
        </w:rPr>
        <w:t>需要进行价格调整的材料，其单价和采购</w:t>
      </w:r>
      <w:r>
        <w:rPr>
          <w:rFonts w:hint="eastAsia" w:ascii="宋体" w:hAnsi="宋体"/>
          <w:color w:val="auto"/>
          <w:szCs w:val="21"/>
          <w:highlight w:val="none"/>
          <w:lang w:eastAsia="zh-CN"/>
        </w:rPr>
        <w:t>数量</w:t>
      </w:r>
      <w:r>
        <w:rPr>
          <w:rFonts w:hint="eastAsia" w:ascii="宋体" w:hAnsi="宋体"/>
          <w:color w:val="auto"/>
          <w:szCs w:val="21"/>
          <w:highlight w:val="none"/>
        </w:rPr>
        <w:t xml:space="preserve">应由监理人复核，监理人确认需调整的材料单价及数量，作为调整工程合同价格差额的依据。 </w:t>
      </w:r>
    </w:p>
    <w:p w14:paraId="61DC5044">
      <w:pPr>
        <w:spacing w:line="360" w:lineRule="auto"/>
        <w:ind w:firstLine="420"/>
        <w:rPr>
          <w:rFonts w:hint="eastAsia" w:ascii="宋体" w:hAnsi="宋体"/>
          <w:color w:val="auto"/>
          <w:szCs w:val="21"/>
          <w:highlight w:val="none"/>
        </w:rPr>
      </w:pPr>
      <w:r>
        <w:rPr>
          <w:rFonts w:hint="eastAsia" w:ascii="宋体" w:hAnsi="宋体"/>
          <w:color w:val="auto"/>
          <w:szCs w:val="21"/>
          <w:highlight w:val="none"/>
        </w:rPr>
        <w:t>工程造价信息的来源以及价格调整的项目和系数在专用合同条款中约定。</w:t>
      </w:r>
    </w:p>
    <w:p w14:paraId="3AB40C01">
      <w:pPr>
        <w:spacing w:line="360" w:lineRule="auto"/>
        <w:rPr>
          <w:rFonts w:hint="eastAsia" w:ascii="宋体" w:hAnsi="宋体"/>
          <w:b/>
          <w:color w:val="auto"/>
          <w:sz w:val="24"/>
          <w:highlight w:val="none"/>
        </w:rPr>
      </w:pPr>
      <w:r>
        <w:rPr>
          <w:rFonts w:hint="eastAsia" w:ascii="宋体" w:hAnsi="宋体"/>
          <w:b/>
          <w:color w:val="auto"/>
          <w:sz w:val="24"/>
          <w:highlight w:val="none"/>
        </w:rPr>
        <w:t>16.2法律变化引起的价格调整</w:t>
      </w:r>
    </w:p>
    <w:p w14:paraId="3B140FD6">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在基准日后，因法律变化导致承包人在合同履行中所需要的工程费用发生除第 16.1款约定以外的增减时，监理人应根据法律、国家或省、自治区、直辖市有关部门的规定，按第3.5款商定或确定需调整的合同价款。  </w:t>
      </w:r>
    </w:p>
    <w:p w14:paraId="54F98E95">
      <w:pPr>
        <w:pStyle w:val="5"/>
        <w:rPr>
          <w:rFonts w:hint="eastAsia" w:ascii="宋体" w:hAnsi="宋体"/>
          <w:color w:val="auto"/>
          <w:sz w:val="28"/>
          <w:highlight w:val="none"/>
        </w:rPr>
      </w:pPr>
      <w:r>
        <w:rPr>
          <w:rFonts w:hint="eastAsia" w:ascii="宋体" w:hAnsi="宋体"/>
          <w:color w:val="auto"/>
          <w:sz w:val="28"/>
          <w:highlight w:val="none"/>
        </w:rPr>
        <w:t>17 计量与支付</w:t>
      </w:r>
    </w:p>
    <w:p w14:paraId="70C96B47">
      <w:pPr>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17.1计量</w:t>
      </w:r>
    </w:p>
    <w:p w14:paraId="79DAC06F">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17.1.1 计量单位</w:t>
      </w:r>
    </w:p>
    <w:p w14:paraId="0D76AFC1">
      <w:pPr>
        <w:spacing w:line="360" w:lineRule="auto"/>
        <w:ind w:firstLine="315" w:firstLineChars="150"/>
        <w:rPr>
          <w:rFonts w:hint="eastAsia" w:ascii="宋体" w:hAnsi="宋体"/>
          <w:color w:val="auto"/>
          <w:szCs w:val="21"/>
          <w:highlight w:val="none"/>
        </w:rPr>
      </w:pPr>
      <w:r>
        <w:rPr>
          <w:rFonts w:hint="eastAsia" w:ascii="宋体" w:hAnsi="宋体"/>
          <w:color w:val="auto"/>
          <w:szCs w:val="21"/>
          <w:highlight w:val="none"/>
        </w:rPr>
        <w:t>计量采用国家法定的计量单位。</w:t>
      </w:r>
    </w:p>
    <w:p w14:paraId="6ACF557D">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17.1.2 计量方法</w:t>
      </w:r>
    </w:p>
    <w:p w14:paraId="4114C243">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结算工程量应按工程量清单中约定的方法计量。</w:t>
      </w:r>
    </w:p>
    <w:p w14:paraId="18B6ACFE">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17.1.3 计量周期</w:t>
      </w:r>
    </w:p>
    <w:p w14:paraId="67B265E1">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除专用合同条款另有约定外，单价子目已完成工程量按月计量，总价子目的计量周期按批准的支付分解报告确定。</w:t>
      </w:r>
    </w:p>
    <w:p w14:paraId="448D4434">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17.1.4单价子目的计量</w:t>
      </w:r>
    </w:p>
    <w:p w14:paraId="70DF4EE5">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已标价工程量清单中的单价子目工程量为估算工程量。结算工程量是承包人实际完成的，并按合同约定的计量方法进行计量的工程量。</w:t>
      </w:r>
    </w:p>
    <w:p w14:paraId="5FCE81F5">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承包人对已完成的工程进行计量，向监理人提交进度付款申</w:t>
      </w:r>
      <w:r>
        <w:rPr>
          <w:rFonts w:hint="eastAsia" w:ascii="宋体" w:hAnsi="宋体"/>
          <w:color w:val="auto"/>
          <w:szCs w:val="21"/>
          <w:highlight w:val="none"/>
          <w:lang w:val="en-US" w:eastAsia="zh-CN"/>
        </w:rPr>
        <w:t>请</w:t>
      </w:r>
      <w:r>
        <w:rPr>
          <w:rFonts w:hint="eastAsia" w:ascii="宋体" w:hAnsi="宋体"/>
          <w:color w:val="auto"/>
          <w:szCs w:val="21"/>
          <w:highlight w:val="none"/>
        </w:rPr>
        <w:t>单、已完成工程量报表和有关计量资料。</w:t>
      </w:r>
    </w:p>
    <w:p w14:paraId="2A165256">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(3</w:t>
      </w:r>
      <w:r>
        <w:rPr>
          <w:rFonts w:hint="eastAsia" w:ascii="宋体" w:hAnsi="宋体"/>
          <w:color w:val="auto"/>
          <w:szCs w:val="21"/>
          <w:highlight w:val="none"/>
          <w:lang w:eastAsia="zh-CN"/>
        </w:rPr>
        <w:t>）</w:t>
      </w:r>
      <w:r>
        <w:rPr>
          <w:rFonts w:hint="eastAsia" w:ascii="宋体" w:hAnsi="宋体"/>
          <w:color w:val="auto"/>
          <w:szCs w:val="21"/>
          <w:highlight w:val="none"/>
        </w:rPr>
        <w:t>监理人对承包人提交的工程量报表进行复核，以确定实际完成的工程量。对数量有异议的，可要求承包人按第8.2款约定进行共同复核和抽样复测。承包人应协助监理人进行复核并按监理人要求提供补充计量资料。承包人未按监理人要求参加复核，监理人复核或修正的工程量视为承包人实际完成的工程量。</w:t>
      </w:r>
    </w:p>
    <w:p w14:paraId="5DBBE1CB">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4</w:t>
      </w:r>
      <w:r>
        <w:rPr>
          <w:rFonts w:hint="eastAsia" w:ascii="宋体" w:hAnsi="宋体"/>
          <w:color w:val="auto"/>
          <w:szCs w:val="21"/>
          <w:highlight w:val="none"/>
          <w:lang w:eastAsia="zh-CN"/>
        </w:rPr>
        <w:t>）</w:t>
      </w:r>
      <w:r>
        <w:rPr>
          <w:rFonts w:hint="eastAsia" w:ascii="宋体" w:hAnsi="宋体"/>
          <w:color w:val="auto"/>
          <w:szCs w:val="21"/>
          <w:highlight w:val="none"/>
        </w:rPr>
        <w:t>监理人认为有必要时，可通知承包人共同进行联合测量、计量，承包人应遵照执行。</w:t>
      </w:r>
    </w:p>
    <w:p w14:paraId="65153619">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(5</w:t>
      </w:r>
      <w:r>
        <w:rPr>
          <w:rFonts w:hint="eastAsia" w:ascii="宋体" w:hAnsi="宋体"/>
          <w:color w:val="auto"/>
          <w:szCs w:val="21"/>
          <w:highlight w:val="none"/>
          <w:lang w:eastAsia="zh-CN"/>
        </w:rPr>
        <w:t>）</w:t>
      </w:r>
      <w:r>
        <w:rPr>
          <w:rFonts w:hint="eastAsia" w:ascii="宋体" w:hAnsi="宋体"/>
          <w:color w:val="auto"/>
          <w:szCs w:val="21"/>
          <w:highlight w:val="none"/>
        </w:rPr>
        <w:t>承包人完成工程量清单中每个子目的工程量后，监理人应要求承包人派员共同对每个子目的历次计量报表进行汇总，以核实最终结算工程量。监理人可要求承包人提供补充计量资料，以确定最后一次进度付款的准确工程量。承包人未按监理人要求派员参加的，监理人最终核实的工程量视为承包人完成该子目的准确工程量。</w:t>
      </w:r>
    </w:p>
    <w:p w14:paraId="2D7DC72B">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(6</w:t>
      </w:r>
      <w:r>
        <w:rPr>
          <w:rFonts w:hint="eastAsia" w:ascii="宋体" w:hAnsi="宋体"/>
          <w:color w:val="auto"/>
          <w:szCs w:val="21"/>
          <w:highlight w:val="none"/>
          <w:lang w:eastAsia="zh-CN"/>
        </w:rPr>
        <w:t>）</w:t>
      </w:r>
      <w:r>
        <w:rPr>
          <w:rFonts w:hint="eastAsia" w:ascii="宋体" w:hAnsi="宋体"/>
          <w:color w:val="auto"/>
          <w:szCs w:val="21"/>
          <w:highlight w:val="none"/>
        </w:rPr>
        <w:t>监理人应在收到承包人提交的工程量报表后的7天内进行复核，监理人未在约定时间内</w:t>
      </w:r>
    </w:p>
    <w:p w14:paraId="70E96442">
      <w:pPr>
        <w:spacing w:line="360" w:lineRule="auto"/>
        <w:rPr>
          <w:rFonts w:hint="eastAsia" w:ascii="宋体" w:hAnsi="宋体"/>
          <w:color w:val="auto"/>
          <w:szCs w:val="21"/>
          <w:highlight w:val="none"/>
        </w:rPr>
      </w:pPr>
      <w:r>
        <w:rPr>
          <w:rFonts w:hint="eastAsia" w:ascii="宋体" w:hAnsi="宋体"/>
          <w:color w:val="auto"/>
          <w:szCs w:val="21"/>
          <w:highlight w:val="none"/>
        </w:rPr>
        <w:t>复核的，承包人提交的工程量报表中的工程量视为承包人实际完成的工程量，据此计算工程价款。</w:t>
      </w:r>
    </w:p>
    <w:p w14:paraId="3D538035">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17.1.5总价子目的计量</w:t>
      </w:r>
    </w:p>
    <w:p w14:paraId="3E86CAE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总价子目的分解和计量按照下述约定进行。</w:t>
      </w:r>
    </w:p>
    <w:p w14:paraId="55C9A2B9">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总价子目的计量和支付应以总价为基础，不因第16.1款中的因素而进行调整。承包人实际完成的工程量，是进行工程目标管理和控制进度支付的依据。</w:t>
      </w:r>
    </w:p>
    <w:p w14:paraId="0B460E27">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承包人应按工程量清单的要求对总价子目进行分解，并在签订协议书后的28天内将各子目的总价支付分解表提交监理人审批。分解表应标明其所属子目和分阶段需支付的金额。承包人应按批准的各总价子目支付周期，对已完成的总价子目进行计量，确定分项的应付金额列入进度付款申</w:t>
      </w:r>
      <w:r>
        <w:rPr>
          <w:rFonts w:hint="eastAsia" w:ascii="宋体" w:hAnsi="宋体"/>
          <w:color w:val="auto"/>
          <w:szCs w:val="21"/>
          <w:highlight w:val="none"/>
          <w:lang w:val="en-US" w:eastAsia="zh-CN"/>
        </w:rPr>
        <w:t>请</w:t>
      </w:r>
      <w:r>
        <w:rPr>
          <w:rFonts w:hint="eastAsia" w:ascii="宋体" w:hAnsi="宋体"/>
          <w:color w:val="auto"/>
          <w:szCs w:val="21"/>
          <w:highlight w:val="none"/>
        </w:rPr>
        <w:t>单中。</w:t>
      </w:r>
    </w:p>
    <w:p w14:paraId="19CE4DCE">
      <w:pPr>
        <w:spacing w:line="360" w:lineRule="auto"/>
        <w:ind w:firstLine="105" w:firstLineChars="50"/>
        <w:rPr>
          <w:rFonts w:hint="eastAsia" w:ascii="宋体" w:hAnsi="宋体"/>
          <w:color w:val="auto"/>
          <w:szCs w:val="21"/>
          <w:highlight w:val="none"/>
        </w:rPr>
      </w:pPr>
      <w:r>
        <w:rPr>
          <w:rFonts w:hint="eastAsia" w:ascii="宋体" w:hAnsi="宋体"/>
          <w:color w:val="auto"/>
          <w:szCs w:val="21"/>
          <w:highlight w:val="none"/>
        </w:rPr>
        <w:t xml:space="preserve">   (3</w:t>
      </w:r>
      <w:r>
        <w:rPr>
          <w:rFonts w:hint="eastAsia" w:ascii="宋体" w:hAnsi="宋体"/>
          <w:color w:val="auto"/>
          <w:szCs w:val="21"/>
          <w:highlight w:val="none"/>
          <w:lang w:eastAsia="zh-CN"/>
        </w:rPr>
        <w:t>）</w:t>
      </w:r>
      <w:r>
        <w:rPr>
          <w:rFonts w:hint="eastAsia" w:ascii="宋体" w:hAnsi="宋体"/>
          <w:color w:val="auto"/>
          <w:szCs w:val="21"/>
          <w:highlight w:val="none"/>
        </w:rPr>
        <w:t>监理人对承包人提交的上述资料进行复核，以确定分阶段实际完成的工程量和工程形象目</w:t>
      </w:r>
    </w:p>
    <w:p w14:paraId="388F5B80">
      <w:pPr>
        <w:spacing w:line="360" w:lineRule="auto"/>
        <w:rPr>
          <w:rFonts w:hint="eastAsia" w:ascii="宋体" w:hAnsi="宋体"/>
          <w:color w:val="auto"/>
          <w:szCs w:val="21"/>
          <w:highlight w:val="none"/>
        </w:rPr>
      </w:pPr>
      <w:r>
        <w:rPr>
          <w:rFonts w:hint="eastAsia" w:ascii="宋体" w:hAnsi="宋体"/>
          <w:color w:val="auto"/>
          <w:szCs w:val="21"/>
          <w:highlight w:val="none"/>
        </w:rPr>
        <w:t>标。对其有异议的，可要求承包人按第8.2款约定进行共同复核和抽样复测。</w:t>
      </w:r>
    </w:p>
    <w:p w14:paraId="2287D761">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(4</w:t>
      </w:r>
      <w:r>
        <w:rPr>
          <w:rFonts w:hint="eastAsia" w:ascii="宋体" w:hAnsi="宋体"/>
          <w:color w:val="auto"/>
          <w:szCs w:val="21"/>
          <w:highlight w:val="none"/>
          <w:lang w:eastAsia="zh-CN"/>
        </w:rPr>
        <w:t>）</w:t>
      </w:r>
      <w:r>
        <w:rPr>
          <w:rFonts w:hint="eastAsia" w:ascii="宋体" w:hAnsi="宋体"/>
          <w:color w:val="auto"/>
          <w:szCs w:val="21"/>
          <w:highlight w:val="none"/>
        </w:rPr>
        <w:t>除按照第15条约定的变更外，总价子目的工程量是承包人用于结算的最终工程量。</w:t>
      </w:r>
    </w:p>
    <w:p w14:paraId="00B94D78">
      <w:pPr>
        <w:spacing w:line="360" w:lineRule="auto"/>
        <w:rPr>
          <w:rFonts w:hint="eastAsia" w:ascii="宋体" w:hAnsi="宋体"/>
          <w:b/>
          <w:color w:val="auto"/>
          <w:sz w:val="24"/>
          <w:highlight w:val="none"/>
        </w:rPr>
      </w:pPr>
      <w:r>
        <w:rPr>
          <w:rFonts w:hint="eastAsia" w:ascii="宋体" w:hAnsi="宋体"/>
          <w:b/>
          <w:color w:val="auto"/>
          <w:sz w:val="24"/>
          <w:highlight w:val="none"/>
        </w:rPr>
        <w:t>17.2预付款</w:t>
      </w:r>
    </w:p>
    <w:p w14:paraId="66898B57">
      <w:pPr>
        <w:spacing w:line="360" w:lineRule="auto"/>
        <w:rPr>
          <w:rFonts w:hint="eastAsia" w:ascii="宋体" w:hAnsi="宋体"/>
          <w:b/>
          <w:color w:val="auto"/>
          <w:szCs w:val="21"/>
          <w:highlight w:val="none"/>
        </w:rPr>
      </w:pPr>
      <w:r>
        <w:rPr>
          <w:rFonts w:hint="eastAsia" w:ascii="宋体" w:hAnsi="宋体"/>
          <w:color w:val="auto"/>
          <w:szCs w:val="21"/>
          <w:highlight w:val="none"/>
        </w:rPr>
        <w:t xml:space="preserve">    </w:t>
      </w:r>
      <w:r>
        <w:rPr>
          <w:rFonts w:hint="eastAsia" w:ascii="宋体" w:hAnsi="宋体"/>
          <w:b/>
          <w:color w:val="auto"/>
          <w:szCs w:val="21"/>
          <w:highlight w:val="none"/>
        </w:rPr>
        <w:t>17.2.1预付款</w:t>
      </w:r>
    </w:p>
    <w:p w14:paraId="61B2E4E1">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预付款用于承包人为合同工程施工购置材料、工程设备、施工设备、修建临时设施以及组织施工队伍进场等，分为工程预付款和工程材料预付款。预付款必须专用于合同工程。预付款的额度和预付办法在专用合同条款中约定。</w:t>
      </w:r>
    </w:p>
    <w:p w14:paraId="0BEA8983">
      <w:pPr>
        <w:spacing w:line="360" w:lineRule="auto"/>
        <w:rPr>
          <w:rFonts w:hint="eastAsia" w:ascii="宋体" w:hAnsi="宋体"/>
          <w:b/>
          <w:color w:val="auto"/>
          <w:szCs w:val="21"/>
          <w:highlight w:val="none"/>
        </w:rPr>
      </w:pPr>
      <w:r>
        <w:rPr>
          <w:rFonts w:hint="eastAsia" w:ascii="宋体" w:hAnsi="宋体"/>
          <w:color w:val="auto"/>
          <w:szCs w:val="21"/>
          <w:highlight w:val="none"/>
        </w:rPr>
        <w:t xml:space="preserve">   </w:t>
      </w:r>
      <w:r>
        <w:rPr>
          <w:rFonts w:hint="eastAsia" w:ascii="宋体" w:hAnsi="宋体"/>
          <w:b/>
          <w:color w:val="auto"/>
          <w:szCs w:val="21"/>
          <w:highlight w:val="none"/>
        </w:rPr>
        <w:t xml:space="preserve"> 17.2.2预付款保函</w:t>
      </w:r>
      <w:r>
        <w:rPr>
          <w:rFonts w:hint="eastAsia" w:ascii="宋体" w:hAnsi="宋体"/>
          <w:b/>
          <w:color w:val="auto"/>
          <w:szCs w:val="21"/>
          <w:highlight w:val="none"/>
          <w:lang w:eastAsia="zh-CN"/>
        </w:rPr>
        <w:t>（</w:t>
      </w:r>
      <w:r>
        <w:rPr>
          <w:rFonts w:hint="eastAsia" w:ascii="宋体" w:hAnsi="宋体"/>
          <w:b/>
          <w:color w:val="auto"/>
          <w:szCs w:val="21"/>
          <w:highlight w:val="none"/>
        </w:rPr>
        <w:t>担保</w:t>
      </w:r>
      <w:r>
        <w:rPr>
          <w:rFonts w:hint="eastAsia" w:ascii="宋体" w:hAnsi="宋体"/>
          <w:b/>
          <w:color w:val="auto"/>
          <w:szCs w:val="21"/>
          <w:highlight w:val="none"/>
          <w:lang w:eastAsia="zh-CN"/>
        </w:rPr>
        <w:t>）</w:t>
      </w:r>
    </w:p>
    <w:p w14:paraId="1485C23A">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承包人应在收到第一次工程预付款的同时向发包人提交工程预付款担保，担保金额应与</w:t>
      </w:r>
    </w:p>
    <w:p w14:paraId="19ED7783">
      <w:pPr>
        <w:spacing w:line="360" w:lineRule="auto"/>
        <w:rPr>
          <w:rFonts w:hint="eastAsia" w:ascii="宋体" w:hAnsi="宋体"/>
          <w:color w:val="auto"/>
          <w:szCs w:val="21"/>
          <w:highlight w:val="none"/>
        </w:rPr>
      </w:pPr>
      <w:r>
        <w:rPr>
          <w:rFonts w:hint="eastAsia" w:ascii="宋体" w:hAnsi="宋体"/>
          <w:color w:val="auto"/>
          <w:szCs w:val="21"/>
          <w:highlight w:val="none"/>
        </w:rPr>
        <w:t>第一次工程预付款金额相同，工程预付款担保在第一次工程预付款被发包人扣回前一直有效。</w:t>
      </w:r>
    </w:p>
    <w:p w14:paraId="04D1292A">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2</w:t>
      </w:r>
      <w:r>
        <w:rPr>
          <w:rFonts w:hint="eastAsia" w:ascii="宋体" w:hAnsi="宋体"/>
          <w:color w:val="auto"/>
          <w:szCs w:val="21"/>
          <w:highlight w:val="none"/>
          <w:lang w:eastAsia="zh-CN"/>
        </w:rPr>
        <w:t>）</w:t>
      </w:r>
      <w:r>
        <w:rPr>
          <w:rFonts w:hint="eastAsia" w:ascii="宋体" w:hAnsi="宋体"/>
          <w:color w:val="auto"/>
          <w:szCs w:val="21"/>
          <w:highlight w:val="none"/>
        </w:rPr>
        <w:t>工程材料预付款的担保在专用合同条款中约定。</w:t>
      </w:r>
    </w:p>
    <w:p w14:paraId="46D18E30">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3</w:t>
      </w:r>
      <w:r>
        <w:rPr>
          <w:rFonts w:hint="eastAsia" w:ascii="宋体" w:hAnsi="宋体"/>
          <w:color w:val="auto"/>
          <w:szCs w:val="21"/>
          <w:highlight w:val="none"/>
          <w:lang w:eastAsia="zh-CN"/>
        </w:rPr>
        <w:t>）</w:t>
      </w:r>
      <w:r>
        <w:rPr>
          <w:rFonts w:hint="eastAsia" w:ascii="宋体" w:hAnsi="宋体"/>
          <w:color w:val="auto"/>
          <w:szCs w:val="21"/>
          <w:highlight w:val="none"/>
        </w:rPr>
        <w:t>预付款担保的担保金额可根据预付款扣回的金额相应递减。</w:t>
      </w:r>
    </w:p>
    <w:p w14:paraId="14FFC869">
      <w:pPr>
        <w:spacing w:line="360" w:lineRule="auto"/>
        <w:rPr>
          <w:rFonts w:hint="eastAsia" w:ascii="宋体" w:hAnsi="宋体"/>
          <w:b/>
          <w:color w:val="auto"/>
          <w:szCs w:val="21"/>
          <w:highlight w:val="none"/>
        </w:rPr>
      </w:pPr>
      <w:r>
        <w:rPr>
          <w:rFonts w:hint="eastAsia" w:ascii="宋体" w:hAnsi="宋体"/>
          <w:color w:val="auto"/>
          <w:szCs w:val="21"/>
          <w:highlight w:val="none"/>
        </w:rPr>
        <w:t xml:space="preserve">    </w:t>
      </w:r>
      <w:r>
        <w:rPr>
          <w:rFonts w:hint="eastAsia" w:ascii="宋体" w:hAnsi="宋体"/>
          <w:b/>
          <w:color w:val="auto"/>
          <w:szCs w:val="21"/>
          <w:highlight w:val="none"/>
        </w:rPr>
        <w:t>17.2.3预付款的扣回与还清</w:t>
      </w:r>
    </w:p>
    <w:p w14:paraId="041FDC3C">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预付款在进度付款中扣回，扣回与还清办法在专用合同条款中约定。在颁发合同工程完工证书前，由于不可抗力</w:t>
      </w:r>
      <w:r>
        <w:rPr>
          <w:rFonts w:hint="eastAsia" w:ascii="宋体" w:hAnsi="宋体"/>
          <w:color w:val="auto"/>
          <w:szCs w:val="21"/>
          <w:highlight w:val="none"/>
          <w:lang w:eastAsia="zh-CN"/>
        </w:rPr>
        <w:t>或其他原因</w:t>
      </w:r>
      <w:r>
        <w:rPr>
          <w:rFonts w:hint="eastAsia" w:ascii="宋体" w:hAnsi="宋体"/>
          <w:color w:val="auto"/>
          <w:szCs w:val="21"/>
          <w:highlight w:val="none"/>
        </w:rPr>
        <w:t>解除合同时，预付款尚未扣清的，尚未扣清的预付款余额应作为承包人的到期应付款。</w:t>
      </w:r>
    </w:p>
    <w:p w14:paraId="1D1C8231">
      <w:pPr>
        <w:spacing w:line="360" w:lineRule="auto"/>
        <w:rPr>
          <w:rFonts w:hint="eastAsia" w:ascii="宋体" w:hAnsi="宋体"/>
          <w:b/>
          <w:color w:val="auto"/>
          <w:sz w:val="24"/>
          <w:highlight w:val="none"/>
        </w:rPr>
      </w:pPr>
      <w:r>
        <w:rPr>
          <w:rFonts w:hint="eastAsia" w:ascii="宋体" w:hAnsi="宋体"/>
          <w:b/>
          <w:color w:val="auto"/>
          <w:sz w:val="24"/>
          <w:highlight w:val="none"/>
        </w:rPr>
        <w:t>17.3工程进度付款</w:t>
      </w:r>
    </w:p>
    <w:p w14:paraId="22F8BADB">
      <w:pPr>
        <w:spacing w:line="360" w:lineRule="auto"/>
        <w:rPr>
          <w:rFonts w:hint="eastAsia" w:ascii="宋体" w:hAnsi="宋体"/>
          <w:b/>
          <w:color w:val="auto"/>
          <w:szCs w:val="21"/>
          <w:highlight w:val="none"/>
        </w:rPr>
      </w:pPr>
      <w:r>
        <w:rPr>
          <w:rFonts w:hint="eastAsia" w:ascii="宋体" w:hAnsi="宋体"/>
          <w:color w:val="auto"/>
          <w:szCs w:val="21"/>
          <w:highlight w:val="none"/>
        </w:rPr>
        <w:t xml:space="preserve">   </w:t>
      </w:r>
      <w:r>
        <w:rPr>
          <w:rFonts w:hint="eastAsia" w:ascii="宋体" w:hAnsi="宋体"/>
          <w:b/>
          <w:color w:val="auto"/>
          <w:szCs w:val="21"/>
          <w:highlight w:val="none"/>
        </w:rPr>
        <w:t>17.3.1付款周期</w:t>
      </w:r>
    </w:p>
    <w:p w14:paraId="53BC891B">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付款周期同计量周期。</w:t>
      </w:r>
    </w:p>
    <w:p w14:paraId="511CD183">
      <w:pPr>
        <w:spacing w:line="360" w:lineRule="auto"/>
        <w:rPr>
          <w:rFonts w:hint="eastAsia" w:ascii="宋体" w:hAnsi="宋体"/>
          <w:b/>
          <w:color w:val="auto"/>
          <w:szCs w:val="21"/>
          <w:highlight w:val="none"/>
        </w:rPr>
      </w:pPr>
      <w:r>
        <w:rPr>
          <w:rFonts w:hint="eastAsia" w:ascii="宋体" w:hAnsi="宋体"/>
          <w:color w:val="auto"/>
          <w:szCs w:val="21"/>
          <w:highlight w:val="none"/>
        </w:rPr>
        <w:t xml:space="preserve">   </w:t>
      </w:r>
      <w:r>
        <w:rPr>
          <w:rFonts w:hint="eastAsia" w:ascii="宋体" w:hAnsi="宋体"/>
          <w:b/>
          <w:color w:val="auto"/>
          <w:szCs w:val="21"/>
          <w:highlight w:val="none"/>
        </w:rPr>
        <w:t>17.3.2进度付款申请单</w:t>
      </w:r>
    </w:p>
    <w:p w14:paraId="36DF56CC">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承包人应在每个付款周期末，按监理人批准的格式和专用合同条款约定的份数，向监理人提交进度付款</w:t>
      </w:r>
      <w:r>
        <w:rPr>
          <w:rFonts w:hint="eastAsia" w:ascii="宋体" w:hAnsi="宋体"/>
          <w:color w:val="auto"/>
          <w:szCs w:val="21"/>
          <w:highlight w:val="none"/>
          <w:lang w:eastAsia="zh-CN"/>
        </w:rPr>
        <w:t>申请单</w:t>
      </w:r>
      <w:r>
        <w:rPr>
          <w:rFonts w:hint="eastAsia" w:ascii="宋体" w:hAnsi="宋体"/>
          <w:color w:val="auto"/>
          <w:szCs w:val="21"/>
          <w:highlight w:val="none"/>
        </w:rPr>
        <w:t>，并附相应的支持性证明文件。除专用合同条款另有约定外，进度付款申请单应包括下列内容</w:t>
      </w:r>
      <w:r>
        <w:rPr>
          <w:rFonts w:hint="eastAsia" w:ascii="宋体" w:hAnsi="宋体"/>
          <w:color w:val="auto"/>
          <w:szCs w:val="21"/>
          <w:highlight w:val="none"/>
          <w:lang w:eastAsia="zh-CN"/>
        </w:rPr>
        <w:t>：</w:t>
      </w:r>
    </w:p>
    <w:p w14:paraId="73D6366F">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截至本次付款周期末已实施工程的价款</w:t>
      </w:r>
      <w:r>
        <w:rPr>
          <w:rFonts w:hint="eastAsia" w:ascii="宋体" w:hAnsi="宋体"/>
          <w:color w:val="auto"/>
          <w:szCs w:val="21"/>
          <w:highlight w:val="none"/>
          <w:lang w:eastAsia="zh-CN"/>
        </w:rPr>
        <w:t>；</w:t>
      </w:r>
    </w:p>
    <w:p w14:paraId="66AFB42A">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2</w:t>
      </w:r>
      <w:r>
        <w:rPr>
          <w:rFonts w:hint="eastAsia" w:ascii="宋体" w:hAnsi="宋体"/>
          <w:color w:val="auto"/>
          <w:szCs w:val="21"/>
          <w:highlight w:val="none"/>
          <w:lang w:eastAsia="zh-CN"/>
        </w:rPr>
        <w:t>）</w:t>
      </w:r>
      <w:r>
        <w:rPr>
          <w:rFonts w:hint="eastAsia" w:ascii="宋体" w:hAnsi="宋体"/>
          <w:color w:val="auto"/>
          <w:szCs w:val="21"/>
          <w:highlight w:val="none"/>
        </w:rPr>
        <w:t>根据第15条应增加和扣减的变更金额</w:t>
      </w:r>
      <w:r>
        <w:rPr>
          <w:rFonts w:hint="eastAsia" w:ascii="宋体" w:hAnsi="宋体"/>
          <w:color w:val="auto"/>
          <w:szCs w:val="21"/>
          <w:highlight w:val="none"/>
          <w:lang w:eastAsia="zh-CN"/>
        </w:rPr>
        <w:t>；</w:t>
      </w:r>
    </w:p>
    <w:p w14:paraId="578E2C38">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3</w:t>
      </w:r>
      <w:r>
        <w:rPr>
          <w:rFonts w:hint="eastAsia" w:ascii="宋体" w:hAnsi="宋体"/>
          <w:color w:val="auto"/>
          <w:szCs w:val="21"/>
          <w:highlight w:val="none"/>
          <w:lang w:eastAsia="zh-CN"/>
        </w:rPr>
        <w:t>）</w:t>
      </w:r>
      <w:r>
        <w:rPr>
          <w:rFonts w:hint="eastAsia" w:ascii="宋体" w:hAnsi="宋体"/>
          <w:color w:val="auto"/>
          <w:szCs w:val="21"/>
          <w:highlight w:val="none"/>
        </w:rPr>
        <w:t>根据第23条应增加和扣减的索赔金额</w:t>
      </w:r>
      <w:r>
        <w:rPr>
          <w:rFonts w:hint="eastAsia" w:ascii="宋体" w:hAnsi="宋体"/>
          <w:color w:val="auto"/>
          <w:szCs w:val="21"/>
          <w:highlight w:val="none"/>
          <w:lang w:eastAsia="zh-CN"/>
        </w:rPr>
        <w:t>；</w:t>
      </w:r>
    </w:p>
    <w:p w14:paraId="73DFCD46">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4</w:t>
      </w:r>
      <w:r>
        <w:rPr>
          <w:rFonts w:hint="eastAsia" w:ascii="宋体" w:hAnsi="宋体"/>
          <w:color w:val="auto"/>
          <w:szCs w:val="21"/>
          <w:highlight w:val="none"/>
          <w:lang w:eastAsia="zh-CN"/>
        </w:rPr>
        <w:t>）</w:t>
      </w:r>
      <w:r>
        <w:rPr>
          <w:rFonts w:hint="eastAsia" w:ascii="宋体" w:hAnsi="宋体"/>
          <w:color w:val="auto"/>
          <w:szCs w:val="21"/>
          <w:highlight w:val="none"/>
        </w:rPr>
        <w:t>根据第17.2款约定应支付的预付款和扣减的返还预付款</w:t>
      </w:r>
      <w:r>
        <w:rPr>
          <w:rFonts w:hint="eastAsia" w:ascii="宋体" w:hAnsi="宋体"/>
          <w:color w:val="auto"/>
          <w:szCs w:val="21"/>
          <w:highlight w:val="none"/>
          <w:lang w:eastAsia="zh-CN"/>
        </w:rPr>
        <w:t>；</w:t>
      </w:r>
    </w:p>
    <w:p w14:paraId="65D985F4">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5</w:t>
      </w:r>
      <w:r>
        <w:rPr>
          <w:rFonts w:hint="eastAsia" w:ascii="宋体" w:hAnsi="宋体"/>
          <w:color w:val="auto"/>
          <w:szCs w:val="21"/>
          <w:highlight w:val="none"/>
          <w:lang w:eastAsia="zh-CN"/>
        </w:rPr>
        <w:t>）</w:t>
      </w:r>
      <w:r>
        <w:rPr>
          <w:rFonts w:hint="eastAsia" w:ascii="宋体" w:hAnsi="宋体"/>
          <w:color w:val="auto"/>
          <w:szCs w:val="21"/>
          <w:highlight w:val="none"/>
        </w:rPr>
        <w:t>根据第17.4.1项约定应扣减的质量保证金</w:t>
      </w:r>
      <w:r>
        <w:rPr>
          <w:rFonts w:hint="eastAsia" w:ascii="宋体" w:hAnsi="宋体"/>
          <w:color w:val="auto"/>
          <w:szCs w:val="21"/>
          <w:highlight w:val="none"/>
          <w:lang w:eastAsia="zh-CN"/>
        </w:rPr>
        <w:t>；</w:t>
      </w:r>
    </w:p>
    <w:p w14:paraId="3894453F">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6</w:t>
      </w:r>
      <w:r>
        <w:rPr>
          <w:rFonts w:hint="eastAsia" w:ascii="宋体" w:hAnsi="宋体"/>
          <w:color w:val="auto"/>
          <w:szCs w:val="21"/>
          <w:highlight w:val="none"/>
          <w:lang w:eastAsia="zh-CN"/>
        </w:rPr>
        <w:t>）</w:t>
      </w:r>
      <w:r>
        <w:rPr>
          <w:rFonts w:hint="eastAsia" w:ascii="宋体" w:hAnsi="宋体"/>
          <w:color w:val="auto"/>
          <w:szCs w:val="21"/>
          <w:highlight w:val="none"/>
        </w:rPr>
        <w:t>根据合同应增加和扣减的其他金额。</w:t>
      </w:r>
    </w:p>
    <w:p w14:paraId="4046E6BE">
      <w:pPr>
        <w:spacing w:line="360" w:lineRule="auto"/>
        <w:rPr>
          <w:rFonts w:hint="eastAsia" w:ascii="宋体" w:hAnsi="宋体"/>
          <w:b/>
          <w:color w:val="auto"/>
          <w:szCs w:val="21"/>
          <w:highlight w:val="none"/>
        </w:rPr>
      </w:pPr>
      <w:r>
        <w:rPr>
          <w:rFonts w:hint="eastAsia" w:ascii="宋体" w:hAnsi="宋体"/>
          <w:color w:val="auto"/>
          <w:szCs w:val="21"/>
          <w:highlight w:val="none"/>
        </w:rPr>
        <w:t xml:space="preserve">   </w:t>
      </w:r>
      <w:r>
        <w:rPr>
          <w:rFonts w:hint="eastAsia" w:ascii="宋体" w:hAnsi="宋体"/>
          <w:b/>
          <w:color w:val="auto"/>
          <w:szCs w:val="21"/>
          <w:highlight w:val="none"/>
        </w:rPr>
        <w:t xml:space="preserve"> 17.3.3进度付款证书和支付时间</w:t>
      </w:r>
    </w:p>
    <w:p w14:paraId="6481E9FB">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监理人在收到承包人进度付款申请单以及相应的支持性证明文件后的14天内完成核查，提出发包人到期应支付给承包人的金额以及相应的支持性材料，经发包人审查同意后，由监理人向承包人出具经发包人签认的进度付款证书。监理人有权扣发承包人未能按照合同要求履行任何工作或义务的相应金额。</w:t>
      </w:r>
    </w:p>
    <w:p w14:paraId="771A643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发包人应在监理人收到进度付款申请单后的28天内，将进度应付款支付给承包人。发包人不按期支付的，按专用合同条款的约定支付逾期付款违约金。</w:t>
      </w:r>
    </w:p>
    <w:p w14:paraId="198278D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(3</w:t>
      </w:r>
      <w:r>
        <w:rPr>
          <w:rFonts w:hint="eastAsia" w:ascii="宋体" w:hAnsi="宋体"/>
          <w:color w:val="auto"/>
          <w:szCs w:val="21"/>
          <w:highlight w:val="none"/>
          <w:lang w:eastAsia="zh-CN"/>
        </w:rPr>
        <w:t>）</w:t>
      </w:r>
      <w:r>
        <w:rPr>
          <w:rFonts w:hint="eastAsia" w:ascii="宋体" w:hAnsi="宋体"/>
          <w:color w:val="auto"/>
          <w:szCs w:val="21"/>
          <w:highlight w:val="none"/>
        </w:rPr>
        <w:t>监理人出具进度付款证书，不应视为监理人已同意、批准或接受了承包人完成的该部分工</w:t>
      </w:r>
    </w:p>
    <w:p w14:paraId="11019A3B">
      <w:pPr>
        <w:spacing w:line="360" w:lineRule="auto"/>
        <w:rPr>
          <w:rFonts w:hint="eastAsia" w:ascii="宋体" w:hAnsi="宋体"/>
          <w:color w:val="auto"/>
          <w:szCs w:val="21"/>
          <w:highlight w:val="none"/>
        </w:rPr>
      </w:pPr>
      <w:r>
        <w:rPr>
          <w:rFonts w:hint="eastAsia" w:ascii="宋体" w:hAnsi="宋体"/>
          <w:color w:val="auto"/>
          <w:szCs w:val="21"/>
          <w:highlight w:val="none"/>
        </w:rPr>
        <w:t>作。</w:t>
      </w:r>
    </w:p>
    <w:p w14:paraId="3171D0AD">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(4</w:t>
      </w:r>
      <w:r>
        <w:rPr>
          <w:rFonts w:hint="eastAsia" w:ascii="宋体" w:hAnsi="宋体"/>
          <w:color w:val="auto"/>
          <w:szCs w:val="21"/>
          <w:highlight w:val="none"/>
          <w:lang w:eastAsia="zh-CN"/>
        </w:rPr>
        <w:t>）</w:t>
      </w:r>
      <w:r>
        <w:rPr>
          <w:rFonts w:hint="eastAsia" w:ascii="宋体" w:hAnsi="宋体"/>
          <w:color w:val="auto"/>
          <w:szCs w:val="21"/>
          <w:highlight w:val="none"/>
        </w:rPr>
        <w:t>进度付款涉及政府投资资金的，按照国库集中支付等国家相关规定和专用合同条款的约定</w:t>
      </w:r>
    </w:p>
    <w:p w14:paraId="5B3930C0">
      <w:pPr>
        <w:spacing w:line="360" w:lineRule="auto"/>
        <w:rPr>
          <w:rFonts w:hint="eastAsia" w:ascii="宋体" w:hAnsi="宋体"/>
          <w:color w:val="auto"/>
          <w:szCs w:val="21"/>
          <w:highlight w:val="none"/>
        </w:rPr>
      </w:pPr>
      <w:r>
        <w:rPr>
          <w:rFonts w:hint="eastAsia" w:ascii="宋体" w:hAnsi="宋体"/>
          <w:color w:val="auto"/>
          <w:szCs w:val="21"/>
          <w:highlight w:val="none"/>
        </w:rPr>
        <w:t>办理。</w:t>
      </w:r>
    </w:p>
    <w:p w14:paraId="4244C9EA">
      <w:pPr>
        <w:spacing w:line="360" w:lineRule="auto"/>
        <w:rPr>
          <w:rFonts w:hint="eastAsia" w:ascii="宋体" w:hAnsi="宋体"/>
          <w:b/>
          <w:color w:val="auto"/>
          <w:szCs w:val="21"/>
          <w:highlight w:val="none"/>
        </w:rPr>
      </w:pPr>
      <w:r>
        <w:rPr>
          <w:rFonts w:hint="eastAsia" w:ascii="宋体" w:hAnsi="宋体"/>
          <w:color w:val="auto"/>
          <w:szCs w:val="21"/>
          <w:highlight w:val="none"/>
        </w:rPr>
        <w:t xml:space="preserve">   </w:t>
      </w:r>
      <w:r>
        <w:rPr>
          <w:rFonts w:hint="eastAsia" w:ascii="宋体" w:hAnsi="宋体"/>
          <w:b/>
          <w:color w:val="auto"/>
          <w:szCs w:val="21"/>
          <w:highlight w:val="none"/>
        </w:rPr>
        <w:t xml:space="preserve"> 17.3.4工程进度付款的修正</w:t>
      </w:r>
    </w:p>
    <w:p w14:paraId="69B68EA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在对以往历次已签发的进度付款证书进行汇总和复核中发现错、漏或重复的，监理人有权予以修正，承包人也有权提出修正</w:t>
      </w:r>
      <w:r>
        <w:rPr>
          <w:rFonts w:hint="eastAsia" w:ascii="宋体" w:hAnsi="宋体"/>
          <w:color w:val="auto"/>
          <w:szCs w:val="21"/>
          <w:highlight w:val="none"/>
          <w:lang w:eastAsia="zh-CN"/>
        </w:rPr>
        <w:t>申请</w:t>
      </w:r>
      <w:r>
        <w:rPr>
          <w:rFonts w:hint="eastAsia" w:ascii="宋体" w:hAnsi="宋体"/>
          <w:color w:val="auto"/>
          <w:szCs w:val="21"/>
          <w:highlight w:val="none"/>
        </w:rPr>
        <w:t>。经双方复核同意的修正，应在本次进度付款中支付或扣除。</w:t>
      </w:r>
    </w:p>
    <w:p w14:paraId="1C553F18">
      <w:pPr>
        <w:spacing w:line="360" w:lineRule="auto"/>
        <w:rPr>
          <w:rFonts w:hint="eastAsia" w:ascii="宋体" w:hAnsi="宋体"/>
          <w:b/>
          <w:color w:val="auto"/>
          <w:sz w:val="24"/>
          <w:highlight w:val="none"/>
        </w:rPr>
      </w:pPr>
      <w:r>
        <w:rPr>
          <w:rFonts w:hint="eastAsia" w:ascii="宋体" w:hAnsi="宋体"/>
          <w:b/>
          <w:color w:val="auto"/>
          <w:sz w:val="24"/>
          <w:highlight w:val="none"/>
        </w:rPr>
        <w:t>17.4 质量保证金</w:t>
      </w:r>
    </w:p>
    <w:p w14:paraId="233B5B5E">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17.4.1监理人应从第一个工程进度付款周期开始，在发包人的进度付款中，按专用合同条款的约定扣留质量保证金</w:t>
      </w:r>
      <w:r>
        <w:rPr>
          <w:rFonts w:hint="eastAsia" w:ascii="宋体" w:hAnsi="宋体"/>
          <w:color w:val="auto"/>
          <w:szCs w:val="21"/>
          <w:highlight w:val="none"/>
          <w:lang w:eastAsia="zh-CN"/>
        </w:rPr>
        <w:t>；</w:t>
      </w:r>
      <w:r>
        <w:rPr>
          <w:rFonts w:hint="eastAsia" w:ascii="宋体" w:hAnsi="宋体"/>
          <w:color w:val="auto"/>
          <w:szCs w:val="21"/>
          <w:highlight w:val="none"/>
        </w:rPr>
        <w:t>直至扣留的质量保证金总额达到专用合同条款约定的金额或比例为止。质量保证金的计算额度不包括预付款的支付与扣回金额。</w:t>
      </w:r>
    </w:p>
    <w:p w14:paraId="5FDCBAEF">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17.4.2合同工程完工证书颁发后14天内，发包人将质量保证金总额的一半支付给承包人。在第1.1.4.5目约定的缺陷责任期</w:t>
      </w:r>
      <w:r>
        <w:rPr>
          <w:rFonts w:hint="eastAsia" w:ascii="宋体" w:hAnsi="宋体"/>
          <w:color w:val="auto"/>
          <w:szCs w:val="21"/>
          <w:highlight w:val="none"/>
          <w:lang w:eastAsia="zh-CN"/>
        </w:rPr>
        <w:t>（</w:t>
      </w:r>
      <w:r>
        <w:rPr>
          <w:rFonts w:hint="eastAsia" w:ascii="宋体" w:hAnsi="宋体"/>
          <w:color w:val="auto"/>
          <w:szCs w:val="21"/>
          <w:highlight w:val="none"/>
        </w:rPr>
        <w:t>工程质量保修期</w:t>
      </w:r>
      <w:r>
        <w:rPr>
          <w:rFonts w:hint="eastAsia" w:ascii="宋体" w:hAnsi="宋体"/>
          <w:color w:val="auto"/>
          <w:szCs w:val="21"/>
          <w:highlight w:val="none"/>
          <w:lang w:eastAsia="zh-CN"/>
        </w:rPr>
        <w:t>）</w:t>
      </w:r>
      <w:r>
        <w:rPr>
          <w:rFonts w:hint="eastAsia" w:ascii="宋体" w:hAnsi="宋体"/>
          <w:color w:val="auto"/>
          <w:szCs w:val="21"/>
          <w:highlight w:val="none"/>
        </w:rPr>
        <w:t>满时，发包人将在30个工作日内会同承包人按照合同约定的内容核实承包人是否完成保修责任。如无异议，发包人应当在核实后将剩余的质量保证金支付给承包人。</w:t>
      </w:r>
    </w:p>
    <w:p w14:paraId="38AA7F89">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17.4.3在第1.1.4.5目约定的缺陷责任期满时，承包人没有完成缺陷责任的，发包人有权扣留与未履行责任剩余工作所需金额相应的质量保证金余额，并有权根据第19.3款约定要求延长缺陷责任期，直至完成剩余工作为止。</w:t>
      </w:r>
    </w:p>
    <w:p w14:paraId="6D6E5DE2">
      <w:pPr>
        <w:spacing w:line="360" w:lineRule="auto"/>
        <w:rPr>
          <w:rFonts w:hint="eastAsia" w:ascii="宋体" w:hAnsi="宋体"/>
          <w:b/>
          <w:color w:val="auto"/>
          <w:sz w:val="24"/>
          <w:highlight w:val="none"/>
        </w:rPr>
      </w:pPr>
      <w:r>
        <w:rPr>
          <w:rFonts w:hint="eastAsia" w:ascii="宋体" w:hAnsi="宋体"/>
          <w:b/>
          <w:color w:val="auto"/>
          <w:sz w:val="24"/>
          <w:highlight w:val="none"/>
        </w:rPr>
        <w:t>17.5竣工结算</w:t>
      </w:r>
      <w:r>
        <w:rPr>
          <w:rFonts w:hint="eastAsia" w:ascii="宋体" w:hAnsi="宋体"/>
          <w:b/>
          <w:color w:val="auto"/>
          <w:sz w:val="24"/>
          <w:highlight w:val="none"/>
          <w:lang w:eastAsia="zh-CN"/>
        </w:rPr>
        <w:t>（</w:t>
      </w:r>
      <w:r>
        <w:rPr>
          <w:rFonts w:hint="eastAsia" w:ascii="宋体" w:hAnsi="宋体"/>
          <w:b/>
          <w:color w:val="auto"/>
          <w:sz w:val="24"/>
          <w:highlight w:val="none"/>
        </w:rPr>
        <w:t>完工结算</w:t>
      </w:r>
      <w:r>
        <w:rPr>
          <w:rFonts w:hint="eastAsia" w:ascii="宋体" w:hAnsi="宋体"/>
          <w:b/>
          <w:color w:val="auto"/>
          <w:sz w:val="24"/>
          <w:highlight w:val="none"/>
          <w:lang w:eastAsia="zh-CN"/>
        </w:rPr>
        <w:t>）</w:t>
      </w:r>
    </w:p>
    <w:p w14:paraId="583089C2">
      <w:pPr>
        <w:spacing w:line="360" w:lineRule="auto"/>
        <w:rPr>
          <w:rFonts w:hint="eastAsia" w:ascii="宋体" w:hAnsi="宋体"/>
          <w:b/>
          <w:color w:val="auto"/>
          <w:szCs w:val="21"/>
          <w:highlight w:val="none"/>
        </w:rPr>
      </w:pPr>
      <w:r>
        <w:rPr>
          <w:rFonts w:hint="eastAsia" w:ascii="宋体" w:hAnsi="宋体"/>
          <w:color w:val="auto"/>
          <w:szCs w:val="21"/>
          <w:highlight w:val="none"/>
        </w:rPr>
        <w:t xml:space="preserve">    </w:t>
      </w:r>
      <w:r>
        <w:rPr>
          <w:rFonts w:hint="eastAsia" w:ascii="宋体" w:hAnsi="宋体"/>
          <w:b/>
          <w:color w:val="auto"/>
          <w:szCs w:val="21"/>
          <w:highlight w:val="none"/>
        </w:rPr>
        <w:t>17.5.1 竣工</w:t>
      </w:r>
      <w:r>
        <w:rPr>
          <w:rFonts w:hint="eastAsia" w:ascii="宋体" w:hAnsi="宋体"/>
          <w:b/>
          <w:color w:val="auto"/>
          <w:szCs w:val="21"/>
          <w:highlight w:val="none"/>
          <w:lang w:eastAsia="zh-CN"/>
        </w:rPr>
        <w:t>（</w:t>
      </w:r>
      <w:r>
        <w:rPr>
          <w:rFonts w:hint="eastAsia" w:ascii="宋体" w:hAnsi="宋体"/>
          <w:b/>
          <w:color w:val="auto"/>
          <w:szCs w:val="21"/>
          <w:highlight w:val="none"/>
        </w:rPr>
        <w:t>完工</w:t>
      </w:r>
      <w:r>
        <w:rPr>
          <w:rFonts w:hint="eastAsia" w:ascii="宋体" w:hAnsi="宋体"/>
          <w:b/>
          <w:color w:val="auto"/>
          <w:szCs w:val="21"/>
          <w:highlight w:val="none"/>
          <w:lang w:eastAsia="zh-CN"/>
        </w:rPr>
        <w:t>）</w:t>
      </w:r>
      <w:r>
        <w:rPr>
          <w:rFonts w:hint="eastAsia" w:ascii="宋体" w:hAnsi="宋体"/>
          <w:b/>
          <w:color w:val="auto"/>
          <w:szCs w:val="21"/>
          <w:highlight w:val="none"/>
        </w:rPr>
        <w:t>付款申请单</w:t>
      </w:r>
    </w:p>
    <w:p w14:paraId="653B8C49">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承包人应在合同工程完工证书颁发后28天内，按专用合同条款约定的份数向监理人提交完工付款申请单，并提供相关证明材料。完工付款申请单应包括下列内容</w:t>
      </w:r>
      <w:r>
        <w:rPr>
          <w:rFonts w:hint="eastAsia" w:ascii="宋体" w:hAnsi="宋体"/>
          <w:color w:val="auto"/>
          <w:szCs w:val="21"/>
          <w:highlight w:val="none"/>
          <w:lang w:eastAsia="zh-CN"/>
        </w:rPr>
        <w:t>：</w:t>
      </w:r>
      <w:r>
        <w:rPr>
          <w:rFonts w:hint="eastAsia" w:ascii="宋体" w:hAnsi="宋体"/>
          <w:color w:val="auto"/>
          <w:szCs w:val="21"/>
          <w:highlight w:val="none"/>
        </w:rPr>
        <w:t>完工结算合同总价、发包人已支付承包人的工程价款、应扣留的质量保证金、应支付的完工付款金额。</w:t>
      </w:r>
    </w:p>
    <w:p w14:paraId="20C03714">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监理人对完工付款申请单有异议的，有权要求承包人进行修正和提供补充资料。经监理人和承包人协商后，由承包人向监理人提交修正后的完工付款申请单。</w:t>
      </w:r>
    </w:p>
    <w:p w14:paraId="7260F286">
      <w:pPr>
        <w:spacing w:line="360" w:lineRule="auto"/>
        <w:rPr>
          <w:rFonts w:hint="eastAsia" w:ascii="宋体" w:hAnsi="宋体"/>
          <w:b/>
          <w:color w:val="auto"/>
          <w:szCs w:val="21"/>
          <w:highlight w:val="none"/>
        </w:rPr>
      </w:pPr>
      <w:r>
        <w:rPr>
          <w:rFonts w:hint="eastAsia" w:ascii="宋体" w:hAnsi="宋体"/>
          <w:color w:val="auto"/>
          <w:szCs w:val="21"/>
          <w:highlight w:val="none"/>
        </w:rPr>
        <w:t xml:space="preserve">   </w:t>
      </w:r>
      <w:r>
        <w:rPr>
          <w:rFonts w:hint="eastAsia" w:ascii="宋体" w:hAnsi="宋体"/>
          <w:b/>
          <w:color w:val="auto"/>
          <w:szCs w:val="21"/>
          <w:highlight w:val="none"/>
        </w:rPr>
        <w:t xml:space="preserve"> 17.5.2 竣工</w:t>
      </w:r>
      <w:r>
        <w:rPr>
          <w:rFonts w:hint="eastAsia" w:ascii="宋体" w:hAnsi="宋体"/>
          <w:b/>
          <w:color w:val="auto"/>
          <w:szCs w:val="21"/>
          <w:highlight w:val="none"/>
          <w:lang w:eastAsia="zh-CN"/>
        </w:rPr>
        <w:t>（</w:t>
      </w:r>
      <w:r>
        <w:rPr>
          <w:rFonts w:hint="eastAsia" w:ascii="宋体" w:hAnsi="宋体"/>
          <w:b/>
          <w:color w:val="auto"/>
          <w:szCs w:val="21"/>
          <w:highlight w:val="none"/>
        </w:rPr>
        <w:t>完工</w:t>
      </w:r>
      <w:r>
        <w:rPr>
          <w:rFonts w:hint="eastAsia" w:ascii="宋体" w:hAnsi="宋体"/>
          <w:b/>
          <w:color w:val="auto"/>
          <w:szCs w:val="21"/>
          <w:highlight w:val="none"/>
          <w:lang w:eastAsia="zh-CN"/>
        </w:rPr>
        <w:t>）</w:t>
      </w:r>
      <w:r>
        <w:rPr>
          <w:rFonts w:hint="eastAsia" w:ascii="宋体" w:hAnsi="宋体"/>
          <w:b/>
          <w:color w:val="auto"/>
          <w:szCs w:val="21"/>
          <w:highlight w:val="none"/>
        </w:rPr>
        <w:t>付款证书及支付时间</w:t>
      </w:r>
    </w:p>
    <w:p w14:paraId="701DF32C">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监理人在收到承包人提交的完工付款</w:t>
      </w:r>
      <w:r>
        <w:rPr>
          <w:rFonts w:hint="eastAsia" w:ascii="宋体" w:hAnsi="宋体"/>
          <w:color w:val="auto"/>
          <w:szCs w:val="21"/>
          <w:highlight w:val="none"/>
          <w:lang w:eastAsia="zh-CN"/>
        </w:rPr>
        <w:t>申请单</w:t>
      </w:r>
      <w:r>
        <w:rPr>
          <w:rFonts w:hint="eastAsia" w:ascii="宋体" w:hAnsi="宋体"/>
          <w:color w:val="auto"/>
          <w:szCs w:val="21"/>
          <w:highlight w:val="none"/>
        </w:rPr>
        <w:t>后的14天内完成核查，提出发包人到期应支付给承包人的价款送发包人审核并抄送承包人。发包人应在收到后14天内审核完毕，由监理人向承包人出具经发包人签认的完工付款证书。监理人未在约定时间内核查，又未提出具体意见的，视为承包人提交的完工付款申请单已经监理人核查同意</w:t>
      </w:r>
      <w:r>
        <w:rPr>
          <w:rFonts w:hint="eastAsia" w:ascii="宋体" w:hAnsi="宋体"/>
          <w:color w:val="auto"/>
          <w:szCs w:val="21"/>
          <w:highlight w:val="none"/>
          <w:lang w:eastAsia="zh-CN"/>
        </w:rPr>
        <w:t>；</w:t>
      </w:r>
      <w:r>
        <w:rPr>
          <w:rFonts w:hint="eastAsia" w:ascii="宋体" w:hAnsi="宋体"/>
          <w:color w:val="auto"/>
          <w:szCs w:val="21"/>
          <w:highlight w:val="none"/>
        </w:rPr>
        <w:t>发包人未在约定时间内审核又未提出具体意见的，监理人提出发包人到期应支付给承包人的价款视为已经发包人同意。</w:t>
      </w:r>
    </w:p>
    <w:p w14:paraId="47275B3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发包人应在监理人出具完工付款证书后的14天内，将应支付款支付给承包人。发包人不按期支付的，按第17.3.3 (2</w:t>
      </w:r>
      <w:r>
        <w:rPr>
          <w:rFonts w:hint="eastAsia" w:ascii="宋体" w:hAnsi="宋体"/>
          <w:color w:val="auto"/>
          <w:szCs w:val="21"/>
          <w:highlight w:val="none"/>
          <w:lang w:eastAsia="zh-CN"/>
        </w:rPr>
        <w:t>）</w:t>
      </w:r>
      <w:r>
        <w:rPr>
          <w:rFonts w:hint="eastAsia" w:ascii="宋体" w:hAnsi="宋体"/>
          <w:color w:val="auto"/>
          <w:szCs w:val="21"/>
          <w:highlight w:val="none"/>
        </w:rPr>
        <w:t>目的约定，将逾期付款违约金支付给承包人。</w:t>
      </w:r>
    </w:p>
    <w:p w14:paraId="3AA34EB2">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(3</w:t>
      </w:r>
      <w:r>
        <w:rPr>
          <w:rFonts w:hint="eastAsia" w:ascii="宋体" w:hAnsi="宋体"/>
          <w:color w:val="auto"/>
          <w:szCs w:val="21"/>
          <w:highlight w:val="none"/>
          <w:lang w:eastAsia="zh-CN"/>
        </w:rPr>
        <w:t>）</w:t>
      </w:r>
      <w:r>
        <w:rPr>
          <w:rFonts w:hint="eastAsia" w:ascii="宋体" w:hAnsi="宋体"/>
          <w:color w:val="auto"/>
          <w:szCs w:val="21"/>
          <w:highlight w:val="none"/>
        </w:rPr>
        <w:t>承包人对发包人签认的完工付款证书有异议的，发包人可出具完工付款申请单中承包人已同意部分的临时付款证书。存在争议的部分，按第24条的约定办理。</w:t>
      </w:r>
    </w:p>
    <w:p w14:paraId="0BF5CD67">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(4</w:t>
      </w:r>
      <w:r>
        <w:rPr>
          <w:rFonts w:hint="eastAsia" w:ascii="宋体" w:hAnsi="宋体"/>
          <w:color w:val="auto"/>
          <w:szCs w:val="21"/>
          <w:highlight w:val="none"/>
          <w:lang w:eastAsia="zh-CN"/>
        </w:rPr>
        <w:t>）</w:t>
      </w:r>
      <w:r>
        <w:rPr>
          <w:rFonts w:hint="eastAsia" w:ascii="宋体" w:hAnsi="宋体"/>
          <w:color w:val="auto"/>
          <w:szCs w:val="21"/>
          <w:highlight w:val="none"/>
        </w:rPr>
        <w:t>完工付款涉及政府投资资金的，按第17.3.3(4</w:t>
      </w:r>
      <w:r>
        <w:rPr>
          <w:rFonts w:hint="eastAsia" w:ascii="宋体" w:hAnsi="宋体"/>
          <w:color w:val="auto"/>
          <w:szCs w:val="21"/>
          <w:highlight w:val="none"/>
          <w:lang w:eastAsia="zh-CN"/>
        </w:rPr>
        <w:t>）</w:t>
      </w:r>
      <w:r>
        <w:rPr>
          <w:rFonts w:hint="eastAsia" w:ascii="宋体" w:hAnsi="宋体"/>
          <w:color w:val="auto"/>
          <w:szCs w:val="21"/>
          <w:highlight w:val="none"/>
        </w:rPr>
        <w:t>目的约定办理。</w:t>
      </w:r>
    </w:p>
    <w:p w14:paraId="544B86FD">
      <w:pPr>
        <w:spacing w:line="360" w:lineRule="auto"/>
        <w:rPr>
          <w:rFonts w:hint="eastAsia" w:ascii="宋体" w:hAnsi="宋体"/>
          <w:b/>
          <w:color w:val="auto"/>
          <w:sz w:val="24"/>
          <w:highlight w:val="none"/>
        </w:rPr>
      </w:pPr>
      <w:r>
        <w:rPr>
          <w:rFonts w:hint="eastAsia" w:ascii="宋体" w:hAnsi="宋体"/>
          <w:b/>
          <w:color w:val="auto"/>
          <w:sz w:val="24"/>
          <w:highlight w:val="none"/>
        </w:rPr>
        <w:t>17.6 最终结清</w:t>
      </w:r>
    </w:p>
    <w:p w14:paraId="301E0AA6">
      <w:pPr>
        <w:spacing w:line="360" w:lineRule="auto"/>
        <w:rPr>
          <w:rFonts w:hint="eastAsia" w:ascii="宋体" w:hAnsi="宋体"/>
          <w:b/>
          <w:color w:val="auto"/>
          <w:szCs w:val="21"/>
          <w:highlight w:val="none"/>
        </w:rPr>
      </w:pPr>
      <w:r>
        <w:rPr>
          <w:rFonts w:hint="eastAsia" w:ascii="宋体" w:hAnsi="宋体"/>
          <w:color w:val="auto"/>
          <w:szCs w:val="21"/>
          <w:highlight w:val="none"/>
        </w:rPr>
        <w:t xml:space="preserve">    </w:t>
      </w:r>
      <w:r>
        <w:rPr>
          <w:rFonts w:hint="eastAsia" w:ascii="宋体" w:hAnsi="宋体"/>
          <w:b/>
          <w:color w:val="auto"/>
          <w:szCs w:val="21"/>
          <w:highlight w:val="none"/>
        </w:rPr>
        <w:t>17.6.1最终结清申请单</w:t>
      </w:r>
    </w:p>
    <w:p w14:paraId="7AD309A7">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工程质量保修责任终止证书签发后，承包人应按监理人批准的格式提交最终结清申请单。提交最终结清申请单的份数在专用合同条款中约定。</w:t>
      </w:r>
    </w:p>
    <w:p w14:paraId="78551FD6">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发包人对最终结清申请单内容有异议的，有权要求承包人进行修正和提供补充资料，由</w:t>
      </w:r>
    </w:p>
    <w:p w14:paraId="7E526BE2">
      <w:pPr>
        <w:spacing w:line="360" w:lineRule="auto"/>
        <w:rPr>
          <w:rFonts w:hint="eastAsia" w:ascii="宋体" w:hAnsi="宋体"/>
          <w:color w:val="auto"/>
          <w:szCs w:val="21"/>
          <w:highlight w:val="none"/>
        </w:rPr>
      </w:pPr>
      <w:r>
        <w:rPr>
          <w:rFonts w:hint="eastAsia" w:ascii="宋体" w:hAnsi="宋体"/>
          <w:color w:val="auto"/>
          <w:szCs w:val="21"/>
          <w:highlight w:val="none"/>
        </w:rPr>
        <w:t>承包人向监理人提交修正后的最终结清申请单。</w:t>
      </w:r>
    </w:p>
    <w:p w14:paraId="3C5B5FEC">
      <w:pPr>
        <w:spacing w:line="360" w:lineRule="auto"/>
        <w:rPr>
          <w:rFonts w:hint="eastAsia" w:ascii="宋体" w:hAnsi="宋体"/>
          <w:b/>
          <w:color w:val="auto"/>
          <w:szCs w:val="21"/>
          <w:highlight w:val="none"/>
        </w:rPr>
      </w:pPr>
      <w:r>
        <w:rPr>
          <w:rFonts w:hint="eastAsia" w:ascii="宋体" w:hAnsi="宋体"/>
          <w:color w:val="auto"/>
          <w:szCs w:val="21"/>
          <w:highlight w:val="none"/>
        </w:rPr>
        <w:t xml:space="preserve">    </w:t>
      </w:r>
      <w:r>
        <w:rPr>
          <w:rFonts w:hint="eastAsia" w:ascii="宋体" w:hAnsi="宋体"/>
          <w:b/>
          <w:color w:val="auto"/>
          <w:szCs w:val="21"/>
          <w:highlight w:val="none"/>
        </w:rPr>
        <w:t>17.6.2最终结清证书和支付时间</w:t>
      </w:r>
    </w:p>
    <w:p w14:paraId="0E3871A1">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监理人收到承包人提交的最终结清申请单后的14天内，提出发包人应支付给承包人的价款送发包人审核并抄送承包人。发包人应在收到后14天内审核完毕，由监理人向承包人出具经发包人签认的最终结清证书。监理人未在约定时间内核查，又未提出具体意见的，视为承包人提交的最终结清申请已经监理人核查同意</w:t>
      </w:r>
      <w:r>
        <w:rPr>
          <w:rFonts w:hint="eastAsia" w:ascii="宋体" w:hAnsi="宋体"/>
          <w:color w:val="auto"/>
          <w:szCs w:val="21"/>
          <w:highlight w:val="none"/>
          <w:lang w:eastAsia="zh-CN"/>
        </w:rPr>
        <w:t>；</w:t>
      </w:r>
      <w:r>
        <w:rPr>
          <w:rFonts w:hint="eastAsia" w:ascii="宋体" w:hAnsi="宋体"/>
          <w:color w:val="auto"/>
          <w:szCs w:val="21"/>
          <w:highlight w:val="none"/>
        </w:rPr>
        <w:t>发包人未在约定时间内审核又未提出具体意见的，监理人提出应支付给承包人的价款视为已经发包人同意。</w:t>
      </w:r>
    </w:p>
    <w:p w14:paraId="596E6DFC">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发包人应在监理人出具最终结清证书后的14天内，将应支付款支付给承包人。发包人不按期支付的，按第17.3.3 (2</w:t>
      </w:r>
      <w:r>
        <w:rPr>
          <w:rFonts w:hint="eastAsia" w:ascii="宋体" w:hAnsi="宋体"/>
          <w:color w:val="auto"/>
          <w:szCs w:val="21"/>
          <w:highlight w:val="none"/>
          <w:lang w:eastAsia="zh-CN"/>
        </w:rPr>
        <w:t>）</w:t>
      </w:r>
      <w:r>
        <w:rPr>
          <w:rFonts w:hint="eastAsia" w:ascii="宋体" w:hAnsi="宋体"/>
          <w:color w:val="auto"/>
          <w:szCs w:val="21"/>
          <w:highlight w:val="none"/>
        </w:rPr>
        <w:t>目的约定，将逾期付款违约金支付给承包人。</w:t>
      </w:r>
    </w:p>
    <w:p w14:paraId="6C780816">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(3</w:t>
      </w:r>
      <w:r>
        <w:rPr>
          <w:rFonts w:hint="eastAsia" w:ascii="宋体" w:hAnsi="宋体"/>
          <w:color w:val="auto"/>
          <w:szCs w:val="21"/>
          <w:highlight w:val="none"/>
          <w:lang w:eastAsia="zh-CN"/>
        </w:rPr>
        <w:t>）</w:t>
      </w:r>
      <w:r>
        <w:rPr>
          <w:rFonts w:hint="eastAsia" w:ascii="宋体" w:hAnsi="宋体"/>
          <w:color w:val="auto"/>
          <w:szCs w:val="21"/>
          <w:highlight w:val="none"/>
        </w:rPr>
        <w:t>承包人对发包人签认的最终结清证书有异议的，按第24条的约定办理。</w:t>
      </w:r>
    </w:p>
    <w:p w14:paraId="56F250EA">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(4</w:t>
      </w:r>
      <w:r>
        <w:rPr>
          <w:rFonts w:hint="eastAsia" w:ascii="宋体" w:hAnsi="宋体"/>
          <w:color w:val="auto"/>
          <w:szCs w:val="21"/>
          <w:highlight w:val="none"/>
          <w:lang w:eastAsia="zh-CN"/>
        </w:rPr>
        <w:t>）</w:t>
      </w:r>
      <w:r>
        <w:rPr>
          <w:rFonts w:hint="eastAsia" w:ascii="宋体" w:hAnsi="宋体"/>
          <w:color w:val="auto"/>
          <w:szCs w:val="21"/>
          <w:highlight w:val="none"/>
        </w:rPr>
        <w:t>最终结清付款涉及政府投资资金的，按第17.3.3(4</w:t>
      </w:r>
      <w:r>
        <w:rPr>
          <w:rFonts w:hint="eastAsia" w:ascii="宋体" w:hAnsi="宋体"/>
          <w:color w:val="auto"/>
          <w:szCs w:val="21"/>
          <w:highlight w:val="none"/>
          <w:lang w:eastAsia="zh-CN"/>
        </w:rPr>
        <w:t>）</w:t>
      </w:r>
      <w:r>
        <w:rPr>
          <w:rFonts w:hint="eastAsia" w:ascii="宋体" w:hAnsi="宋体"/>
          <w:color w:val="auto"/>
          <w:szCs w:val="21"/>
          <w:highlight w:val="none"/>
        </w:rPr>
        <w:t>目的约定办理。</w:t>
      </w:r>
    </w:p>
    <w:p w14:paraId="1A052E53">
      <w:pPr>
        <w:spacing w:line="360" w:lineRule="auto"/>
        <w:rPr>
          <w:rFonts w:hint="eastAsia" w:ascii="宋体" w:hAnsi="宋体"/>
          <w:b/>
          <w:color w:val="auto"/>
          <w:sz w:val="24"/>
          <w:highlight w:val="none"/>
        </w:rPr>
      </w:pPr>
      <w:r>
        <w:rPr>
          <w:rFonts w:hint="eastAsia" w:ascii="宋体" w:hAnsi="宋体"/>
          <w:b/>
          <w:color w:val="auto"/>
          <w:sz w:val="24"/>
          <w:highlight w:val="none"/>
        </w:rPr>
        <w:t>17.7 竣工财务决算</w:t>
      </w:r>
    </w:p>
    <w:p w14:paraId="75A594D1">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发包人负责编制本工程项目竣工财务决算，承包人应按专用合同条款的约定提供竣工财务决</w:t>
      </w:r>
    </w:p>
    <w:p w14:paraId="7943AC2C">
      <w:pPr>
        <w:spacing w:line="360" w:lineRule="auto"/>
        <w:rPr>
          <w:rFonts w:hint="eastAsia" w:ascii="宋体" w:hAnsi="宋体"/>
          <w:color w:val="auto"/>
          <w:szCs w:val="21"/>
          <w:highlight w:val="none"/>
        </w:rPr>
      </w:pPr>
      <w:r>
        <w:rPr>
          <w:rFonts w:hint="eastAsia" w:ascii="宋体" w:hAnsi="宋体"/>
          <w:color w:val="auto"/>
          <w:szCs w:val="21"/>
          <w:highlight w:val="none"/>
        </w:rPr>
        <w:t>算编制所需的相关材料。</w:t>
      </w:r>
    </w:p>
    <w:p w14:paraId="1E26C77F">
      <w:pPr>
        <w:spacing w:line="360" w:lineRule="auto"/>
        <w:rPr>
          <w:rFonts w:hint="eastAsia" w:ascii="宋体" w:hAnsi="宋体"/>
          <w:b/>
          <w:color w:val="auto"/>
          <w:sz w:val="24"/>
          <w:highlight w:val="none"/>
        </w:rPr>
      </w:pPr>
      <w:r>
        <w:rPr>
          <w:rFonts w:hint="eastAsia" w:ascii="宋体" w:hAnsi="宋体"/>
          <w:b/>
          <w:color w:val="auto"/>
          <w:sz w:val="24"/>
          <w:highlight w:val="none"/>
        </w:rPr>
        <w:t>17.8 竣工审计</w:t>
      </w:r>
    </w:p>
    <w:p w14:paraId="1DE9A6F5">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发包人负责完成本工程竣工审计手续，承包人应完成相关配合工作。</w:t>
      </w:r>
    </w:p>
    <w:p w14:paraId="69283A33">
      <w:pPr>
        <w:pStyle w:val="5"/>
        <w:rPr>
          <w:rFonts w:hint="eastAsia" w:ascii="宋体" w:hAnsi="宋体"/>
          <w:color w:val="auto"/>
          <w:sz w:val="28"/>
          <w:highlight w:val="none"/>
        </w:rPr>
      </w:pPr>
      <w:r>
        <w:rPr>
          <w:rFonts w:hint="eastAsia" w:ascii="宋体" w:hAnsi="宋体"/>
          <w:color w:val="auto"/>
          <w:sz w:val="28"/>
          <w:highlight w:val="none"/>
        </w:rPr>
        <w:t>18. 竣工验收</w:t>
      </w:r>
      <w:r>
        <w:rPr>
          <w:rFonts w:hint="eastAsia" w:ascii="宋体" w:hAnsi="宋体"/>
          <w:color w:val="auto"/>
          <w:sz w:val="28"/>
          <w:highlight w:val="none"/>
          <w:lang w:eastAsia="zh-CN"/>
        </w:rPr>
        <w:t>（</w:t>
      </w:r>
      <w:r>
        <w:rPr>
          <w:rFonts w:hint="eastAsia" w:ascii="宋体" w:hAnsi="宋体"/>
          <w:color w:val="auto"/>
          <w:sz w:val="28"/>
          <w:highlight w:val="none"/>
        </w:rPr>
        <w:t>验收</w:t>
      </w:r>
      <w:r>
        <w:rPr>
          <w:rFonts w:hint="eastAsia" w:ascii="宋体" w:hAnsi="宋体"/>
          <w:color w:val="auto"/>
          <w:sz w:val="28"/>
          <w:highlight w:val="none"/>
          <w:lang w:eastAsia="zh-CN"/>
        </w:rPr>
        <w:t>）</w:t>
      </w:r>
    </w:p>
    <w:p w14:paraId="38E8A4D2">
      <w:pPr>
        <w:spacing w:line="360" w:lineRule="auto"/>
        <w:rPr>
          <w:rFonts w:hint="eastAsia" w:ascii="宋体" w:hAnsi="宋体"/>
          <w:b/>
          <w:color w:val="auto"/>
          <w:sz w:val="24"/>
          <w:highlight w:val="none"/>
        </w:rPr>
      </w:pPr>
      <w:r>
        <w:rPr>
          <w:rFonts w:hint="eastAsia" w:ascii="宋体" w:hAnsi="宋体"/>
          <w:b/>
          <w:color w:val="auto"/>
          <w:sz w:val="24"/>
          <w:highlight w:val="none"/>
        </w:rPr>
        <w:t>18.1验收工作分类</w:t>
      </w:r>
    </w:p>
    <w:p w14:paraId="36BC7DB9">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本工程验收工作按主持单位分为法人验收和政府验收。法人验收和政府验收的类别在专用合同条款中约定。除专用合同条款另有约定外，法人验收由发包人主持。承包人应完成法人验收和政府验收的配合工作，所需费用应含在已标价工程量清单中。</w:t>
      </w:r>
    </w:p>
    <w:p w14:paraId="6FB60BA6">
      <w:pPr>
        <w:spacing w:line="360" w:lineRule="auto"/>
        <w:rPr>
          <w:rFonts w:hint="eastAsia" w:ascii="宋体" w:hAnsi="宋体"/>
          <w:b/>
          <w:color w:val="auto"/>
          <w:sz w:val="24"/>
          <w:highlight w:val="none"/>
        </w:rPr>
      </w:pPr>
      <w:r>
        <w:rPr>
          <w:rFonts w:hint="eastAsia" w:ascii="宋体" w:hAnsi="宋体"/>
          <w:b/>
          <w:color w:val="auto"/>
          <w:sz w:val="24"/>
          <w:highlight w:val="none"/>
        </w:rPr>
        <w:t>18.2 分部工程验收</w:t>
      </w:r>
    </w:p>
    <w:p w14:paraId="3E7DCEDA">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18.2.1 分部工程具备验收条件时，承包人应向发包人提交验收</w:t>
      </w:r>
      <w:r>
        <w:rPr>
          <w:rFonts w:hint="eastAsia" w:ascii="宋体" w:hAnsi="宋体"/>
          <w:color w:val="auto"/>
          <w:szCs w:val="21"/>
          <w:highlight w:val="none"/>
          <w:lang w:eastAsia="zh-CN"/>
        </w:rPr>
        <w:t>申请</w:t>
      </w:r>
      <w:r>
        <w:rPr>
          <w:rFonts w:hint="eastAsia" w:ascii="宋体" w:hAnsi="宋体"/>
          <w:color w:val="auto"/>
          <w:szCs w:val="21"/>
          <w:highlight w:val="none"/>
        </w:rPr>
        <w:t>报告，发包人应在收到验收申请报告之日起10个工作日内决定是否同意进行验收。</w:t>
      </w:r>
    </w:p>
    <w:p w14:paraId="3C6C1DAC">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18.2.2 除专用合同条款另有约定外，监理人主持分部工程验收，承包人应派符合条件的代表参加验收工作组。</w:t>
      </w:r>
    </w:p>
    <w:p w14:paraId="03BD504C">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18.2.3 分部工程验收通过后，发包人向承包人发送分部工程验收鉴定书。承包人应及时完成分部工程验收鉴定书载明应由承包人处理的遗留问题。</w:t>
      </w:r>
    </w:p>
    <w:p w14:paraId="2234DE19">
      <w:pPr>
        <w:spacing w:line="360" w:lineRule="auto"/>
        <w:rPr>
          <w:rFonts w:hint="eastAsia" w:ascii="宋体" w:hAnsi="宋体"/>
          <w:b/>
          <w:color w:val="auto"/>
          <w:sz w:val="24"/>
          <w:highlight w:val="none"/>
        </w:rPr>
      </w:pPr>
      <w:r>
        <w:rPr>
          <w:rFonts w:hint="eastAsia" w:ascii="宋体" w:hAnsi="宋体"/>
          <w:b/>
          <w:color w:val="auto"/>
          <w:sz w:val="24"/>
          <w:highlight w:val="none"/>
        </w:rPr>
        <w:t>18.3单位工程验收</w:t>
      </w:r>
    </w:p>
    <w:p w14:paraId="6990032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18.3.1单位工程具备验收条件时，承包人应向发包人提交验收申请报告，发包人应在收到验收申请报告之日起10个工作日内决定是否同意进行验收。</w:t>
      </w:r>
    </w:p>
    <w:p w14:paraId="1D8DC73D">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18.3.2发包人主持单位工程验收，承包人应派符合条件的代表参加验收工作组。</w:t>
      </w:r>
    </w:p>
    <w:p w14:paraId="4451C22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18.3.3单位工程验收通过后，发包人向承包人发送单位工程验收鉴定书。承包人应及时完成单位工程验收鉴定书载明应由承包人处理的遗留问题。</w:t>
      </w:r>
    </w:p>
    <w:p w14:paraId="16786224">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18.3.4需提前投入使用的单位工程在专用合同条款中明确。</w:t>
      </w:r>
    </w:p>
    <w:p w14:paraId="471F0EBD">
      <w:pPr>
        <w:spacing w:line="360" w:lineRule="auto"/>
        <w:rPr>
          <w:rFonts w:hint="eastAsia" w:ascii="宋体" w:hAnsi="宋体"/>
          <w:b/>
          <w:color w:val="auto"/>
          <w:sz w:val="24"/>
          <w:highlight w:val="none"/>
        </w:rPr>
      </w:pPr>
      <w:r>
        <w:rPr>
          <w:rFonts w:hint="eastAsia" w:ascii="宋体" w:hAnsi="宋体"/>
          <w:b/>
          <w:color w:val="auto"/>
          <w:sz w:val="24"/>
          <w:highlight w:val="none"/>
        </w:rPr>
        <w:t>18.4合同工程完工验收</w:t>
      </w:r>
    </w:p>
    <w:p w14:paraId="068D091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18.4.1合同工程具备验收条件时，承包人应向发包人提交验收申请报告，发包人应在收到验收申请报告之日起20个工作日内决定是否同意进行验收。</w:t>
      </w:r>
    </w:p>
    <w:p w14:paraId="614E5AE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18.4.2发包人主持合同工程完工验收，承包人应派代表参加验收工作组。</w:t>
      </w:r>
    </w:p>
    <w:p w14:paraId="6381ECCC">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18.4.3合同工程完工验收通过后，发包人向承包人发送合同工程完工验收鉴定书。承包人应及时完成合同工程完工验收鉴定书载明应由承包人处理的遗留问题。</w:t>
      </w:r>
    </w:p>
    <w:p w14:paraId="4951AECC">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18.4.4合同工程完工验收通过后，发包人与承包人应在30个工作日内组织专人负责工程交接，双方交接负责人应在交接记录上签字。承包人应按验收鉴定书约定的时间及时移交工程及其档案资料。工程移交时，承包人应向发包人递交工程质量保修书。在承包人递交了工程质量保修书、完成施工场地清理以及提交有关资料后，发包人应在30个工作日内向承包人颁发合同工程完工证书。</w:t>
      </w:r>
    </w:p>
    <w:p w14:paraId="7B068A7F">
      <w:pPr>
        <w:spacing w:line="360" w:lineRule="auto"/>
        <w:rPr>
          <w:rFonts w:hint="eastAsia" w:ascii="宋体" w:hAnsi="宋体"/>
          <w:b/>
          <w:color w:val="auto"/>
          <w:sz w:val="24"/>
          <w:highlight w:val="none"/>
        </w:rPr>
      </w:pPr>
      <w:r>
        <w:rPr>
          <w:rFonts w:hint="eastAsia" w:ascii="宋体" w:hAnsi="宋体"/>
          <w:b/>
          <w:color w:val="auto"/>
          <w:sz w:val="24"/>
          <w:highlight w:val="none"/>
        </w:rPr>
        <w:t>18.5阶段验收</w:t>
      </w:r>
    </w:p>
    <w:p w14:paraId="0D2AC63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18.5.1工程建设具备阶段验收条件时，发包人负责提出阶段验收申请报告。承包人应派代表参加阶段验收，并作为被验收单位在验收鉴定书上签字。阶段验收的具体类别在专用合同条款中约定。</w:t>
      </w:r>
    </w:p>
    <w:p w14:paraId="7EEF5069">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18.5.2承包人应及时完成阶段验收鉴定书载明应由承包人处理的遗留问题。</w:t>
      </w:r>
    </w:p>
    <w:p w14:paraId="1387AB2A">
      <w:pPr>
        <w:spacing w:line="360" w:lineRule="auto"/>
        <w:rPr>
          <w:rFonts w:hint="eastAsia" w:ascii="宋体" w:hAnsi="宋体"/>
          <w:b/>
          <w:color w:val="auto"/>
          <w:sz w:val="24"/>
          <w:highlight w:val="none"/>
        </w:rPr>
      </w:pPr>
      <w:r>
        <w:rPr>
          <w:rFonts w:hint="eastAsia" w:ascii="宋体" w:hAnsi="宋体"/>
          <w:b/>
          <w:color w:val="auto"/>
          <w:sz w:val="24"/>
          <w:highlight w:val="none"/>
        </w:rPr>
        <w:t>18.6专项验收</w:t>
      </w:r>
    </w:p>
    <w:p w14:paraId="321C4EC7">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18.6.1发包人负责提出专项验收申请报告。承包人应按专项验收的相关规定参加专项验收。专项验收的具体类别在专用合同条款中约定。</w:t>
      </w:r>
    </w:p>
    <w:p w14:paraId="23AD7127">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18.6.2 承包人应及时完成专项验收成果性文件载明应由承包人处理的遗留问题。</w:t>
      </w:r>
    </w:p>
    <w:p w14:paraId="734B164F">
      <w:pPr>
        <w:spacing w:line="360" w:lineRule="auto"/>
        <w:rPr>
          <w:rFonts w:hint="eastAsia" w:ascii="宋体" w:hAnsi="宋体"/>
          <w:b/>
          <w:color w:val="auto"/>
          <w:sz w:val="24"/>
          <w:highlight w:val="none"/>
        </w:rPr>
      </w:pPr>
      <w:r>
        <w:rPr>
          <w:rFonts w:hint="eastAsia" w:ascii="宋体" w:hAnsi="宋体"/>
          <w:b/>
          <w:color w:val="auto"/>
          <w:sz w:val="24"/>
          <w:highlight w:val="none"/>
        </w:rPr>
        <w:t>18.7竣工验收</w:t>
      </w:r>
    </w:p>
    <w:p w14:paraId="7FE4E7A6">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18.7.1申请竣工验收前，发包人组织竣工验收自查，承包人应派代表参加。</w:t>
      </w:r>
    </w:p>
    <w:p w14:paraId="6A188E82">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18.7.2 竣工验收分为竣工技术预验收和竣工验收两个阶段。发包人应通知承包人派代表参加技术预验收和竣工验收。</w:t>
      </w:r>
    </w:p>
    <w:p w14:paraId="02D5B1A2">
      <w:pPr>
        <w:spacing w:line="360" w:lineRule="auto"/>
        <w:ind w:firstLine="420"/>
        <w:rPr>
          <w:rFonts w:hint="eastAsia" w:ascii="宋体" w:hAnsi="宋体"/>
          <w:color w:val="auto"/>
          <w:szCs w:val="21"/>
          <w:highlight w:val="none"/>
        </w:rPr>
      </w:pPr>
      <w:r>
        <w:rPr>
          <w:rFonts w:hint="eastAsia" w:ascii="宋体" w:hAnsi="宋体"/>
          <w:color w:val="auto"/>
          <w:szCs w:val="21"/>
          <w:highlight w:val="none"/>
        </w:rPr>
        <w:t>18.7.3专用合同条款约定工程需要进行技术鉴定的，承包人应提交有关资料并完成配合工作。</w:t>
      </w:r>
    </w:p>
    <w:p w14:paraId="31757661">
      <w:pPr>
        <w:spacing w:line="360" w:lineRule="auto"/>
        <w:ind w:firstLine="420"/>
        <w:rPr>
          <w:rFonts w:hint="eastAsia" w:ascii="宋体" w:hAnsi="宋体"/>
          <w:color w:val="auto"/>
          <w:szCs w:val="21"/>
          <w:highlight w:val="none"/>
        </w:rPr>
      </w:pPr>
      <w:r>
        <w:rPr>
          <w:rFonts w:hint="eastAsia" w:ascii="宋体" w:hAnsi="宋体"/>
          <w:color w:val="auto"/>
          <w:szCs w:val="21"/>
          <w:highlight w:val="none"/>
        </w:rPr>
        <w:t>18.7.4 竣工验收需要进行质量检测的，所需费用由发包人承担，但因承包人原因造成质量不合格的除外。</w:t>
      </w:r>
    </w:p>
    <w:p w14:paraId="2F4F4F1B">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18.7.5工程质量保修期满以及竣工验收遗留问题和尾工处理完成并通过验收后，发包人负责将处理情况和验收成果报送竣工验收主持单位，申请领取工程竣工证书，并发送承包人。</w:t>
      </w:r>
    </w:p>
    <w:p w14:paraId="17B1F340">
      <w:pPr>
        <w:spacing w:line="360" w:lineRule="auto"/>
        <w:rPr>
          <w:rFonts w:hint="eastAsia" w:ascii="宋体" w:hAnsi="宋体"/>
          <w:b/>
          <w:color w:val="auto"/>
          <w:sz w:val="24"/>
          <w:highlight w:val="none"/>
        </w:rPr>
      </w:pPr>
      <w:r>
        <w:rPr>
          <w:rFonts w:hint="eastAsia" w:ascii="宋体" w:hAnsi="宋体"/>
          <w:b/>
          <w:color w:val="auto"/>
          <w:sz w:val="24"/>
          <w:highlight w:val="none"/>
        </w:rPr>
        <w:t>18.8施工期运行</w:t>
      </w:r>
    </w:p>
    <w:p w14:paraId="31122792">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18.8.1 施工期运行是指合同工程尚未全部完工，其中某单位工程或部分工程已完工，需要投入施工期运行的，经发包人按第18.2款或第18.3款的约定验收合格，证明能确保安全才能在施工后期投入运行。需要在施工期运行的单位工程或部分工程在专用合同条款中约定。</w:t>
      </w:r>
    </w:p>
    <w:p w14:paraId="3970893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18.8.2 在施工期运行中发现工程或工程设备损坏或存在缺陷的，由承包人按第19.2款约定进行修复。</w:t>
      </w:r>
    </w:p>
    <w:p w14:paraId="63BCC332">
      <w:pPr>
        <w:spacing w:line="360" w:lineRule="auto"/>
        <w:rPr>
          <w:rFonts w:hint="eastAsia" w:ascii="宋体" w:hAnsi="宋体"/>
          <w:b/>
          <w:color w:val="auto"/>
          <w:sz w:val="24"/>
          <w:highlight w:val="none"/>
        </w:rPr>
      </w:pPr>
      <w:r>
        <w:rPr>
          <w:rFonts w:hint="eastAsia" w:ascii="宋体" w:hAnsi="宋体"/>
          <w:b/>
          <w:color w:val="auto"/>
          <w:sz w:val="24"/>
          <w:highlight w:val="none"/>
        </w:rPr>
        <w:t>18.9 试运行</w:t>
      </w:r>
    </w:p>
    <w:p w14:paraId="75D85A6F">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18.9.1除专用合同条款另有约定外，承包人应按规定进行工程及工程设备试运行，负责提供试运行所需的人员、器材和必要的条件，并承担全部试运行费用。</w:t>
      </w:r>
    </w:p>
    <w:p w14:paraId="16E3785D">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18.9.2由于承包人的原因导致试运行失败的，承包人应采取措施保证试运行合格，并承担相应费用。由于发包人的原因导致试运行失败的，承包人应采取措施保证试运行合格，发包人应承担由此产生的费用，并支付承包人合理利润。</w:t>
      </w:r>
    </w:p>
    <w:p w14:paraId="713823B5">
      <w:pPr>
        <w:spacing w:line="360" w:lineRule="auto"/>
        <w:rPr>
          <w:rFonts w:hint="eastAsia" w:ascii="宋体" w:hAnsi="宋体"/>
          <w:b/>
          <w:color w:val="auto"/>
          <w:sz w:val="24"/>
          <w:highlight w:val="none"/>
        </w:rPr>
      </w:pPr>
      <w:r>
        <w:rPr>
          <w:rFonts w:hint="eastAsia" w:ascii="宋体" w:hAnsi="宋体"/>
          <w:b/>
          <w:color w:val="auto"/>
          <w:sz w:val="24"/>
          <w:highlight w:val="none"/>
        </w:rPr>
        <w:t>18.10 竣工</w:t>
      </w:r>
      <w:r>
        <w:rPr>
          <w:rFonts w:hint="eastAsia" w:ascii="宋体" w:hAnsi="宋体"/>
          <w:b/>
          <w:color w:val="auto"/>
          <w:sz w:val="24"/>
          <w:highlight w:val="none"/>
          <w:lang w:eastAsia="zh-CN"/>
        </w:rPr>
        <w:t>（</w:t>
      </w:r>
      <w:r>
        <w:rPr>
          <w:rFonts w:hint="eastAsia" w:ascii="宋体" w:hAnsi="宋体"/>
          <w:b/>
          <w:color w:val="auto"/>
          <w:sz w:val="24"/>
          <w:highlight w:val="none"/>
        </w:rPr>
        <w:t>完工</w:t>
      </w:r>
      <w:r>
        <w:rPr>
          <w:rFonts w:hint="eastAsia" w:ascii="宋体" w:hAnsi="宋体"/>
          <w:b/>
          <w:color w:val="auto"/>
          <w:sz w:val="24"/>
          <w:highlight w:val="none"/>
          <w:lang w:eastAsia="zh-CN"/>
        </w:rPr>
        <w:t>）</w:t>
      </w:r>
      <w:r>
        <w:rPr>
          <w:rFonts w:hint="eastAsia" w:ascii="宋体" w:hAnsi="宋体"/>
          <w:b/>
          <w:color w:val="auto"/>
          <w:sz w:val="24"/>
          <w:highlight w:val="none"/>
        </w:rPr>
        <w:t>清场</w:t>
      </w:r>
    </w:p>
    <w:p w14:paraId="0E7F92AD">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18.10.1工程项目竣工</w:t>
      </w:r>
      <w:r>
        <w:rPr>
          <w:rFonts w:hint="eastAsia" w:ascii="宋体" w:hAnsi="宋体"/>
          <w:color w:val="auto"/>
          <w:szCs w:val="21"/>
          <w:highlight w:val="none"/>
          <w:lang w:eastAsia="zh-CN"/>
        </w:rPr>
        <w:t>（</w:t>
      </w:r>
      <w:r>
        <w:rPr>
          <w:rFonts w:hint="eastAsia" w:ascii="宋体" w:hAnsi="宋体"/>
          <w:color w:val="auto"/>
          <w:szCs w:val="21"/>
          <w:highlight w:val="none"/>
        </w:rPr>
        <w:t>完工</w:t>
      </w:r>
      <w:r>
        <w:rPr>
          <w:rFonts w:hint="eastAsia" w:ascii="宋体" w:hAnsi="宋体"/>
          <w:color w:val="auto"/>
          <w:szCs w:val="21"/>
          <w:highlight w:val="none"/>
          <w:lang w:eastAsia="zh-CN"/>
        </w:rPr>
        <w:t>）</w:t>
      </w:r>
      <w:r>
        <w:rPr>
          <w:rFonts w:hint="eastAsia" w:ascii="宋体" w:hAnsi="宋体"/>
          <w:color w:val="auto"/>
          <w:szCs w:val="21"/>
          <w:highlight w:val="none"/>
        </w:rPr>
        <w:t>清场的工作范围和内容在技术标准和要求</w:t>
      </w:r>
      <w:r>
        <w:rPr>
          <w:rFonts w:hint="eastAsia" w:ascii="宋体" w:hAnsi="宋体"/>
          <w:color w:val="auto"/>
          <w:szCs w:val="21"/>
          <w:highlight w:val="none"/>
          <w:lang w:eastAsia="zh-CN"/>
        </w:rPr>
        <w:t>（</w:t>
      </w:r>
      <w:r>
        <w:rPr>
          <w:rFonts w:hint="eastAsia" w:ascii="宋体" w:hAnsi="宋体"/>
          <w:color w:val="auto"/>
          <w:szCs w:val="21"/>
          <w:highlight w:val="none"/>
        </w:rPr>
        <w:t>合同技术条款</w:t>
      </w:r>
      <w:r>
        <w:rPr>
          <w:rFonts w:hint="eastAsia" w:ascii="宋体" w:hAnsi="宋体"/>
          <w:color w:val="auto"/>
          <w:szCs w:val="21"/>
          <w:highlight w:val="none"/>
          <w:lang w:eastAsia="zh-CN"/>
        </w:rPr>
        <w:t>）</w:t>
      </w:r>
      <w:r>
        <w:rPr>
          <w:rFonts w:hint="eastAsia" w:ascii="宋体" w:hAnsi="宋体"/>
          <w:color w:val="auto"/>
          <w:szCs w:val="21"/>
          <w:highlight w:val="none"/>
        </w:rPr>
        <w:t>中约定。</w:t>
      </w:r>
    </w:p>
    <w:p w14:paraId="55174D68">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18.10.2承包人未按监理人的要求恢复临时占地，或者场地清理未达到合同约定的，发包人有权委托</w:t>
      </w:r>
      <w:r>
        <w:rPr>
          <w:rFonts w:hint="eastAsia" w:ascii="宋体" w:hAnsi="宋体"/>
          <w:color w:val="auto"/>
          <w:szCs w:val="21"/>
          <w:highlight w:val="none"/>
          <w:lang w:eastAsia="zh-CN"/>
        </w:rPr>
        <w:t>其他人</w:t>
      </w:r>
      <w:r>
        <w:rPr>
          <w:rFonts w:hint="eastAsia" w:ascii="宋体" w:hAnsi="宋体"/>
          <w:color w:val="auto"/>
          <w:szCs w:val="21"/>
          <w:highlight w:val="none"/>
        </w:rPr>
        <w:t>恢复或清理，所发生的金额从拟支付给承包人的款项中扣除。</w:t>
      </w:r>
    </w:p>
    <w:p w14:paraId="4C9ED633">
      <w:pPr>
        <w:spacing w:line="360" w:lineRule="auto"/>
        <w:rPr>
          <w:rFonts w:hint="eastAsia" w:ascii="宋体" w:hAnsi="宋体"/>
          <w:b/>
          <w:color w:val="auto"/>
          <w:sz w:val="24"/>
          <w:highlight w:val="none"/>
        </w:rPr>
      </w:pPr>
      <w:r>
        <w:rPr>
          <w:rFonts w:hint="eastAsia" w:ascii="宋体" w:hAnsi="宋体"/>
          <w:b/>
          <w:color w:val="auto"/>
          <w:sz w:val="24"/>
          <w:highlight w:val="none"/>
        </w:rPr>
        <w:t>18.11施工队伍的撤离</w:t>
      </w:r>
    </w:p>
    <w:p w14:paraId="1375D625">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合同工程完工证书颁发后的56天内，除了经监理人同意需在缺陷责任期</w:t>
      </w:r>
      <w:r>
        <w:rPr>
          <w:rFonts w:hint="eastAsia" w:ascii="宋体" w:hAnsi="宋体"/>
          <w:color w:val="auto"/>
          <w:szCs w:val="21"/>
          <w:highlight w:val="none"/>
          <w:lang w:eastAsia="zh-CN"/>
        </w:rPr>
        <w:t>（</w:t>
      </w:r>
      <w:r>
        <w:rPr>
          <w:rFonts w:hint="eastAsia" w:ascii="宋体" w:hAnsi="宋体"/>
          <w:color w:val="auto"/>
          <w:szCs w:val="21"/>
          <w:highlight w:val="none"/>
        </w:rPr>
        <w:t>工程质量保修期</w:t>
      </w:r>
      <w:r>
        <w:rPr>
          <w:rFonts w:hint="eastAsia" w:ascii="宋体" w:hAnsi="宋体"/>
          <w:color w:val="auto"/>
          <w:szCs w:val="21"/>
          <w:highlight w:val="none"/>
          <w:lang w:eastAsia="zh-CN"/>
        </w:rPr>
        <w:t>）</w:t>
      </w:r>
      <w:r>
        <w:rPr>
          <w:rFonts w:hint="eastAsia" w:ascii="宋体" w:hAnsi="宋体"/>
          <w:color w:val="auto"/>
          <w:szCs w:val="21"/>
          <w:highlight w:val="none"/>
        </w:rPr>
        <w:t>内继续工作和使用的人员、施工设备和临时工程外，其余的人员、施工设备和临时工程均应撤离施工场地或拆除。除合同另有约定外，缺陷责任期</w:t>
      </w:r>
      <w:r>
        <w:rPr>
          <w:rFonts w:hint="eastAsia" w:ascii="宋体" w:hAnsi="宋体"/>
          <w:color w:val="auto"/>
          <w:szCs w:val="21"/>
          <w:highlight w:val="none"/>
          <w:lang w:eastAsia="zh-CN"/>
        </w:rPr>
        <w:t>（</w:t>
      </w:r>
      <w:r>
        <w:rPr>
          <w:rFonts w:hint="eastAsia" w:ascii="宋体" w:hAnsi="宋体"/>
          <w:color w:val="auto"/>
          <w:szCs w:val="21"/>
          <w:highlight w:val="none"/>
        </w:rPr>
        <w:t>工程质量保修期</w:t>
      </w:r>
      <w:r>
        <w:rPr>
          <w:rFonts w:hint="eastAsia" w:ascii="宋体" w:hAnsi="宋体"/>
          <w:color w:val="auto"/>
          <w:szCs w:val="21"/>
          <w:highlight w:val="none"/>
          <w:lang w:eastAsia="zh-CN"/>
        </w:rPr>
        <w:t>）</w:t>
      </w:r>
      <w:r>
        <w:rPr>
          <w:rFonts w:hint="eastAsia" w:ascii="宋体" w:hAnsi="宋体"/>
          <w:color w:val="auto"/>
          <w:szCs w:val="21"/>
          <w:highlight w:val="none"/>
        </w:rPr>
        <w:t>满时，承包人的人员和施工设备应全部撤离施工场地。</w:t>
      </w:r>
    </w:p>
    <w:p w14:paraId="33CF9D12">
      <w:pPr>
        <w:pStyle w:val="5"/>
        <w:rPr>
          <w:rFonts w:hint="eastAsia" w:ascii="宋体" w:hAnsi="宋体"/>
          <w:color w:val="auto"/>
          <w:sz w:val="28"/>
          <w:highlight w:val="none"/>
        </w:rPr>
      </w:pPr>
      <w:r>
        <w:rPr>
          <w:rFonts w:hint="eastAsia" w:ascii="宋体" w:hAnsi="宋体"/>
          <w:color w:val="auto"/>
          <w:sz w:val="28"/>
          <w:highlight w:val="none"/>
        </w:rPr>
        <w:t>19.缺陷责任与保修责任</w:t>
      </w:r>
    </w:p>
    <w:p w14:paraId="352121E8">
      <w:pPr>
        <w:spacing w:line="360" w:lineRule="auto"/>
        <w:rPr>
          <w:rFonts w:hint="eastAsia" w:ascii="宋体" w:hAnsi="宋体"/>
          <w:b/>
          <w:color w:val="auto"/>
          <w:sz w:val="24"/>
          <w:highlight w:val="none"/>
        </w:rPr>
      </w:pPr>
      <w:r>
        <w:rPr>
          <w:rFonts w:hint="eastAsia" w:ascii="宋体" w:hAnsi="宋体"/>
          <w:b/>
          <w:color w:val="auto"/>
          <w:sz w:val="24"/>
          <w:highlight w:val="none"/>
        </w:rPr>
        <w:t>19.1缺陷责任期</w:t>
      </w:r>
      <w:r>
        <w:rPr>
          <w:rFonts w:hint="eastAsia" w:ascii="宋体" w:hAnsi="宋体"/>
          <w:b/>
          <w:color w:val="auto"/>
          <w:sz w:val="24"/>
          <w:highlight w:val="none"/>
          <w:lang w:eastAsia="zh-CN"/>
        </w:rPr>
        <w:t>（</w:t>
      </w:r>
      <w:r>
        <w:rPr>
          <w:rFonts w:hint="eastAsia" w:ascii="宋体" w:hAnsi="宋体"/>
          <w:b/>
          <w:color w:val="auto"/>
          <w:sz w:val="24"/>
          <w:highlight w:val="none"/>
        </w:rPr>
        <w:t>工程质量保修期</w:t>
      </w:r>
      <w:r>
        <w:rPr>
          <w:rFonts w:hint="eastAsia" w:ascii="宋体" w:hAnsi="宋体"/>
          <w:b/>
          <w:color w:val="auto"/>
          <w:sz w:val="24"/>
          <w:highlight w:val="none"/>
          <w:lang w:eastAsia="zh-CN"/>
        </w:rPr>
        <w:t>）</w:t>
      </w:r>
      <w:r>
        <w:rPr>
          <w:rFonts w:hint="eastAsia" w:ascii="宋体" w:hAnsi="宋体"/>
          <w:b/>
          <w:color w:val="auto"/>
          <w:sz w:val="24"/>
          <w:highlight w:val="none"/>
        </w:rPr>
        <w:t>的起算</w:t>
      </w:r>
      <w:r>
        <w:rPr>
          <w:rFonts w:hint="eastAsia" w:ascii="宋体" w:hAnsi="宋体"/>
          <w:b/>
          <w:color w:val="auto"/>
          <w:sz w:val="24"/>
          <w:highlight w:val="none"/>
          <w:lang w:eastAsia="zh-CN"/>
        </w:rPr>
        <w:t>时间</w:t>
      </w:r>
    </w:p>
    <w:p w14:paraId="2946E296">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除专用合同条款另有约定外，缺陷责任期</w:t>
      </w:r>
      <w:r>
        <w:rPr>
          <w:rFonts w:hint="eastAsia" w:ascii="宋体" w:hAnsi="宋体"/>
          <w:color w:val="auto"/>
          <w:szCs w:val="21"/>
          <w:highlight w:val="none"/>
          <w:lang w:eastAsia="zh-CN"/>
        </w:rPr>
        <w:t>（</w:t>
      </w:r>
      <w:r>
        <w:rPr>
          <w:rFonts w:hint="eastAsia" w:ascii="宋体" w:hAnsi="宋体"/>
          <w:color w:val="auto"/>
          <w:szCs w:val="21"/>
          <w:highlight w:val="none"/>
        </w:rPr>
        <w:t>工程质量保修期</w:t>
      </w:r>
      <w:r>
        <w:rPr>
          <w:rFonts w:hint="eastAsia" w:ascii="宋体" w:hAnsi="宋体"/>
          <w:color w:val="auto"/>
          <w:szCs w:val="21"/>
          <w:highlight w:val="none"/>
          <w:lang w:eastAsia="zh-CN"/>
        </w:rPr>
        <w:t>）</w:t>
      </w:r>
      <w:r>
        <w:rPr>
          <w:rFonts w:hint="eastAsia" w:ascii="宋体" w:hAnsi="宋体"/>
          <w:color w:val="auto"/>
          <w:szCs w:val="21"/>
          <w:highlight w:val="none"/>
        </w:rPr>
        <w:t>从工程通过合同工程完工验收后开始计算。在合同工程完工验收前，已经发包人提前验收的单位工程或部分工程，若未投入使用，其缺陷责任期</w:t>
      </w:r>
      <w:r>
        <w:rPr>
          <w:rFonts w:hint="eastAsia" w:ascii="宋体" w:hAnsi="宋体"/>
          <w:color w:val="auto"/>
          <w:szCs w:val="21"/>
          <w:highlight w:val="none"/>
          <w:lang w:eastAsia="zh-CN"/>
        </w:rPr>
        <w:t>（</w:t>
      </w:r>
      <w:r>
        <w:rPr>
          <w:rFonts w:hint="eastAsia" w:ascii="宋体" w:hAnsi="宋体"/>
          <w:color w:val="auto"/>
          <w:szCs w:val="21"/>
          <w:highlight w:val="none"/>
        </w:rPr>
        <w:t>工程质量保修期)亦从工程通过合同工程完工验收后开始计算</w:t>
      </w:r>
      <w:r>
        <w:rPr>
          <w:rFonts w:hint="eastAsia" w:ascii="宋体" w:hAnsi="宋体"/>
          <w:color w:val="auto"/>
          <w:szCs w:val="21"/>
          <w:highlight w:val="none"/>
          <w:lang w:eastAsia="zh-CN"/>
        </w:rPr>
        <w:t>；</w:t>
      </w:r>
      <w:r>
        <w:rPr>
          <w:rFonts w:hint="eastAsia" w:ascii="宋体" w:hAnsi="宋体"/>
          <w:color w:val="auto"/>
          <w:szCs w:val="21"/>
          <w:highlight w:val="none"/>
        </w:rPr>
        <w:t>若已投入使用，其缺陷责任期</w:t>
      </w:r>
      <w:r>
        <w:rPr>
          <w:rFonts w:hint="eastAsia" w:ascii="宋体" w:hAnsi="宋体"/>
          <w:color w:val="auto"/>
          <w:szCs w:val="21"/>
          <w:highlight w:val="none"/>
          <w:lang w:eastAsia="zh-CN"/>
        </w:rPr>
        <w:t>（</w:t>
      </w:r>
      <w:r>
        <w:rPr>
          <w:rFonts w:hint="eastAsia" w:ascii="宋体" w:hAnsi="宋体"/>
          <w:color w:val="auto"/>
          <w:szCs w:val="21"/>
          <w:highlight w:val="none"/>
        </w:rPr>
        <w:t>工程质量保修期</w:t>
      </w:r>
      <w:r>
        <w:rPr>
          <w:rFonts w:hint="eastAsia" w:ascii="宋体" w:hAnsi="宋体"/>
          <w:color w:val="auto"/>
          <w:szCs w:val="21"/>
          <w:highlight w:val="none"/>
          <w:lang w:eastAsia="zh-CN"/>
        </w:rPr>
        <w:t>）</w:t>
      </w:r>
      <w:r>
        <w:rPr>
          <w:rFonts w:hint="eastAsia" w:ascii="宋体" w:hAnsi="宋体"/>
          <w:color w:val="auto"/>
          <w:szCs w:val="21"/>
          <w:highlight w:val="none"/>
        </w:rPr>
        <w:t xml:space="preserve">从通过单位工程或部分工程投入使用验收后开始计算。缺陷责任期  </w:t>
      </w:r>
      <w:r>
        <w:rPr>
          <w:rFonts w:hint="eastAsia" w:ascii="宋体" w:hAnsi="宋体"/>
          <w:color w:val="auto"/>
          <w:szCs w:val="21"/>
          <w:highlight w:val="none"/>
          <w:lang w:eastAsia="zh-CN"/>
        </w:rPr>
        <w:t>（</w:t>
      </w:r>
      <w:r>
        <w:rPr>
          <w:rFonts w:hint="eastAsia" w:ascii="宋体" w:hAnsi="宋体"/>
          <w:color w:val="auto"/>
          <w:szCs w:val="21"/>
          <w:highlight w:val="none"/>
        </w:rPr>
        <w:t>工程质量保修期</w:t>
      </w:r>
      <w:r>
        <w:rPr>
          <w:rFonts w:hint="eastAsia" w:ascii="宋体" w:hAnsi="宋体"/>
          <w:color w:val="auto"/>
          <w:szCs w:val="21"/>
          <w:highlight w:val="none"/>
          <w:lang w:eastAsia="zh-CN"/>
        </w:rPr>
        <w:t>）</w:t>
      </w:r>
      <w:r>
        <w:rPr>
          <w:rFonts w:hint="eastAsia" w:ascii="宋体" w:hAnsi="宋体"/>
          <w:color w:val="auto"/>
          <w:szCs w:val="21"/>
          <w:highlight w:val="none"/>
        </w:rPr>
        <w:t>的期限在专用合同条款中约定。</w:t>
      </w:r>
    </w:p>
    <w:p w14:paraId="1230B4E4">
      <w:pPr>
        <w:spacing w:line="360" w:lineRule="auto"/>
        <w:rPr>
          <w:rFonts w:hint="eastAsia" w:ascii="宋体" w:hAnsi="宋体"/>
          <w:b/>
          <w:color w:val="auto"/>
          <w:sz w:val="24"/>
          <w:highlight w:val="none"/>
        </w:rPr>
      </w:pPr>
      <w:r>
        <w:rPr>
          <w:rFonts w:hint="eastAsia" w:ascii="宋体" w:hAnsi="宋体"/>
          <w:b/>
          <w:color w:val="auto"/>
          <w:sz w:val="24"/>
          <w:highlight w:val="none"/>
        </w:rPr>
        <w:t>19.2 缺陷责任</w:t>
      </w:r>
    </w:p>
    <w:p w14:paraId="33A8B08E">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19.2.1承包人应在缺陷责任期内对已交付使用的工程承担缺陷责任。</w:t>
      </w:r>
    </w:p>
    <w:p w14:paraId="1AE1B0A2">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19.2.2缺陷责任期内，发包人对已接收使用的工程负责日常维护工作。发包人在使用过程中，发现已接收的工程存在新的缺陷或已修复的缺陷部位或部件又遭损坏的，承包人应负责修复，直至检验合格为止。</w:t>
      </w:r>
    </w:p>
    <w:p w14:paraId="5FAA7EAD">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19.2.3监理人和承包人应共同查清缺陷和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损坏的原因。经查明属承包人原因造成的，应由承包人承担修复和查验的费用。经查验属发包人原因造成的，发包人应承担修复和查验的费用，并支付承包人合理利润。</w:t>
      </w:r>
    </w:p>
    <w:p w14:paraId="7D8DBDBF">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19.2.4承包人不能在合理时间内修复缺陷的，发包人可自行修复或委托其他人修复，所需费用和利润的承担，按第19.2.3项约定办理。</w:t>
      </w:r>
    </w:p>
    <w:p w14:paraId="27BB4B69">
      <w:pPr>
        <w:spacing w:line="360" w:lineRule="auto"/>
        <w:rPr>
          <w:rFonts w:hint="eastAsia" w:ascii="宋体" w:hAnsi="宋体"/>
          <w:b/>
          <w:color w:val="auto"/>
          <w:sz w:val="24"/>
          <w:highlight w:val="none"/>
        </w:rPr>
      </w:pPr>
      <w:r>
        <w:rPr>
          <w:rFonts w:hint="eastAsia" w:ascii="宋体" w:hAnsi="宋体"/>
          <w:b/>
          <w:color w:val="auto"/>
          <w:sz w:val="24"/>
          <w:highlight w:val="none"/>
        </w:rPr>
        <w:t>19.3 缺陷责任期的延长</w:t>
      </w:r>
    </w:p>
    <w:p w14:paraId="0D3EB571">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由于承包人原因造成某项缺陷或损坏使某项工程或工程设备不能按原定目标使用而需要再次检查、检验和修复的，发包人有权要求承包人相应延长缺陷责任期，但缺陷责任期最长不超过2年。</w:t>
      </w:r>
    </w:p>
    <w:p w14:paraId="2A6B6CD6">
      <w:pPr>
        <w:spacing w:line="360" w:lineRule="auto"/>
        <w:rPr>
          <w:rFonts w:hint="eastAsia" w:ascii="宋体" w:hAnsi="宋体"/>
          <w:b/>
          <w:color w:val="auto"/>
          <w:sz w:val="24"/>
          <w:highlight w:val="none"/>
        </w:rPr>
      </w:pPr>
      <w:r>
        <w:rPr>
          <w:rFonts w:hint="eastAsia" w:ascii="宋体" w:hAnsi="宋体"/>
          <w:b/>
          <w:color w:val="auto"/>
          <w:sz w:val="24"/>
          <w:highlight w:val="none"/>
        </w:rPr>
        <w:t>19.4 进一步试验和试运行</w:t>
      </w:r>
    </w:p>
    <w:p w14:paraId="7CB9F0C2">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任何一项缺陷或损坏修复后，经检查证明其影响了工程或工程设备的使用性能，承包人应重新进行合同约定的试验和试运行，试验和试运行的全部费用应由责任方承担。</w:t>
      </w:r>
    </w:p>
    <w:p w14:paraId="5127FD9D">
      <w:pPr>
        <w:spacing w:line="360" w:lineRule="auto"/>
        <w:rPr>
          <w:rFonts w:hint="eastAsia" w:ascii="宋体" w:hAnsi="宋体"/>
          <w:b/>
          <w:color w:val="auto"/>
          <w:sz w:val="24"/>
          <w:highlight w:val="none"/>
        </w:rPr>
      </w:pPr>
      <w:r>
        <w:rPr>
          <w:rFonts w:hint="eastAsia" w:ascii="宋体" w:hAnsi="宋体"/>
          <w:b/>
          <w:color w:val="auto"/>
          <w:sz w:val="24"/>
          <w:highlight w:val="none"/>
        </w:rPr>
        <w:t>19.5 承包人的进入权</w:t>
      </w:r>
    </w:p>
    <w:p w14:paraId="1BCEE854">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缺陷责任期内承包人为缺陷修复工作需要，有权进入工程现场，但应遵守发包人的保安和保密规定。</w:t>
      </w:r>
    </w:p>
    <w:p w14:paraId="1E73E0F9">
      <w:pPr>
        <w:spacing w:line="360" w:lineRule="auto"/>
        <w:rPr>
          <w:rFonts w:hint="eastAsia" w:ascii="宋体" w:hAnsi="宋体"/>
          <w:b/>
          <w:color w:val="auto"/>
          <w:sz w:val="24"/>
          <w:highlight w:val="none"/>
        </w:rPr>
      </w:pPr>
      <w:r>
        <w:rPr>
          <w:rFonts w:hint="eastAsia" w:ascii="宋体" w:hAnsi="宋体"/>
          <w:b/>
          <w:color w:val="auto"/>
          <w:sz w:val="24"/>
          <w:highlight w:val="none"/>
        </w:rPr>
        <w:t>19.6 缺陷责任期终止证书</w:t>
      </w:r>
      <w:r>
        <w:rPr>
          <w:rFonts w:hint="eastAsia" w:ascii="宋体" w:hAnsi="宋体"/>
          <w:b/>
          <w:color w:val="auto"/>
          <w:sz w:val="24"/>
          <w:highlight w:val="none"/>
          <w:lang w:eastAsia="zh-CN"/>
        </w:rPr>
        <w:t>（</w:t>
      </w:r>
      <w:r>
        <w:rPr>
          <w:rFonts w:hint="eastAsia" w:ascii="宋体" w:hAnsi="宋体"/>
          <w:b/>
          <w:color w:val="auto"/>
          <w:sz w:val="24"/>
          <w:highlight w:val="none"/>
        </w:rPr>
        <w:t>工程质量保修责任终止证书</w:t>
      </w:r>
      <w:r>
        <w:rPr>
          <w:rFonts w:hint="eastAsia" w:ascii="宋体" w:hAnsi="宋体"/>
          <w:b/>
          <w:color w:val="auto"/>
          <w:sz w:val="24"/>
          <w:highlight w:val="none"/>
          <w:lang w:eastAsia="zh-CN"/>
        </w:rPr>
        <w:t>）</w:t>
      </w:r>
    </w:p>
    <w:p w14:paraId="71018651">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合同工程完工验收或投入使用验收后，发包人与承包人应办理工程交接手续，承包人应向发包人递交工程质量保修书。</w:t>
      </w:r>
    </w:p>
    <w:p w14:paraId="2AA41AA9">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缺陷责任期</w:t>
      </w:r>
      <w:r>
        <w:rPr>
          <w:rFonts w:hint="eastAsia" w:ascii="宋体" w:hAnsi="宋体"/>
          <w:color w:val="auto"/>
          <w:szCs w:val="21"/>
          <w:highlight w:val="none"/>
          <w:lang w:eastAsia="zh-CN"/>
        </w:rPr>
        <w:t>（</w:t>
      </w:r>
      <w:r>
        <w:rPr>
          <w:rFonts w:hint="eastAsia" w:ascii="宋体" w:hAnsi="宋体"/>
          <w:color w:val="auto"/>
          <w:szCs w:val="21"/>
          <w:highlight w:val="none"/>
        </w:rPr>
        <w:t>工程质量保修期</w:t>
      </w:r>
      <w:r>
        <w:rPr>
          <w:rFonts w:hint="eastAsia" w:ascii="宋体" w:hAnsi="宋体"/>
          <w:color w:val="auto"/>
          <w:szCs w:val="21"/>
          <w:highlight w:val="none"/>
          <w:lang w:eastAsia="zh-CN"/>
        </w:rPr>
        <w:t>）</w:t>
      </w:r>
      <w:r>
        <w:rPr>
          <w:rFonts w:hint="eastAsia" w:ascii="宋体" w:hAnsi="宋体"/>
          <w:color w:val="auto"/>
          <w:szCs w:val="21"/>
          <w:highlight w:val="none"/>
        </w:rPr>
        <w:t>满后30个工作日内，发包人应向承包人颁发工程质量保修责任终止证书，并退还剩余的质量保证金，但保修责任范围内的质量缺陷未处理完成的应除外。</w:t>
      </w:r>
    </w:p>
    <w:p w14:paraId="252B77DD">
      <w:pPr>
        <w:spacing w:line="360" w:lineRule="auto"/>
        <w:rPr>
          <w:rFonts w:hint="eastAsia" w:ascii="宋体" w:hAnsi="宋体"/>
          <w:b/>
          <w:color w:val="auto"/>
          <w:sz w:val="24"/>
          <w:highlight w:val="none"/>
        </w:rPr>
      </w:pPr>
      <w:r>
        <w:rPr>
          <w:rFonts w:hint="eastAsia" w:ascii="宋体" w:hAnsi="宋体"/>
          <w:b/>
          <w:color w:val="auto"/>
          <w:sz w:val="24"/>
          <w:highlight w:val="none"/>
        </w:rPr>
        <w:t>19.7 保修责任</w:t>
      </w:r>
    </w:p>
    <w:p w14:paraId="25B57C4A">
      <w:pPr>
        <w:spacing w:line="360" w:lineRule="auto"/>
        <w:ind w:firstLine="420"/>
        <w:rPr>
          <w:rFonts w:hint="eastAsia" w:ascii="宋体" w:hAnsi="宋体"/>
          <w:color w:val="auto"/>
          <w:szCs w:val="21"/>
          <w:highlight w:val="none"/>
        </w:rPr>
      </w:pPr>
      <w:r>
        <w:rPr>
          <w:rFonts w:hint="eastAsia" w:ascii="宋体" w:hAnsi="宋体"/>
          <w:color w:val="auto"/>
          <w:szCs w:val="21"/>
          <w:highlight w:val="none"/>
        </w:rPr>
        <w:t>合同当事人根据有关法律规定，在专用合同条款中约定工程质量保修范围、期限和责任。保修期自实际竣工日期起计算。在全部工程竣工验收前，已经发包人提前验收的单位工程，其保修期的起算日期相应提前。</w:t>
      </w:r>
    </w:p>
    <w:p w14:paraId="79AEB2D5">
      <w:pPr>
        <w:pStyle w:val="5"/>
        <w:rPr>
          <w:rFonts w:hint="eastAsia" w:ascii="宋体" w:hAnsi="宋体"/>
          <w:color w:val="auto"/>
          <w:sz w:val="28"/>
          <w:highlight w:val="none"/>
        </w:rPr>
      </w:pPr>
      <w:r>
        <w:rPr>
          <w:rFonts w:hint="eastAsia" w:ascii="宋体" w:hAnsi="宋体"/>
          <w:color w:val="auto"/>
          <w:sz w:val="28"/>
          <w:highlight w:val="none"/>
        </w:rPr>
        <w:t>20. 保险</w:t>
      </w:r>
    </w:p>
    <w:p w14:paraId="55B11B3A">
      <w:pPr>
        <w:spacing w:line="360" w:lineRule="auto"/>
        <w:rPr>
          <w:rFonts w:hint="eastAsia" w:ascii="宋体" w:hAnsi="宋体"/>
          <w:b/>
          <w:color w:val="auto"/>
          <w:sz w:val="24"/>
          <w:highlight w:val="none"/>
        </w:rPr>
      </w:pPr>
      <w:r>
        <w:rPr>
          <w:rFonts w:hint="eastAsia" w:ascii="宋体" w:hAnsi="宋体"/>
          <w:b/>
          <w:color w:val="auto"/>
          <w:sz w:val="24"/>
          <w:highlight w:val="none"/>
        </w:rPr>
        <w:t>20.1工程保险</w:t>
      </w:r>
    </w:p>
    <w:p w14:paraId="3D9E2279">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除专用合同条款另有约定外，承包人应以发包人和承包人的共同名义向双方同意的保险人投保建筑工程一切险、安装工程一切险。其具体的投保内容、保险金额、保险费率、保险期限等有关内容在专用合同条款中约定。</w:t>
      </w:r>
    </w:p>
    <w:p w14:paraId="57DB20B3">
      <w:pPr>
        <w:spacing w:line="360" w:lineRule="auto"/>
        <w:rPr>
          <w:rFonts w:hint="eastAsia" w:ascii="宋体" w:hAnsi="宋体"/>
          <w:b/>
          <w:color w:val="auto"/>
          <w:sz w:val="24"/>
          <w:highlight w:val="none"/>
        </w:rPr>
      </w:pPr>
      <w:r>
        <w:rPr>
          <w:rFonts w:hint="eastAsia" w:ascii="宋体" w:hAnsi="宋体"/>
          <w:b/>
          <w:color w:val="auto"/>
          <w:sz w:val="24"/>
          <w:highlight w:val="none"/>
        </w:rPr>
        <w:t>20.2 人员工伤事故的保险</w:t>
      </w:r>
    </w:p>
    <w:p w14:paraId="6EE1A608">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20.2.1承包人员工伤事故的保险</w:t>
      </w:r>
    </w:p>
    <w:p w14:paraId="2BACD3A2">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承包人应依照有关法律规定参加工伤保险，为其履行合同所雇佣的全部人员，缴纳工伤保险费，并要求其分包人也进行此项保险。</w:t>
      </w:r>
    </w:p>
    <w:p w14:paraId="4CF78684">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20.2.2发包人员工伤事故的保险</w:t>
      </w:r>
    </w:p>
    <w:p w14:paraId="4A4E7F4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发包人应依照有关法律规定参加工伤保险，为其现场机构雇佣的全部人员，缴纳工伤保险费，并要求其监理人也进行此项保险。</w:t>
      </w:r>
    </w:p>
    <w:p w14:paraId="6C36681D">
      <w:pPr>
        <w:spacing w:line="360" w:lineRule="auto"/>
        <w:rPr>
          <w:rFonts w:hint="eastAsia" w:ascii="宋体" w:hAnsi="宋体"/>
          <w:b/>
          <w:color w:val="auto"/>
          <w:sz w:val="24"/>
          <w:highlight w:val="none"/>
        </w:rPr>
      </w:pPr>
      <w:r>
        <w:rPr>
          <w:rFonts w:hint="eastAsia" w:ascii="宋体" w:hAnsi="宋体"/>
          <w:b/>
          <w:color w:val="auto"/>
          <w:sz w:val="24"/>
          <w:highlight w:val="none"/>
        </w:rPr>
        <w:t>20.3人身意外伤害险</w:t>
      </w:r>
    </w:p>
    <w:p w14:paraId="0FD0D2AD">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20.3.1发包人应在整个施工期间为其现场机构雇用的全部人员，投保人身意外伤害险，缴纳保险费，并要求其监理人也进行此项保险。</w:t>
      </w:r>
    </w:p>
    <w:p w14:paraId="29147EB6">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20.3.2承包人应在整个施工期间为其现场机构雇用的全部人员，投保人身意外伤害险，缴纳保险费，并要求其分包人也进行此项保险。</w:t>
      </w:r>
    </w:p>
    <w:p w14:paraId="01101133">
      <w:pPr>
        <w:spacing w:line="360" w:lineRule="auto"/>
        <w:rPr>
          <w:rFonts w:hint="eastAsia" w:ascii="宋体" w:hAnsi="宋体"/>
          <w:b/>
          <w:color w:val="auto"/>
          <w:sz w:val="24"/>
          <w:highlight w:val="none"/>
        </w:rPr>
      </w:pPr>
      <w:r>
        <w:rPr>
          <w:rFonts w:hint="eastAsia" w:ascii="宋体" w:hAnsi="宋体"/>
          <w:b/>
          <w:color w:val="auto"/>
          <w:sz w:val="24"/>
          <w:highlight w:val="none"/>
        </w:rPr>
        <w:t>20.4 第三者责任险</w:t>
      </w:r>
    </w:p>
    <w:p w14:paraId="204784DA">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20.4.1第三者责任系指在保险期内，对因工程意外事故造成的、依法应由被保险人负责的工地上及毗邻地区的第三者人身伤亡、疾病或财产损失</w:t>
      </w:r>
      <w:r>
        <w:rPr>
          <w:rFonts w:hint="eastAsia" w:ascii="宋体" w:hAnsi="宋体"/>
          <w:color w:val="auto"/>
          <w:szCs w:val="21"/>
          <w:highlight w:val="none"/>
          <w:lang w:eastAsia="zh-CN"/>
        </w:rPr>
        <w:t>（</w:t>
      </w:r>
      <w:r>
        <w:rPr>
          <w:rFonts w:hint="eastAsia" w:ascii="宋体" w:hAnsi="宋体"/>
          <w:color w:val="auto"/>
          <w:szCs w:val="21"/>
          <w:highlight w:val="none"/>
        </w:rPr>
        <w:t>本工程除外</w:t>
      </w:r>
      <w:r>
        <w:rPr>
          <w:rFonts w:hint="eastAsia" w:ascii="宋体" w:hAnsi="宋体"/>
          <w:color w:val="auto"/>
          <w:szCs w:val="21"/>
          <w:highlight w:val="none"/>
          <w:lang w:eastAsia="zh-CN"/>
        </w:rPr>
        <w:t>）</w:t>
      </w:r>
      <w:r>
        <w:rPr>
          <w:rFonts w:hint="eastAsia" w:ascii="宋体" w:hAnsi="宋体"/>
          <w:color w:val="auto"/>
          <w:szCs w:val="21"/>
          <w:highlight w:val="none"/>
        </w:rPr>
        <w:t>，以及被保险人因此而支付的诉讼费用和事先经保险人书面同意支付的其他费用等赔偿责任。</w:t>
      </w:r>
    </w:p>
    <w:p w14:paraId="7DDC5FB4">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20.4.2在缺陷责任期终止证书颁发前，承包人应以承包人和发包人的共同名义，投保第20. 4. 1项约定的第三者责任险，其保险费率、保险金额等有关内容在专用合同条款中约定。</w:t>
      </w:r>
    </w:p>
    <w:p w14:paraId="68938112">
      <w:pPr>
        <w:spacing w:line="360" w:lineRule="auto"/>
        <w:rPr>
          <w:rFonts w:hint="eastAsia" w:ascii="宋体" w:hAnsi="宋体"/>
          <w:b/>
          <w:color w:val="auto"/>
          <w:sz w:val="24"/>
          <w:highlight w:val="none"/>
        </w:rPr>
      </w:pPr>
      <w:r>
        <w:rPr>
          <w:rFonts w:hint="eastAsia" w:ascii="宋体" w:hAnsi="宋体"/>
          <w:b/>
          <w:color w:val="auto"/>
          <w:sz w:val="24"/>
          <w:highlight w:val="none"/>
        </w:rPr>
        <w:t>20.5 其他保险</w:t>
      </w:r>
    </w:p>
    <w:p w14:paraId="2ECFB909">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除专用合同条款另有约定外，承包人应为其施工设备、进场的材料和工程设备等办理保险。</w:t>
      </w:r>
    </w:p>
    <w:p w14:paraId="334645C7">
      <w:pPr>
        <w:spacing w:line="360" w:lineRule="auto"/>
        <w:rPr>
          <w:rFonts w:hint="eastAsia" w:ascii="宋体" w:hAnsi="宋体"/>
          <w:b/>
          <w:color w:val="auto"/>
          <w:sz w:val="24"/>
          <w:highlight w:val="none"/>
        </w:rPr>
      </w:pPr>
      <w:r>
        <w:rPr>
          <w:rFonts w:hint="eastAsia" w:ascii="宋体" w:hAnsi="宋体"/>
          <w:b/>
          <w:color w:val="auto"/>
          <w:sz w:val="24"/>
          <w:highlight w:val="none"/>
        </w:rPr>
        <w:t>20.6 对各项保险的一般要求</w:t>
      </w:r>
    </w:p>
    <w:p w14:paraId="12651ED7">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20.6.1保险凭证</w:t>
      </w:r>
    </w:p>
    <w:p w14:paraId="4CD89D6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承包人应在专用合同条款约定的期限内向发包人提交各项保险生效的证据和保险单副本，保险单必须与专用合同条款约定的条件保持一致。</w:t>
      </w:r>
    </w:p>
    <w:p w14:paraId="073F78FB">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20.6.2保险合同条款的变动</w:t>
      </w:r>
    </w:p>
    <w:p w14:paraId="687F103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承包人需要变动保险合同条款时，应事先征得发包人同意，并通知监理人。保险人作出变动的，承包人应在收到保险人通知后立即通知发包人和监理人。</w:t>
      </w:r>
    </w:p>
    <w:p w14:paraId="10EA867F">
      <w:pPr>
        <w:spacing w:line="360" w:lineRule="auto"/>
        <w:ind w:firstLine="420"/>
        <w:rPr>
          <w:rFonts w:hint="eastAsia" w:ascii="宋体" w:hAnsi="宋体"/>
          <w:color w:val="auto"/>
          <w:szCs w:val="21"/>
          <w:highlight w:val="none"/>
        </w:rPr>
      </w:pPr>
      <w:r>
        <w:rPr>
          <w:rFonts w:hint="eastAsia" w:ascii="宋体" w:hAnsi="宋体"/>
          <w:color w:val="auto"/>
          <w:szCs w:val="21"/>
          <w:highlight w:val="none"/>
        </w:rPr>
        <w:t xml:space="preserve">20.6.3持续保险   </w:t>
      </w:r>
    </w:p>
    <w:p w14:paraId="75CE3787">
      <w:pPr>
        <w:spacing w:line="360" w:lineRule="auto"/>
        <w:ind w:firstLine="420"/>
        <w:rPr>
          <w:rFonts w:hint="eastAsia" w:ascii="宋体" w:hAnsi="宋体"/>
          <w:color w:val="auto"/>
          <w:szCs w:val="21"/>
          <w:highlight w:val="none"/>
        </w:rPr>
      </w:pPr>
      <w:r>
        <w:rPr>
          <w:rFonts w:hint="eastAsia" w:ascii="宋体" w:hAnsi="宋体"/>
          <w:color w:val="auto"/>
          <w:szCs w:val="21"/>
          <w:highlight w:val="none"/>
        </w:rPr>
        <w:t>承包人应与保险人保持联系，使保险人能够随时了解工程实施中的变动，并确保按保险合同条款要求持续保险。</w:t>
      </w:r>
    </w:p>
    <w:p w14:paraId="58E8D1DE">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20.6.4保险金不足以补偿损失时，应由承包人和发包人各自负责补偿的范围和金额在专用合同条款中约定。</w:t>
      </w:r>
    </w:p>
    <w:p w14:paraId="07FAE161">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20.6.5未按约定投保的补救</w:t>
      </w:r>
    </w:p>
    <w:p w14:paraId="2C0D31E4">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由于负有投保义务的一方当事人未按合同约定办理保险，或未能使保险持续有效的，另一</w:t>
      </w:r>
    </w:p>
    <w:p w14:paraId="5B83ECB9">
      <w:pPr>
        <w:spacing w:line="360" w:lineRule="auto"/>
        <w:rPr>
          <w:rFonts w:hint="eastAsia" w:ascii="宋体" w:hAnsi="宋体"/>
          <w:color w:val="auto"/>
          <w:szCs w:val="21"/>
          <w:highlight w:val="none"/>
        </w:rPr>
      </w:pPr>
      <w:r>
        <w:rPr>
          <w:rFonts w:hint="eastAsia" w:ascii="宋体" w:hAnsi="宋体"/>
          <w:color w:val="auto"/>
          <w:szCs w:val="21"/>
          <w:highlight w:val="none"/>
        </w:rPr>
        <w:t>方当事人可代为办理，所需费用由对方当事人承担。</w:t>
      </w:r>
    </w:p>
    <w:p w14:paraId="688ADD1D">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由于负有投保义务的一方当事人未按合同约定办理某项保险，导致受益人未能得到保险人的赔偿，原应从该项保险得到的保险金应由负有投保义务的一方当事人支付。</w:t>
      </w:r>
    </w:p>
    <w:p w14:paraId="6A01EF0A">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20.6.6 报告义务</w:t>
      </w:r>
    </w:p>
    <w:p w14:paraId="4F252FEB">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当保险事故发生时，投保人应按照保险单规定的条件和期限及时向保险人报告。</w:t>
      </w:r>
    </w:p>
    <w:p w14:paraId="71E4EACA">
      <w:pPr>
        <w:spacing w:line="360" w:lineRule="auto"/>
        <w:rPr>
          <w:rFonts w:hint="eastAsia" w:ascii="宋体" w:hAnsi="宋体"/>
          <w:b/>
          <w:color w:val="auto"/>
          <w:sz w:val="24"/>
          <w:highlight w:val="none"/>
        </w:rPr>
      </w:pPr>
      <w:r>
        <w:rPr>
          <w:rFonts w:hint="eastAsia" w:ascii="宋体" w:hAnsi="宋体"/>
          <w:b/>
          <w:color w:val="auto"/>
          <w:sz w:val="24"/>
          <w:highlight w:val="none"/>
        </w:rPr>
        <w:t>20.7 风险责任的转移</w:t>
      </w:r>
    </w:p>
    <w:p w14:paraId="44B8BAA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工程通过合同工程完工验收并移交给发包人后，原由承包人应承担的风险责任，以及保险的责任、权利和义务同时转移给发包人，但承包人在缺陷责任期</w:t>
      </w:r>
      <w:r>
        <w:rPr>
          <w:rFonts w:hint="eastAsia" w:ascii="宋体" w:hAnsi="宋体"/>
          <w:color w:val="auto"/>
          <w:szCs w:val="21"/>
          <w:highlight w:val="none"/>
          <w:lang w:eastAsia="zh-CN"/>
        </w:rPr>
        <w:t>（</w:t>
      </w:r>
      <w:r>
        <w:rPr>
          <w:rFonts w:hint="eastAsia" w:ascii="宋体" w:hAnsi="宋体"/>
          <w:color w:val="auto"/>
          <w:szCs w:val="21"/>
          <w:highlight w:val="none"/>
        </w:rPr>
        <w:t>工程质量保修期</w:t>
      </w:r>
      <w:r>
        <w:rPr>
          <w:rFonts w:hint="eastAsia" w:ascii="宋体" w:hAnsi="宋体"/>
          <w:color w:val="auto"/>
          <w:szCs w:val="21"/>
          <w:highlight w:val="none"/>
          <w:lang w:eastAsia="zh-CN"/>
        </w:rPr>
        <w:t>）</w:t>
      </w:r>
      <w:r>
        <w:rPr>
          <w:rFonts w:hint="eastAsia" w:ascii="宋体" w:hAnsi="宋体"/>
          <w:color w:val="auto"/>
          <w:szCs w:val="21"/>
          <w:highlight w:val="none"/>
        </w:rPr>
        <w:t>前造成的损失和损坏情形除外。</w:t>
      </w:r>
    </w:p>
    <w:p w14:paraId="70169A79">
      <w:pPr>
        <w:pStyle w:val="5"/>
        <w:rPr>
          <w:rFonts w:hint="eastAsia" w:ascii="宋体" w:hAnsi="宋体"/>
          <w:color w:val="auto"/>
          <w:sz w:val="28"/>
          <w:highlight w:val="none"/>
        </w:rPr>
      </w:pPr>
      <w:r>
        <w:rPr>
          <w:rFonts w:hint="eastAsia" w:ascii="宋体" w:hAnsi="宋体"/>
          <w:color w:val="auto"/>
          <w:sz w:val="28"/>
          <w:highlight w:val="none"/>
        </w:rPr>
        <w:t>21.不可抗力</w:t>
      </w:r>
    </w:p>
    <w:p w14:paraId="7DF2C877">
      <w:pPr>
        <w:spacing w:line="360" w:lineRule="auto"/>
        <w:rPr>
          <w:rFonts w:hint="eastAsia" w:ascii="宋体" w:hAnsi="宋体"/>
          <w:b/>
          <w:color w:val="auto"/>
          <w:sz w:val="24"/>
          <w:highlight w:val="none"/>
        </w:rPr>
      </w:pPr>
      <w:r>
        <w:rPr>
          <w:rFonts w:hint="eastAsia" w:ascii="宋体" w:hAnsi="宋体"/>
          <w:b/>
          <w:color w:val="auto"/>
          <w:sz w:val="24"/>
          <w:highlight w:val="none"/>
        </w:rPr>
        <w:t>21.1不可抗力的确认</w:t>
      </w:r>
    </w:p>
    <w:p w14:paraId="1A0DE9D6">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21.1.1不可抗力是指承包人和发包人在订立合同时不可预见，在工程施工过程中不可避免发生并不能克服的自然灾害和社会性突发事件，如地震、海啸、瘟疫、水灾、骚乱、暴动、战争和专用合同条款约定的其他情形。</w:t>
      </w:r>
    </w:p>
    <w:p w14:paraId="52E399DC">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21.1.2不可抗力发生后，发包人和承包人应及时认真统计所造成的损失，收集不可抗力造成损失的证据。合同双方对是否属于不可抗力或其损失的意见不一致的，由监理人按第3.5款商定或确定。发生争议时，按第24条的约定办理。</w:t>
      </w:r>
    </w:p>
    <w:p w14:paraId="2D659DE3">
      <w:pPr>
        <w:spacing w:line="360" w:lineRule="auto"/>
        <w:rPr>
          <w:rFonts w:hint="eastAsia" w:ascii="宋体" w:hAnsi="宋体"/>
          <w:b/>
          <w:color w:val="auto"/>
          <w:sz w:val="24"/>
          <w:highlight w:val="none"/>
        </w:rPr>
      </w:pPr>
      <w:r>
        <w:rPr>
          <w:rFonts w:hint="eastAsia" w:ascii="宋体" w:hAnsi="宋体"/>
          <w:b/>
          <w:color w:val="auto"/>
          <w:sz w:val="24"/>
          <w:highlight w:val="none"/>
        </w:rPr>
        <w:t>21.2不可抗力的通知</w:t>
      </w:r>
    </w:p>
    <w:p w14:paraId="01127976">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21.2.1合同一方当事人遇到不可抗力事件，使其履行合同义务受到阻碍时，应立即通知合同另一方当事人和监理人，书面说明不可抗力和受阻碍的详细情况，并提供必要的证明。</w:t>
      </w:r>
    </w:p>
    <w:p w14:paraId="1A285E18">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21.2.2 如不可抗力持续发生，合同一方当事人应及时向合同另一方当事人和监理人提交中间报告，说明不可抗力和履行合同受阻的情况，并于不可抗力事件结束后28天内提交最终报告及有关资料。</w:t>
      </w:r>
    </w:p>
    <w:p w14:paraId="3F406C39">
      <w:pPr>
        <w:spacing w:line="360" w:lineRule="auto"/>
        <w:rPr>
          <w:rFonts w:hint="eastAsia" w:ascii="宋体" w:hAnsi="宋体"/>
          <w:b/>
          <w:color w:val="auto"/>
          <w:sz w:val="24"/>
          <w:highlight w:val="none"/>
        </w:rPr>
      </w:pPr>
      <w:r>
        <w:rPr>
          <w:rFonts w:hint="eastAsia" w:ascii="宋体" w:hAnsi="宋体"/>
          <w:b/>
          <w:color w:val="auto"/>
          <w:sz w:val="24"/>
          <w:highlight w:val="none"/>
        </w:rPr>
        <w:t>21.3不可抗力后果及其处理</w:t>
      </w:r>
    </w:p>
    <w:p w14:paraId="15C5A285">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 xml:space="preserve">21.3.1不可抗力造成损害的责任 </w:t>
      </w:r>
    </w:p>
    <w:p w14:paraId="28FF9A5D">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除专用合同条款另有约定外，不可抗力导致的人员伤亡、财产损失、费用增加和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工期延误等后果，由合同双方按以下原则承担</w:t>
      </w:r>
      <w:r>
        <w:rPr>
          <w:rFonts w:hint="eastAsia" w:ascii="宋体" w:hAnsi="宋体"/>
          <w:color w:val="auto"/>
          <w:szCs w:val="21"/>
          <w:highlight w:val="none"/>
          <w:lang w:eastAsia="zh-CN"/>
        </w:rPr>
        <w:t>：</w:t>
      </w:r>
    </w:p>
    <w:p w14:paraId="620AB0EA">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永久工程，包括已运至施工场地的材料和工程设备的损害，以及因工程损害造成的第三者人员伤亡和财产损失由发包人承担</w:t>
      </w:r>
      <w:r>
        <w:rPr>
          <w:rFonts w:hint="eastAsia" w:ascii="宋体" w:hAnsi="宋体"/>
          <w:color w:val="auto"/>
          <w:szCs w:val="21"/>
          <w:highlight w:val="none"/>
          <w:lang w:eastAsia="zh-CN"/>
        </w:rPr>
        <w:t>；</w:t>
      </w:r>
    </w:p>
    <w:p w14:paraId="6357A80D">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承包人设备的损坏由承包人承担</w:t>
      </w:r>
      <w:r>
        <w:rPr>
          <w:rFonts w:hint="eastAsia" w:ascii="宋体" w:hAnsi="宋体"/>
          <w:color w:val="auto"/>
          <w:szCs w:val="21"/>
          <w:highlight w:val="none"/>
          <w:lang w:eastAsia="zh-CN"/>
        </w:rPr>
        <w:t>；</w:t>
      </w:r>
    </w:p>
    <w:p w14:paraId="3AB0155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(3</w:t>
      </w:r>
      <w:r>
        <w:rPr>
          <w:rFonts w:hint="eastAsia" w:ascii="宋体" w:hAnsi="宋体"/>
          <w:color w:val="auto"/>
          <w:szCs w:val="21"/>
          <w:highlight w:val="none"/>
          <w:lang w:eastAsia="zh-CN"/>
        </w:rPr>
        <w:t>）</w:t>
      </w:r>
      <w:r>
        <w:rPr>
          <w:rFonts w:hint="eastAsia" w:ascii="宋体" w:hAnsi="宋体"/>
          <w:color w:val="auto"/>
          <w:szCs w:val="21"/>
          <w:highlight w:val="none"/>
        </w:rPr>
        <w:t>发包人和承包人各自承担其人员伤亡和其他财产损失及其相关费用</w:t>
      </w:r>
      <w:r>
        <w:rPr>
          <w:rFonts w:hint="eastAsia" w:ascii="宋体" w:hAnsi="宋体"/>
          <w:color w:val="auto"/>
          <w:szCs w:val="21"/>
          <w:highlight w:val="none"/>
          <w:lang w:eastAsia="zh-CN"/>
        </w:rPr>
        <w:t>；</w:t>
      </w:r>
    </w:p>
    <w:p w14:paraId="017A20CC">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(4</w:t>
      </w:r>
      <w:r>
        <w:rPr>
          <w:rFonts w:hint="eastAsia" w:ascii="宋体" w:hAnsi="宋体"/>
          <w:color w:val="auto"/>
          <w:szCs w:val="21"/>
          <w:highlight w:val="none"/>
          <w:lang w:eastAsia="zh-CN"/>
        </w:rPr>
        <w:t>）</w:t>
      </w:r>
      <w:r>
        <w:rPr>
          <w:rFonts w:hint="eastAsia" w:ascii="宋体" w:hAnsi="宋体"/>
          <w:color w:val="auto"/>
          <w:szCs w:val="21"/>
          <w:highlight w:val="none"/>
        </w:rPr>
        <w:t>承包人的停工损失由承包人承担，但停工期间应监理人要求照管工程和清理、修复工程的金额由发包人承担</w:t>
      </w:r>
      <w:r>
        <w:rPr>
          <w:rFonts w:hint="eastAsia" w:ascii="宋体" w:hAnsi="宋体"/>
          <w:color w:val="auto"/>
          <w:szCs w:val="21"/>
          <w:highlight w:val="none"/>
          <w:lang w:eastAsia="zh-CN"/>
        </w:rPr>
        <w:t>；</w:t>
      </w:r>
    </w:p>
    <w:p w14:paraId="78C8984D">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(5</w:t>
      </w:r>
      <w:r>
        <w:rPr>
          <w:rFonts w:hint="eastAsia" w:ascii="宋体" w:hAnsi="宋体"/>
          <w:color w:val="auto"/>
          <w:szCs w:val="21"/>
          <w:highlight w:val="none"/>
          <w:lang w:eastAsia="zh-CN"/>
        </w:rPr>
        <w:t>）</w:t>
      </w:r>
      <w:r>
        <w:rPr>
          <w:rFonts w:hint="eastAsia" w:ascii="宋体" w:hAnsi="宋体"/>
          <w:color w:val="auto"/>
          <w:szCs w:val="21"/>
          <w:highlight w:val="none"/>
        </w:rPr>
        <w:t>不能按期竣工的，应合理延长工期，承包人不需支付逾期竣工违约金。发包人要求赶工的，承包人应采取赶工措施，赶工费用由发包人承担。</w:t>
      </w:r>
    </w:p>
    <w:p w14:paraId="3F53C735">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21.3.2延迟履行期间发生的不可抗力</w:t>
      </w:r>
    </w:p>
    <w:p w14:paraId="5559669F">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合同一方当事人延迟履行，在延迟</w:t>
      </w:r>
      <w:r>
        <w:rPr>
          <w:rFonts w:hint="eastAsia" w:ascii="宋体" w:hAnsi="宋体"/>
          <w:color w:val="auto"/>
          <w:szCs w:val="21"/>
          <w:highlight w:val="none"/>
          <w:lang w:eastAsia="zh-CN"/>
        </w:rPr>
        <w:t>履行期间</w:t>
      </w:r>
      <w:r>
        <w:rPr>
          <w:rFonts w:hint="eastAsia" w:ascii="宋体" w:hAnsi="宋体"/>
          <w:color w:val="auto"/>
          <w:szCs w:val="21"/>
          <w:highlight w:val="none"/>
        </w:rPr>
        <w:t>发生不可抗力的，不免除其责任。</w:t>
      </w:r>
    </w:p>
    <w:p w14:paraId="33BCA1C8">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21.3.3避免和减少不可抗力损失</w:t>
      </w:r>
    </w:p>
    <w:p w14:paraId="642E6A8A">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不可抗力发生后，发包人和承包人均应采取措施尽量避免和减少损失的扩大，任何一方没有采取有效措施导致损失扩大的，应对扩大的损失承担责任。</w:t>
      </w:r>
    </w:p>
    <w:p w14:paraId="6ADDE54A">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21.3.4因不可抗力解除合同</w:t>
      </w:r>
    </w:p>
    <w:p w14:paraId="5AE1DA3A">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合同一方当事人因不可抗力不能履行合同的，应当及时通知对方解除合同。合同解除后，承包人应按照第22. 2. 5项约定撤离施工场地。已经订货的材料、设备由订货方负责退货或解除订货合同，不能退还的货款和因退货、解除订货合同发生的费用，由发包人承担，因未及时退货造成的损失由责任方承担。合同解除后的付款，参照第22.2.4项约定，由监理人按第3.5款商定或确定。</w:t>
      </w:r>
    </w:p>
    <w:p w14:paraId="3CF69A7B">
      <w:pPr>
        <w:pStyle w:val="5"/>
        <w:rPr>
          <w:rFonts w:hint="eastAsia" w:ascii="宋体" w:hAnsi="宋体"/>
          <w:color w:val="auto"/>
          <w:sz w:val="28"/>
          <w:highlight w:val="none"/>
        </w:rPr>
      </w:pPr>
      <w:r>
        <w:rPr>
          <w:rFonts w:hint="eastAsia" w:ascii="宋体" w:hAnsi="宋体"/>
          <w:color w:val="auto"/>
          <w:sz w:val="28"/>
          <w:highlight w:val="none"/>
        </w:rPr>
        <w:t>22 违约</w:t>
      </w:r>
    </w:p>
    <w:p w14:paraId="1393826B">
      <w:pPr>
        <w:spacing w:line="360" w:lineRule="auto"/>
        <w:rPr>
          <w:rFonts w:hint="eastAsia" w:ascii="宋体" w:hAnsi="宋体"/>
          <w:b/>
          <w:color w:val="auto"/>
          <w:sz w:val="24"/>
          <w:highlight w:val="none"/>
        </w:rPr>
      </w:pPr>
      <w:r>
        <w:rPr>
          <w:rFonts w:hint="eastAsia" w:ascii="宋体" w:hAnsi="宋体"/>
          <w:b/>
          <w:color w:val="auto"/>
          <w:sz w:val="24"/>
          <w:highlight w:val="none"/>
        </w:rPr>
        <w:t>22.1承包人违约</w:t>
      </w:r>
    </w:p>
    <w:p w14:paraId="122576F9">
      <w:pPr>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22.1.1承包人违约的情形</w:t>
      </w:r>
    </w:p>
    <w:p w14:paraId="483DD376">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在履行合同过程中发生的下列情况属承包人违约</w:t>
      </w:r>
      <w:r>
        <w:rPr>
          <w:rFonts w:hint="eastAsia" w:ascii="宋体" w:hAnsi="宋体"/>
          <w:color w:val="auto"/>
          <w:szCs w:val="21"/>
          <w:highlight w:val="none"/>
          <w:lang w:eastAsia="zh-CN"/>
        </w:rPr>
        <w:t>：</w:t>
      </w:r>
    </w:p>
    <w:p w14:paraId="099699EE">
      <w:pPr>
        <w:spacing w:line="360" w:lineRule="auto"/>
        <w:ind w:firstLine="359" w:firstLineChars="171"/>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1</w:t>
      </w:r>
      <w:r>
        <w:rPr>
          <w:rFonts w:hint="eastAsia" w:ascii="宋体" w:hAnsi="宋体"/>
          <w:color w:val="auto"/>
          <w:szCs w:val="21"/>
          <w:highlight w:val="none"/>
          <w:lang w:eastAsia="zh-CN"/>
        </w:rPr>
        <w:t>）</w:t>
      </w:r>
      <w:r>
        <w:rPr>
          <w:rFonts w:hint="eastAsia" w:ascii="宋体" w:hAnsi="宋体"/>
          <w:color w:val="auto"/>
          <w:szCs w:val="21"/>
          <w:highlight w:val="none"/>
        </w:rPr>
        <w:t>承包人违反第1.8款或第4.3款的约定，私自将合同的全部或部分权利转让给其他人，或私自将合同的全部或部分义务转移给其他人</w:t>
      </w:r>
      <w:r>
        <w:rPr>
          <w:rFonts w:hint="eastAsia" w:ascii="宋体" w:hAnsi="宋体"/>
          <w:color w:val="auto"/>
          <w:szCs w:val="21"/>
          <w:highlight w:val="none"/>
          <w:lang w:eastAsia="zh-CN"/>
        </w:rPr>
        <w:t>；</w:t>
      </w:r>
    </w:p>
    <w:p w14:paraId="68695BF6">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承包人违反第5.3款或第6.4款的约定，未经监理人批准，私自将已按合同约定进入施工场地的施工设备、临时设施或材料撤离施工场地</w:t>
      </w:r>
      <w:r>
        <w:rPr>
          <w:rFonts w:hint="eastAsia" w:ascii="宋体" w:hAnsi="宋体"/>
          <w:color w:val="auto"/>
          <w:szCs w:val="21"/>
          <w:highlight w:val="none"/>
          <w:lang w:eastAsia="zh-CN"/>
        </w:rPr>
        <w:t>；</w:t>
      </w:r>
    </w:p>
    <w:p w14:paraId="2DE7B6A6">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(3</w:t>
      </w:r>
      <w:r>
        <w:rPr>
          <w:rFonts w:hint="eastAsia" w:ascii="宋体" w:hAnsi="宋体"/>
          <w:color w:val="auto"/>
          <w:szCs w:val="21"/>
          <w:highlight w:val="none"/>
          <w:lang w:eastAsia="zh-CN"/>
        </w:rPr>
        <w:t>）</w:t>
      </w:r>
      <w:r>
        <w:rPr>
          <w:rFonts w:hint="eastAsia" w:ascii="宋体" w:hAnsi="宋体"/>
          <w:color w:val="auto"/>
          <w:szCs w:val="21"/>
          <w:highlight w:val="none"/>
        </w:rPr>
        <w:t>承包人违反第5.4款的约定使用了不合格材料或工程设备，工程质量达不到标准要求，</w:t>
      </w:r>
    </w:p>
    <w:p w14:paraId="0100E59E">
      <w:pPr>
        <w:spacing w:line="360" w:lineRule="auto"/>
        <w:rPr>
          <w:rFonts w:hint="eastAsia" w:ascii="宋体" w:hAnsi="宋体"/>
          <w:color w:val="auto"/>
          <w:szCs w:val="21"/>
          <w:highlight w:val="none"/>
        </w:rPr>
      </w:pPr>
      <w:r>
        <w:rPr>
          <w:rFonts w:hint="eastAsia" w:ascii="宋体" w:hAnsi="宋体"/>
          <w:color w:val="auto"/>
          <w:szCs w:val="21"/>
          <w:highlight w:val="none"/>
        </w:rPr>
        <w:t>又拒绝清除不合格工程</w:t>
      </w:r>
      <w:r>
        <w:rPr>
          <w:rFonts w:hint="eastAsia" w:ascii="宋体" w:hAnsi="宋体"/>
          <w:color w:val="auto"/>
          <w:szCs w:val="21"/>
          <w:highlight w:val="none"/>
          <w:lang w:eastAsia="zh-CN"/>
        </w:rPr>
        <w:t>；</w:t>
      </w:r>
    </w:p>
    <w:p w14:paraId="2197E3F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(4</w:t>
      </w:r>
      <w:r>
        <w:rPr>
          <w:rFonts w:hint="eastAsia" w:ascii="宋体" w:hAnsi="宋体"/>
          <w:color w:val="auto"/>
          <w:szCs w:val="21"/>
          <w:highlight w:val="none"/>
          <w:lang w:eastAsia="zh-CN"/>
        </w:rPr>
        <w:t>）</w:t>
      </w:r>
      <w:r>
        <w:rPr>
          <w:rFonts w:hint="eastAsia" w:ascii="宋体" w:hAnsi="宋体"/>
          <w:color w:val="auto"/>
          <w:szCs w:val="21"/>
          <w:highlight w:val="none"/>
        </w:rPr>
        <w:t>承包人未能按合同进度计划及时完成合同约定的工作，已造成或预期造成工期延误</w:t>
      </w:r>
      <w:r>
        <w:rPr>
          <w:rFonts w:hint="eastAsia" w:ascii="宋体" w:hAnsi="宋体"/>
          <w:color w:val="auto"/>
          <w:szCs w:val="21"/>
          <w:highlight w:val="none"/>
          <w:lang w:eastAsia="zh-CN"/>
        </w:rPr>
        <w:t>；</w:t>
      </w:r>
      <w:r>
        <w:rPr>
          <w:rFonts w:hint="eastAsia" w:ascii="宋体" w:hAnsi="宋体"/>
          <w:color w:val="auto"/>
          <w:szCs w:val="21"/>
          <w:highlight w:val="none"/>
        </w:rPr>
        <w:t xml:space="preserve">    </w:t>
      </w:r>
    </w:p>
    <w:p w14:paraId="7F5C6936">
      <w:pPr>
        <w:spacing w:line="360" w:lineRule="auto"/>
        <w:ind w:firstLine="315" w:firstLineChars="150"/>
        <w:rPr>
          <w:rFonts w:hint="eastAsia" w:ascii="宋体" w:hAnsi="宋体"/>
          <w:color w:val="auto"/>
          <w:szCs w:val="21"/>
          <w:highlight w:val="none"/>
        </w:rPr>
      </w:pPr>
      <w:r>
        <w:rPr>
          <w:rFonts w:hint="eastAsia" w:ascii="宋体" w:hAnsi="宋体"/>
          <w:color w:val="auto"/>
          <w:szCs w:val="21"/>
          <w:highlight w:val="none"/>
        </w:rPr>
        <w:t xml:space="preserve"> (5</w:t>
      </w:r>
      <w:r>
        <w:rPr>
          <w:rFonts w:hint="eastAsia" w:ascii="宋体" w:hAnsi="宋体"/>
          <w:color w:val="auto"/>
          <w:szCs w:val="21"/>
          <w:highlight w:val="none"/>
          <w:lang w:eastAsia="zh-CN"/>
        </w:rPr>
        <w:t>）</w:t>
      </w:r>
      <w:r>
        <w:rPr>
          <w:rFonts w:hint="eastAsia" w:ascii="宋体" w:hAnsi="宋体"/>
          <w:color w:val="auto"/>
          <w:szCs w:val="21"/>
          <w:highlight w:val="none"/>
        </w:rPr>
        <w:t>承包人在缺陷责任期</w:t>
      </w:r>
      <w:r>
        <w:rPr>
          <w:rFonts w:hint="eastAsia" w:ascii="宋体" w:hAnsi="宋体"/>
          <w:color w:val="auto"/>
          <w:szCs w:val="21"/>
          <w:highlight w:val="none"/>
          <w:lang w:eastAsia="zh-CN"/>
        </w:rPr>
        <w:t>（</w:t>
      </w:r>
      <w:r>
        <w:rPr>
          <w:rFonts w:hint="eastAsia" w:ascii="宋体" w:hAnsi="宋体"/>
          <w:color w:val="auto"/>
          <w:szCs w:val="21"/>
          <w:highlight w:val="none"/>
        </w:rPr>
        <w:t>工程质量保修期</w:t>
      </w:r>
      <w:r>
        <w:rPr>
          <w:rFonts w:hint="eastAsia" w:ascii="宋体" w:hAnsi="宋体"/>
          <w:color w:val="auto"/>
          <w:szCs w:val="21"/>
          <w:highlight w:val="none"/>
          <w:lang w:eastAsia="zh-CN"/>
        </w:rPr>
        <w:t>）</w:t>
      </w:r>
      <w:r>
        <w:rPr>
          <w:rFonts w:hint="eastAsia" w:ascii="宋体" w:hAnsi="宋体"/>
          <w:color w:val="auto"/>
          <w:szCs w:val="21"/>
          <w:highlight w:val="none"/>
        </w:rPr>
        <w:t>内，未能对合同工程完工验收鉴定书所列的缺陷清单的内容或缺陷责任期</w:t>
      </w:r>
      <w:r>
        <w:rPr>
          <w:rFonts w:hint="eastAsia" w:ascii="宋体" w:hAnsi="宋体"/>
          <w:color w:val="auto"/>
          <w:szCs w:val="21"/>
          <w:highlight w:val="none"/>
          <w:lang w:eastAsia="zh-CN"/>
        </w:rPr>
        <w:t>（</w:t>
      </w:r>
      <w:r>
        <w:rPr>
          <w:rFonts w:hint="eastAsia" w:ascii="宋体" w:hAnsi="宋体"/>
          <w:color w:val="auto"/>
          <w:szCs w:val="21"/>
          <w:highlight w:val="none"/>
        </w:rPr>
        <w:t>工程质量保修期</w:t>
      </w:r>
      <w:r>
        <w:rPr>
          <w:rFonts w:hint="eastAsia" w:ascii="宋体" w:hAnsi="宋体"/>
          <w:color w:val="auto"/>
          <w:szCs w:val="21"/>
          <w:highlight w:val="none"/>
          <w:lang w:eastAsia="zh-CN"/>
        </w:rPr>
        <w:t>）</w:t>
      </w:r>
      <w:r>
        <w:rPr>
          <w:rFonts w:hint="eastAsia" w:ascii="宋体" w:hAnsi="宋体"/>
          <w:color w:val="auto"/>
          <w:szCs w:val="21"/>
          <w:highlight w:val="none"/>
        </w:rPr>
        <w:t>内发生的缺陷进行修复，而又拒绝按监理人指示再进行修补</w:t>
      </w:r>
      <w:r>
        <w:rPr>
          <w:rFonts w:hint="eastAsia" w:ascii="宋体" w:hAnsi="宋体"/>
          <w:color w:val="auto"/>
          <w:szCs w:val="21"/>
          <w:highlight w:val="none"/>
          <w:lang w:eastAsia="zh-CN"/>
        </w:rPr>
        <w:t>；</w:t>
      </w:r>
    </w:p>
    <w:p w14:paraId="67DF1F7D">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(6</w:t>
      </w:r>
      <w:r>
        <w:rPr>
          <w:rFonts w:hint="eastAsia" w:ascii="宋体" w:hAnsi="宋体"/>
          <w:color w:val="auto"/>
          <w:szCs w:val="21"/>
          <w:highlight w:val="none"/>
          <w:lang w:eastAsia="zh-CN"/>
        </w:rPr>
        <w:t>）</w:t>
      </w:r>
      <w:r>
        <w:rPr>
          <w:rFonts w:hint="eastAsia" w:ascii="宋体" w:hAnsi="宋体"/>
          <w:color w:val="auto"/>
          <w:szCs w:val="21"/>
          <w:highlight w:val="none"/>
        </w:rPr>
        <w:t>承包人无法继续履行或明确表示不履行或实质上已停止履行合同</w:t>
      </w:r>
      <w:r>
        <w:rPr>
          <w:rFonts w:hint="eastAsia" w:ascii="宋体" w:hAnsi="宋体"/>
          <w:color w:val="auto"/>
          <w:szCs w:val="21"/>
          <w:highlight w:val="none"/>
          <w:lang w:eastAsia="zh-CN"/>
        </w:rPr>
        <w:t>；</w:t>
      </w:r>
    </w:p>
    <w:p w14:paraId="2579BAEB">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(7</w:t>
      </w:r>
      <w:r>
        <w:rPr>
          <w:rFonts w:hint="eastAsia" w:ascii="宋体" w:hAnsi="宋体"/>
          <w:color w:val="auto"/>
          <w:szCs w:val="21"/>
          <w:highlight w:val="none"/>
          <w:lang w:eastAsia="zh-CN"/>
        </w:rPr>
        <w:t>）</w:t>
      </w:r>
      <w:r>
        <w:rPr>
          <w:rFonts w:hint="eastAsia" w:ascii="宋体" w:hAnsi="宋体"/>
          <w:color w:val="auto"/>
          <w:szCs w:val="21"/>
          <w:highlight w:val="none"/>
        </w:rPr>
        <w:t>承包人不按合同约定履行义务</w:t>
      </w:r>
      <w:r>
        <w:rPr>
          <w:rFonts w:hint="eastAsia" w:ascii="宋体" w:hAnsi="宋体"/>
          <w:color w:val="auto"/>
          <w:szCs w:val="21"/>
          <w:highlight w:val="none"/>
          <w:lang w:eastAsia="zh-CN"/>
        </w:rPr>
        <w:t>的其他</w:t>
      </w:r>
      <w:r>
        <w:rPr>
          <w:rFonts w:hint="eastAsia" w:ascii="宋体" w:hAnsi="宋体"/>
          <w:color w:val="auto"/>
          <w:szCs w:val="21"/>
          <w:highlight w:val="none"/>
        </w:rPr>
        <w:t>情况。</w:t>
      </w:r>
    </w:p>
    <w:p w14:paraId="351F1763">
      <w:pPr>
        <w:spacing w:line="360" w:lineRule="auto"/>
        <w:rPr>
          <w:rFonts w:hint="eastAsia" w:ascii="宋体" w:hAnsi="宋体"/>
          <w:b/>
          <w:color w:val="auto"/>
          <w:szCs w:val="21"/>
          <w:highlight w:val="none"/>
        </w:rPr>
      </w:pPr>
      <w:r>
        <w:rPr>
          <w:rFonts w:hint="eastAsia" w:ascii="宋体" w:hAnsi="宋体"/>
          <w:color w:val="auto"/>
          <w:szCs w:val="21"/>
          <w:highlight w:val="none"/>
        </w:rPr>
        <w:t xml:space="preserve">   </w:t>
      </w:r>
      <w:r>
        <w:rPr>
          <w:rFonts w:hint="eastAsia" w:ascii="宋体" w:hAnsi="宋体"/>
          <w:b/>
          <w:color w:val="auto"/>
          <w:szCs w:val="21"/>
          <w:highlight w:val="none"/>
        </w:rPr>
        <w:t xml:space="preserve"> 22.1.2对承包人违约的处理</w:t>
      </w:r>
    </w:p>
    <w:p w14:paraId="1F367115">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承包人发生第22.1.1(6</w:t>
      </w:r>
      <w:r>
        <w:rPr>
          <w:rFonts w:hint="eastAsia" w:ascii="宋体" w:hAnsi="宋体"/>
          <w:color w:val="auto"/>
          <w:szCs w:val="21"/>
          <w:highlight w:val="none"/>
          <w:lang w:eastAsia="zh-CN"/>
        </w:rPr>
        <w:t>)项</w:t>
      </w:r>
      <w:r>
        <w:rPr>
          <w:rFonts w:hint="eastAsia" w:ascii="宋体" w:hAnsi="宋体"/>
          <w:color w:val="auto"/>
          <w:szCs w:val="21"/>
          <w:highlight w:val="none"/>
        </w:rPr>
        <w:t>目约定的违约情况时，发包人可通知承包人立即解除合同，并按有关法律处理。</w:t>
      </w:r>
    </w:p>
    <w:p w14:paraId="70A7EC07">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承包人发生除第22.1.1(6</w:t>
      </w:r>
      <w:r>
        <w:rPr>
          <w:rFonts w:hint="eastAsia" w:ascii="宋体" w:hAnsi="宋体"/>
          <w:color w:val="auto"/>
          <w:szCs w:val="21"/>
          <w:highlight w:val="none"/>
          <w:lang w:eastAsia="zh-CN"/>
        </w:rPr>
        <w:t>）</w:t>
      </w:r>
      <w:r>
        <w:rPr>
          <w:rFonts w:hint="eastAsia" w:ascii="宋体" w:hAnsi="宋体"/>
          <w:color w:val="auto"/>
          <w:szCs w:val="21"/>
          <w:highlight w:val="none"/>
        </w:rPr>
        <w:t>目约定以外的其他违约情况时，监理人可向承包人发出整改通知，要求其在指定的期限内改正。承包人应承担其违约所引起的费用增加和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工期延误。</w:t>
      </w:r>
    </w:p>
    <w:p w14:paraId="051343E2">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(3</w:t>
      </w:r>
      <w:r>
        <w:rPr>
          <w:rFonts w:hint="eastAsia" w:ascii="宋体" w:hAnsi="宋体"/>
          <w:color w:val="auto"/>
          <w:szCs w:val="21"/>
          <w:highlight w:val="none"/>
          <w:lang w:eastAsia="zh-CN"/>
        </w:rPr>
        <w:t>）</w:t>
      </w:r>
      <w:r>
        <w:rPr>
          <w:rFonts w:hint="eastAsia" w:ascii="宋体" w:hAnsi="宋体"/>
          <w:color w:val="auto"/>
          <w:szCs w:val="21"/>
          <w:highlight w:val="none"/>
        </w:rPr>
        <w:t>经检查证明承包人已采取了有效措施纠正违约行为，具备复工条件的，可由监理人签发复工通知复工。</w:t>
      </w:r>
    </w:p>
    <w:p w14:paraId="2E2BA78A">
      <w:pPr>
        <w:spacing w:line="360" w:lineRule="auto"/>
        <w:rPr>
          <w:rFonts w:hint="eastAsia" w:ascii="宋体" w:hAnsi="宋体"/>
          <w:b/>
          <w:color w:val="auto"/>
          <w:szCs w:val="21"/>
          <w:highlight w:val="none"/>
        </w:rPr>
      </w:pPr>
      <w:r>
        <w:rPr>
          <w:rFonts w:hint="eastAsia" w:ascii="宋体" w:hAnsi="宋体"/>
          <w:color w:val="auto"/>
          <w:szCs w:val="21"/>
          <w:highlight w:val="none"/>
        </w:rPr>
        <w:t xml:space="preserve">   </w:t>
      </w:r>
      <w:r>
        <w:rPr>
          <w:rFonts w:hint="eastAsia" w:ascii="宋体" w:hAnsi="宋体"/>
          <w:b/>
          <w:color w:val="auto"/>
          <w:szCs w:val="21"/>
          <w:highlight w:val="none"/>
        </w:rPr>
        <w:t xml:space="preserve"> 22.1.3承包人违约解除合同</w:t>
      </w:r>
    </w:p>
    <w:p w14:paraId="3988F14F">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监理人发出整改通知28天后，承包人仍不纠正违约行为的，发包人可向承包人发出解除合同通知。合同解除后，发包人可派员进驻施工场地，另行组织人员或委托其他承包人施工。发包人因继续完成该工程的需要，有权扣留使用承包人在现场的材料、设备和临时设施。但发包人的这一行动不免除承包人应承担的违约责任，也不影响发包人根据合同约定享有的索赔权利。</w:t>
      </w:r>
    </w:p>
    <w:p w14:paraId="2559BB9C">
      <w:pPr>
        <w:spacing w:line="360" w:lineRule="auto"/>
        <w:rPr>
          <w:rFonts w:hint="eastAsia" w:ascii="宋体" w:hAnsi="宋体"/>
          <w:b/>
          <w:color w:val="auto"/>
          <w:szCs w:val="21"/>
          <w:highlight w:val="none"/>
        </w:rPr>
      </w:pPr>
      <w:r>
        <w:rPr>
          <w:rFonts w:hint="eastAsia" w:ascii="宋体" w:hAnsi="宋体"/>
          <w:color w:val="auto"/>
          <w:szCs w:val="21"/>
          <w:highlight w:val="none"/>
        </w:rPr>
        <w:t xml:space="preserve">   </w:t>
      </w:r>
      <w:r>
        <w:rPr>
          <w:rFonts w:hint="eastAsia" w:ascii="宋体" w:hAnsi="宋体"/>
          <w:b/>
          <w:color w:val="auto"/>
          <w:szCs w:val="21"/>
          <w:highlight w:val="none"/>
        </w:rPr>
        <w:t xml:space="preserve"> 22.1.4合同解除后的估价、付款和结清</w:t>
      </w:r>
    </w:p>
    <w:p w14:paraId="6F87C40A">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合同解除后，监理人按第3.5款商定或确定承包人实际完成工作的价值，以及承包人已提供的材料、施工设备、工程设备和临时工程等的价值。</w:t>
      </w:r>
    </w:p>
    <w:p w14:paraId="32257126">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合同解除后，发包人应暂停对承包人的一切付款，查清各项付款和已扣款金额，包括承包人应支付的违约金。</w:t>
      </w:r>
    </w:p>
    <w:p w14:paraId="24646804">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(3</w:t>
      </w:r>
      <w:r>
        <w:rPr>
          <w:rFonts w:hint="eastAsia" w:ascii="宋体" w:hAnsi="宋体"/>
          <w:color w:val="auto"/>
          <w:szCs w:val="21"/>
          <w:highlight w:val="none"/>
          <w:lang w:eastAsia="zh-CN"/>
        </w:rPr>
        <w:t>）</w:t>
      </w:r>
      <w:r>
        <w:rPr>
          <w:rFonts w:hint="eastAsia" w:ascii="宋体" w:hAnsi="宋体"/>
          <w:color w:val="auto"/>
          <w:szCs w:val="21"/>
          <w:highlight w:val="none"/>
        </w:rPr>
        <w:t>合同解除后，发包人应按第23.4款的约定向承包人索赔由于解除合同给发包人造成的损失。</w:t>
      </w:r>
    </w:p>
    <w:p w14:paraId="2217AA21">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(4</w:t>
      </w:r>
      <w:r>
        <w:rPr>
          <w:rFonts w:hint="eastAsia" w:ascii="宋体" w:hAnsi="宋体"/>
          <w:color w:val="auto"/>
          <w:szCs w:val="21"/>
          <w:highlight w:val="none"/>
          <w:lang w:eastAsia="zh-CN"/>
        </w:rPr>
        <w:t>）</w:t>
      </w:r>
      <w:r>
        <w:rPr>
          <w:rFonts w:hint="eastAsia" w:ascii="宋体" w:hAnsi="宋体"/>
          <w:color w:val="auto"/>
          <w:szCs w:val="21"/>
          <w:highlight w:val="none"/>
        </w:rPr>
        <w:t>合同双方确认上述往来款项后，出具最终结清付款证书，结清全部合同款项。</w:t>
      </w:r>
    </w:p>
    <w:p w14:paraId="309C1F31">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(5</w:t>
      </w:r>
      <w:r>
        <w:rPr>
          <w:rFonts w:hint="eastAsia" w:ascii="宋体" w:hAnsi="宋体"/>
          <w:color w:val="auto"/>
          <w:szCs w:val="21"/>
          <w:highlight w:val="none"/>
          <w:lang w:eastAsia="zh-CN"/>
        </w:rPr>
        <w:t>）</w:t>
      </w:r>
      <w:r>
        <w:rPr>
          <w:rFonts w:hint="eastAsia" w:ascii="宋体" w:hAnsi="宋体"/>
          <w:color w:val="auto"/>
          <w:szCs w:val="21"/>
          <w:highlight w:val="none"/>
        </w:rPr>
        <w:t>发包人和承包人未能就解除合同后的结清达成一致而形成争议的，按第24条的约定办理。</w:t>
      </w:r>
    </w:p>
    <w:p w14:paraId="60ABBA7F">
      <w:pPr>
        <w:spacing w:line="360" w:lineRule="auto"/>
        <w:rPr>
          <w:rFonts w:hint="eastAsia" w:ascii="宋体" w:hAnsi="宋体"/>
          <w:b/>
          <w:color w:val="auto"/>
          <w:szCs w:val="21"/>
          <w:highlight w:val="none"/>
        </w:rPr>
      </w:pPr>
      <w:r>
        <w:rPr>
          <w:rFonts w:hint="eastAsia" w:ascii="宋体" w:hAnsi="宋体"/>
          <w:color w:val="auto"/>
          <w:szCs w:val="21"/>
          <w:highlight w:val="none"/>
        </w:rPr>
        <w:t xml:space="preserve">   </w:t>
      </w:r>
      <w:r>
        <w:rPr>
          <w:rFonts w:hint="eastAsia" w:ascii="宋体" w:hAnsi="宋体"/>
          <w:b/>
          <w:color w:val="auto"/>
          <w:szCs w:val="21"/>
          <w:highlight w:val="none"/>
        </w:rPr>
        <w:t xml:space="preserve"> 22.1.5协议利益的转让</w:t>
      </w:r>
    </w:p>
    <w:p w14:paraId="1428CB55">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因承包人违约解除合同的，发包人有权要求承包人将其为实施合同而签订的材料和设备的订货协议或任何服务协议利益转让给发包人，并在解除合同后的14天内，依法办理转让手续。</w:t>
      </w:r>
    </w:p>
    <w:p w14:paraId="26C2B7BB">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22.1.6紧急情况下无能力或不愿进行抢救</w:t>
      </w:r>
    </w:p>
    <w:p w14:paraId="1269832F">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在工程实施期间或缺陷责任期内发生危及工程安全的事件，监理人通知承包人进行抢救，承包人声明无能力或不愿立即执行的，发包人有权雇佣其他人员进行抢救。此类抢救按合同约定属于承包人义务的，由此发生的金额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工期延误由承包人承担。</w:t>
      </w:r>
    </w:p>
    <w:p w14:paraId="5C3945DD">
      <w:pPr>
        <w:spacing w:line="360" w:lineRule="auto"/>
        <w:rPr>
          <w:rFonts w:hint="eastAsia" w:ascii="宋体" w:hAnsi="宋体"/>
          <w:b/>
          <w:color w:val="auto"/>
          <w:sz w:val="24"/>
          <w:highlight w:val="none"/>
        </w:rPr>
      </w:pPr>
      <w:r>
        <w:rPr>
          <w:rFonts w:hint="eastAsia" w:ascii="宋体" w:hAnsi="宋体"/>
          <w:b/>
          <w:color w:val="auto"/>
          <w:sz w:val="24"/>
          <w:highlight w:val="none"/>
        </w:rPr>
        <w:t>22.2 发包人违约</w:t>
      </w:r>
    </w:p>
    <w:p w14:paraId="57032831">
      <w:pPr>
        <w:spacing w:line="360" w:lineRule="auto"/>
        <w:ind w:firstLine="420"/>
        <w:rPr>
          <w:rFonts w:hint="eastAsia" w:ascii="宋体" w:hAnsi="宋体"/>
          <w:b/>
          <w:color w:val="auto"/>
          <w:szCs w:val="21"/>
          <w:highlight w:val="none"/>
        </w:rPr>
      </w:pPr>
      <w:r>
        <w:rPr>
          <w:rFonts w:hint="eastAsia" w:ascii="宋体" w:hAnsi="宋体"/>
          <w:b/>
          <w:color w:val="auto"/>
          <w:szCs w:val="21"/>
          <w:highlight w:val="none"/>
        </w:rPr>
        <w:t xml:space="preserve">22.2.1发包人违约的情形   </w:t>
      </w:r>
    </w:p>
    <w:p w14:paraId="76C66EAC">
      <w:pPr>
        <w:spacing w:line="360" w:lineRule="auto"/>
        <w:ind w:firstLine="420"/>
        <w:rPr>
          <w:rFonts w:hint="eastAsia" w:ascii="宋体" w:hAnsi="宋体"/>
          <w:color w:val="auto"/>
          <w:szCs w:val="21"/>
          <w:highlight w:val="none"/>
        </w:rPr>
      </w:pPr>
      <w:r>
        <w:rPr>
          <w:rFonts w:hint="eastAsia" w:ascii="宋体" w:hAnsi="宋体"/>
          <w:color w:val="auto"/>
          <w:szCs w:val="21"/>
          <w:highlight w:val="none"/>
        </w:rPr>
        <w:t>在履行合同过程中发生的下列情形，属发包人违约</w:t>
      </w:r>
      <w:r>
        <w:rPr>
          <w:rFonts w:hint="eastAsia" w:ascii="宋体" w:hAnsi="宋体"/>
          <w:color w:val="auto"/>
          <w:szCs w:val="21"/>
          <w:highlight w:val="none"/>
          <w:lang w:eastAsia="zh-CN"/>
        </w:rPr>
        <w:t>：</w:t>
      </w:r>
    </w:p>
    <w:p w14:paraId="68FFEEDD">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发包人未能按合同约定支付预付款或合同价款，或拖延、拒绝批准付款</w:t>
      </w:r>
      <w:r>
        <w:rPr>
          <w:rFonts w:hint="eastAsia" w:ascii="宋体" w:hAnsi="宋体"/>
          <w:color w:val="auto"/>
          <w:szCs w:val="21"/>
          <w:highlight w:val="none"/>
          <w:lang w:eastAsia="zh-CN"/>
        </w:rPr>
        <w:t>申请</w:t>
      </w:r>
      <w:r>
        <w:rPr>
          <w:rFonts w:hint="eastAsia" w:ascii="宋体" w:hAnsi="宋体"/>
          <w:color w:val="auto"/>
          <w:szCs w:val="21"/>
          <w:highlight w:val="none"/>
        </w:rPr>
        <w:t>和支付凭证，</w:t>
      </w:r>
    </w:p>
    <w:p w14:paraId="4D243DD5">
      <w:pPr>
        <w:spacing w:line="360" w:lineRule="auto"/>
        <w:rPr>
          <w:rFonts w:hint="eastAsia" w:ascii="宋体" w:hAnsi="宋体"/>
          <w:color w:val="auto"/>
          <w:szCs w:val="21"/>
          <w:highlight w:val="none"/>
        </w:rPr>
      </w:pPr>
      <w:r>
        <w:rPr>
          <w:rFonts w:hint="eastAsia" w:ascii="宋体" w:hAnsi="宋体"/>
          <w:color w:val="auto"/>
          <w:szCs w:val="21"/>
          <w:highlight w:val="none"/>
        </w:rPr>
        <w:t>导致付款延误的</w:t>
      </w:r>
      <w:r>
        <w:rPr>
          <w:rFonts w:hint="eastAsia" w:ascii="宋体" w:hAnsi="宋体"/>
          <w:color w:val="auto"/>
          <w:szCs w:val="21"/>
          <w:highlight w:val="none"/>
          <w:lang w:eastAsia="zh-CN"/>
        </w:rPr>
        <w:t>；</w:t>
      </w:r>
    </w:p>
    <w:p w14:paraId="26DB718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发包人原因造成停工的</w:t>
      </w:r>
      <w:r>
        <w:rPr>
          <w:rFonts w:hint="eastAsia" w:ascii="宋体" w:hAnsi="宋体"/>
          <w:color w:val="auto"/>
          <w:szCs w:val="21"/>
          <w:highlight w:val="none"/>
          <w:lang w:eastAsia="zh-CN"/>
        </w:rPr>
        <w:t>；</w:t>
      </w:r>
    </w:p>
    <w:p w14:paraId="0B8D80AB">
      <w:pPr>
        <w:spacing w:line="360" w:lineRule="auto"/>
        <w:ind w:firstLine="42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3</w:t>
      </w:r>
      <w:r>
        <w:rPr>
          <w:rFonts w:hint="eastAsia" w:ascii="宋体" w:hAnsi="宋体"/>
          <w:color w:val="auto"/>
          <w:szCs w:val="21"/>
          <w:highlight w:val="none"/>
          <w:lang w:eastAsia="zh-CN"/>
        </w:rPr>
        <w:t>）</w:t>
      </w:r>
      <w:r>
        <w:rPr>
          <w:rFonts w:hint="eastAsia" w:ascii="宋体" w:hAnsi="宋体"/>
          <w:color w:val="auto"/>
          <w:szCs w:val="21"/>
          <w:highlight w:val="none"/>
        </w:rPr>
        <w:t>监理人无正当理由没有在约定期限内发出复工指示，导致承包人无法复工的</w:t>
      </w:r>
      <w:r>
        <w:rPr>
          <w:rFonts w:hint="eastAsia" w:ascii="宋体" w:hAnsi="宋体"/>
          <w:color w:val="auto"/>
          <w:szCs w:val="21"/>
          <w:highlight w:val="none"/>
          <w:lang w:eastAsia="zh-CN"/>
        </w:rPr>
        <w:t>；</w:t>
      </w:r>
    </w:p>
    <w:p w14:paraId="4482FEF2">
      <w:pPr>
        <w:spacing w:line="360" w:lineRule="auto"/>
        <w:ind w:firstLine="42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4</w:t>
      </w:r>
      <w:r>
        <w:rPr>
          <w:rFonts w:hint="eastAsia" w:ascii="宋体" w:hAnsi="宋体"/>
          <w:color w:val="auto"/>
          <w:szCs w:val="21"/>
          <w:highlight w:val="none"/>
          <w:lang w:eastAsia="zh-CN"/>
        </w:rPr>
        <w:t>）</w:t>
      </w:r>
      <w:r>
        <w:rPr>
          <w:rFonts w:hint="eastAsia" w:ascii="宋体" w:hAnsi="宋体"/>
          <w:color w:val="auto"/>
          <w:szCs w:val="21"/>
          <w:highlight w:val="none"/>
        </w:rPr>
        <w:t>发包人无法继续履行或明确表示不履行或实质上已停止履行合同的</w:t>
      </w:r>
      <w:r>
        <w:rPr>
          <w:rFonts w:hint="eastAsia" w:ascii="宋体" w:hAnsi="宋体"/>
          <w:color w:val="auto"/>
          <w:szCs w:val="21"/>
          <w:highlight w:val="none"/>
          <w:lang w:eastAsia="zh-CN"/>
        </w:rPr>
        <w:t>；</w:t>
      </w:r>
    </w:p>
    <w:p w14:paraId="682B34D6">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(5</w:t>
      </w:r>
      <w:r>
        <w:rPr>
          <w:rFonts w:hint="eastAsia" w:ascii="宋体" w:hAnsi="宋体"/>
          <w:color w:val="auto"/>
          <w:szCs w:val="21"/>
          <w:highlight w:val="none"/>
          <w:lang w:eastAsia="zh-CN"/>
        </w:rPr>
        <w:t>）</w:t>
      </w:r>
      <w:r>
        <w:rPr>
          <w:rFonts w:hint="eastAsia" w:ascii="宋体" w:hAnsi="宋体"/>
          <w:color w:val="auto"/>
          <w:szCs w:val="21"/>
          <w:highlight w:val="none"/>
        </w:rPr>
        <w:t>发包人不履行合同约</w:t>
      </w:r>
      <w:r>
        <w:rPr>
          <w:rFonts w:hint="eastAsia" w:ascii="宋体" w:hAnsi="宋体"/>
          <w:color w:val="auto"/>
          <w:szCs w:val="21"/>
          <w:highlight w:val="none"/>
          <w:lang w:eastAsia="zh-CN"/>
        </w:rPr>
        <w:t>定的</w:t>
      </w:r>
      <w:r>
        <w:rPr>
          <w:rFonts w:hint="eastAsia" w:ascii="宋体" w:hAnsi="宋体"/>
          <w:color w:val="auto"/>
          <w:szCs w:val="21"/>
          <w:highlight w:val="none"/>
        </w:rPr>
        <w:t>其他义务的。</w:t>
      </w:r>
    </w:p>
    <w:p w14:paraId="4E7013AE">
      <w:pPr>
        <w:spacing w:line="360" w:lineRule="auto"/>
        <w:rPr>
          <w:rFonts w:hint="eastAsia" w:ascii="宋体" w:hAnsi="宋体"/>
          <w:b/>
          <w:color w:val="auto"/>
          <w:szCs w:val="21"/>
          <w:highlight w:val="none"/>
        </w:rPr>
      </w:pPr>
      <w:r>
        <w:rPr>
          <w:rFonts w:hint="eastAsia" w:ascii="宋体" w:hAnsi="宋体"/>
          <w:color w:val="auto"/>
          <w:szCs w:val="21"/>
          <w:highlight w:val="none"/>
        </w:rPr>
        <w:t xml:space="preserve">    </w:t>
      </w:r>
      <w:r>
        <w:rPr>
          <w:rFonts w:hint="eastAsia" w:ascii="宋体" w:hAnsi="宋体"/>
          <w:b/>
          <w:color w:val="auto"/>
          <w:szCs w:val="21"/>
          <w:highlight w:val="none"/>
        </w:rPr>
        <w:t>22.2.2承包人有权暂停施工</w:t>
      </w:r>
    </w:p>
    <w:p w14:paraId="5FF7095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发包人发生除第22.2.1(4</w:t>
      </w:r>
      <w:r>
        <w:rPr>
          <w:rFonts w:hint="eastAsia" w:ascii="宋体" w:hAnsi="宋体"/>
          <w:color w:val="auto"/>
          <w:szCs w:val="21"/>
          <w:highlight w:val="none"/>
          <w:lang w:eastAsia="zh-CN"/>
        </w:rPr>
        <w:t>）</w:t>
      </w:r>
      <w:r>
        <w:rPr>
          <w:rFonts w:hint="eastAsia" w:ascii="宋体" w:hAnsi="宋体"/>
          <w:color w:val="auto"/>
          <w:szCs w:val="21"/>
          <w:highlight w:val="none"/>
        </w:rPr>
        <w:t>目以外的违约情况时，承包人可向发包人发出通知，要求发包人采取有效措施纠正违约行为。发包人收到承包人通知后的28天内仍不履行合同义务，承包人有权暂停施工，并通知监理人，发包人应承担由此增加的费用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工期延误，并支付承包人合理利润。</w:t>
      </w:r>
    </w:p>
    <w:p w14:paraId="7B9968DD">
      <w:pPr>
        <w:spacing w:line="360" w:lineRule="auto"/>
        <w:rPr>
          <w:rFonts w:hint="eastAsia" w:ascii="宋体" w:hAnsi="宋体"/>
          <w:b/>
          <w:color w:val="auto"/>
          <w:szCs w:val="21"/>
          <w:highlight w:val="none"/>
        </w:rPr>
      </w:pPr>
      <w:r>
        <w:rPr>
          <w:rFonts w:hint="eastAsia" w:ascii="宋体" w:hAnsi="宋体"/>
          <w:color w:val="auto"/>
          <w:szCs w:val="21"/>
          <w:highlight w:val="none"/>
        </w:rPr>
        <w:t xml:space="preserve">    </w:t>
      </w:r>
      <w:r>
        <w:rPr>
          <w:rFonts w:hint="eastAsia" w:ascii="宋体" w:hAnsi="宋体"/>
          <w:b/>
          <w:color w:val="auto"/>
          <w:szCs w:val="21"/>
          <w:highlight w:val="none"/>
        </w:rPr>
        <w:t>22.2.3发包人违约解除合同</w:t>
      </w:r>
    </w:p>
    <w:p w14:paraId="64B81392">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发生第22.2.1(4</w:t>
      </w:r>
      <w:r>
        <w:rPr>
          <w:rFonts w:hint="eastAsia" w:ascii="宋体" w:hAnsi="宋体"/>
          <w:color w:val="auto"/>
          <w:szCs w:val="21"/>
          <w:highlight w:val="none"/>
          <w:lang w:eastAsia="zh-CN"/>
        </w:rPr>
        <w:t>）</w:t>
      </w:r>
      <w:r>
        <w:rPr>
          <w:rFonts w:hint="eastAsia" w:ascii="宋体" w:hAnsi="宋体"/>
          <w:color w:val="auto"/>
          <w:szCs w:val="21"/>
          <w:highlight w:val="none"/>
        </w:rPr>
        <w:t>目的违约情况时，承包人可书面通知发包人解除合同。</w:t>
      </w:r>
    </w:p>
    <w:p w14:paraId="22750C96">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承包人按22.2.2项暂停施工28天后，发包人仍不纠正违约行为的，承包人可向发包人发出解除合同通知。但承包人的这一行动不免除发包人承担的违约责任，也不影响承包人根据合同约定享有的索赔权利。</w:t>
      </w:r>
    </w:p>
    <w:p w14:paraId="7678E9CD">
      <w:pPr>
        <w:spacing w:line="360" w:lineRule="auto"/>
        <w:rPr>
          <w:rFonts w:hint="eastAsia" w:ascii="宋体" w:hAnsi="宋体"/>
          <w:b/>
          <w:color w:val="auto"/>
          <w:szCs w:val="21"/>
          <w:highlight w:val="none"/>
        </w:rPr>
      </w:pPr>
      <w:r>
        <w:rPr>
          <w:rFonts w:hint="eastAsia" w:ascii="宋体" w:hAnsi="宋体"/>
          <w:color w:val="auto"/>
          <w:szCs w:val="21"/>
          <w:highlight w:val="none"/>
        </w:rPr>
        <w:t xml:space="preserve">   </w:t>
      </w:r>
      <w:r>
        <w:rPr>
          <w:rFonts w:hint="eastAsia" w:ascii="宋体" w:hAnsi="宋体"/>
          <w:b/>
          <w:color w:val="auto"/>
          <w:szCs w:val="21"/>
          <w:highlight w:val="none"/>
        </w:rPr>
        <w:t xml:space="preserve"> 22.2.4解除合同后的付款</w:t>
      </w:r>
    </w:p>
    <w:p w14:paraId="1D1525BF">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因发包人违约解除合同的，发包人应在解除合同后28天内向承包人支付下列金额，承包人应在此期限内及时向发包人提交要求支付下列金额的有关资料和凭证</w:t>
      </w:r>
      <w:r>
        <w:rPr>
          <w:rFonts w:hint="eastAsia" w:ascii="宋体" w:hAnsi="宋体"/>
          <w:color w:val="auto"/>
          <w:szCs w:val="21"/>
          <w:highlight w:val="none"/>
          <w:lang w:eastAsia="zh-CN"/>
        </w:rPr>
        <w:t>：</w:t>
      </w:r>
    </w:p>
    <w:p w14:paraId="788EABAB">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合同解除日以前所完成工作的价款</w:t>
      </w:r>
      <w:r>
        <w:rPr>
          <w:rFonts w:hint="eastAsia" w:ascii="宋体" w:hAnsi="宋体"/>
          <w:color w:val="auto"/>
          <w:szCs w:val="21"/>
          <w:highlight w:val="none"/>
          <w:lang w:eastAsia="zh-CN"/>
        </w:rPr>
        <w:t>；</w:t>
      </w:r>
    </w:p>
    <w:p w14:paraId="29595AA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承包人为该工程施工订购并已付款的材料、工程设备和其他物品的金额。发包人付还后，</w:t>
      </w:r>
    </w:p>
    <w:p w14:paraId="3D0B9402">
      <w:pPr>
        <w:spacing w:line="360" w:lineRule="auto"/>
        <w:rPr>
          <w:rFonts w:hint="eastAsia" w:ascii="宋体" w:hAnsi="宋体"/>
          <w:color w:val="auto"/>
          <w:szCs w:val="21"/>
          <w:highlight w:val="none"/>
        </w:rPr>
      </w:pPr>
      <w:r>
        <w:rPr>
          <w:rFonts w:hint="eastAsia" w:ascii="宋体" w:hAnsi="宋体"/>
          <w:color w:val="auto"/>
          <w:szCs w:val="21"/>
          <w:highlight w:val="none"/>
        </w:rPr>
        <w:t>该材料、工程设备和其他物品归发包人所有</w:t>
      </w:r>
      <w:r>
        <w:rPr>
          <w:rFonts w:hint="eastAsia" w:ascii="宋体" w:hAnsi="宋体"/>
          <w:color w:val="auto"/>
          <w:szCs w:val="21"/>
          <w:highlight w:val="none"/>
          <w:lang w:eastAsia="zh-CN"/>
        </w:rPr>
        <w:t>；</w:t>
      </w:r>
    </w:p>
    <w:p w14:paraId="65771BD1">
      <w:pPr>
        <w:spacing w:line="360" w:lineRule="auto"/>
        <w:ind w:firstLine="42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3</w:t>
      </w:r>
      <w:r>
        <w:rPr>
          <w:rFonts w:hint="eastAsia" w:ascii="宋体" w:hAnsi="宋体"/>
          <w:color w:val="auto"/>
          <w:szCs w:val="21"/>
          <w:highlight w:val="none"/>
          <w:lang w:eastAsia="zh-CN"/>
        </w:rPr>
        <w:t>）</w:t>
      </w:r>
      <w:r>
        <w:rPr>
          <w:rFonts w:hint="eastAsia" w:ascii="宋体" w:hAnsi="宋体"/>
          <w:color w:val="auto"/>
          <w:szCs w:val="21"/>
          <w:highlight w:val="none"/>
        </w:rPr>
        <w:t>承包人为完成工程所发生的，而发包人未支付的金额</w:t>
      </w:r>
      <w:r>
        <w:rPr>
          <w:rFonts w:hint="eastAsia" w:ascii="宋体" w:hAnsi="宋体"/>
          <w:color w:val="auto"/>
          <w:szCs w:val="21"/>
          <w:highlight w:val="none"/>
          <w:lang w:eastAsia="zh-CN"/>
        </w:rPr>
        <w:t>；</w:t>
      </w:r>
    </w:p>
    <w:p w14:paraId="23AE4F0B">
      <w:pPr>
        <w:spacing w:line="360" w:lineRule="auto"/>
        <w:ind w:firstLine="210" w:firstLineChars="100"/>
        <w:rPr>
          <w:rFonts w:hint="eastAsia" w:ascii="宋体" w:hAnsi="宋体"/>
          <w:color w:val="auto"/>
          <w:szCs w:val="21"/>
          <w:highlight w:val="none"/>
        </w:rPr>
      </w:pPr>
      <w:r>
        <w:rPr>
          <w:rFonts w:hint="eastAsia" w:ascii="宋体" w:hAnsi="宋体"/>
          <w:color w:val="auto"/>
          <w:szCs w:val="21"/>
          <w:highlight w:val="none"/>
        </w:rPr>
        <w:t xml:space="preserve">  (4</w:t>
      </w:r>
      <w:r>
        <w:rPr>
          <w:rFonts w:hint="eastAsia" w:ascii="宋体" w:hAnsi="宋体"/>
          <w:color w:val="auto"/>
          <w:szCs w:val="21"/>
          <w:highlight w:val="none"/>
          <w:lang w:eastAsia="zh-CN"/>
        </w:rPr>
        <w:t>）</w:t>
      </w:r>
      <w:r>
        <w:rPr>
          <w:rFonts w:hint="eastAsia" w:ascii="宋体" w:hAnsi="宋体"/>
          <w:color w:val="auto"/>
          <w:szCs w:val="21"/>
          <w:highlight w:val="none"/>
        </w:rPr>
        <w:t>承包人撤离施工场地以及遣散承包人人员的金额</w:t>
      </w:r>
      <w:r>
        <w:rPr>
          <w:rFonts w:hint="eastAsia" w:ascii="宋体" w:hAnsi="宋体"/>
          <w:color w:val="auto"/>
          <w:szCs w:val="21"/>
          <w:highlight w:val="none"/>
          <w:lang w:eastAsia="zh-CN"/>
        </w:rPr>
        <w:t>；</w:t>
      </w:r>
    </w:p>
    <w:p w14:paraId="7C50628A">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(5</w:t>
      </w:r>
      <w:r>
        <w:rPr>
          <w:rFonts w:hint="eastAsia" w:ascii="宋体" w:hAnsi="宋体"/>
          <w:color w:val="auto"/>
          <w:szCs w:val="21"/>
          <w:highlight w:val="none"/>
          <w:lang w:eastAsia="zh-CN"/>
        </w:rPr>
        <w:t>）</w:t>
      </w:r>
      <w:r>
        <w:rPr>
          <w:rFonts w:hint="eastAsia" w:ascii="宋体" w:hAnsi="宋体"/>
          <w:color w:val="auto"/>
          <w:szCs w:val="21"/>
          <w:highlight w:val="none"/>
        </w:rPr>
        <w:t>由于解除合同应赔偿的承包人损失</w:t>
      </w:r>
      <w:r>
        <w:rPr>
          <w:rFonts w:hint="eastAsia" w:ascii="宋体" w:hAnsi="宋体"/>
          <w:color w:val="auto"/>
          <w:szCs w:val="21"/>
          <w:highlight w:val="none"/>
          <w:lang w:eastAsia="zh-CN"/>
        </w:rPr>
        <w:t>；</w:t>
      </w:r>
    </w:p>
    <w:p w14:paraId="783ADE74">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(6</w:t>
      </w:r>
      <w:r>
        <w:rPr>
          <w:rFonts w:hint="eastAsia" w:ascii="宋体" w:hAnsi="宋体"/>
          <w:color w:val="auto"/>
          <w:szCs w:val="21"/>
          <w:highlight w:val="none"/>
          <w:lang w:eastAsia="zh-CN"/>
        </w:rPr>
        <w:t>）</w:t>
      </w:r>
      <w:r>
        <w:rPr>
          <w:rFonts w:hint="eastAsia" w:ascii="宋体" w:hAnsi="宋体"/>
          <w:color w:val="auto"/>
          <w:szCs w:val="21"/>
          <w:highlight w:val="none"/>
        </w:rPr>
        <w:t>按合同约定在合同解除日前应支付给承包人的其他金额。</w:t>
      </w:r>
    </w:p>
    <w:p w14:paraId="5650ABEF">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发包人应按本项约定支付上述金额并退还质量保证金和履约担保，但有权要求承包人支付应偿还给发包人的各项金额。</w:t>
      </w:r>
    </w:p>
    <w:p w14:paraId="297C790C">
      <w:pPr>
        <w:spacing w:line="360" w:lineRule="auto"/>
        <w:rPr>
          <w:rFonts w:hint="eastAsia" w:ascii="宋体" w:hAnsi="宋体"/>
          <w:b/>
          <w:color w:val="auto"/>
          <w:szCs w:val="21"/>
          <w:highlight w:val="none"/>
        </w:rPr>
      </w:pPr>
      <w:r>
        <w:rPr>
          <w:rFonts w:hint="eastAsia" w:ascii="宋体" w:hAnsi="宋体"/>
          <w:color w:val="auto"/>
          <w:szCs w:val="21"/>
          <w:highlight w:val="none"/>
        </w:rPr>
        <w:t xml:space="preserve">    </w:t>
      </w:r>
      <w:r>
        <w:rPr>
          <w:rFonts w:hint="eastAsia" w:ascii="宋体" w:hAnsi="宋体"/>
          <w:b/>
          <w:color w:val="auto"/>
          <w:szCs w:val="21"/>
          <w:highlight w:val="none"/>
        </w:rPr>
        <w:t>22.2.5解除合同后的承包人撤离</w:t>
      </w:r>
    </w:p>
    <w:p w14:paraId="25316FD8">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因发包人违约而解除合同后，承包人应妥善做好已竣工工程和已购材料、设备的保护和移交工作，按发包人要求将承包人设备和人员撤出施工场地。承包人撤出施工场地应遵守第18. 7. 1项的约定，发包人应为承包人撤出提供必要条件。</w:t>
      </w:r>
    </w:p>
    <w:p w14:paraId="5493E857">
      <w:pPr>
        <w:spacing w:line="360" w:lineRule="auto"/>
        <w:rPr>
          <w:rFonts w:hint="eastAsia" w:ascii="宋体" w:hAnsi="宋体"/>
          <w:b/>
          <w:color w:val="auto"/>
          <w:sz w:val="24"/>
          <w:highlight w:val="none"/>
        </w:rPr>
      </w:pPr>
      <w:r>
        <w:rPr>
          <w:rFonts w:hint="eastAsia" w:ascii="宋体" w:hAnsi="宋体"/>
          <w:b/>
          <w:color w:val="auto"/>
          <w:sz w:val="24"/>
          <w:highlight w:val="none"/>
        </w:rPr>
        <w:t>22.3 第三人造成的违约</w:t>
      </w:r>
    </w:p>
    <w:p w14:paraId="58965C7A">
      <w:pPr>
        <w:spacing w:line="360" w:lineRule="auto"/>
        <w:ind w:firstLine="420"/>
        <w:rPr>
          <w:rFonts w:hint="eastAsia" w:ascii="宋体" w:hAnsi="宋体"/>
          <w:color w:val="auto"/>
          <w:szCs w:val="21"/>
          <w:highlight w:val="none"/>
        </w:rPr>
      </w:pPr>
      <w:r>
        <w:rPr>
          <w:rFonts w:hint="eastAsia" w:ascii="宋体" w:hAnsi="宋体"/>
          <w:color w:val="auto"/>
          <w:szCs w:val="21"/>
          <w:highlight w:val="none"/>
        </w:rPr>
        <w:t>在履行合同过程中，一方当事人因第三人的原因造成违约的，应当向对方当事人承担违约责任。一方当事人和第三人</w:t>
      </w:r>
      <w:r>
        <w:rPr>
          <w:rFonts w:hint="eastAsia" w:ascii="宋体" w:hAnsi="宋体"/>
          <w:color w:val="auto"/>
          <w:szCs w:val="21"/>
          <w:highlight w:val="none"/>
          <w:lang w:eastAsia="zh-CN"/>
        </w:rPr>
        <w:t>之间</w:t>
      </w:r>
      <w:r>
        <w:rPr>
          <w:rFonts w:hint="eastAsia" w:ascii="宋体" w:hAnsi="宋体"/>
          <w:color w:val="auto"/>
          <w:szCs w:val="21"/>
          <w:highlight w:val="none"/>
        </w:rPr>
        <w:t>的纠纷，依照法律规定或者按照约定解决。</w:t>
      </w:r>
    </w:p>
    <w:p w14:paraId="4DD9E12D">
      <w:pPr>
        <w:pStyle w:val="5"/>
        <w:rPr>
          <w:rFonts w:hint="eastAsia" w:ascii="宋体" w:hAnsi="宋体"/>
          <w:color w:val="auto"/>
          <w:sz w:val="28"/>
          <w:highlight w:val="none"/>
        </w:rPr>
      </w:pPr>
      <w:r>
        <w:rPr>
          <w:rFonts w:hint="eastAsia" w:ascii="宋体" w:hAnsi="宋体"/>
          <w:color w:val="auto"/>
          <w:sz w:val="28"/>
          <w:highlight w:val="none"/>
        </w:rPr>
        <w:t>23.索赔</w:t>
      </w:r>
    </w:p>
    <w:p w14:paraId="262EBF2B">
      <w:pPr>
        <w:spacing w:line="360" w:lineRule="auto"/>
        <w:rPr>
          <w:rFonts w:hint="eastAsia" w:ascii="宋体" w:hAnsi="宋体"/>
          <w:b/>
          <w:color w:val="auto"/>
          <w:sz w:val="24"/>
          <w:highlight w:val="none"/>
        </w:rPr>
      </w:pPr>
      <w:r>
        <w:rPr>
          <w:rFonts w:hint="eastAsia" w:ascii="宋体" w:hAnsi="宋体"/>
          <w:b/>
          <w:color w:val="auto"/>
          <w:sz w:val="24"/>
          <w:highlight w:val="none"/>
        </w:rPr>
        <w:t>23.1 承包人索赔的提出</w:t>
      </w:r>
    </w:p>
    <w:p w14:paraId="2A9AE7C2">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根据合同约定，承包人认为有权得到追加付款和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延长工期的，应按以下程序向发包人提出索赔</w:t>
      </w:r>
      <w:r>
        <w:rPr>
          <w:rFonts w:hint="eastAsia" w:ascii="宋体" w:hAnsi="宋体"/>
          <w:color w:val="auto"/>
          <w:szCs w:val="21"/>
          <w:highlight w:val="none"/>
          <w:lang w:eastAsia="zh-CN"/>
        </w:rPr>
        <w:t>：</w:t>
      </w:r>
    </w:p>
    <w:p w14:paraId="76AB1347">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1</w:t>
      </w:r>
      <w:r>
        <w:rPr>
          <w:rFonts w:hint="eastAsia" w:ascii="宋体" w:hAnsi="宋体"/>
          <w:color w:val="auto"/>
          <w:szCs w:val="21"/>
          <w:highlight w:val="none"/>
          <w:lang w:eastAsia="zh-CN"/>
        </w:rPr>
        <w:t>）</w:t>
      </w:r>
      <w:r>
        <w:rPr>
          <w:rFonts w:hint="eastAsia" w:ascii="宋体" w:hAnsi="宋体"/>
          <w:color w:val="auto"/>
          <w:szCs w:val="21"/>
          <w:highlight w:val="none"/>
        </w:rPr>
        <w:t xml:space="preserve">承包人应在知道或应当知道索赔事件发生后28天内，向监理人递交索赔意向通知书，并说明发生索赔事件的事由。承包人未在前述28天内发出索赔意向通知书的，丧失要求追加付款和  </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延长工期的权利</w:t>
      </w:r>
      <w:r>
        <w:rPr>
          <w:rFonts w:hint="eastAsia" w:ascii="宋体" w:hAnsi="宋体"/>
          <w:color w:val="auto"/>
          <w:szCs w:val="21"/>
          <w:highlight w:val="none"/>
          <w:lang w:eastAsia="zh-CN"/>
        </w:rPr>
        <w:t>；</w:t>
      </w:r>
    </w:p>
    <w:p w14:paraId="18451543">
      <w:pPr>
        <w:spacing w:line="360" w:lineRule="auto"/>
        <w:ind w:firstLine="42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2</w:t>
      </w:r>
      <w:r>
        <w:rPr>
          <w:rFonts w:hint="eastAsia" w:ascii="宋体" w:hAnsi="宋体"/>
          <w:color w:val="auto"/>
          <w:szCs w:val="21"/>
          <w:highlight w:val="none"/>
          <w:lang w:eastAsia="zh-CN"/>
        </w:rPr>
        <w:t>）</w:t>
      </w:r>
      <w:r>
        <w:rPr>
          <w:rFonts w:hint="eastAsia" w:ascii="宋体" w:hAnsi="宋体"/>
          <w:color w:val="auto"/>
          <w:szCs w:val="21"/>
          <w:highlight w:val="none"/>
        </w:rPr>
        <w:t>承包人应在发出索赔意向通知书后28天内，向监理人正式递交索赔通知书。索赔通知书应详细说明索赔理由以及要求追加的付款金额和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延长的工期，并附必要的记录和证明材料</w:t>
      </w:r>
      <w:r>
        <w:rPr>
          <w:rFonts w:hint="eastAsia" w:ascii="宋体" w:hAnsi="宋体"/>
          <w:color w:val="auto"/>
          <w:szCs w:val="21"/>
          <w:highlight w:val="none"/>
          <w:lang w:eastAsia="zh-CN"/>
        </w:rPr>
        <w:t>；</w:t>
      </w:r>
      <w:r>
        <w:rPr>
          <w:rFonts w:hint="eastAsia" w:ascii="宋体" w:hAnsi="宋体"/>
          <w:color w:val="auto"/>
          <w:szCs w:val="21"/>
          <w:highlight w:val="none"/>
        </w:rPr>
        <w:t xml:space="preserve"> </w:t>
      </w:r>
    </w:p>
    <w:p w14:paraId="64BD1FE5">
      <w:pPr>
        <w:spacing w:line="360" w:lineRule="auto"/>
        <w:ind w:firstLine="42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3</w:t>
      </w:r>
      <w:r>
        <w:rPr>
          <w:rFonts w:hint="eastAsia" w:ascii="宋体" w:hAnsi="宋体"/>
          <w:color w:val="auto"/>
          <w:szCs w:val="21"/>
          <w:highlight w:val="none"/>
          <w:lang w:eastAsia="zh-CN"/>
        </w:rPr>
        <w:t>）</w:t>
      </w:r>
      <w:r>
        <w:rPr>
          <w:rFonts w:hint="eastAsia" w:ascii="宋体" w:hAnsi="宋体"/>
          <w:color w:val="auto"/>
          <w:szCs w:val="21"/>
          <w:highlight w:val="none"/>
        </w:rPr>
        <w:t>索赔事件具有连续影响的，承包人应按合理</w:t>
      </w:r>
      <w:r>
        <w:rPr>
          <w:rFonts w:hint="eastAsia" w:ascii="宋体" w:hAnsi="宋体"/>
          <w:color w:val="auto"/>
          <w:szCs w:val="21"/>
          <w:highlight w:val="none"/>
          <w:lang w:eastAsia="zh-CN"/>
        </w:rPr>
        <w:t>时间间</w:t>
      </w:r>
      <w:r>
        <w:rPr>
          <w:rFonts w:hint="eastAsia" w:ascii="宋体" w:hAnsi="宋体"/>
          <w:color w:val="auto"/>
          <w:szCs w:val="21"/>
          <w:highlight w:val="none"/>
        </w:rPr>
        <w:t>隔继续递交延续索赔通知，说明连续影响的实际情况和记录，列出累计的追加付款金额和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工期延长天数</w:t>
      </w:r>
      <w:r>
        <w:rPr>
          <w:rFonts w:hint="eastAsia" w:ascii="宋体" w:hAnsi="宋体"/>
          <w:color w:val="auto"/>
          <w:szCs w:val="21"/>
          <w:highlight w:val="none"/>
          <w:lang w:eastAsia="zh-CN"/>
        </w:rPr>
        <w:t>；</w:t>
      </w:r>
    </w:p>
    <w:p w14:paraId="6FE927CB">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(4</w:t>
      </w:r>
      <w:r>
        <w:rPr>
          <w:rFonts w:hint="eastAsia" w:ascii="宋体" w:hAnsi="宋体"/>
          <w:color w:val="auto"/>
          <w:szCs w:val="21"/>
          <w:highlight w:val="none"/>
          <w:lang w:eastAsia="zh-CN"/>
        </w:rPr>
        <w:t>）</w:t>
      </w:r>
      <w:r>
        <w:rPr>
          <w:rFonts w:hint="eastAsia" w:ascii="宋体" w:hAnsi="宋体"/>
          <w:color w:val="auto"/>
          <w:szCs w:val="21"/>
          <w:highlight w:val="none"/>
        </w:rPr>
        <w:t>在索赔事件影响结束后的28天内，承包人应向监理人递交最终索赔通知书，说明最终要求索赔的追加付款金额和延长的工期，并附必要的记录和证明材料。</w:t>
      </w:r>
    </w:p>
    <w:p w14:paraId="4C7A2F08">
      <w:pPr>
        <w:spacing w:line="360" w:lineRule="auto"/>
        <w:rPr>
          <w:rFonts w:hint="eastAsia" w:ascii="宋体" w:hAnsi="宋体"/>
          <w:b/>
          <w:color w:val="auto"/>
          <w:sz w:val="24"/>
          <w:highlight w:val="none"/>
        </w:rPr>
      </w:pPr>
      <w:r>
        <w:rPr>
          <w:rFonts w:hint="eastAsia" w:ascii="宋体" w:hAnsi="宋体"/>
          <w:b/>
          <w:color w:val="auto"/>
          <w:sz w:val="24"/>
          <w:highlight w:val="none"/>
        </w:rPr>
        <w:t>23.2承包人索赔处理程序</w:t>
      </w:r>
    </w:p>
    <w:p w14:paraId="5FBF5D8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监理人收到承包人提交的索赔通知书后，应及时审查索赔通知书的内容、查验承包人的记录和证明材料，必要时监理人可要求承包人提交全部原始记录副本。</w:t>
      </w:r>
    </w:p>
    <w:p w14:paraId="29CDAECD">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监理人应按第3.5款商定或确定追加的付款和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延长的工期，并在收到上述索赔通</w:t>
      </w:r>
    </w:p>
    <w:p w14:paraId="54FE5C7F">
      <w:pPr>
        <w:spacing w:line="360" w:lineRule="auto"/>
        <w:rPr>
          <w:rFonts w:hint="eastAsia" w:ascii="宋体" w:hAnsi="宋体"/>
          <w:color w:val="auto"/>
          <w:szCs w:val="21"/>
          <w:highlight w:val="none"/>
        </w:rPr>
      </w:pPr>
      <w:r>
        <w:rPr>
          <w:rFonts w:hint="eastAsia" w:ascii="宋体" w:hAnsi="宋体"/>
          <w:color w:val="auto"/>
          <w:szCs w:val="21"/>
          <w:highlight w:val="none"/>
        </w:rPr>
        <w:t>知书或有关索赔的进一步证明材料后的42天内，将索赔处理结果答复承包人。</w:t>
      </w:r>
    </w:p>
    <w:p w14:paraId="1D6F1956">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(3</w:t>
      </w:r>
      <w:r>
        <w:rPr>
          <w:rFonts w:hint="eastAsia" w:ascii="宋体" w:hAnsi="宋体"/>
          <w:color w:val="auto"/>
          <w:szCs w:val="21"/>
          <w:highlight w:val="none"/>
          <w:lang w:eastAsia="zh-CN"/>
        </w:rPr>
        <w:t>）</w:t>
      </w:r>
      <w:r>
        <w:rPr>
          <w:rFonts w:hint="eastAsia" w:ascii="宋体" w:hAnsi="宋体"/>
          <w:color w:val="auto"/>
          <w:szCs w:val="21"/>
          <w:highlight w:val="none"/>
        </w:rPr>
        <w:t>承包人接受索赔处理结果的，发包人应在作出索赔处理结果答复后28天内完成赔付。承包人不接受索赔处理结果的，按第24条的约定办理。</w:t>
      </w:r>
    </w:p>
    <w:p w14:paraId="5653E506">
      <w:pPr>
        <w:spacing w:line="360" w:lineRule="auto"/>
        <w:rPr>
          <w:rFonts w:hint="eastAsia" w:ascii="宋体" w:hAnsi="宋体"/>
          <w:b/>
          <w:color w:val="auto"/>
          <w:sz w:val="24"/>
          <w:highlight w:val="none"/>
        </w:rPr>
      </w:pPr>
      <w:r>
        <w:rPr>
          <w:rFonts w:hint="eastAsia" w:ascii="宋体" w:hAnsi="宋体"/>
          <w:b/>
          <w:color w:val="auto"/>
          <w:sz w:val="24"/>
          <w:highlight w:val="none"/>
        </w:rPr>
        <w:t>23.3承包人提出索赔的期限</w:t>
      </w:r>
    </w:p>
    <w:p w14:paraId="7969386E">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23.3.1承包人按第17.5款的约定接受了完工付款证书后，应被认为已无权再提出在合同工程完工证书颁发前所发生的任何索赔。</w:t>
      </w:r>
    </w:p>
    <w:p w14:paraId="06B0F1B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23.3.2承包人按第17.6款的约定提交的最终结清申请单中，只限于提出合同工程完工证书颁发后发生的索赔。提出索赔的期限自接受最终结清证书时终止。</w:t>
      </w:r>
    </w:p>
    <w:p w14:paraId="09FDBE51">
      <w:pPr>
        <w:spacing w:line="360" w:lineRule="auto"/>
        <w:rPr>
          <w:rFonts w:hint="eastAsia" w:ascii="宋体" w:hAnsi="宋体"/>
          <w:b/>
          <w:color w:val="auto"/>
          <w:sz w:val="24"/>
          <w:highlight w:val="none"/>
        </w:rPr>
      </w:pPr>
      <w:r>
        <w:rPr>
          <w:rFonts w:hint="eastAsia" w:ascii="宋体" w:hAnsi="宋体"/>
          <w:b/>
          <w:color w:val="auto"/>
          <w:sz w:val="24"/>
          <w:highlight w:val="none"/>
        </w:rPr>
        <w:t>23.4发包人的索赔</w:t>
      </w:r>
    </w:p>
    <w:p w14:paraId="0C884395">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23.4.1发生索赔事件后，监理人应及时书面通知承包人，详细说明发包人有权得到的索赔金额和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延长缺陷责任期的细节和依据。发包人提出索赔的期限和要求与第23. 3款的约定相同，延长缺陷责任期的通知应在缺陷责任期届满前发出。</w:t>
      </w:r>
    </w:p>
    <w:p w14:paraId="19DDD1D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23.4.2监理人按第3.5款商定或确定发包人从承包人处得到赔付的金额和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缺陷责任期</w:t>
      </w:r>
    </w:p>
    <w:p w14:paraId="2F169DF2">
      <w:pPr>
        <w:spacing w:line="360" w:lineRule="auto"/>
        <w:rPr>
          <w:rFonts w:hint="eastAsia" w:ascii="宋体" w:hAnsi="宋体"/>
          <w:color w:val="auto"/>
          <w:szCs w:val="21"/>
          <w:highlight w:val="none"/>
        </w:rPr>
      </w:pPr>
      <w:r>
        <w:rPr>
          <w:rFonts w:hint="eastAsia" w:ascii="宋体" w:hAnsi="宋体"/>
          <w:color w:val="auto"/>
          <w:szCs w:val="21"/>
          <w:highlight w:val="none"/>
        </w:rPr>
        <w:t>的延长期。承包人应付给发包人的金额可从拟支付给承包人的合同价款中扣除，或由承包人以其他方式支付给发包人。</w:t>
      </w:r>
    </w:p>
    <w:p w14:paraId="7E5DA3AB">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23.4.3承包人对监理人按第23.4.1项发出的索赔书面通知内容持异议时，应在收到书面通知后的14天内，将持有异议的书面报告及其证明材料提交监理人。监理人应在收到承包人书面报告后的14天内，将异议的处理意见通知承包人，并按第23.4.2项的约定执行赔付。若承包人不接受监理人的索赔处理意见，可按本合同第24条的规定办理。</w:t>
      </w:r>
    </w:p>
    <w:p w14:paraId="7E23CB21">
      <w:pPr>
        <w:pStyle w:val="5"/>
        <w:rPr>
          <w:rFonts w:hint="eastAsia" w:ascii="宋体" w:hAnsi="宋体"/>
          <w:color w:val="auto"/>
          <w:sz w:val="28"/>
          <w:highlight w:val="none"/>
        </w:rPr>
      </w:pPr>
      <w:r>
        <w:rPr>
          <w:rFonts w:hint="eastAsia" w:ascii="宋体" w:hAnsi="宋体"/>
          <w:color w:val="auto"/>
          <w:sz w:val="28"/>
          <w:highlight w:val="none"/>
        </w:rPr>
        <w:t>24.争议的解决</w:t>
      </w:r>
    </w:p>
    <w:p w14:paraId="0674E519">
      <w:pPr>
        <w:spacing w:line="360" w:lineRule="auto"/>
        <w:rPr>
          <w:rFonts w:hint="eastAsia" w:ascii="宋体" w:hAnsi="宋体"/>
          <w:b/>
          <w:color w:val="auto"/>
          <w:sz w:val="24"/>
          <w:highlight w:val="none"/>
        </w:rPr>
      </w:pPr>
      <w:r>
        <w:rPr>
          <w:rFonts w:hint="eastAsia" w:ascii="宋体" w:hAnsi="宋体"/>
          <w:b/>
          <w:color w:val="auto"/>
          <w:sz w:val="24"/>
          <w:highlight w:val="none"/>
        </w:rPr>
        <w:t>24.1 争议的解决方式</w:t>
      </w:r>
    </w:p>
    <w:p w14:paraId="02AE8995">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发包人和承包人在履行合同中发生争议的，可以友好协商解决或者提请争议评审组评审。合同当事人友好协商解决不成、不愿提请争议评审或者不接受争议评审组意见的，可在专用合同条款中约定下列一种方式解决。</w:t>
      </w:r>
    </w:p>
    <w:p w14:paraId="024D6A7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向约定的仲裁委员会申请仲裁</w:t>
      </w:r>
      <w:r>
        <w:rPr>
          <w:rFonts w:hint="eastAsia" w:ascii="宋体" w:hAnsi="宋体"/>
          <w:color w:val="auto"/>
          <w:szCs w:val="21"/>
          <w:highlight w:val="none"/>
          <w:lang w:eastAsia="zh-CN"/>
        </w:rPr>
        <w:t>；</w:t>
      </w:r>
    </w:p>
    <w:p w14:paraId="5B0C0A8D">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向有管辖权的人民法院提起诉讼。</w:t>
      </w:r>
    </w:p>
    <w:p w14:paraId="74F74FD5">
      <w:pPr>
        <w:spacing w:line="360" w:lineRule="auto"/>
        <w:rPr>
          <w:rFonts w:hint="eastAsia" w:ascii="宋体" w:hAnsi="宋体"/>
          <w:b/>
          <w:color w:val="auto"/>
          <w:sz w:val="24"/>
          <w:highlight w:val="none"/>
        </w:rPr>
      </w:pPr>
      <w:r>
        <w:rPr>
          <w:rFonts w:hint="eastAsia" w:ascii="宋体" w:hAnsi="宋体"/>
          <w:b/>
          <w:color w:val="auto"/>
          <w:sz w:val="24"/>
          <w:highlight w:val="none"/>
        </w:rPr>
        <w:t>24.2 友好解决</w:t>
      </w:r>
    </w:p>
    <w:p w14:paraId="6EBDB12A">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在提请争议评审、仲裁或者诉讼前，以及在争议评审、仲裁或诉讼过程中，发包人和承包人均可共同努力友好协商解决争议。</w:t>
      </w:r>
    </w:p>
    <w:p w14:paraId="38EAF4E8">
      <w:pPr>
        <w:spacing w:line="360" w:lineRule="auto"/>
        <w:rPr>
          <w:rFonts w:hint="eastAsia" w:ascii="宋体" w:hAnsi="宋体"/>
          <w:b/>
          <w:color w:val="auto"/>
          <w:sz w:val="24"/>
          <w:highlight w:val="none"/>
        </w:rPr>
      </w:pPr>
      <w:r>
        <w:rPr>
          <w:rFonts w:hint="eastAsia" w:ascii="宋体" w:hAnsi="宋体"/>
          <w:b/>
          <w:color w:val="auto"/>
          <w:sz w:val="24"/>
          <w:highlight w:val="none"/>
        </w:rPr>
        <w:t>24.3争议评审</w:t>
      </w:r>
    </w:p>
    <w:p w14:paraId="04580195">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24.3.1采用争议评审的，发包人和承包人应在开工日后的28天内或在争议发生后，协商成立争议评审组。争议评审组由有合同管理和工程实践经验的专家组成。</w:t>
      </w:r>
    </w:p>
    <w:p w14:paraId="671D4F1F">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24.3 2合同双方的争议，应首先由申请人向争议评审组提交一份详细的评审申请报告，并附必要的文件、图纸和证明材料，申请人还应将上述报告的副本同时提交给被申请人和监理人。</w:t>
      </w:r>
    </w:p>
    <w:p w14:paraId="3A64DB37">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24.3.3 被申请人在收到申请人评审申请报告副本后的28天内，向争议评审组提交一份答辩报告，并附证明材料。被申请人应将答辩报告的副本同时提交给申请人和监理人。</w:t>
      </w:r>
    </w:p>
    <w:p w14:paraId="4BDA0FA2">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24.3.4 除专用合同条款另有约定外，争议评审组在收到合同双方报告后的14天内，邀请双方代表和有关人员举行调查会，向双方调查争议细节</w:t>
      </w:r>
      <w:r>
        <w:rPr>
          <w:rFonts w:hint="eastAsia" w:ascii="宋体" w:hAnsi="宋体"/>
          <w:color w:val="auto"/>
          <w:szCs w:val="21"/>
          <w:highlight w:val="none"/>
          <w:lang w:eastAsia="zh-CN"/>
        </w:rPr>
        <w:t>；</w:t>
      </w:r>
      <w:r>
        <w:rPr>
          <w:rFonts w:hint="eastAsia" w:ascii="宋体" w:hAnsi="宋体"/>
          <w:color w:val="auto"/>
          <w:szCs w:val="21"/>
          <w:highlight w:val="none"/>
        </w:rPr>
        <w:t>必要时争议评审组可要求双方进一步提供补充材料。</w:t>
      </w:r>
    </w:p>
    <w:p w14:paraId="2D6E64C8">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24.3.5 除专用合同条款另有约定外，在调查会结束后的14天内，争议评审组应在不受任何干扰的情况下进行独立、公正的评审，作出书面评审意见，并说明理由。在争议评审</w:t>
      </w:r>
      <w:r>
        <w:rPr>
          <w:rFonts w:hint="eastAsia" w:ascii="宋体" w:hAnsi="宋体"/>
          <w:color w:val="auto"/>
          <w:szCs w:val="21"/>
          <w:highlight w:val="none"/>
          <w:lang w:eastAsia="zh-CN"/>
        </w:rPr>
        <w:t>期间</w:t>
      </w:r>
      <w:r>
        <w:rPr>
          <w:rFonts w:hint="eastAsia" w:ascii="宋体" w:hAnsi="宋体"/>
          <w:color w:val="auto"/>
          <w:szCs w:val="21"/>
          <w:highlight w:val="none"/>
        </w:rPr>
        <w:t>，争议双方暂按总监理工程师的确定执行。</w:t>
      </w:r>
    </w:p>
    <w:p w14:paraId="3266CF58">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24.3.6发包人和承包人接受评审意见的，由监理人根据评审意见拟定执行协议，经争议双方签字后作为合同的补充文件，并遵照执行。</w:t>
      </w:r>
    </w:p>
    <w:p w14:paraId="5D922D74">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24.3.7发包人或承包人不接受评审意见，并要求提交仲裁或提起诉讼的，应在收到评审意见后的14天内将仲裁或起诉意向书面通知另一方，并抄送监理人，但在仲裁或诉讼结束前应暂按总监理工程师的确定执行。</w:t>
      </w:r>
    </w:p>
    <w:p w14:paraId="5D759B7C">
      <w:pPr>
        <w:spacing w:line="360" w:lineRule="auto"/>
        <w:rPr>
          <w:rFonts w:hint="eastAsia" w:ascii="宋体" w:hAnsi="宋体"/>
          <w:b/>
          <w:color w:val="auto"/>
          <w:sz w:val="24"/>
          <w:highlight w:val="none"/>
        </w:rPr>
      </w:pPr>
      <w:r>
        <w:rPr>
          <w:rFonts w:hint="eastAsia" w:ascii="宋体" w:hAnsi="宋体"/>
          <w:b/>
          <w:color w:val="auto"/>
          <w:sz w:val="24"/>
          <w:highlight w:val="none"/>
        </w:rPr>
        <w:t>24.4仲裁</w:t>
      </w:r>
    </w:p>
    <w:p w14:paraId="3DDEC50E">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24.4.1若合同双方商定直接向仲裁机构申请仲裁，应签订仲裁协议并约定仲裁机构。</w:t>
      </w:r>
    </w:p>
    <w:p w14:paraId="494A7603">
      <w:pPr>
        <w:spacing w:line="360" w:lineRule="auto"/>
        <w:ind w:firstLine="420"/>
        <w:rPr>
          <w:rFonts w:hint="eastAsia" w:ascii="宋体" w:hAnsi="宋体"/>
          <w:color w:val="auto"/>
          <w:szCs w:val="21"/>
          <w:highlight w:val="none"/>
        </w:rPr>
      </w:pPr>
      <w:r>
        <w:rPr>
          <w:rFonts w:hint="eastAsia" w:ascii="宋体" w:hAnsi="宋体"/>
          <w:color w:val="auto"/>
          <w:szCs w:val="21"/>
          <w:highlight w:val="none"/>
        </w:rPr>
        <w:t>24.4.2若合同双方未能达成仲裁协议，则本合同的仲裁条款无效，任一方均有权向人民法院提起诉讼。</w:t>
      </w:r>
    </w:p>
    <w:p w14:paraId="71E405CC">
      <w:pPr>
        <w:spacing w:line="360" w:lineRule="auto"/>
        <w:ind w:firstLine="420"/>
        <w:rPr>
          <w:rFonts w:hint="eastAsia" w:ascii="宋体" w:hAnsi="宋体"/>
          <w:color w:val="auto"/>
          <w:szCs w:val="21"/>
          <w:highlight w:val="none"/>
        </w:rPr>
      </w:pPr>
    </w:p>
    <w:p w14:paraId="69839ECF">
      <w:pPr>
        <w:spacing w:line="360" w:lineRule="auto"/>
        <w:ind w:firstLine="420"/>
        <w:rPr>
          <w:rFonts w:hint="eastAsia" w:ascii="宋体" w:hAnsi="宋体"/>
          <w:color w:val="auto"/>
          <w:szCs w:val="21"/>
          <w:highlight w:val="none"/>
        </w:rPr>
      </w:pPr>
    </w:p>
    <w:p w14:paraId="5B51A0CF">
      <w:pPr>
        <w:spacing w:line="360" w:lineRule="auto"/>
        <w:ind w:firstLine="420"/>
        <w:rPr>
          <w:rFonts w:hint="eastAsia" w:ascii="宋体" w:hAnsi="宋体"/>
          <w:color w:val="auto"/>
          <w:szCs w:val="21"/>
          <w:highlight w:val="none"/>
        </w:rPr>
      </w:pPr>
    </w:p>
    <w:p w14:paraId="34B4E8D1">
      <w:pPr>
        <w:spacing w:line="360" w:lineRule="auto"/>
        <w:ind w:firstLine="420"/>
        <w:rPr>
          <w:rFonts w:hint="eastAsia" w:ascii="宋体" w:hAnsi="宋体"/>
          <w:color w:val="auto"/>
          <w:szCs w:val="21"/>
          <w:highlight w:val="none"/>
        </w:rPr>
      </w:pPr>
    </w:p>
    <w:p w14:paraId="0045C49C">
      <w:pPr>
        <w:spacing w:line="360" w:lineRule="auto"/>
        <w:ind w:firstLine="420"/>
        <w:rPr>
          <w:rFonts w:hint="eastAsia" w:ascii="宋体" w:hAnsi="宋体"/>
          <w:color w:val="auto"/>
          <w:szCs w:val="21"/>
          <w:highlight w:val="none"/>
        </w:rPr>
      </w:pPr>
    </w:p>
    <w:p w14:paraId="5141967A">
      <w:pPr>
        <w:pStyle w:val="4"/>
        <w:jc w:val="center"/>
        <w:rPr>
          <w:rFonts w:hint="eastAsia" w:ascii="宋体" w:hAnsi="宋体"/>
          <w:color w:val="auto"/>
          <w:sz w:val="30"/>
          <w:szCs w:val="30"/>
          <w:highlight w:val="none"/>
        </w:rPr>
      </w:pPr>
      <w:r>
        <w:rPr>
          <w:rFonts w:ascii="宋体" w:hAnsi="宋体"/>
          <w:color w:val="auto"/>
          <w:sz w:val="30"/>
          <w:szCs w:val="30"/>
          <w:highlight w:val="none"/>
        </w:rPr>
        <w:br w:type="page"/>
      </w:r>
      <w:bookmarkStart w:id="468" w:name="_Toc64730981"/>
      <w:r>
        <w:rPr>
          <w:rFonts w:hint="eastAsia" w:ascii="宋体" w:hAnsi="宋体"/>
          <w:color w:val="auto"/>
          <w:sz w:val="30"/>
          <w:szCs w:val="30"/>
          <w:highlight w:val="none"/>
        </w:rPr>
        <w:t>第二节 专用合同条款</w:t>
      </w:r>
      <w:bookmarkEnd w:id="468"/>
    </w:p>
    <w:p w14:paraId="0097ED16">
      <w:pPr>
        <w:spacing w:line="400" w:lineRule="exact"/>
        <w:rPr>
          <w:rFonts w:hint="eastAsia" w:ascii="黑体" w:hAnsi="宋体" w:eastAsia="黑体"/>
          <w:b/>
          <w:color w:val="auto"/>
          <w:sz w:val="28"/>
          <w:szCs w:val="28"/>
          <w:highlight w:val="none"/>
        </w:rPr>
      </w:pPr>
      <w:bookmarkStart w:id="469" w:name="_Toc222033878"/>
      <w:bookmarkStart w:id="470" w:name="_Toc221951111"/>
      <w:bookmarkStart w:id="471" w:name="_Toc222029527"/>
      <w:bookmarkStart w:id="472" w:name="_Toc229305387"/>
      <w:bookmarkStart w:id="473" w:name="_Toc309534173"/>
      <w:bookmarkStart w:id="474" w:name="_Toc222031029"/>
      <w:bookmarkStart w:id="475" w:name="_Toc309533345"/>
      <w:bookmarkStart w:id="476" w:name="_Toc222032696"/>
      <w:bookmarkStart w:id="477" w:name="_Toc309533741"/>
      <w:r>
        <w:rPr>
          <w:rFonts w:hint="eastAsia" w:ascii="黑体" w:hAnsi="宋体" w:eastAsia="黑体"/>
          <w:b/>
          <w:color w:val="auto"/>
          <w:sz w:val="28"/>
          <w:szCs w:val="28"/>
          <w:highlight w:val="none"/>
        </w:rPr>
        <w:t>1  一般约定</w:t>
      </w:r>
      <w:bookmarkEnd w:id="469"/>
      <w:bookmarkEnd w:id="470"/>
      <w:bookmarkEnd w:id="471"/>
      <w:bookmarkEnd w:id="472"/>
      <w:bookmarkEnd w:id="473"/>
      <w:bookmarkEnd w:id="474"/>
      <w:bookmarkEnd w:id="475"/>
      <w:bookmarkEnd w:id="476"/>
      <w:bookmarkEnd w:id="477"/>
    </w:p>
    <w:p w14:paraId="30ACAF68">
      <w:pPr>
        <w:spacing w:line="400" w:lineRule="exact"/>
        <w:rPr>
          <w:rFonts w:hint="eastAsia" w:ascii="黑体" w:hAnsi="宋体" w:eastAsia="黑体"/>
          <w:b/>
          <w:color w:val="auto"/>
          <w:sz w:val="24"/>
          <w:highlight w:val="none"/>
        </w:rPr>
      </w:pPr>
      <w:bookmarkStart w:id="478" w:name="_Toc221951112"/>
      <w:r>
        <w:rPr>
          <w:rFonts w:hint="eastAsia" w:ascii="黑体" w:hAnsi="宋体" w:eastAsia="黑体"/>
          <w:b/>
          <w:color w:val="auto"/>
          <w:sz w:val="24"/>
          <w:highlight w:val="none"/>
        </w:rPr>
        <w:t>1.1  词语定义</w:t>
      </w:r>
      <w:bookmarkEnd w:id="478"/>
    </w:p>
    <w:p w14:paraId="74360385">
      <w:pPr>
        <w:spacing w:line="400" w:lineRule="exact"/>
        <w:ind w:firstLine="420" w:firstLineChars="200"/>
        <w:rPr>
          <w:rFonts w:hint="eastAsia" w:ascii="宋体" w:hAnsi="宋体"/>
          <w:color w:val="auto"/>
          <w:szCs w:val="21"/>
          <w:highlight w:val="none"/>
        </w:rPr>
      </w:pPr>
      <w:bookmarkStart w:id="479" w:name="_Toc221951113"/>
      <w:bookmarkStart w:id="480" w:name="_Toc309533346"/>
      <w:bookmarkStart w:id="481" w:name="_Toc221951127"/>
      <w:r>
        <w:rPr>
          <w:rFonts w:hint="eastAsia" w:ascii="宋体" w:hAnsi="宋体"/>
          <w:color w:val="auto"/>
          <w:szCs w:val="21"/>
          <w:highlight w:val="none"/>
        </w:rPr>
        <w:t>1.1.2  合同当事人和人员</w:t>
      </w:r>
      <w:bookmarkEnd w:id="479"/>
      <w:bookmarkEnd w:id="480"/>
    </w:p>
    <w:p w14:paraId="3D6C61BE">
      <w:pPr>
        <w:spacing w:line="400" w:lineRule="exact"/>
        <w:ind w:firstLine="420" w:firstLineChars="200"/>
        <w:rPr>
          <w:rFonts w:hint="eastAsia" w:ascii="宋体" w:hAnsi="宋体" w:eastAsia="宋体"/>
          <w:color w:val="auto"/>
          <w:szCs w:val="21"/>
          <w:highlight w:val="none"/>
          <w:lang w:eastAsia="zh-CN"/>
        </w:rPr>
      </w:pPr>
      <w:bookmarkStart w:id="482" w:name="_Toc221951114"/>
      <w:r>
        <w:rPr>
          <w:rFonts w:hint="eastAsia" w:ascii="宋体" w:hAnsi="宋体"/>
          <w:color w:val="auto"/>
          <w:szCs w:val="21"/>
          <w:highlight w:val="none"/>
        </w:rPr>
        <w:t>1.1.2.2 发包人：</w:t>
      </w:r>
      <w:bookmarkEnd w:id="482"/>
      <w:bookmarkStart w:id="483" w:name="_Toc221951115"/>
      <w:r>
        <w:rPr>
          <w:rFonts w:hint="eastAsia" w:ascii="宋体" w:hAnsi="宋体"/>
          <w:color w:val="auto"/>
          <w:szCs w:val="21"/>
          <w:highlight w:val="none"/>
          <w:lang w:eastAsia="zh-CN"/>
        </w:rPr>
        <w:t>农安县河道堤防管理站</w:t>
      </w:r>
    </w:p>
    <w:p w14:paraId="7C4B984E">
      <w:pPr>
        <w:spacing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1.1.2.3 承包人：</w:t>
      </w:r>
      <w:r>
        <w:rPr>
          <w:rFonts w:hint="eastAsia" w:ascii="宋体" w:hAnsi="宋体"/>
          <w:color w:val="auto"/>
          <w:szCs w:val="21"/>
          <w:highlight w:val="none"/>
          <w:lang w:eastAsia="zh-CN"/>
        </w:rPr>
        <w:t>（</w:t>
      </w:r>
      <w:r>
        <w:rPr>
          <w:rFonts w:hint="eastAsia" w:ascii="宋体" w:hAnsi="宋体"/>
          <w:color w:val="auto"/>
          <w:szCs w:val="21"/>
          <w:highlight w:val="none"/>
        </w:rPr>
        <w:t>签约后填入承包人的名称</w:t>
      </w:r>
      <w:r>
        <w:rPr>
          <w:rFonts w:hint="eastAsia" w:ascii="宋体" w:hAnsi="宋体"/>
          <w:color w:val="auto"/>
          <w:szCs w:val="21"/>
          <w:highlight w:val="none"/>
          <w:lang w:eastAsia="zh-CN"/>
        </w:rPr>
        <w:t>）</w:t>
      </w:r>
      <w:r>
        <w:rPr>
          <w:rFonts w:hint="eastAsia" w:ascii="宋体" w:hAnsi="宋体"/>
          <w:color w:val="auto"/>
          <w:szCs w:val="21"/>
          <w:highlight w:val="none"/>
        </w:rPr>
        <w:t xml:space="preserve">      </w:t>
      </w:r>
      <w:bookmarkEnd w:id="483"/>
    </w:p>
    <w:p w14:paraId="4A7E922A">
      <w:pPr>
        <w:spacing w:line="400" w:lineRule="exact"/>
        <w:ind w:firstLine="420" w:firstLineChars="200"/>
        <w:rPr>
          <w:rFonts w:hint="eastAsia" w:ascii="宋体" w:hAnsi="宋体"/>
          <w:color w:val="auto"/>
          <w:szCs w:val="21"/>
          <w:highlight w:val="none"/>
        </w:rPr>
      </w:pPr>
      <w:bookmarkStart w:id="484" w:name="_Toc221951116"/>
      <w:r>
        <w:rPr>
          <w:rFonts w:hint="eastAsia" w:ascii="宋体" w:hAnsi="宋体"/>
          <w:color w:val="auto"/>
          <w:szCs w:val="21"/>
          <w:highlight w:val="none"/>
        </w:rPr>
        <w:t xml:space="preserve">1.1.2.5 分包人：无            </w:t>
      </w:r>
    </w:p>
    <w:p w14:paraId="370D52DA">
      <w:pPr>
        <w:spacing w:line="340" w:lineRule="exact"/>
        <w:ind w:firstLine="315" w:firstLineChars="150"/>
        <w:rPr>
          <w:rFonts w:hint="eastAsia" w:ascii="宋体" w:hAnsi="宋体"/>
          <w:color w:val="auto"/>
          <w:szCs w:val="21"/>
          <w:highlight w:val="none"/>
        </w:rPr>
      </w:pPr>
      <w:r>
        <w:rPr>
          <w:rFonts w:hint="eastAsia" w:ascii="宋体" w:hAnsi="宋体"/>
          <w:color w:val="auto"/>
          <w:szCs w:val="21"/>
          <w:highlight w:val="none"/>
        </w:rPr>
        <w:t xml:space="preserve"> </w:t>
      </w:r>
      <w:bookmarkEnd w:id="484"/>
      <w:bookmarkStart w:id="485" w:name="_Toc221951125"/>
      <w:r>
        <w:rPr>
          <w:rFonts w:ascii="宋体" w:hAnsi="宋体"/>
          <w:color w:val="auto"/>
          <w:szCs w:val="21"/>
          <w:highlight w:val="none"/>
        </w:rPr>
        <w:t>1</w:t>
      </w:r>
      <w:r>
        <w:rPr>
          <w:rFonts w:hint="eastAsia" w:ascii="宋体" w:hAnsi="宋体"/>
          <w:color w:val="auto"/>
          <w:szCs w:val="21"/>
          <w:highlight w:val="none"/>
        </w:rPr>
        <w:t>.</w:t>
      </w:r>
      <w:r>
        <w:rPr>
          <w:rFonts w:ascii="宋体" w:hAnsi="宋体"/>
          <w:color w:val="auto"/>
          <w:szCs w:val="21"/>
          <w:highlight w:val="none"/>
        </w:rPr>
        <w:t>1</w:t>
      </w:r>
      <w:r>
        <w:rPr>
          <w:rFonts w:hint="eastAsia" w:ascii="宋体" w:hAnsi="宋体"/>
          <w:color w:val="auto"/>
          <w:szCs w:val="21"/>
          <w:highlight w:val="none"/>
        </w:rPr>
        <w:t>.</w:t>
      </w:r>
      <w:r>
        <w:rPr>
          <w:rFonts w:ascii="宋体" w:hAnsi="宋体"/>
          <w:color w:val="auto"/>
          <w:szCs w:val="21"/>
          <w:highlight w:val="none"/>
        </w:rPr>
        <w:t xml:space="preserve">4  </w:t>
      </w:r>
      <w:r>
        <w:rPr>
          <w:rFonts w:hint="eastAsia" w:ascii="宋体" w:hAnsi="宋体"/>
          <w:color w:val="auto"/>
          <w:szCs w:val="21"/>
          <w:highlight w:val="none"/>
        </w:rPr>
        <w:t xml:space="preserve"> 日  期</w:t>
      </w:r>
      <w:bookmarkEnd w:id="485"/>
      <w:r>
        <w:rPr>
          <w:rFonts w:hint="eastAsia" w:ascii="宋体" w:hAnsi="宋体"/>
          <w:color w:val="auto"/>
          <w:szCs w:val="21"/>
          <w:highlight w:val="none"/>
        </w:rPr>
        <w:t xml:space="preserve">                             </w:t>
      </w:r>
      <w:bookmarkStart w:id="486" w:name="_Toc221951126"/>
    </w:p>
    <w:p w14:paraId="073009CC">
      <w:pPr>
        <w:spacing w:line="400" w:lineRule="exact"/>
        <w:ind w:firstLine="420" w:firstLineChars="200"/>
        <w:rPr>
          <w:rFonts w:hint="eastAsia" w:ascii="宋体" w:hAnsi="宋体"/>
          <w:color w:val="auto"/>
          <w:szCs w:val="21"/>
          <w:highlight w:val="none"/>
        </w:rPr>
      </w:pPr>
      <w:r>
        <w:rPr>
          <w:rFonts w:ascii="宋体" w:hAnsi="宋体"/>
          <w:color w:val="auto"/>
          <w:szCs w:val="21"/>
          <w:highlight w:val="none"/>
        </w:rPr>
        <w:t>1</w:t>
      </w:r>
      <w:r>
        <w:rPr>
          <w:rFonts w:hint="eastAsia" w:ascii="宋体" w:hAnsi="宋体"/>
          <w:color w:val="auto"/>
          <w:szCs w:val="21"/>
          <w:highlight w:val="none"/>
        </w:rPr>
        <w:t>.</w:t>
      </w:r>
      <w:r>
        <w:rPr>
          <w:rFonts w:ascii="宋体" w:hAnsi="宋体"/>
          <w:color w:val="auto"/>
          <w:szCs w:val="21"/>
          <w:highlight w:val="none"/>
        </w:rPr>
        <w:t>1</w:t>
      </w:r>
      <w:r>
        <w:rPr>
          <w:rFonts w:hint="eastAsia" w:ascii="宋体" w:hAnsi="宋体"/>
          <w:color w:val="auto"/>
          <w:szCs w:val="21"/>
          <w:highlight w:val="none"/>
        </w:rPr>
        <w:t>.</w:t>
      </w:r>
      <w:r>
        <w:rPr>
          <w:rFonts w:ascii="宋体" w:hAnsi="宋体"/>
          <w:color w:val="auto"/>
          <w:szCs w:val="21"/>
          <w:highlight w:val="none"/>
        </w:rPr>
        <w:t>4</w:t>
      </w:r>
      <w:r>
        <w:rPr>
          <w:rFonts w:hint="eastAsia" w:ascii="宋体" w:hAnsi="宋体"/>
          <w:color w:val="auto"/>
          <w:szCs w:val="21"/>
          <w:highlight w:val="none"/>
        </w:rPr>
        <w:t>.</w:t>
      </w:r>
      <w:r>
        <w:rPr>
          <w:rFonts w:ascii="宋体" w:hAnsi="宋体"/>
          <w:color w:val="auto"/>
          <w:szCs w:val="21"/>
          <w:highlight w:val="none"/>
        </w:rPr>
        <w:t>5</w:t>
      </w:r>
      <w:r>
        <w:rPr>
          <w:rFonts w:hint="eastAsia" w:ascii="宋体" w:hAnsi="宋体"/>
          <w:color w:val="auto"/>
          <w:szCs w:val="21"/>
          <w:highlight w:val="none"/>
        </w:rPr>
        <w:t xml:space="preserve"> 缺陷责任期：（工期质量保修期）本项目缺陷责任期限为12个月，缺陷责任期自移交证书颁发之日开始计算。</w:t>
      </w:r>
      <w:bookmarkEnd w:id="486"/>
    </w:p>
    <w:p w14:paraId="2AA41849">
      <w:pPr>
        <w:spacing w:line="400" w:lineRule="exact"/>
        <w:rPr>
          <w:rFonts w:hint="eastAsia" w:ascii="黑体" w:hAnsi="宋体" w:eastAsia="黑体"/>
          <w:b/>
          <w:color w:val="auto"/>
          <w:sz w:val="24"/>
          <w:highlight w:val="none"/>
        </w:rPr>
      </w:pPr>
      <w:r>
        <w:rPr>
          <w:rFonts w:hint="eastAsia" w:ascii="黑体" w:hAnsi="宋体" w:eastAsia="黑体"/>
          <w:b/>
          <w:color w:val="auto"/>
          <w:sz w:val="24"/>
          <w:highlight w:val="none"/>
        </w:rPr>
        <w:t>1.4  合同文件的优先顺序</w:t>
      </w:r>
      <w:bookmarkEnd w:id="481"/>
    </w:p>
    <w:p w14:paraId="09403F7C">
      <w:pPr>
        <w:spacing w:line="400" w:lineRule="exact"/>
        <w:ind w:firstLine="420" w:firstLineChars="200"/>
        <w:jc w:val="left"/>
        <w:rPr>
          <w:rFonts w:hint="eastAsia" w:ascii="宋体" w:hAnsi="宋体"/>
          <w:color w:val="auto"/>
          <w:szCs w:val="21"/>
          <w:highlight w:val="none"/>
        </w:rPr>
      </w:pPr>
      <w:bookmarkStart w:id="487" w:name="_Toc221951128"/>
      <w:r>
        <w:rPr>
          <w:rFonts w:hint="eastAsia" w:ascii="宋体" w:hAnsi="宋体"/>
          <w:color w:val="auto"/>
          <w:szCs w:val="21"/>
          <w:highlight w:val="none"/>
        </w:rPr>
        <w:t>进入合同文件的各项文件及其优先顺序是</w:t>
      </w:r>
      <w:bookmarkEnd w:id="487"/>
      <w:r>
        <w:rPr>
          <w:rFonts w:hint="eastAsia" w:ascii="宋体" w:hAnsi="宋体"/>
          <w:color w:val="auto"/>
          <w:szCs w:val="21"/>
          <w:highlight w:val="none"/>
        </w:rPr>
        <w:t>：</w:t>
      </w:r>
    </w:p>
    <w:p w14:paraId="4271BF33">
      <w:pPr>
        <w:spacing w:line="400" w:lineRule="exact"/>
        <w:ind w:left="420"/>
        <w:jc w:val="left"/>
        <w:rPr>
          <w:rFonts w:hint="eastAsia" w:ascii="宋体" w:hAnsi="宋体"/>
          <w:color w:val="auto"/>
          <w:szCs w:val="21"/>
          <w:highlight w:val="none"/>
        </w:rPr>
      </w:pPr>
      <w:r>
        <w:rPr>
          <w:rFonts w:hint="eastAsia" w:ascii="宋体" w:hAnsi="宋体"/>
          <w:color w:val="auto"/>
          <w:szCs w:val="21"/>
          <w:highlight w:val="none"/>
        </w:rPr>
        <w:t>（1）合同协议书及补充合同协议书；</w:t>
      </w:r>
    </w:p>
    <w:p w14:paraId="23C8CBBC">
      <w:pPr>
        <w:spacing w:line="400" w:lineRule="exact"/>
        <w:ind w:left="420"/>
        <w:jc w:val="left"/>
        <w:rPr>
          <w:rFonts w:hint="eastAsia" w:ascii="宋体" w:hAnsi="宋体"/>
          <w:color w:val="auto"/>
          <w:szCs w:val="21"/>
          <w:highlight w:val="none"/>
        </w:rPr>
      </w:pPr>
      <w:r>
        <w:rPr>
          <w:rFonts w:hint="eastAsia" w:ascii="宋体" w:hAnsi="宋体"/>
          <w:color w:val="auto"/>
          <w:szCs w:val="21"/>
          <w:highlight w:val="none"/>
        </w:rPr>
        <w:t>（2）中标通知书；</w:t>
      </w:r>
    </w:p>
    <w:p w14:paraId="7E216DC0">
      <w:pPr>
        <w:spacing w:line="400" w:lineRule="exact"/>
        <w:ind w:left="420"/>
        <w:jc w:val="left"/>
        <w:rPr>
          <w:rFonts w:hint="eastAsia" w:ascii="宋体" w:hAnsi="宋体"/>
          <w:color w:val="auto"/>
          <w:szCs w:val="21"/>
          <w:highlight w:val="none"/>
        </w:rPr>
      </w:pPr>
      <w:r>
        <w:rPr>
          <w:rFonts w:hint="eastAsia" w:ascii="宋体" w:hAnsi="宋体"/>
          <w:color w:val="auto"/>
          <w:szCs w:val="21"/>
          <w:highlight w:val="none"/>
        </w:rPr>
        <w:t>（3）投标函及投标函附录；</w:t>
      </w:r>
    </w:p>
    <w:p w14:paraId="161118FB">
      <w:pPr>
        <w:spacing w:line="400" w:lineRule="exact"/>
        <w:ind w:left="420"/>
        <w:jc w:val="left"/>
        <w:rPr>
          <w:rFonts w:hint="eastAsia" w:ascii="宋体" w:hAnsi="宋体"/>
          <w:color w:val="auto"/>
          <w:szCs w:val="21"/>
          <w:highlight w:val="none"/>
        </w:rPr>
      </w:pPr>
      <w:r>
        <w:rPr>
          <w:rFonts w:hint="eastAsia" w:ascii="宋体" w:hAnsi="宋体"/>
          <w:color w:val="auto"/>
          <w:szCs w:val="21"/>
          <w:highlight w:val="none"/>
        </w:rPr>
        <w:t>（4）专用合同条款；</w:t>
      </w:r>
    </w:p>
    <w:p w14:paraId="0184405E">
      <w:pPr>
        <w:spacing w:line="400" w:lineRule="exact"/>
        <w:ind w:left="420"/>
        <w:jc w:val="left"/>
        <w:rPr>
          <w:rFonts w:hint="eastAsia" w:ascii="宋体" w:hAnsi="宋体"/>
          <w:color w:val="auto"/>
          <w:szCs w:val="21"/>
          <w:highlight w:val="none"/>
        </w:rPr>
      </w:pPr>
      <w:r>
        <w:rPr>
          <w:rFonts w:hint="eastAsia" w:ascii="宋体" w:hAnsi="宋体"/>
          <w:color w:val="auto"/>
          <w:szCs w:val="21"/>
          <w:highlight w:val="none"/>
        </w:rPr>
        <w:t>（5）通用合同条款；</w:t>
      </w:r>
    </w:p>
    <w:p w14:paraId="0465E018">
      <w:pPr>
        <w:spacing w:line="400" w:lineRule="exact"/>
        <w:ind w:left="420"/>
        <w:jc w:val="left"/>
        <w:rPr>
          <w:rFonts w:hint="eastAsia" w:ascii="宋体" w:hAnsi="宋体"/>
          <w:color w:val="auto"/>
          <w:szCs w:val="21"/>
          <w:highlight w:val="none"/>
        </w:rPr>
      </w:pPr>
      <w:r>
        <w:rPr>
          <w:rFonts w:hint="eastAsia" w:ascii="宋体" w:hAnsi="宋体"/>
          <w:color w:val="auto"/>
          <w:szCs w:val="21"/>
          <w:highlight w:val="none"/>
        </w:rPr>
        <w:t>（6）技术标准和要求；</w:t>
      </w:r>
    </w:p>
    <w:p w14:paraId="575669B7">
      <w:pPr>
        <w:spacing w:line="400" w:lineRule="exact"/>
        <w:ind w:left="420"/>
        <w:jc w:val="left"/>
        <w:rPr>
          <w:rFonts w:hint="eastAsia" w:ascii="宋体" w:hAnsi="宋体"/>
          <w:color w:val="auto"/>
          <w:szCs w:val="21"/>
          <w:highlight w:val="none"/>
        </w:rPr>
      </w:pPr>
      <w:r>
        <w:rPr>
          <w:rFonts w:hint="eastAsia" w:ascii="宋体" w:hAnsi="宋体"/>
          <w:color w:val="auto"/>
          <w:szCs w:val="21"/>
          <w:highlight w:val="none"/>
        </w:rPr>
        <w:t>（7）图纸；</w:t>
      </w:r>
    </w:p>
    <w:p w14:paraId="27F16390">
      <w:pPr>
        <w:spacing w:line="400" w:lineRule="exact"/>
        <w:ind w:left="420"/>
        <w:jc w:val="left"/>
        <w:rPr>
          <w:rFonts w:hint="eastAsia" w:ascii="宋体" w:hAnsi="宋体"/>
          <w:color w:val="auto"/>
          <w:szCs w:val="21"/>
          <w:highlight w:val="none"/>
        </w:rPr>
      </w:pPr>
      <w:r>
        <w:rPr>
          <w:rFonts w:hint="eastAsia" w:ascii="宋体" w:hAnsi="宋体"/>
          <w:color w:val="auto"/>
          <w:szCs w:val="21"/>
          <w:highlight w:val="none"/>
        </w:rPr>
        <w:t>（8）已标价工程量清单；</w:t>
      </w:r>
    </w:p>
    <w:p w14:paraId="2BE8F48D">
      <w:pPr>
        <w:spacing w:line="400" w:lineRule="exact"/>
        <w:ind w:left="420"/>
        <w:jc w:val="left"/>
        <w:rPr>
          <w:rFonts w:hint="eastAsia" w:ascii="宋体" w:hAnsi="宋体"/>
          <w:color w:val="auto"/>
          <w:szCs w:val="21"/>
          <w:highlight w:val="none"/>
        </w:rPr>
      </w:pPr>
      <w:r>
        <w:rPr>
          <w:rFonts w:hint="eastAsia" w:ascii="宋体" w:hAnsi="宋体"/>
          <w:color w:val="auto"/>
          <w:szCs w:val="21"/>
          <w:highlight w:val="none"/>
        </w:rPr>
        <w:t>（9）经双方确认进入合同的其他文件；</w:t>
      </w:r>
    </w:p>
    <w:p w14:paraId="6ED88FE9">
      <w:pPr>
        <w:spacing w:line="400" w:lineRule="exact"/>
        <w:jc w:val="left"/>
        <w:rPr>
          <w:rFonts w:hint="eastAsia" w:ascii="黑体" w:hAnsi="宋体" w:eastAsia="黑体"/>
          <w:b/>
          <w:color w:val="auto"/>
          <w:sz w:val="24"/>
          <w:highlight w:val="none"/>
        </w:rPr>
      </w:pPr>
      <w:bookmarkStart w:id="488" w:name="_Toc221951129"/>
      <w:r>
        <w:rPr>
          <w:rFonts w:hint="eastAsia" w:ascii="黑体" w:hAnsi="宋体" w:eastAsia="黑体"/>
          <w:b/>
          <w:color w:val="auto"/>
          <w:sz w:val="24"/>
          <w:highlight w:val="none"/>
        </w:rPr>
        <w:t>1.7  联络</w:t>
      </w:r>
      <w:bookmarkEnd w:id="488"/>
    </w:p>
    <w:p w14:paraId="2C40AB95">
      <w:pPr>
        <w:spacing w:line="400" w:lineRule="exact"/>
        <w:ind w:firstLine="420" w:firstLineChars="200"/>
        <w:rPr>
          <w:rFonts w:hint="eastAsia" w:ascii="宋体" w:hAnsi="宋体"/>
          <w:b/>
          <w:color w:val="auto"/>
          <w:szCs w:val="21"/>
          <w:highlight w:val="none"/>
        </w:rPr>
      </w:pPr>
      <w:bookmarkStart w:id="489" w:name="_Toc309533347"/>
      <w:bookmarkStart w:id="490" w:name="_Toc221951130"/>
      <w:r>
        <w:rPr>
          <w:rFonts w:ascii="宋体" w:hAnsi="宋体"/>
          <w:color w:val="auto"/>
          <w:szCs w:val="21"/>
          <w:highlight w:val="none"/>
        </w:rPr>
        <w:t>1</w:t>
      </w:r>
      <w:r>
        <w:rPr>
          <w:rFonts w:hint="eastAsia" w:ascii="宋体" w:hAnsi="宋体"/>
          <w:color w:val="auto"/>
          <w:szCs w:val="21"/>
          <w:highlight w:val="none"/>
        </w:rPr>
        <w:t>.</w:t>
      </w:r>
      <w:r>
        <w:rPr>
          <w:rFonts w:ascii="宋体" w:hAnsi="宋体"/>
          <w:color w:val="auto"/>
          <w:szCs w:val="21"/>
          <w:highlight w:val="none"/>
        </w:rPr>
        <w:t>7</w:t>
      </w:r>
      <w:r>
        <w:rPr>
          <w:rFonts w:hint="eastAsia" w:ascii="宋体" w:hAnsi="宋体"/>
          <w:color w:val="auto"/>
          <w:szCs w:val="21"/>
          <w:highlight w:val="none"/>
        </w:rPr>
        <w:t>.</w:t>
      </w:r>
      <w:r>
        <w:rPr>
          <w:rFonts w:ascii="宋体" w:hAnsi="宋体"/>
          <w:color w:val="auto"/>
          <w:szCs w:val="21"/>
          <w:highlight w:val="none"/>
        </w:rPr>
        <w:t>2</w:t>
      </w:r>
      <w:r>
        <w:rPr>
          <w:rFonts w:hint="eastAsia" w:ascii="宋体" w:hAnsi="宋体"/>
          <w:color w:val="auto"/>
          <w:szCs w:val="21"/>
          <w:highlight w:val="none"/>
        </w:rPr>
        <w:t xml:space="preserve">  来往函件均应按技术标准和要求（合同技术条款）约定的期限送达</w:t>
      </w:r>
      <w:bookmarkEnd w:id="489"/>
      <w:bookmarkEnd w:id="490"/>
      <w:bookmarkStart w:id="491" w:name="_Toc229305388"/>
      <w:bookmarkStart w:id="492" w:name="_Toc309533742"/>
      <w:bookmarkStart w:id="493" w:name="_Toc222032697"/>
      <w:bookmarkStart w:id="494" w:name="_Toc222031030"/>
      <w:bookmarkStart w:id="495" w:name="_Toc222033879"/>
      <w:bookmarkStart w:id="496" w:name="_Toc222029528"/>
      <w:bookmarkStart w:id="497" w:name="_Toc309534174"/>
      <w:bookmarkStart w:id="498" w:name="_Toc309533348"/>
      <w:bookmarkStart w:id="499" w:name="_Toc221951131"/>
      <w:r>
        <w:rPr>
          <w:rFonts w:hint="eastAsia" w:ascii="宋体" w:hAnsi="宋体"/>
          <w:b/>
          <w:bCs/>
          <w:color w:val="auto"/>
          <w:szCs w:val="21"/>
          <w:highlight w:val="none"/>
          <w:lang w:eastAsia="zh-CN"/>
        </w:rPr>
        <w:t>农安县河道堤防管理站</w:t>
      </w:r>
      <w:r>
        <w:rPr>
          <w:rFonts w:hint="eastAsia" w:ascii="宋体" w:hAnsi="宋体"/>
          <w:b/>
          <w:bCs/>
          <w:color w:val="auto"/>
          <w:szCs w:val="21"/>
          <w:highlight w:val="none"/>
        </w:rPr>
        <w:t>。</w:t>
      </w:r>
    </w:p>
    <w:p w14:paraId="43474E56">
      <w:pPr>
        <w:spacing w:line="400" w:lineRule="exact"/>
        <w:rPr>
          <w:rFonts w:hint="eastAsia" w:ascii="黑体" w:hAnsi="宋体" w:eastAsia="黑体"/>
          <w:b/>
          <w:color w:val="auto"/>
          <w:sz w:val="28"/>
          <w:szCs w:val="28"/>
          <w:highlight w:val="none"/>
        </w:rPr>
      </w:pPr>
      <w:r>
        <w:rPr>
          <w:rFonts w:hint="eastAsia" w:ascii="黑体" w:hAnsi="宋体" w:eastAsia="黑体"/>
          <w:b/>
          <w:color w:val="auto"/>
          <w:sz w:val="28"/>
          <w:szCs w:val="28"/>
          <w:highlight w:val="none"/>
        </w:rPr>
        <w:t>2  发包人义务</w:t>
      </w:r>
      <w:bookmarkEnd w:id="491"/>
      <w:bookmarkEnd w:id="492"/>
      <w:bookmarkEnd w:id="493"/>
      <w:bookmarkEnd w:id="494"/>
      <w:bookmarkEnd w:id="495"/>
      <w:bookmarkEnd w:id="496"/>
      <w:bookmarkEnd w:id="497"/>
      <w:bookmarkEnd w:id="498"/>
      <w:bookmarkEnd w:id="499"/>
    </w:p>
    <w:p w14:paraId="08DBC3CD">
      <w:pPr>
        <w:spacing w:line="400" w:lineRule="exact"/>
        <w:rPr>
          <w:rFonts w:hint="eastAsia" w:ascii="黑体" w:hAnsi="宋体" w:eastAsia="黑体"/>
          <w:b/>
          <w:color w:val="auto"/>
          <w:sz w:val="24"/>
          <w:highlight w:val="none"/>
        </w:rPr>
      </w:pPr>
      <w:bookmarkStart w:id="500" w:name="_Toc221951132"/>
      <w:r>
        <w:rPr>
          <w:rFonts w:hint="eastAsia" w:ascii="黑体" w:hAnsi="宋体" w:eastAsia="黑体"/>
          <w:b/>
          <w:color w:val="auto"/>
          <w:sz w:val="24"/>
          <w:highlight w:val="none"/>
        </w:rPr>
        <w:t>2.3  提供施工场地</w:t>
      </w:r>
      <w:bookmarkEnd w:id="500"/>
    </w:p>
    <w:p w14:paraId="5EBEFD7B">
      <w:pPr>
        <w:spacing w:line="400" w:lineRule="exact"/>
        <w:ind w:firstLine="420" w:firstLineChars="200"/>
        <w:rPr>
          <w:rFonts w:hint="eastAsia" w:ascii="宋体" w:hAnsi="宋体"/>
          <w:color w:val="auto"/>
          <w:szCs w:val="21"/>
          <w:highlight w:val="none"/>
        </w:rPr>
      </w:pPr>
      <w:bookmarkStart w:id="501" w:name="_Toc221951133"/>
      <w:r>
        <w:rPr>
          <w:rFonts w:hint="eastAsia" w:ascii="宋体" w:hAnsi="宋体"/>
          <w:color w:val="auto"/>
          <w:szCs w:val="21"/>
          <w:highlight w:val="none"/>
        </w:rPr>
        <w:t>2.3.2发包人提供的施工用地范围为：</w:t>
      </w:r>
      <w:bookmarkEnd w:id="501"/>
      <w:r>
        <w:rPr>
          <w:rFonts w:hint="eastAsia" w:ascii="宋体" w:hAnsi="宋体"/>
          <w:color w:val="auto"/>
          <w:szCs w:val="21"/>
          <w:highlight w:val="none"/>
        </w:rPr>
        <w:t>永久工程用地。</w:t>
      </w:r>
    </w:p>
    <w:p w14:paraId="0C286EAE">
      <w:pPr>
        <w:spacing w:line="400" w:lineRule="exact"/>
        <w:ind w:firstLine="420" w:firstLineChars="200"/>
        <w:jc w:val="left"/>
        <w:rPr>
          <w:rFonts w:hint="eastAsia" w:ascii="宋体" w:hAnsi="宋体"/>
          <w:b/>
          <w:bCs/>
          <w:color w:val="auto"/>
          <w:sz w:val="24"/>
          <w:highlight w:val="none"/>
        </w:rPr>
      </w:pPr>
      <w:r>
        <w:rPr>
          <w:rFonts w:hint="eastAsia" w:ascii="宋体" w:hAnsi="宋体"/>
          <w:color w:val="auto"/>
          <w:szCs w:val="21"/>
          <w:highlight w:val="none"/>
        </w:rPr>
        <w:t>2.3.3承包人自行勘察的施工用地范围为：承包人临时修建的生产、生活设施用地。</w:t>
      </w:r>
    </w:p>
    <w:p w14:paraId="18FBABAA">
      <w:pPr>
        <w:spacing w:line="400" w:lineRule="exact"/>
        <w:rPr>
          <w:rFonts w:hint="eastAsia" w:ascii="黑体" w:hAnsi="宋体" w:eastAsia="黑体"/>
          <w:b/>
          <w:color w:val="auto"/>
          <w:sz w:val="24"/>
          <w:highlight w:val="none"/>
        </w:rPr>
      </w:pPr>
      <w:bookmarkStart w:id="502" w:name="_Toc221951134"/>
      <w:r>
        <w:rPr>
          <w:rFonts w:hint="eastAsia" w:ascii="黑体" w:hAnsi="宋体" w:eastAsia="黑体"/>
          <w:b/>
          <w:color w:val="auto"/>
          <w:sz w:val="24"/>
          <w:highlight w:val="none"/>
        </w:rPr>
        <w:t>2.8  其他义务</w:t>
      </w:r>
      <w:bookmarkEnd w:id="502"/>
      <w:r>
        <w:rPr>
          <w:rFonts w:hint="eastAsia" w:ascii="黑体" w:hAnsi="宋体" w:eastAsia="黑体"/>
          <w:b/>
          <w:color w:val="auto"/>
          <w:sz w:val="24"/>
          <w:highlight w:val="none"/>
        </w:rPr>
        <w:t xml:space="preserve">  </w:t>
      </w:r>
    </w:p>
    <w:p w14:paraId="180FD013">
      <w:pPr>
        <w:spacing w:line="400" w:lineRule="exact"/>
        <w:ind w:firstLine="480"/>
        <w:rPr>
          <w:rFonts w:hint="eastAsia" w:ascii="宋体" w:hAnsi="宋体"/>
          <w:color w:val="auto"/>
          <w:szCs w:val="21"/>
          <w:highlight w:val="none"/>
        </w:rPr>
      </w:pPr>
      <w:bookmarkStart w:id="503" w:name="_Toc221951136"/>
      <w:r>
        <w:rPr>
          <w:rFonts w:hint="eastAsia" w:ascii="宋体" w:hAnsi="宋体"/>
          <w:color w:val="auto"/>
          <w:sz w:val="24"/>
          <w:highlight w:val="none"/>
        </w:rPr>
        <w:t xml:space="preserve"> </w:t>
      </w:r>
      <w:r>
        <w:rPr>
          <w:rFonts w:hint="eastAsia" w:ascii="宋体" w:hAnsi="宋体"/>
          <w:color w:val="auto"/>
          <w:szCs w:val="21"/>
          <w:highlight w:val="none"/>
        </w:rPr>
        <w:t xml:space="preserve">(1) </w:t>
      </w:r>
      <w:bookmarkEnd w:id="503"/>
      <w:r>
        <w:rPr>
          <w:rFonts w:hint="eastAsia" w:ascii="宋体" w:hAnsi="宋体"/>
          <w:color w:val="auto"/>
          <w:szCs w:val="21"/>
          <w:highlight w:val="none"/>
        </w:rPr>
        <w:t>发包人应按照《吉林省水利工程施工企业信用评价实施意见（试行）》，对施工企业合同履行情况进行监督检查，并建立施工企业合同履行情况台账。</w:t>
      </w:r>
    </w:p>
    <w:p w14:paraId="69F55411">
      <w:pPr>
        <w:spacing w:line="400" w:lineRule="exact"/>
        <w:rPr>
          <w:rFonts w:hint="eastAsia" w:ascii="黑体" w:hAnsi="宋体" w:eastAsia="黑体"/>
          <w:b/>
          <w:color w:val="auto"/>
          <w:sz w:val="28"/>
          <w:szCs w:val="28"/>
          <w:highlight w:val="none"/>
        </w:rPr>
      </w:pPr>
      <w:bookmarkStart w:id="504" w:name="_Toc222032699"/>
      <w:bookmarkStart w:id="505" w:name="_Toc222033881"/>
      <w:bookmarkStart w:id="506" w:name="_Toc221951150"/>
      <w:bookmarkStart w:id="507" w:name="_Toc309533350"/>
      <w:bookmarkStart w:id="508" w:name="_Toc309533744"/>
      <w:bookmarkStart w:id="509" w:name="_Toc309534176"/>
      <w:bookmarkStart w:id="510" w:name="_Toc222031032"/>
      <w:bookmarkStart w:id="511" w:name="_Toc222029530"/>
      <w:bookmarkStart w:id="512" w:name="_Toc229305390"/>
      <w:r>
        <w:rPr>
          <w:rFonts w:hint="eastAsia" w:ascii="黑体" w:hAnsi="宋体" w:eastAsia="黑体"/>
          <w:b/>
          <w:color w:val="auto"/>
          <w:sz w:val="28"/>
          <w:szCs w:val="28"/>
          <w:highlight w:val="none"/>
          <w:lang w:val="en-US" w:eastAsia="zh-CN"/>
        </w:rPr>
        <w:t>3</w:t>
      </w:r>
      <w:r>
        <w:rPr>
          <w:rFonts w:hint="eastAsia" w:ascii="黑体" w:hAnsi="宋体" w:eastAsia="黑体"/>
          <w:b/>
          <w:color w:val="auto"/>
          <w:sz w:val="28"/>
          <w:szCs w:val="28"/>
          <w:highlight w:val="none"/>
        </w:rPr>
        <w:t xml:space="preserve">  承包人</w:t>
      </w:r>
      <w:bookmarkEnd w:id="504"/>
      <w:bookmarkEnd w:id="505"/>
      <w:bookmarkEnd w:id="506"/>
      <w:bookmarkEnd w:id="507"/>
      <w:bookmarkEnd w:id="508"/>
      <w:bookmarkEnd w:id="509"/>
      <w:bookmarkEnd w:id="510"/>
      <w:bookmarkEnd w:id="511"/>
      <w:bookmarkEnd w:id="512"/>
    </w:p>
    <w:p w14:paraId="01EEBF52">
      <w:pPr>
        <w:spacing w:line="400" w:lineRule="exact"/>
        <w:rPr>
          <w:rFonts w:hint="eastAsia" w:ascii="黑体" w:hAnsi="宋体" w:eastAsia="黑体"/>
          <w:b/>
          <w:color w:val="auto"/>
          <w:sz w:val="24"/>
          <w:highlight w:val="none"/>
        </w:rPr>
      </w:pPr>
      <w:bookmarkStart w:id="513" w:name="_Toc221951151"/>
      <w:r>
        <w:rPr>
          <w:rFonts w:hint="eastAsia" w:ascii="黑体" w:hAnsi="宋体" w:eastAsia="黑体"/>
          <w:b/>
          <w:color w:val="auto"/>
          <w:sz w:val="24"/>
          <w:highlight w:val="none"/>
          <w:lang w:val="en-US" w:eastAsia="zh-CN"/>
        </w:rPr>
        <w:t>3</w:t>
      </w:r>
      <w:r>
        <w:rPr>
          <w:rFonts w:hint="eastAsia" w:ascii="黑体" w:hAnsi="宋体" w:eastAsia="黑体"/>
          <w:b/>
          <w:color w:val="auto"/>
          <w:sz w:val="24"/>
          <w:highlight w:val="none"/>
        </w:rPr>
        <w:t>.1  承包人的一般义务</w:t>
      </w:r>
      <w:bookmarkEnd w:id="513"/>
    </w:p>
    <w:p w14:paraId="43B34CFD">
      <w:pPr>
        <w:spacing w:line="360" w:lineRule="auto"/>
        <w:ind w:firstLine="480"/>
        <w:rPr>
          <w:rFonts w:hint="eastAsia" w:ascii="宋体" w:hAnsi="宋体"/>
          <w:color w:val="auto"/>
          <w:szCs w:val="21"/>
          <w:highlight w:val="none"/>
        </w:rPr>
      </w:pPr>
      <w:bookmarkStart w:id="514" w:name="_Toc221951152"/>
      <w:r>
        <w:rPr>
          <w:rFonts w:hint="eastAsia" w:ascii="宋体" w:hAnsi="宋体"/>
          <w:color w:val="auto"/>
          <w:szCs w:val="21"/>
          <w:highlight w:val="none"/>
          <w:lang w:val="en-US" w:eastAsia="zh-CN"/>
        </w:rPr>
        <w:t>3</w:t>
      </w:r>
      <w:r>
        <w:rPr>
          <w:rFonts w:hint="eastAsia" w:ascii="宋体" w:hAnsi="宋体"/>
          <w:color w:val="auto"/>
          <w:szCs w:val="21"/>
          <w:highlight w:val="none"/>
        </w:rPr>
        <w:t>.</w:t>
      </w:r>
      <w:r>
        <w:rPr>
          <w:rFonts w:ascii="宋体" w:hAnsi="宋体"/>
          <w:color w:val="auto"/>
          <w:szCs w:val="21"/>
          <w:highlight w:val="none"/>
        </w:rPr>
        <w:t>1</w:t>
      </w:r>
      <w:r>
        <w:rPr>
          <w:rFonts w:hint="eastAsia" w:ascii="宋体" w:hAnsi="宋体"/>
          <w:color w:val="auto"/>
          <w:szCs w:val="21"/>
          <w:highlight w:val="none"/>
        </w:rPr>
        <w:t>.</w:t>
      </w:r>
      <w:r>
        <w:rPr>
          <w:rFonts w:ascii="宋体" w:hAnsi="宋体"/>
          <w:color w:val="auto"/>
          <w:szCs w:val="21"/>
          <w:highlight w:val="none"/>
        </w:rPr>
        <w:t>10</w:t>
      </w:r>
      <w:r>
        <w:rPr>
          <w:rFonts w:hint="eastAsia" w:ascii="宋体" w:hAnsi="宋体"/>
          <w:color w:val="auto"/>
          <w:szCs w:val="21"/>
          <w:highlight w:val="none"/>
        </w:rPr>
        <w:t xml:space="preserve">  其他义务</w:t>
      </w:r>
      <w:bookmarkEnd w:id="514"/>
    </w:p>
    <w:p w14:paraId="1F468423">
      <w:pPr>
        <w:spacing w:line="360" w:lineRule="auto"/>
        <w:ind w:firstLine="447" w:firstLineChars="213"/>
        <w:rPr>
          <w:rFonts w:hint="eastAsia" w:ascii="宋体" w:hAnsi="宋体"/>
          <w:color w:val="auto"/>
          <w:szCs w:val="21"/>
          <w:highlight w:val="none"/>
        </w:rPr>
      </w:pPr>
      <w:bookmarkStart w:id="515" w:name="_Toc221951153"/>
      <w:r>
        <w:rPr>
          <w:rFonts w:hint="eastAsia" w:ascii="宋体" w:hAnsi="宋体"/>
          <w:color w:val="auto"/>
          <w:szCs w:val="21"/>
          <w:highlight w:val="none"/>
        </w:rPr>
        <w:t>（1）承包人应加强工程建设资金管理，做到专款专用；实行项目资金专户管理和（或）独立核算制度，财务管理人员（财务主管和出纳）须是本单位人员，项目资金的使用由项目经理负责签字、审批。</w:t>
      </w:r>
    </w:p>
    <w:p w14:paraId="5DA892A5">
      <w:pPr>
        <w:spacing w:line="360" w:lineRule="auto"/>
        <w:ind w:firstLine="447" w:firstLineChars="213"/>
        <w:rPr>
          <w:rFonts w:hint="eastAsia" w:ascii="宋体" w:hAnsi="宋体"/>
          <w:color w:val="auto"/>
          <w:szCs w:val="21"/>
          <w:highlight w:val="none"/>
        </w:rPr>
      </w:pPr>
      <w:r>
        <w:rPr>
          <w:rFonts w:hint="eastAsia" w:ascii="宋体" w:hAnsi="宋体"/>
          <w:color w:val="auto"/>
          <w:szCs w:val="21"/>
          <w:highlight w:val="none"/>
        </w:rPr>
        <w:t>（2）施工中所用的材料由承包人自行采购。材料质量必须满足设计及规范要求，材料必须经发包人及监理工程师验收，验收合格后方可在工程中采用。</w:t>
      </w:r>
    </w:p>
    <w:p w14:paraId="04C2DA54">
      <w:pPr>
        <w:spacing w:line="360" w:lineRule="auto"/>
        <w:ind w:firstLine="447" w:firstLineChars="213"/>
        <w:rPr>
          <w:rFonts w:hint="eastAsia" w:ascii="宋体" w:hAnsi="宋体"/>
          <w:color w:val="auto"/>
          <w:szCs w:val="21"/>
          <w:highlight w:val="none"/>
        </w:rPr>
      </w:pPr>
      <w:r>
        <w:rPr>
          <w:rFonts w:hint="eastAsia" w:ascii="宋体" w:hAnsi="宋体"/>
          <w:color w:val="auto"/>
          <w:szCs w:val="21"/>
          <w:highlight w:val="none"/>
        </w:rPr>
        <w:t>（3）按吉人社联字[2018]106号《关于进一步做好农民工工资专用账户管理有关工作的通知》和吉人社联〔2021〕208号《吉林省工程建设领域农民工工资保证金实施办法》的要求</w:t>
      </w:r>
      <w:r>
        <w:rPr>
          <w:rFonts w:hint="eastAsia" w:ascii="宋体" w:hAnsi="宋体"/>
          <w:color w:val="auto"/>
          <w:szCs w:val="21"/>
          <w:highlight w:val="none"/>
          <w:lang w:val="en-US" w:eastAsia="zh-CN"/>
        </w:rPr>
        <w:t>执行</w:t>
      </w:r>
      <w:r>
        <w:rPr>
          <w:rFonts w:hint="eastAsia" w:ascii="宋体" w:hAnsi="宋体"/>
          <w:color w:val="auto"/>
          <w:szCs w:val="21"/>
          <w:highlight w:val="none"/>
        </w:rPr>
        <w:t>。</w:t>
      </w:r>
    </w:p>
    <w:p w14:paraId="017442BF">
      <w:pPr>
        <w:spacing w:line="400" w:lineRule="exact"/>
        <w:rPr>
          <w:rFonts w:hint="eastAsia" w:ascii="黑体" w:hAnsi="宋体" w:eastAsia="黑体"/>
          <w:b/>
          <w:color w:val="auto"/>
          <w:sz w:val="24"/>
          <w:highlight w:val="none"/>
        </w:rPr>
      </w:pPr>
      <w:r>
        <w:rPr>
          <w:rFonts w:hint="eastAsia" w:ascii="黑体" w:hAnsi="宋体" w:eastAsia="黑体"/>
          <w:b/>
          <w:color w:val="auto"/>
          <w:sz w:val="24"/>
          <w:highlight w:val="none"/>
          <w:lang w:val="en-US" w:eastAsia="zh-CN"/>
        </w:rPr>
        <w:t>3</w:t>
      </w:r>
      <w:r>
        <w:rPr>
          <w:rFonts w:hint="eastAsia" w:ascii="黑体" w:hAnsi="宋体" w:eastAsia="黑体"/>
          <w:b/>
          <w:color w:val="auto"/>
          <w:sz w:val="24"/>
          <w:highlight w:val="none"/>
        </w:rPr>
        <w:t>.3  分包</w:t>
      </w:r>
      <w:bookmarkEnd w:id="515"/>
      <w:r>
        <w:rPr>
          <w:rFonts w:hint="eastAsia" w:ascii="黑体" w:hAnsi="宋体" w:eastAsia="黑体"/>
          <w:b/>
          <w:color w:val="auto"/>
          <w:sz w:val="24"/>
          <w:highlight w:val="none"/>
        </w:rPr>
        <w:t xml:space="preserve">  </w:t>
      </w:r>
      <w:r>
        <w:rPr>
          <w:rFonts w:hint="eastAsia" w:ascii="宋体" w:hAnsi="宋体"/>
          <w:color w:val="auto"/>
          <w:szCs w:val="21"/>
          <w:highlight w:val="none"/>
        </w:rPr>
        <w:t>承包人不得将全部工程或工程的任何部分分包。</w:t>
      </w:r>
    </w:p>
    <w:p w14:paraId="64616E1B">
      <w:pPr>
        <w:spacing w:line="400" w:lineRule="exact"/>
        <w:rPr>
          <w:rFonts w:hint="eastAsia" w:ascii="黑体" w:hAnsi="宋体" w:eastAsia="黑体"/>
          <w:b/>
          <w:color w:val="auto"/>
          <w:sz w:val="24"/>
          <w:highlight w:val="none"/>
        </w:rPr>
      </w:pPr>
      <w:r>
        <w:rPr>
          <w:rFonts w:hint="eastAsia" w:ascii="黑体" w:hAnsi="宋体" w:eastAsia="黑体"/>
          <w:b/>
          <w:color w:val="auto"/>
          <w:sz w:val="24"/>
          <w:highlight w:val="none"/>
          <w:lang w:val="en-US" w:eastAsia="zh-CN"/>
        </w:rPr>
        <w:t>3</w:t>
      </w:r>
      <w:r>
        <w:rPr>
          <w:rFonts w:hint="eastAsia" w:ascii="黑体" w:hAnsi="宋体" w:eastAsia="黑体"/>
          <w:b/>
          <w:color w:val="auto"/>
          <w:sz w:val="24"/>
          <w:highlight w:val="none"/>
        </w:rPr>
        <w:t>.6  承包人人员的管理</w:t>
      </w:r>
    </w:p>
    <w:p w14:paraId="2357099D">
      <w:pPr>
        <w:spacing w:line="400" w:lineRule="exact"/>
        <w:ind w:firstLine="420" w:firstLineChars="200"/>
        <w:rPr>
          <w:rFonts w:hint="eastAsia" w:ascii="宋体" w:hAnsi="宋体"/>
          <w:color w:val="auto"/>
          <w:highlight w:val="none"/>
        </w:rPr>
      </w:pPr>
      <w:r>
        <w:rPr>
          <w:rFonts w:hint="eastAsia" w:ascii="宋体" w:hAnsi="宋体"/>
          <w:color w:val="auto"/>
          <w:highlight w:val="none"/>
          <w:lang w:val="en-US" w:eastAsia="zh-CN"/>
        </w:rPr>
        <w:t>3</w:t>
      </w:r>
      <w:r>
        <w:rPr>
          <w:rFonts w:hint="eastAsia" w:ascii="宋体" w:hAnsi="宋体"/>
          <w:color w:val="auto"/>
          <w:highlight w:val="none"/>
        </w:rPr>
        <w:t>.6.5投标确定的项目部主要管理人员在主体工程施工期间原则上不得更换。如发生下列情形之一的，应当办理书面手续后方能变更人员：</w:t>
      </w:r>
    </w:p>
    <w:p w14:paraId="243B1E1E">
      <w:pPr>
        <w:spacing w:line="400" w:lineRule="exact"/>
        <w:ind w:firstLine="315" w:firstLineChars="150"/>
        <w:rPr>
          <w:rFonts w:hint="eastAsia" w:ascii="宋体" w:hAnsi="宋体"/>
          <w:color w:val="auto"/>
          <w:highlight w:val="none"/>
        </w:rPr>
      </w:pPr>
      <w:r>
        <w:rPr>
          <w:rFonts w:hint="eastAsia" w:ascii="宋体" w:hAnsi="宋体"/>
          <w:color w:val="auto"/>
          <w:highlight w:val="none"/>
        </w:rPr>
        <w:t>（1）因管理人员重大疾病、死亡、调离所在单位、辞职、犯罪、移民等特殊原因</w:t>
      </w:r>
      <w:r>
        <w:rPr>
          <w:rFonts w:hint="eastAsia" w:ascii="宋体" w:hAnsi="宋体"/>
          <w:color w:val="auto"/>
          <w:highlight w:val="none"/>
          <w:lang w:eastAsia="zh-CN"/>
        </w:rPr>
        <w:t>确需</w:t>
      </w:r>
      <w:r>
        <w:rPr>
          <w:rFonts w:hint="eastAsia" w:ascii="宋体" w:hAnsi="宋体"/>
          <w:color w:val="auto"/>
          <w:highlight w:val="none"/>
        </w:rPr>
        <w:t>变更</w:t>
      </w:r>
      <w:r>
        <w:rPr>
          <w:rFonts w:hint="eastAsia" w:ascii="宋体" w:hAnsi="宋体"/>
          <w:color w:val="auto"/>
          <w:highlight w:val="none"/>
          <w:lang w:eastAsia="zh-CN"/>
        </w:rPr>
        <w:t>，</w:t>
      </w:r>
      <w:r>
        <w:rPr>
          <w:rFonts w:hint="eastAsia" w:ascii="宋体" w:hAnsi="宋体"/>
          <w:color w:val="auto"/>
          <w:highlight w:val="none"/>
        </w:rPr>
        <w:t>提供相关证明材料，且经发包方同意更换的；</w:t>
      </w:r>
    </w:p>
    <w:p w14:paraId="1EB36013">
      <w:pPr>
        <w:spacing w:line="400" w:lineRule="exact"/>
        <w:ind w:firstLine="315" w:firstLineChars="150"/>
        <w:rPr>
          <w:rFonts w:hint="eastAsia" w:ascii="宋体" w:hAnsi="宋体"/>
          <w:color w:val="auto"/>
          <w:highlight w:val="none"/>
        </w:rPr>
      </w:pPr>
      <w:r>
        <w:rPr>
          <w:rFonts w:hint="eastAsia" w:ascii="宋体" w:hAnsi="宋体"/>
          <w:color w:val="auto"/>
          <w:highlight w:val="none"/>
        </w:rPr>
        <w:t>（2）因不可抗力等特殊情况必须更换的。</w:t>
      </w:r>
    </w:p>
    <w:p w14:paraId="5F3E5E62">
      <w:pPr>
        <w:spacing w:line="400" w:lineRule="exact"/>
        <w:ind w:firstLine="420" w:firstLineChars="200"/>
        <w:rPr>
          <w:rFonts w:hint="eastAsia" w:ascii="宋体" w:hAnsi="宋体"/>
          <w:color w:val="auto"/>
          <w:highlight w:val="none"/>
        </w:rPr>
      </w:pPr>
      <w:r>
        <w:rPr>
          <w:rFonts w:hint="eastAsia" w:ascii="宋体" w:hAnsi="宋体"/>
          <w:color w:val="auto"/>
          <w:highlight w:val="none"/>
        </w:rPr>
        <w:t>建设工程合同履行期间变更主要管理人员的，企业应当于变更5个工作日内报有关部门及时进行网上变更。</w:t>
      </w:r>
    </w:p>
    <w:p w14:paraId="2CEA2AAF">
      <w:pPr>
        <w:spacing w:line="400" w:lineRule="exact"/>
        <w:ind w:firstLine="420" w:firstLineChars="200"/>
        <w:rPr>
          <w:rFonts w:hint="eastAsia" w:ascii="宋体" w:hAnsi="宋体"/>
          <w:color w:val="auto"/>
          <w:highlight w:val="none"/>
        </w:rPr>
      </w:pPr>
      <w:r>
        <w:rPr>
          <w:rFonts w:hint="eastAsia" w:ascii="宋体" w:hAnsi="宋体"/>
          <w:color w:val="auto"/>
          <w:highlight w:val="none"/>
        </w:rPr>
        <w:t>建设工程合同履行期间变更项目经理的，企业应当于项目经理变更5个工作日内报行政主管部门和有关部门及时进行网上变更。</w:t>
      </w:r>
    </w:p>
    <w:p w14:paraId="540C44BE">
      <w:pPr>
        <w:spacing w:line="400" w:lineRule="exact"/>
        <w:ind w:firstLine="420" w:firstLineChars="200"/>
        <w:rPr>
          <w:rFonts w:hint="eastAsia" w:ascii="宋体" w:hAnsi="宋体"/>
          <w:b/>
          <w:color w:val="auto"/>
          <w:highlight w:val="none"/>
        </w:rPr>
      </w:pPr>
      <w:r>
        <w:rPr>
          <w:rFonts w:hint="eastAsia" w:ascii="宋体" w:hAnsi="宋体"/>
          <w:color w:val="auto"/>
          <w:highlight w:val="none"/>
        </w:rPr>
        <w:t>除上述情况外，项目部更换项目经理或技术负责人的每次支付违约金</w:t>
      </w:r>
      <w:r>
        <w:rPr>
          <w:rFonts w:hint="eastAsia" w:ascii="宋体" w:hAnsi="宋体"/>
          <w:b/>
          <w:color w:val="auto"/>
          <w:highlight w:val="none"/>
          <w:u w:val="single"/>
          <w:lang w:val="en-US" w:eastAsia="zh-CN"/>
        </w:rPr>
        <w:t>2</w:t>
      </w:r>
      <w:r>
        <w:rPr>
          <w:rFonts w:hint="eastAsia" w:ascii="宋体" w:hAnsi="宋体"/>
          <w:b/>
          <w:color w:val="auto"/>
          <w:highlight w:val="none"/>
          <w:u w:val="single"/>
        </w:rPr>
        <w:t>万元</w:t>
      </w:r>
      <w:r>
        <w:rPr>
          <w:rFonts w:hint="eastAsia" w:ascii="宋体" w:hAnsi="宋体"/>
          <w:color w:val="auto"/>
          <w:highlight w:val="none"/>
        </w:rPr>
        <w:t>，更换其余人员的每人次支付违约金</w:t>
      </w:r>
      <w:r>
        <w:rPr>
          <w:rFonts w:hint="eastAsia" w:ascii="宋体" w:hAnsi="宋体"/>
          <w:b/>
          <w:color w:val="auto"/>
          <w:highlight w:val="none"/>
          <w:u w:val="single"/>
          <w:lang w:val="en-US" w:eastAsia="zh-CN"/>
        </w:rPr>
        <w:t>1</w:t>
      </w:r>
      <w:r>
        <w:rPr>
          <w:rFonts w:hint="eastAsia" w:ascii="宋体" w:hAnsi="宋体"/>
          <w:b/>
          <w:color w:val="auto"/>
          <w:highlight w:val="none"/>
          <w:u w:val="single"/>
        </w:rPr>
        <w:t>万元。</w:t>
      </w:r>
    </w:p>
    <w:p w14:paraId="445894FF">
      <w:pPr>
        <w:spacing w:line="400" w:lineRule="exact"/>
        <w:ind w:firstLine="420" w:firstLineChars="200"/>
        <w:rPr>
          <w:rFonts w:hint="eastAsia" w:ascii="宋体" w:hAnsi="宋体"/>
          <w:color w:val="auto"/>
          <w:highlight w:val="none"/>
        </w:rPr>
      </w:pPr>
      <w:r>
        <w:rPr>
          <w:rFonts w:hint="eastAsia" w:ascii="宋体" w:hAnsi="宋体"/>
          <w:color w:val="auto"/>
          <w:highlight w:val="none"/>
          <w:lang w:val="en-US" w:eastAsia="zh-CN"/>
        </w:rPr>
        <w:t>3</w:t>
      </w:r>
      <w:r>
        <w:rPr>
          <w:rFonts w:hint="eastAsia" w:ascii="宋体" w:hAnsi="宋体"/>
          <w:color w:val="auto"/>
          <w:highlight w:val="none"/>
        </w:rPr>
        <w:t>.6.6  项目部主要管理人员要在投标文件中签名备案，以便工程建设过程中签署各类经济、技术文件时核查。</w:t>
      </w:r>
    </w:p>
    <w:p w14:paraId="21884DF7">
      <w:pPr>
        <w:spacing w:line="400" w:lineRule="exact"/>
        <w:rPr>
          <w:rFonts w:hint="eastAsia" w:ascii="黑体" w:hAnsi="宋体" w:eastAsia="黑体"/>
          <w:b/>
          <w:color w:val="auto"/>
          <w:sz w:val="24"/>
          <w:highlight w:val="none"/>
        </w:rPr>
      </w:pPr>
      <w:bookmarkStart w:id="516" w:name="_Toc221951158"/>
      <w:r>
        <w:rPr>
          <w:rFonts w:hint="eastAsia" w:ascii="黑体" w:hAnsi="宋体" w:eastAsia="黑体"/>
          <w:b/>
          <w:color w:val="auto"/>
          <w:sz w:val="24"/>
          <w:highlight w:val="none"/>
          <w:lang w:val="en-US" w:eastAsia="zh-CN"/>
        </w:rPr>
        <w:t>3</w:t>
      </w:r>
      <w:r>
        <w:rPr>
          <w:rFonts w:hint="eastAsia" w:ascii="黑体" w:hAnsi="宋体" w:eastAsia="黑体"/>
          <w:b/>
          <w:color w:val="auto"/>
          <w:sz w:val="24"/>
          <w:highlight w:val="none"/>
        </w:rPr>
        <w:t>.11  不利物质条件</w:t>
      </w:r>
      <w:bookmarkEnd w:id="516"/>
    </w:p>
    <w:p w14:paraId="4E271298">
      <w:pPr>
        <w:spacing w:line="400" w:lineRule="exact"/>
        <w:ind w:firstLine="420" w:firstLineChars="200"/>
        <w:rPr>
          <w:rFonts w:hint="eastAsia" w:ascii="宋体" w:hAnsi="宋体"/>
          <w:color w:val="auto"/>
          <w:szCs w:val="21"/>
          <w:highlight w:val="none"/>
        </w:rPr>
      </w:pPr>
      <w:bookmarkStart w:id="517" w:name="_Toc221951159"/>
      <w:r>
        <w:rPr>
          <w:rFonts w:hint="eastAsia" w:ascii="宋体" w:hAnsi="宋体"/>
          <w:color w:val="auto"/>
          <w:szCs w:val="21"/>
          <w:highlight w:val="none"/>
        </w:rPr>
        <w:t>4.11.1 不利物质条件的范围：</w:t>
      </w:r>
      <w:bookmarkEnd w:id="517"/>
      <w:bookmarkStart w:id="518" w:name="_Toc222032700"/>
      <w:bookmarkStart w:id="519" w:name="_Toc222031033"/>
      <w:bookmarkStart w:id="520" w:name="_Toc221951160"/>
      <w:bookmarkStart w:id="521" w:name="_Toc309533745"/>
      <w:bookmarkStart w:id="522" w:name="_Toc229305391"/>
      <w:bookmarkStart w:id="523" w:name="_Toc309533351"/>
      <w:bookmarkStart w:id="524" w:name="_Toc309534177"/>
      <w:bookmarkStart w:id="525" w:name="_Toc222029531"/>
      <w:bookmarkStart w:id="526" w:name="_Toc222033882"/>
      <w:r>
        <w:rPr>
          <w:rFonts w:hint="eastAsia" w:ascii="宋体" w:hAnsi="宋体"/>
          <w:color w:val="auto"/>
          <w:szCs w:val="21"/>
          <w:highlight w:val="none"/>
        </w:rPr>
        <w:t>在施工过程中遇到发包人进行的地质勘探工作未能查明的地下溶洞或溶蚀裂缝、软弱带及文物或古迹。</w:t>
      </w:r>
    </w:p>
    <w:p w14:paraId="36EBA429">
      <w:pPr>
        <w:spacing w:line="400" w:lineRule="exact"/>
        <w:rPr>
          <w:rFonts w:hint="eastAsia" w:ascii="黑体" w:hAnsi="宋体" w:eastAsia="黑体"/>
          <w:b/>
          <w:color w:val="auto"/>
          <w:sz w:val="28"/>
          <w:szCs w:val="28"/>
          <w:highlight w:val="none"/>
        </w:rPr>
      </w:pPr>
      <w:r>
        <w:rPr>
          <w:rFonts w:hint="eastAsia" w:ascii="黑体" w:hAnsi="宋体" w:eastAsia="黑体"/>
          <w:b/>
          <w:color w:val="auto"/>
          <w:sz w:val="28"/>
          <w:szCs w:val="28"/>
          <w:highlight w:val="none"/>
          <w:lang w:val="en-US" w:eastAsia="zh-CN"/>
        </w:rPr>
        <w:t>4</w:t>
      </w:r>
      <w:r>
        <w:rPr>
          <w:rFonts w:hint="eastAsia" w:ascii="黑体" w:hAnsi="宋体" w:eastAsia="黑体"/>
          <w:b/>
          <w:color w:val="auto"/>
          <w:sz w:val="28"/>
          <w:szCs w:val="28"/>
          <w:highlight w:val="none"/>
        </w:rPr>
        <w:t xml:space="preserve">  材料和工程设备</w:t>
      </w:r>
      <w:bookmarkEnd w:id="518"/>
      <w:bookmarkEnd w:id="519"/>
      <w:bookmarkEnd w:id="520"/>
      <w:bookmarkEnd w:id="521"/>
      <w:bookmarkEnd w:id="522"/>
      <w:bookmarkEnd w:id="523"/>
      <w:bookmarkEnd w:id="524"/>
      <w:bookmarkEnd w:id="525"/>
      <w:bookmarkEnd w:id="526"/>
    </w:p>
    <w:p w14:paraId="7FCD65CB">
      <w:pPr>
        <w:spacing w:line="400" w:lineRule="exact"/>
        <w:rPr>
          <w:rFonts w:hint="eastAsia" w:ascii="黑体" w:hAnsi="宋体" w:eastAsia="黑体"/>
          <w:b/>
          <w:color w:val="auto"/>
          <w:sz w:val="24"/>
          <w:highlight w:val="none"/>
        </w:rPr>
      </w:pPr>
      <w:bookmarkStart w:id="527" w:name="_Toc221951161"/>
      <w:r>
        <w:rPr>
          <w:rFonts w:hint="eastAsia" w:ascii="黑体" w:hAnsi="宋体" w:eastAsia="黑体"/>
          <w:b/>
          <w:color w:val="auto"/>
          <w:sz w:val="24"/>
          <w:highlight w:val="none"/>
          <w:lang w:val="en-US" w:eastAsia="zh-CN"/>
        </w:rPr>
        <w:t>4</w:t>
      </w:r>
      <w:r>
        <w:rPr>
          <w:rFonts w:hint="eastAsia" w:ascii="黑体" w:hAnsi="宋体" w:eastAsia="黑体"/>
          <w:b/>
          <w:color w:val="auto"/>
          <w:sz w:val="24"/>
          <w:highlight w:val="none"/>
        </w:rPr>
        <w:t>.2  发包人提供的材料和工程设备</w:t>
      </w:r>
      <w:bookmarkEnd w:id="527"/>
    </w:p>
    <w:p w14:paraId="61F9C7F0">
      <w:pPr>
        <w:spacing w:line="400" w:lineRule="exact"/>
        <w:ind w:firstLine="465"/>
        <w:rPr>
          <w:rFonts w:hint="eastAsia" w:ascii="宋体" w:hAnsi="宋体"/>
          <w:color w:val="auto"/>
          <w:szCs w:val="21"/>
          <w:highlight w:val="none"/>
        </w:rPr>
      </w:pPr>
      <w:r>
        <w:rPr>
          <w:rFonts w:hint="eastAsia" w:ascii="宋体" w:hAnsi="宋体"/>
          <w:color w:val="auto"/>
          <w:szCs w:val="21"/>
          <w:highlight w:val="none"/>
        </w:rPr>
        <w:t>本工程发包人不提供材料和工程设备，材料和工程设备均由承包人自行采购。</w:t>
      </w:r>
      <w:bookmarkStart w:id="528" w:name="_Toc309533352"/>
      <w:bookmarkStart w:id="529" w:name="_Toc221951166"/>
      <w:bookmarkStart w:id="530" w:name="_Toc229305392"/>
      <w:bookmarkStart w:id="531" w:name="_Toc222031034"/>
      <w:bookmarkStart w:id="532" w:name="_Toc222033883"/>
      <w:bookmarkStart w:id="533" w:name="_Toc222029532"/>
      <w:bookmarkStart w:id="534" w:name="_Toc222032701"/>
      <w:bookmarkStart w:id="535" w:name="_Toc309534178"/>
      <w:bookmarkStart w:id="536" w:name="_Toc309533746"/>
    </w:p>
    <w:p w14:paraId="7138A88B">
      <w:pPr>
        <w:spacing w:line="400" w:lineRule="exact"/>
        <w:rPr>
          <w:rFonts w:hint="eastAsia" w:ascii="黑体" w:hAnsi="宋体" w:eastAsia="黑体"/>
          <w:b/>
          <w:color w:val="auto"/>
          <w:sz w:val="28"/>
          <w:szCs w:val="28"/>
          <w:highlight w:val="none"/>
        </w:rPr>
      </w:pPr>
      <w:r>
        <w:rPr>
          <w:rFonts w:hint="eastAsia" w:ascii="黑体" w:hAnsi="宋体" w:eastAsia="黑体"/>
          <w:b/>
          <w:color w:val="auto"/>
          <w:sz w:val="28"/>
          <w:szCs w:val="28"/>
          <w:highlight w:val="none"/>
          <w:lang w:val="en-US" w:eastAsia="zh-CN"/>
        </w:rPr>
        <w:t>5</w:t>
      </w:r>
      <w:r>
        <w:rPr>
          <w:rFonts w:hint="eastAsia" w:ascii="黑体" w:hAnsi="宋体" w:eastAsia="黑体"/>
          <w:b/>
          <w:color w:val="auto"/>
          <w:sz w:val="28"/>
          <w:szCs w:val="28"/>
          <w:highlight w:val="none"/>
        </w:rPr>
        <w:t xml:space="preserve">  施工设备和临时设施</w:t>
      </w:r>
      <w:bookmarkEnd w:id="528"/>
      <w:bookmarkEnd w:id="529"/>
      <w:bookmarkEnd w:id="530"/>
      <w:bookmarkEnd w:id="531"/>
      <w:bookmarkEnd w:id="532"/>
      <w:bookmarkEnd w:id="533"/>
      <w:bookmarkEnd w:id="534"/>
      <w:bookmarkEnd w:id="535"/>
      <w:bookmarkEnd w:id="536"/>
      <w:r>
        <w:rPr>
          <w:rFonts w:hint="eastAsia" w:ascii="黑体" w:hAnsi="宋体" w:eastAsia="黑体"/>
          <w:b/>
          <w:color w:val="auto"/>
          <w:sz w:val="28"/>
          <w:szCs w:val="28"/>
          <w:highlight w:val="none"/>
        </w:rPr>
        <w:t xml:space="preserve"> </w:t>
      </w:r>
    </w:p>
    <w:p w14:paraId="30C95ACC">
      <w:pPr>
        <w:spacing w:line="400" w:lineRule="exact"/>
        <w:rPr>
          <w:rFonts w:hint="eastAsia" w:ascii="黑体" w:hAnsi="宋体" w:eastAsia="黑体"/>
          <w:b/>
          <w:color w:val="auto"/>
          <w:sz w:val="24"/>
          <w:highlight w:val="none"/>
        </w:rPr>
      </w:pPr>
      <w:bookmarkStart w:id="537" w:name="_Toc221951167"/>
      <w:r>
        <w:rPr>
          <w:rFonts w:hint="eastAsia" w:ascii="黑体" w:hAnsi="宋体" w:eastAsia="黑体"/>
          <w:b/>
          <w:color w:val="auto"/>
          <w:sz w:val="24"/>
          <w:highlight w:val="none"/>
          <w:lang w:val="en-US" w:eastAsia="zh-CN"/>
        </w:rPr>
        <w:t>5</w:t>
      </w:r>
      <w:r>
        <w:rPr>
          <w:rFonts w:hint="eastAsia" w:ascii="黑体" w:hAnsi="宋体" w:eastAsia="黑体"/>
          <w:b/>
          <w:color w:val="auto"/>
          <w:sz w:val="24"/>
          <w:highlight w:val="none"/>
        </w:rPr>
        <w:t>.2  发包人提供的施工设备和临时设施</w:t>
      </w:r>
      <w:bookmarkEnd w:id="537"/>
    </w:p>
    <w:p w14:paraId="7B1DA7E3">
      <w:pPr>
        <w:spacing w:line="400" w:lineRule="exact"/>
        <w:ind w:firstLine="480"/>
        <w:rPr>
          <w:rFonts w:hint="eastAsia" w:ascii="宋体" w:hAnsi="宋体"/>
          <w:color w:val="auto"/>
          <w:szCs w:val="21"/>
          <w:highlight w:val="none"/>
        </w:rPr>
      </w:pPr>
      <w:r>
        <w:rPr>
          <w:rFonts w:hint="eastAsia" w:ascii="宋体" w:hAnsi="宋体"/>
          <w:color w:val="auto"/>
          <w:szCs w:val="21"/>
          <w:highlight w:val="none"/>
        </w:rPr>
        <w:t>（1）发包人在本工程实施过程中不提供任何工程设备。</w:t>
      </w:r>
    </w:p>
    <w:p w14:paraId="61FC8FFD">
      <w:pPr>
        <w:spacing w:line="400" w:lineRule="exact"/>
        <w:ind w:firstLine="480"/>
        <w:rPr>
          <w:rFonts w:hint="eastAsia" w:ascii="宋体" w:hAnsi="宋体"/>
          <w:color w:val="auto"/>
          <w:szCs w:val="21"/>
          <w:highlight w:val="none"/>
        </w:rPr>
      </w:pPr>
      <w:r>
        <w:rPr>
          <w:rFonts w:hint="eastAsia" w:ascii="宋体" w:hAnsi="宋体"/>
          <w:color w:val="auto"/>
          <w:highlight w:val="none"/>
        </w:rPr>
        <w:t>（2</w:t>
      </w:r>
      <w:r>
        <w:rPr>
          <w:rFonts w:hint="eastAsia" w:ascii="宋体" w:hAnsi="宋体"/>
          <w:color w:val="auto"/>
          <w:highlight w:val="none"/>
          <w:lang w:eastAsia="zh-CN"/>
        </w:rPr>
        <w:t>）</w:t>
      </w:r>
      <w:r>
        <w:rPr>
          <w:rFonts w:hint="eastAsia" w:ascii="宋体" w:hAnsi="宋体"/>
          <w:color w:val="auto"/>
          <w:highlight w:val="none"/>
        </w:rPr>
        <w:t>发包人提供的临时设施：发包人在本工程实施过程中不提供任何临时设施。所有临时设施均由承包人修建，其中临时房屋按发包人要求建设，费用已计入承包合同价中。</w:t>
      </w:r>
    </w:p>
    <w:p w14:paraId="6D49F55B">
      <w:pPr>
        <w:spacing w:line="400" w:lineRule="exact"/>
        <w:rPr>
          <w:rFonts w:hint="eastAsia" w:ascii="黑体" w:hAnsi="宋体" w:eastAsia="黑体"/>
          <w:b/>
          <w:color w:val="auto"/>
          <w:sz w:val="28"/>
          <w:szCs w:val="28"/>
          <w:highlight w:val="none"/>
        </w:rPr>
      </w:pPr>
      <w:bookmarkStart w:id="538" w:name="_Toc221951178"/>
      <w:bookmarkStart w:id="539" w:name="_Toc309533353"/>
      <w:bookmarkStart w:id="540" w:name="_Toc222032702"/>
      <w:bookmarkStart w:id="541" w:name="_Toc309534179"/>
      <w:bookmarkStart w:id="542" w:name="_Toc222031035"/>
      <w:bookmarkStart w:id="543" w:name="_Toc222029533"/>
      <w:bookmarkStart w:id="544" w:name="_Toc309533747"/>
      <w:bookmarkStart w:id="545" w:name="_Toc222033884"/>
      <w:r>
        <w:rPr>
          <w:rFonts w:hint="eastAsia" w:ascii="黑体" w:hAnsi="宋体" w:eastAsia="黑体"/>
          <w:b/>
          <w:color w:val="auto"/>
          <w:sz w:val="28"/>
          <w:szCs w:val="28"/>
          <w:highlight w:val="none"/>
          <w:lang w:val="en-US" w:eastAsia="zh-CN"/>
        </w:rPr>
        <w:t>6</w:t>
      </w:r>
      <w:r>
        <w:rPr>
          <w:rFonts w:hint="eastAsia" w:ascii="黑体" w:hAnsi="宋体" w:eastAsia="黑体"/>
          <w:b/>
          <w:color w:val="auto"/>
          <w:sz w:val="28"/>
          <w:szCs w:val="28"/>
          <w:highlight w:val="none"/>
        </w:rPr>
        <w:t xml:space="preserve"> 交通运输</w:t>
      </w:r>
      <w:bookmarkEnd w:id="538"/>
      <w:bookmarkEnd w:id="539"/>
      <w:bookmarkEnd w:id="540"/>
      <w:bookmarkEnd w:id="541"/>
      <w:bookmarkEnd w:id="542"/>
      <w:bookmarkEnd w:id="543"/>
      <w:bookmarkEnd w:id="544"/>
      <w:bookmarkEnd w:id="545"/>
    </w:p>
    <w:p w14:paraId="4FEA67CE">
      <w:pPr>
        <w:spacing w:line="400" w:lineRule="exact"/>
        <w:rPr>
          <w:rFonts w:hint="eastAsia" w:ascii="黑体" w:hAnsi="宋体" w:eastAsia="黑体"/>
          <w:b/>
          <w:color w:val="auto"/>
          <w:sz w:val="24"/>
          <w:highlight w:val="none"/>
        </w:rPr>
      </w:pPr>
      <w:bookmarkStart w:id="546" w:name="_Toc221951179"/>
      <w:r>
        <w:rPr>
          <w:rFonts w:hint="eastAsia" w:ascii="黑体" w:hAnsi="宋体" w:eastAsia="黑体"/>
          <w:b/>
          <w:color w:val="auto"/>
          <w:sz w:val="24"/>
          <w:highlight w:val="none"/>
          <w:lang w:val="en-US" w:eastAsia="zh-CN"/>
        </w:rPr>
        <w:t>6</w:t>
      </w:r>
      <w:r>
        <w:rPr>
          <w:rFonts w:hint="eastAsia" w:ascii="黑体" w:hAnsi="宋体" w:eastAsia="黑体"/>
          <w:b/>
          <w:color w:val="auto"/>
          <w:sz w:val="24"/>
          <w:highlight w:val="none"/>
        </w:rPr>
        <w:t>.1  道路通行权和场外设施</w:t>
      </w:r>
      <w:bookmarkEnd w:id="546"/>
    </w:p>
    <w:p w14:paraId="5114BC95">
      <w:pPr>
        <w:spacing w:line="400" w:lineRule="exact"/>
        <w:ind w:firstLine="480"/>
        <w:rPr>
          <w:rFonts w:hint="eastAsia" w:ascii="宋体" w:hAnsi="宋体"/>
          <w:color w:val="auto"/>
          <w:szCs w:val="21"/>
          <w:highlight w:val="none"/>
        </w:rPr>
      </w:pPr>
      <w:r>
        <w:rPr>
          <w:rFonts w:hint="eastAsia" w:ascii="宋体" w:hAnsi="宋体"/>
          <w:color w:val="auto"/>
          <w:szCs w:val="21"/>
          <w:highlight w:val="none"/>
        </w:rPr>
        <w:t>道路的通行权和场外设施的约定：取得道路通行权、修建场外设施权的办理人为承包人。相关费用包含在合同价格中，由承包人承担。</w:t>
      </w:r>
      <w:r>
        <w:rPr>
          <w:rFonts w:hint="eastAsia" w:ascii="宋体" w:hAnsi="宋体"/>
          <w:color w:val="auto"/>
          <w:highlight w:val="none"/>
        </w:rPr>
        <w:t>招标人提供的施工材料运输路线及运距只作为投标人参考使用，若因其他原因造成费用增加由承包人自行解决。</w:t>
      </w:r>
    </w:p>
    <w:p w14:paraId="14196F0F">
      <w:pPr>
        <w:spacing w:line="400" w:lineRule="exact"/>
        <w:rPr>
          <w:rFonts w:hint="eastAsia" w:ascii="黑体" w:hAnsi="宋体" w:eastAsia="黑体"/>
          <w:b/>
          <w:color w:val="auto"/>
          <w:sz w:val="28"/>
          <w:szCs w:val="28"/>
          <w:highlight w:val="none"/>
        </w:rPr>
      </w:pPr>
      <w:bookmarkStart w:id="547" w:name="_Toc309534180"/>
      <w:bookmarkStart w:id="548" w:name="_Toc309533354"/>
      <w:bookmarkStart w:id="549" w:name="_Toc309533748"/>
      <w:r>
        <w:rPr>
          <w:rFonts w:hint="eastAsia" w:ascii="黑体" w:hAnsi="宋体" w:eastAsia="黑体"/>
          <w:b/>
          <w:color w:val="auto"/>
          <w:sz w:val="28"/>
          <w:szCs w:val="28"/>
          <w:highlight w:val="none"/>
          <w:lang w:val="en-US" w:eastAsia="zh-CN"/>
        </w:rPr>
        <w:t>7</w:t>
      </w:r>
      <w:r>
        <w:rPr>
          <w:rFonts w:hint="eastAsia" w:ascii="黑体" w:hAnsi="宋体" w:eastAsia="黑体"/>
          <w:b/>
          <w:color w:val="auto"/>
          <w:sz w:val="28"/>
          <w:szCs w:val="28"/>
          <w:highlight w:val="none"/>
        </w:rPr>
        <w:t xml:space="preserve"> 测量放线</w:t>
      </w:r>
      <w:bookmarkEnd w:id="547"/>
      <w:bookmarkEnd w:id="548"/>
      <w:bookmarkEnd w:id="549"/>
    </w:p>
    <w:p w14:paraId="252D8750">
      <w:pPr>
        <w:spacing w:line="400" w:lineRule="exact"/>
        <w:rPr>
          <w:rFonts w:hint="eastAsia" w:ascii="黑体" w:hAnsi="宋体" w:eastAsia="黑体"/>
          <w:b/>
          <w:color w:val="auto"/>
          <w:sz w:val="24"/>
          <w:highlight w:val="none"/>
        </w:rPr>
      </w:pPr>
      <w:r>
        <w:rPr>
          <w:rFonts w:hint="eastAsia" w:ascii="黑体" w:hAnsi="宋体" w:eastAsia="黑体"/>
          <w:b/>
          <w:color w:val="auto"/>
          <w:sz w:val="24"/>
          <w:highlight w:val="none"/>
          <w:lang w:val="en-US" w:eastAsia="zh-CN"/>
        </w:rPr>
        <w:t>7</w:t>
      </w:r>
      <w:r>
        <w:rPr>
          <w:rFonts w:hint="eastAsia" w:ascii="黑体" w:hAnsi="宋体" w:eastAsia="黑体"/>
          <w:b/>
          <w:color w:val="auto"/>
          <w:sz w:val="24"/>
          <w:highlight w:val="none"/>
        </w:rPr>
        <w:t>.1施工控制网</w:t>
      </w:r>
    </w:p>
    <w:p w14:paraId="4A4DE0B6">
      <w:pPr>
        <w:spacing w:line="400" w:lineRule="exact"/>
        <w:ind w:firstLine="420" w:firstLineChars="200"/>
        <w:rPr>
          <w:rFonts w:ascii="宋体" w:hAnsi="宋体"/>
          <w:color w:val="auto"/>
          <w:highlight w:val="none"/>
        </w:rPr>
      </w:pPr>
      <w:r>
        <w:rPr>
          <w:rFonts w:hint="eastAsia" w:ascii="宋体" w:hAnsi="宋体"/>
          <w:color w:val="auto"/>
          <w:szCs w:val="21"/>
          <w:highlight w:val="none"/>
          <w:lang w:val="en-US" w:eastAsia="zh-CN"/>
        </w:rPr>
        <w:t>7</w:t>
      </w:r>
      <w:r>
        <w:rPr>
          <w:rFonts w:hint="eastAsia" w:ascii="宋体" w:hAnsi="宋体"/>
          <w:color w:val="auto"/>
          <w:szCs w:val="21"/>
          <w:highlight w:val="none"/>
        </w:rPr>
        <w:t>.1.1施工控制网的约定：</w:t>
      </w:r>
      <w:r>
        <w:rPr>
          <w:rFonts w:hint="eastAsia" w:ascii="宋体" w:hAnsi="宋体"/>
          <w:color w:val="auto"/>
          <w:highlight w:val="none"/>
        </w:rPr>
        <w:t>发包人在签订合同后7天内向承包人提供测量基准点、基准线和水准点及其相关资料。承包人应在收到上述资料的14天内完成施工控制网布设，并将施测的施工控制网资料提交监理人审批。</w:t>
      </w:r>
    </w:p>
    <w:p w14:paraId="332DA508">
      <w:pPr>
        <w:spacing w:line="400" w:lineRule="exact"/>
        <w:rPr>
          <w:rFonts w:hint="eastAsia" w:ascii="黑体" w:hAnsi="宋体" w:eastAsia="黑体"/>
          <w:b/>
          <w:color w:val="auto"/>
          <w:sz w:val="28"/>
          <w:szCs w:val="28"/>
          <w:highlight w:val="none"/>
        </w:rPr>
      </w:pPr>
      <w:bookmarkStart w:id="550" w:name="_Toc309534181"/>
      <w:bookmarkStart w:id="551" w:name="_Toc309533749"/>
      <w:bookmarkStart w:id="552" w:name="_Toc309533355"/>
      <w:r>
        <w:rPr>
          <w:rFonts w:hint="eastAsia" w:ascii="黑体" w:hAnsi="宋体" w:eastAsia="黑体"/>
          <w:b/>
          <w:color w:val="auto"/>
          <w:sz w:val="28"/>
          <w:szCs w:val="28"/>
          <w:highlight w:val="none"/>
          <w:lang w:val="en-US" w:eastAsia="zh-CN"/>
        </w:rPr>
        <w:t>8</w:t>
      </w:r>
      <w:r>
        <w:rPr>
          <w:rFonts w:hint="eastAsia" w:ascii="黑体" w:hAnsi="宋体" w:eastAsia="黑体"/>
          <w:b/>
          <w:color w:val="auto"/>
          <w:sz w:val="28"/>
          <w:szCs w:val="28"/>
          <w:highlight w:val="none"/>
        </w:rPr>
        <w:t xml:space="preserve">  施工安全、治安保卫和环境保护</w:t>
      </w:r>
      <w:bookmarkEnd w:id="550"/>
      <w:bookmarkEnd w:id="551"/>
      <w:bookmarkEnd w:id="552"/>
    </w:p>
    <w:p w14:paraId="53A3F35E">
      <w:pPr>
        <w:spacing w:line="400" w:lineRule="exact"/>
        <w:rPr>
          <w:rFonts w:hint="eastAsia" w:ascii="黑体" w:hAnsi="宋体" w:eastAsia="黑体"/>
          <w:b/>
          <w:color w:val="auto"/>
          <w:sz w:val="24"/>
          <w:highlight w:val="none"/>
        </w:rPr>
      </w:pPr>
      <w:r>
        <w:rPr>
          <w:rFonts w:hint="eastAsia" w:ascii="黑体" w:hAnsi="宋体" w:eastAsia="黑体"/>
          <w:b/>
          <w:color w:val="auto"/>
          <w:sz w:val="24"/>
          <w:highlight w:val="none"/>
          <w:lang w:val="en-US" w:eastAsia="zh-CN"/>
        </w:rPr>
        <w:t>8</w:t>
      </w:r>
      <w:r>
        <w:rPr>
          <w:rFonts w:hint="eastAsia" w:ascii="黑体" w:hAnsi="宋体" w:eastAsia="黑体"/>
          <w:b/>
          <w:color w:val="auto"/>
          <w:sz w:val="24"/>
          <w:highlight w:val="none"/>
        </w:rPr>
        <w:t>.1 发包人的施工安全责任</w:t>
      </w:r>
    </w:p>
    <w:p w14:paraId="0776E651">
      <w:pPr>
        <w:spacing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9.1.4 发包人提供</w:t>
      </w:r>
      <w:r>
        <w:rPr>
          <w:rFonts w:hint="eastAsia" w:ascii="宋体" w:hAnsi="宋体"/>
          <w:color w:val="auto"/>
          <w:szCs w:val="21"/>
          <w:highlight w:val="none"/>
          <w:u w:val="single"/>
        </w:rPr>
        <w:t xml:space="preserve">  施工图  </w:t>
      </w:r>
      <w:r>
        <w:rPr>
          <w:rFonts w:hint="eastAsia" w:ascii="宋体" w:hAnsi="宋体"/>
          <w:color w:val="auto"/>
          <w:szCs w:val="21"/>
          <w:highlight w:val="none"/>
        </w:rPr>
        <w:t>资料，其余资料由承包人负责收集。</w:t>
      </w:r>
    </w:p>
    <w:p w14:paraId="0A7E4756">
      <w:pPr>
        <w:spacing w:line="400" w:lineRule="exact"/>
        <w:rPr>
          <w:rFonts w:hint="eastAsia" w:ascii="黑体" w:hAnsi="宋体" w:eastAsia="黑体"/>
          <w:b/>
          <w:color w:val="auto"/>
          <w:sz w:val="24"/>
          <w:highlight w:val="none"/>
        </w:rPr>
      </w:pPr>
      <w:r>
        <w:rPr>
          <w:rFonts w:hint="eastAsia" w:ascii="黑体" w:hAnsi="宋体" w:eastAsia="黑体"/>
          <w:b/>
          <w:color w:val="auto"/>
          <w:sz w:val="24"/>
          <w:highlight w:val="none"/>
          <w:lang w:val="en-US" w:eastAsia="zh-CN"/>
        </w:rPr>
        <w:t>8</w:t>
      </w:r>
      <w:r>
        <w:rPr>
          <w:rFonts w:hint="eastAsia" w:ascii="黑体" w:hAnsi="宋体" w:eastAsia="黑体"/>
          <w:b/>
          <w:color w:val="auto"/>
          <w:sz w:val="24"/>
          <w:highlight w:val="none"/>
        </w:rPr>
        <w:t>.2 承包人的施工安全责任</w:t>
      </w:r>
    </w:p>
    <w:p w14:paraId="61CC6C90">
      <w:pPr>
        <w:spacing w:line="400" w:lineRule="exact"/>
        <w:ind w:firstLine="420" w:firstLineChars="200"/>
        <w:rPr>
          <w:rFonts w:hint="eastAsia" w:ascii="宋体" w:hAnsi="宋体"/>
          <w:color w:val="auto"/>
          <w:highlight w:val="none"/>
        </w:rPr>
      </w:pPr>
      <w:r>
        <w:rPr>
          <w:rFonts w:hint="eastAsia" w:ascii="宋体" w:hAnsi="宋体"/>
          <w:color w:val="auto"/>
          <w:highlight w:val="none"/>
        </w:rPr>
        <w:t>9.2.12下列工程应编制专项施工方案：</w:t>
      </w:r>
      <w:r>
        <w:rPr>
          <w:rFonts w:hint="eastAsia" w:ascii="宋体" w:hAnsi="宋体"/>
          <w:color w:val="auto"/>
          <w:szCs w:val="21"/>
          <w:highlight w:val="none"/>
          <w:u w:val="single"/>
        </w:rPr>
        <w:t xml:space="preserve">    /    </w:t>
      </w:r>
      <w:r>
        <w:rPr>
          <w:rFonts w:hint="eastAsia" w:ascii="宋体" w:hAnsi="宋体"/>
          <w:color w:val="auto"/>
          <w:highlight w:val="none"/>
        </w:rPr>
        <w:t>。其中</w:t>
      </w:r>
      <w:r>
        <w:rPr>
          <w:rFonts w:hint="eastAsia" w:ascii="宋体" w:hAnsi="宋体"/>
          <w:color w:val="auto"/>
          <w:szCs w:val="21"/>
          <w:highlight w:val="none"/>
          <w:u w:val="single"/>
        </w:rPr>
        <w:t xml:space="preserve">    /    </w:t>
      </w:r>
      <w:r>
        <w:rPr>
          <w:rFonts w:hint="eastAsia" w:ascii="宋体" w:hAnsi="宋体"/>
          <w:color w:val="auto"/>
          <w:highlight w:val="none"/>
        </w:rPr>
        <w:t>应组织专家论证和审查。</w:t>
      </w:r>
    </w:p>
    <w:p w14:paraId="595C1358">
      <w:pPr>
        <w:spacing w:line="400" w:lineRule="exact"/>
        <w:rPr>
          <w:rFonts w:hint="eastAsia" w:ascii="黑体" w:hAnsi="宋体" w:eastAsia="黑体"/>
          <w:b/>
          <w:color w:val="auto"/>
          <w:sz w:val="24"/>
          <w:highlight w:val="none"/>
        </w:rPr>
      </w:pPr>
      <w:r>
        <w:rPr>
          <w:rFonts w:hint="eastAsia" w:ascii="黑体" w:hAnsi="宋体" w:eastAsia="黑体"/>
          <w:b/>
          <w:color w:val="auto"/>
          <w:sz w:val="24"/>
          <w:highlight w:val="none"/>
          <w:lang w:val="en-US" w:eastAsia="zh-CN"/>
        </w:rPr>
        <w:t>8</w:t>
      </w:r>
      <w:r>
        <w:rPr>
          <w:rFonts w:hint="eastAsia" w:ascii="黑体" w:hAnsi="宋体" w:eastAsia="黑体"/>
          <w:b/>
          <w:color w:val="auto"/>
          <w:sz w:val="24"/>
          <w:highlight w:val="none"/>
        </w:rPr>
        <w:t>.7 文明工地</w:t>
      </w:r>
    </w:p>
    <w:p w14:paraId="44637800">
      <w:pPr>
        <w:spacing w:line="400" w:lineRule="exact"/>
        <w:ind w:firstLine="420" w:firstLineChars="200"/>
        <w:jc w:val="left"/>
        <w:rPr>
          <w:rFonts w:hint="eastAsia" w:ascii="宋体" w:hAnsi="宋体"/>
          <w:color w:val="auto"/>
          <w:szCs w:val="21"/>
          <w:highlight w:val="none"/>
          <w:u w:val="single"/>
        </w:rPr>
      </w:pPr>
      <w:r>
        <w:rPr>
          <w:rFonts w:hint="eastAsia" w:ascii="宋体" w:hAnsi="宋体"/>
          <w:color w:val="auto"/>
          <w:szCs w:val="21"/>
          <w:highlight w:val="none"/>
          <w:lang w:val="en-US" w:eastAsia="zh-CN"/>
        </w:rPr>
        <w:t>8</w:t>
      </w:r>
      <w:r>
        <w:rPr>
          <w:rFonts w:ascii="宋体" w:hAnsi="宋体"/>
          <w:color w:val="auto"/>
          <w:szCs w:val="21"/>
          <w:highlight w:val="none"/>
        </w:rPr>
        <w:t xml:space="preserve">.7.1 </w:t>
      </w:r>
      <w:r>
        <w:rPr>
          <w:rFonts w:hint="eastAsia" w:ascii="宋体" w:hAnsi="宋体"/>
          <w:color w:val="auto"/>
          <w:szCs w:val="21"/>
          <w:highlight w:val="none"/>
        </w:rPr>
        <w:t>本合同文明工地的约定：工程未发生严重违法乱纪事件和重大质量、安全事故且符合水利系统文明建设工地考核标准的要求。</w:t>
      </w:r>
    </w:p>
    <w:p w14:paraId="1900CCDA">
      <w:pPr>
        <w:spacing w:line="400" w:lineRule="exact"/>
        <w:rPr>
          <w:rFonts w:hint="eastAsia" w:ascii="黑体" w:hAnsi="宋体" w:eastAsia="黑体"/>
          <w:b/>
          <w:color w:val="auto"/>
          <w:sz w:val="28"/>
          <w:szCs w:val="28"/>
          <w:highlight w:val="none"/>
        </w:rPr>
      </w:pPr>
      <w:bookmarkStart w:id="553" w:name="_Toc222031038"/>
      <w:bookmarkStart w:id="554" w:name="_Toc222032705"/>
      <w:bookmarkStart w:id="555" w:name="_Toc222033887"/>
      <w:bookmarkStart w:id="556" w:name="_Toc222029536"/>
      <w:bookmarkStart w:id="557" w:name="_Toc221951188"/>
      <w:bookmarkStart w:id="558" w:name="_Toc229305394"/>
      <w:bookmarkStart w:id="559" w:name="_Toc309533750"/>
      <w:bookmarkStart w:id="560" w:name="_Toc309533356"/>
      <w:bookmarkStart w:id="561" w:name="_Toc309534182"/>
      <w:r>
        <w:rPr>
          <w:rFonts w:hint="eastAsia" w:ascii="黑体" w:hAnsi="宋体" w:eastAsia="黑体"/>
          <w:b/>
          <w:color w:val="auto"/>
          <w:sz w:val="28"/>
          <w:szCs w:val="28"/>
          <w:highlight w:val="none"/>
          <w:lang w:val="en-US" w:eastAsia="zh-CN"/>
        </w:rPr>
        <w:t>9</w:t>
      </w:r>
      <w:r>
        <w:rPr>
          <w:rFonts w:hint="eastAsia" w:ascii="黑体" w:hAnsi="宋体" w:eastAsia="黑体"/>
          <w:b/>
          <w:color w:val="auto"/>
          <w:sz w:val="28"/>
          <w:szCs w:val="28"/>
          <w:highlight w:val="none"/>
        </w:rPr>
        <w:t xml:space="preserve"> 开工和竣工</w:t>
      </w:r>
      <w:bookmarkEnd w:id="553"/>
      <w:bookmarkEnd w:id="554"/>
      <w:bookmarkEnd w:id="555"/>
      <w:bookmarkEnd w:id="556"/>
      <w:bookmarkEnd w:id="557"/>
      <w:bookmarkEnd w:id="558"/>
      <w:r>
        <w:rPr>
          <w:rFonts w:hint="eastAsia" w:ascii="黑体" w:hAnsi="宋体" w:eastAsia="黑体"/>
          <w:b/>
          <w:color w:val="auto"/>
          <w:sz w:val="28"/>
          <w:szCs w:val="28"/>
          <w:highlight w:val="none"/>
        </w:rPr>
        <w:t>（完工）</w:t>
      </w:r>
      <w:bookmarkEnd w:id="559"/>
      <w:bookmarkEnd w:id="560"/>
      <w:bookmarkEnd w:id="561"/>
    </w:p>
    <w:p w14:paraId="3278C53F">
      <w:pPr>
        <w:spacing w:line="400" w:lineRule="exact"/>
        <w:rPr>
          <w:rFonts w:hint="eastAsia" w:ascii="黑体" w:hAnsi="宋体" w:eastAsia="黑体"/>
          <w:b/>
          <w:color w:val="auto"/>
          <w:sz w:val="24"/>
          <w:highlight w:val="none"/>
        </w:rPr>
      </w:pPr>
      <w:bookmarkStart w:id="562" w:name="_Toc221951189"/>
      <w:r>
        <w:rPr>
          <w:rFonts w:hint="eastAsia" w:ascii="黑体" w:hAnsi="宋体" w:eastAsia="黑体"/>
          <w:b/>
          <w:color w:val="auto"/>
          <w:sz w:val="24"/>
          <w:highlight w:val="none"/>
          <w:lang w:val="en-US" w:eastAsia="zh-CN"/>
        </w:rPr>
        <w:t>9</w:t>
      </w:r>
      <w:r>
        <w:rPr>
          <w:rFonts w:hint="eastAsia" w:ascii="黑体" w:hAnsi="宋体" w:eastAsia="黑体"/>
          <w:b/>
          <w:color w:val="auto"/>
          <w:sz w:val="24"/>
          <w:highlight w:val="none"/>
        </w:rPr>
        <w:t>.4 异常恶劣的气候条件</w:t>
      </w:r>
      <w:bookmarkEnd w:id="562"/>
      <w:r>
        <w:rPr>
          <w:rFonts w:hint="eastAsia" w:ascii="黑体" w:hAnsi="宋体" w:eastAsia="黑体"/>
          <w:b/>
          <w:color w:val="auto"/>
          <w:sz w:val="24"/>
          <w:highlight w:val="none"/>
        </w:rPr>
        <w:t xml:space="preserve"> </w:t>
      </w:r>
    </w:p>
    <w:p w14:paraId="594366BE">
      <w:pPr>
        <w:spacing w:line="400" w:lineRule="exact"/>
        <w:ind w:firstLine="480"/>
        <w:rPr>
          <w:rFonts w:hint="eastAsia" w:ascii="宋体" w:hAnsi="宋体"/>
          <w:color w:val="auto"/>
          <w:szCs w:val="21"/>
          <w:highlight w:val="none"/>
        </w:rPr>
      </w:pPr>
      <w:bookmarkStart w:id="563" w:name="_Toc221951191"/>
      <w:r>
        <w:rPr>
          <w:rFonts w:hint="eastAsia" w:ascii="宋体" w:hAnsi="宋体"/>
          <w:color w:val="auto"/>
          <w:szCs w:val="21"/>
          <w:highlight w:val="none"/>
        </w:rPr>
        <w:t>本合同工程界定异常恶劣气候条件的范围为：</w:t>
      </w:r>
      <w:bookmarkEnd w:id="563"/>
    </w:p>
    <w:p w14:paraId="2BA81C49">
      <w:pPr>
        <w:spacing w:line="400" w:lineRule="exact"/>
        <w:ind w:firstLine="480"/>
        <w:rPr>
          <w:rFonts w:hint="eastAsia" w:ascii="宋体" w:hAnsi="宋体"/>
          <w:color w:val="auto"/>
          <w:szCs w:val="21"/>
          <w:highlight w:val="none"/>
        </w:rPr>
      </w:pPr>
      <w:bookmarkStart w:id="564" w:name="_Toc221951192"/>
      <w:r>
        <w:rPr>
          <w:rFonts w:hint="eastAsia" w:ascii="宋体" w:hAnsi="宋体"/>
          <w:color w:val="auto"/>
          <w:szCs w:val="21"/>
          <w:highlight w:val="none"/>
        </w:rPr>
        <w:t>（1）日降雨量大于30 ㎜的雨日超过3 天； `</w:t>
      </w:r>
      <w:bookmarkEnd w:id="564"/>
    </w:p>
    <w:p w14:paraId="2D965190">
      <w:pPr>
        <w:spacing w:line="400" w:lineRule="exact"/>
        <w:ind w:firstLine="480"/>
        <w:rPr>
          <w:rFonts w:hint="eastAsia" w:ascii="宋体" w:hAnsi="宋体"/>
          <w:color w:val="auto"/>
          <w:szCs w:val="21"/>
          <w:highlight w:val="none"/>
        </w:rPr>
      </w:pPr>
      <w:bookmarkStart w:id="565" w:name="_Toc221951193"/>
      <w:r>
        <w:rPr>
          <w:rFonts w:hint="eastAsia" w:ascii="宋体" w:hAnsi="宋体"/>
          <w:color w:val="auto"/>
          <w:szCs w:val="21"/>
          <w:highlight w:val="none"/>
        </w:rPr>
        <w:t>（2）风速大于10m/s的 6 级以上台风灾害；</w:t>
      </w:r>
      <w:bookmarkEnd w:id="565"/>
    </w:p>
    <w:p w14:paraId="4D7C4D32">
      <w:pPr>
        <w:spacing w:line="400" w:lineRule="exact"/>
        <w:ind w:firstLine="480"/>
        <w:rPr>
          <w:rFonts w:hint="eastAsia" w:ascii="宋体" w:hAnsi="宋体"/>
          <w:color w:val="auto"/>
          <w:szCs w:val="21"/>
          <w:highlight w:val="none"/>
        </w:rPr>
      </w:pPr>
      <w:bookmarkStart w:id="566" w:name="_Toc221951194"/>
      <w:r>
        <w:rPr>
          <w:rFonts w:hint="eastAsia" w:ascii="宋体" w:hAnsi="宋体"/>
          <w:color w:val="auto"/>
          <w:szCs w:val="21"/>
          <w:highlight w:val="none"/>
        </w:rPr>
        <w:t>（3）</w:t>
      </w:r>
      <w:bookmarkEnd w:id="566"/>
      <w:r>
        <w:rPr>
          <w:rFonts w:hint="eastAsia" w:ascii="宋体" w:hAnsi="宋体"/>
          <w:color w:val="auto"/>
          <w:szCs w:val="21"/>
          <w:highlight w:val="none"/>
        </w:rPr>
        <w:t>日气温超过35℃的高温大于3天；</w:t>
      </w:r>
    </w:p>
    <w:p w14:paraId="2E05C1E6">
      <w:pPr>
        <w:spacing w:line="400" w:lineRule="exact"/>
        <w:ind w:firstLine="480"/>
        <w:rPr>
          <w:rFonts w:hint="eastAsia" w:ascii="宋体" w:hAnsi="宋体"/>
          <w:color w:val="auto"/>
          <w:szCs w:val="21"/>
          <w:highlight w:val="none"/>
        </w:rPr>
      </w:pPr>
      <w:bookmarkStart w:id="567" w:name="_Toc221951196"/>
      <w:r>
        <w:rPr>
          <w:rFonts w:hint="eastAsia" w:ascii="宋体" w:hAnsi="宋体"/>
          <w:color w:val="auto"/>
          <w:szCs w:val="21"/>
          <w:highlight w:val="none"/>
        </w:rPr>
        <w:t>（4）</w:t>
      </w:r>
      <w:bookmarkEnd w:id="567"/>
      <w:r>
        <w:rPr>
          <w:rFonts w:hint="eastAsia" w:ascii="宋体" w:hAnsi="宋体"/>
          <w:color w:val="auto"/>
          <w:szCs w:val="21"/>
          <w:highlight w:val="none"/>
        </w:rPr>
        <w:t>造成工程损坏的冰雹和大雪灾害：</w:t>
      </w:r>
      <w:r>
        <w:rPr>
          <w:rFonts w:ascii="宋体" w:hAnsi="宋体"/>
          <w:color w:val="auto"/>
          <w:highlight w:val="none"/>
        </w:rPr>
        <w:t>日</w:t>
      </w:r>
      <w:r>
        <w:rPr>
          <w:rFonts w:ascii="宋体" w:hAnsi="宋体"/>
          <w:color w:val="auto"/>
          <w:highlight w:val="none"/>
        </w:rPr>
        <w:fldChar w:fldCharType="begin"/>
      </w:r>
      <w:r>
        <w:rPr>
          <w:rFonts w:ascii="宋体" w:hAnsi="宋体"/>
          <w:color w:val="auto"/>
          <w:highlight w:val="none"/>
        </w:rPr>
        <w:instrText xml:space="preserve"> HYPERLINK "http://wenwen.soso.com/z/Search.e?sp=S%E9%99%8D%E9%9B%AA%E9%87%8F&amp;ch=w.search.yjjlink&amp;cid=w.search.yjjlink" \t "_blank" </w:instrText>
      </w:r>
      <w:r>
        <w:rPr>
          <w:rFonts w:ascii="宋体" w:hAnsi="宋体"/>
          <w:color w:val="auto"/>
          <w:highlight w:val="none"/>
        </w:rPr>
        <w:fldChar w:fldCharType="separate"/>
      </w:r>
      <w:r>
        <w:rPr>
          <w:rStyle w:val="60"/>
          <w:color w:val="auto"/>
          <w:highlight w:val="none"/>
        </w:rPr>
        <w:t>降雪量</w:t>
      </w:r>
      <w:r>
        <w:rPr>
          <w:rFonts w:ascii="宋体" w:hAnsi="宋体"/>
          <w:color w:val="auto"/>
          <w:highlight w:val="none"/>
        </w:rPr>
        <w:fldChar w:fldCharType="end"/>
      </w:r>
      <w:r>
        <w:rPr>
          <w:rFonts w:ascii="宋体" w:hAnsi="宋体"/>
          <w:color w:val="auto"/>
          <w:highlight w:val="none"/>
        </w:rPr>
        <w:t>10mm及以上</w:t>
      </w:r>
      <w:r>
        <w:rPr>
          <w:rFonts w:hint="eastAsia" w:ascii="宋体" w:hAnsi="宋体"/>
          <w:color w:val="auto"/>
          <w:szCs w:val="21"/>
          <w:highlight w:val="none"/>
        </w:rPr>
        <w:t>。</w:t>
      </w:r>
    </w:p>
    <w:p w14:paraId="76B80D6F">
      <w:pPr>
        <w:spacing w:line="400" w:lineRule="exact"/>
        <w:ind w:firstLine="480"/>
        <w:rPr>
          <w:rFonts w:hint="eastAsia" w:ascii="宋体" w:hAnsi="宋体"/>
          <w:color w:val="auto"/>
          <w:szCs w:val="21"/>
          <w:highlight w:val="none"/>
        </w:rPr>
      </w:pPr>
      <w:bookmarkStart w:id="568" w:name="_Toc221951197"/>
      <w:r>
        <w:rPr>
          <w:rFonts w:hint="eastAsia" w:ascii="宋体" w:hAnsi="宋体"/>
          <w:color w:val="auto"/>
          <w:szCs w:val="21"/>
          <w:highlight w:val="none"/>
        </w:rPr>
        <w:t>（5）其他异常恶劣气候灾害。</w:t>
      </w:r>
      <w:bookmarkEnd w:id="568"/>
    </w:p>
    <w:p w14:paraId="4DBBA137">
      <w:pPr>
        <w:spacing w:line="400" w:lineRule="exact"/>
        <w:rPr>
          <w:rFonts w:hint="eastAsia" w:ascii="黑体" w:hAnsi="宋体" w:eastAsia="黑体"/>
          <w:b/>
          <w:color w:val="auto"/>
          <w:sz w:val="24"/>
          <w:highlight w:val="none"/>
        </w:rPr>
      </w:pPr>
      <w:bookmarkStart w:id="569" w:name="_Toc221951198"/>
      <w:r>
        <w:rPr>
          <w:rFonts w:hint="eastAsia" w:ascii="黑体" w:hAnsi="宋体" w:eastAsia="黑体"/>
          <w:b/>
          <w:color w:val="auto"/>
          <w:sz w:val="24"/>
          <w:highlight w:val="none"/>
          <w:lang w:val="en-US" w:eastAsia="zh-CN"/>
        </w:rPr>
        <w:t>9</w:t>
      </w:r>
      <w:r>
        <w:rPr>
          <w:rFonts w:hint="eastAsia" w:ascii="黑体" w:hAnsi="宋体" w:eastAsia="黑体"/>
          <w:b/>
          <w:color w:val="auto"/>
          <w:sz w:val="24"/>
          <w:highlight w:val="none"/>
        </w:rPr>
        <w:t>.5 承包人工期延误</w:t>
      </w:r>
      <w:bookmarkEnd w:id="569"/>
      <w:r>
        <w:rPr>
          <w:rFonts w:hint="eastAsia" w:ascii="黑体" w:hAnsi="宋体" w:eastAsia="黑体"/>
          <w:b/>
          <w:color w:val="auto"/>
          <w:sz w:val="24"/>
          <w:highlight w:val="none"/>
        </w:rPr>
        <w:t xml:space="preserve"> </w:t>
      </w:r>
    </w:p>
    <w:p w14:paraId="691D3FE6">
      <w:pPr>
        <w:spacing w:line="400" w:lineRule="exact"/>
        <w:ind w:firstLine="420" w:firstLineChars="200"/>
        <w:rPr>
          <w:rFonts w:hint="eastAsia" w:ascii="宋体" w:hAnsi="宋体"/>
          <w:bCs/>
          <w:color w:val="auto"/>
          <w:szCs w:val="21"/>
          <w:highlight w:val="none"/>
        </w:rPr>
      </w:pPr>
      <w:bookmarkStart w:id="570" w:name="_Toc221951200"/>
      <w:r>
        <w:rPr>
          <w:rFonts w:hint="eastAsia" w:ascii="宋体" w:hAnsi="宋体"/>
          <w:bCs/>
          <w:color w:val="auto"/>
          <w:szCs w:val="21"/>
          <w:highlight w:val="none"/>
        </w:rPr>
        <w:t>（1）逾期完工违约金表</w:t>
      </w:r>
      <w:bookmarkEnd w:id="570"/>
    </w:p>
    <w:tbl>
      <w:tblPr>
        <w:tblStyle w:val="49"/>
        <w:tblW w:w="0" w:type="auto"/>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17"/>
        <w:gridCol w:w="4536"/>
        <w:gridCol w:w="2191"/>
        <w:gridCol w:w="2310"/>
      </w:tblGrid>
      <w:tr w14:paraId="1BF3AA9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17" w:type="dxa"/>
            <w:noWrap w:val="0"/>
            <w:vAlign w:val="center"/>
          </w:tcPr>
          <w:p w14:paraId="7974208B">
            <w:pPr>
              <w:spacing w:line="400" w:lineRule="exact"/>
              <w:jc w:val="center"/>
              <w:rPr>
                <w:rFonts w:hint="eastAsia" w:ascii="宋体" w:hAnsi="宋体"/>
                <w:b/>
                <w:color w:val="auto"/>
                <w:szCs w:val="21"/>
                <w:highlight w:val="none"/>
              </w:rPr>
            </w:pPr>
            <w:bookmarkStart w:id="571" w:name="_Toc221951201"/>
            <w:r>
              <w:rPr>
                <w:rFonts w:hint="eastAsia" w:ascii="宋体" w:hAnsi="宋体"/>
                <w:b/>
                <w:color w:val="auto"/>
                <w:szCs w:val="21"/>
                <w:highlight w:val="none"/>
              </w:rPr>
              <w:t>序号</w:t>
            </w:r>
            <w:bookmarkEnd w:id="571"/>
          </w:p>
        </w:tc>
        <w:tc>
          <w:tcPr>
            <w:tcW w:w="4536" w:type="dxa"/>
            <w:noWrap w:val="0"/>
            <w:vAlign w:val="center"/>
          </w:tcPr>
          <w:p w14:paraId="44A8A537">
            <w:pPr>
              <w:spacing w:line="400" w:lineRule="exact"/>
              <w:jc w:val="center"/>
              <w:rPr>
                <w:rFonts w:hint="eastAsia" w:ascii="宋体" w:hAnsi="宋体"/>
                <w:b/>
                <w:color w:val="auto"/>
                <w:szCs w:val="21"/>
                <w:highlight w:val="none"/>
              </w:rPr>
            </w:pPr>
            <w:bookmarkStart w:id="572" w:name="_Toc221951202"/>
            <w:r>
              <w:rPr>
                <w:rFonts w:hint="eastAsia" w:ascii="宋体" w:hAnsi="宋体"/>
                <w:b/>
                <w:color w:val="auto"/>
                <w:szCs w:val="21"/>
                <w:highlight w:val="none"/>
              </w:rPr>
              <w:t>项目及其说明</w:t>
            </w:r>
            <w:bookmarkEnd w:id="572"/>
          </w:p>
        </w:tc>
        <w:tc>
          <w:tcPr>
            <w:tcW w:w="2191" w:type="dxa"/>
            <w:noWrap w:val="0"/>
            <w:vAlign w:val="center"/>
          </w:tcPr>
          <w:p w14:paraId="5808088B">
            <w:pPr>
              <w:spacing w:line="400" w:lineRule="exact"/>
              <w:jc w:val="center"/>
              <w:rPr>
                <w:rFonts w:hint="eastAsia" w:ascii="宋体" w:hAnsi="宋体"/>
                <w:b/>
                <w:color w:val="auto"/>
                <w:szCs w:val="21"/>
                <w:highlight w:val="none"/>
              </w:rPr>
            </w:pPr>
            <w:bookmarkStart w:id="573" w:name="_Toc221951203"/>
            <w:r>
              <w:rPr>
                <w:rFonts w:hint="eastAsia" w:ascii="宋体" w:hAnsi="宋体"/>
                <w:b/>
                <w:color w:val="auto"/>
                <w:szCs w:val="21"/>
                <w:highlight w:val="none"/>
              </w:rPr>
              <w:t>要求完工日期</w:t>
            </w:r>
            <w:bookmarkEnd w:id="573"/>
          </w:p>
        </w:tc>
        <w:tc>
          <w:tcPr>
            <w:tcW w:w="2310" w:type="dxa"/>
            <w:noWrap w:val="0"/>
            <w:vAlign w:val="center"/>
          </w:tcPr>
          <w:p w14:paraId="41A8243B">
            <w:pPr>
              <w:spacing w:line="400" w:lineRule="exact"/>
              <w:jc w:val="center"/>
              <w:rPr>
                <w:rFonts w:hint="eastAsia" w:ascii="宋体" w:hAnsi="宋体"/>
                <w:b/>
                <w:color w:val="auto"/>
                <w:szCs w:val="21"/>
                <w:highlight w:val="none"/>
              </w:rPr>
            </w:pPr>
            <w:bookmarkStart w:id="574" w:name="_Toc221951204"/>
            <w:r>
              <w:rPr>
                <w:rFonts w:hint="eastAsia" w:ascii="宋体" w:hAnsi="宋体"/>
                <w:b/>
                <w:color w:val="auto"/>
                <w:szCs w:val="21"/>
                <w:highlight w:val="none"/>
              </w:rPr>
              <w:t>违约金</w:t>
            </w:r>
            <w:r>
              <w:rPr>
                <w:rFonts w:hint="eastAsia" w:ascii="宋体" w:hAnsi="宋体"/>
                <w:b/>
                <w:color w:val="auto"/>
                <w:szCs w:val="21"/>
                <w:highlight w:val="none"/>
                <w:lang w:eastAsia="zh-CN"/>
              </w:rPr>
              <w:t>（</w:t>
            </w:r>
            <w:r>
              <w:rPr>
                <w:rFonts w:hint="eastAsia" w:ascii="宋体" w:hAnsi="宋体"/>
                <w:b/>
                <w:color w:val="auto"/>
                <w:szCs w:val="21"/>
                <w:highlight w:val="none"/>
              </w:rPr>
              <w:t>元/天</w:t>
            </w:r>
            <w:r>
              <w:rPr>
                <w:rFonts w:hint="eastAsia" w:ascii="宋体" w:hAnsi="宋体"/>
                <w:b/>
                <w:color w:val="auto"/>
                <w:szCs w:val="21"/>
                <w:highlight w:val="none"/>
                <w:lang w:eastAsia="zh-CN"/>
              </w:rPr>
              <w:t>）</w:t>
            </w:r>
            <w:bookmarkEnd w:id="574"/>
          </w:p>
        </w:tc>
      </w:tr>
      <w:tr w14:paraId="0D457D6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26" w:hRule="exact"/>
        </w:trPr>
        <w:tc>
          <w:tcPr>
            <w:tcW w:w="817" w:type="dxa"/>
            <w:noWrap w:val="0"/>
            <w:vAlign w:val="center"/>
          </w:tcPr>
          <w:p w14:paraId="3575AE8C">
            <w:pPr>
              <w:spacing w:line="400" w:lineRule="exact"/>
              <w:jc w:val="center"/>
              <w:rPr>
                <w:rFonts w:hint="eastAsia" w:ascii="宋体" w:hAnsi="宋体"/>
                <w:color w:val="auto"/>
                <w:szCs w:val="21"/>
                <w:highlight w:val="none"/>
              </w:rPr>
            </w:pPr>
            <w:r>
              <w:rPr>
                <w:rFonts w:hint="eastAsia" w:ascii="宋体" w:hAnsi="宋体"/>
                <w:color w:val="auto"/>
                <w:szCs w:val="21"/>
                <w:highlight w:val="none"/>
              </w:rPr>
              <w:t>1</w:t>
            </w:r>
          </w:p>
        </w:tc>
        <w:tc>
          <w:tcPr>
            <w:tcW w:w="4536" w:type="dxa"/>
            <w:noWrap w:val="0"/>
            <w:vAlign w:val="center"/>
          </w:tcPr>
          <w:p w14:paraId="207D3343">
            <w:pPr>
              <w:jc w:val="center"/>
              <w:rPr>
                <w:rStyle w:val="232"/>
                <w:rFonts w:hint="eastAsia" w:eastAsia="宋体"/>
                <w:color w:val="auto"/>
                <w:highlight w:val="none"/>
                <w:lang w:eastAsia="zh-CN"/>
              </w:rPr>
            </w:pPr>
            <w:r>
              <w:rPr>
                <w:rStyle w:val="232"/>
                <w:rFonts w:hint="eastAsia"/>
                <w:color w:val="auto"/>
                <w:highlight w:val="none"/>
                <w:lang w:val="en-US" w:eastAsia="zh-CN"/>
              </w:rPr>
              <w:t>农安县饮马河堤防水毁修复工程</w:t>
            </w:r>
          </w:p>
        </w:tc>
        <w:tc>
          <w:tcPr>
            <w:tcW w:w="2191" w:type="dxa"/>
            <w:noWrap w:val="0"/>
            <w:vAlign w:val="center"/>
          </w:tcPr>
          <w:p w14:paraId="036A238B">
            <w:pPr>
              <w:spacing w:line="400" w:lineRule="exact"/>
              <w:jc w:val="center"/>
              <w:rPr>
                <w:rFonts w:hint="eastAsia"/>
                <w:color w:val="auto"/>
                <w:szCs w:val="21"/>
                <w:highlight w:val="none"/>
              </w:rPr>
            </w:pPr>
            <w:r>
              <w:rPr>
                <w:rFonts w:hint="eastAsia"/>
                <w:color w:val="auto"/>
                <w:szCs w:val="21"/>
                <w:highlight w:val="none"/>
                <w:lang w:val="zh-CN"/>
              </w:rPr>
              <w:t>合同签订之日起4个月内</w:t>
            </w:r>
          </w:p>
        </w:tc>
        <w:tc>
          <w:tcPr>
            <w:tcW w:w="2310" w:type="dxa"/>
            <w:noWrap w:val="0"/>
            <w:vAlign w:val="center"/>
          </w:tcPr>
          <w:p w14:paraId="74421ED5">
            <w:pPr>
              <w:spacing w:line="400" w:lineRule="exact"/>
              <w:jc w:val="center"/>
              <w:rPr>
                <w:rFonts w:hint="eastAsia" w:ascii="宋体" w:hAnsi="宋体"/>
                <w:color w:val="auto"/>
                <w:szCs w:val="21"/>
                <w:highlight w:val="none"/>
              </w:rPr>
            </w:pPr>
            <w:r>
              <w:rPr>
                <w:rFonts w:hint="eastAsia" w:ascii="宋体" w:hAnsi="宋体"/>
                <w:color w:val="auto"/>
                <w:szCs w:val="21"/>
                <w:highlight w:val="none"/>
                <w:lang w:val="en-US" w:eastAsia="zh-CN"/>
              </w:rPr>
              <w:t>1</w:t>
            </w:r>
            <w:r>
              <w:rPr>
                <w:rFonts w:hint="eastAsia" w:ascii="宋体" w:hAnsi="宋体"/>
                <w:color w:val="auto"/>
                <w:szCs w:val="21"/>
                <w:highlight w:val="none"/>
              </w:rPr>
              <w:t>000</w:t>
            </w:r>
          </w:p>
        </w:tc>
      </w:tr>
    </w:tbl>
    <w:p w14:paraId="176FE714">
      <w:pPr>
        <w:spacing w:line="400" w:lineRule="exact"/>
        <w:ind w:firstLine="420" w:firstLineChars="200"/>
        <w:rPr>
          <w:rFonts w:hint="eastAsia" w:ascii="宋体" w:hAnsi="宋体"/>
          <w:color w:val="auto"/>
          <w:szCs w:val="21"/>
          <w:highlight w:val="none"/>
        </w:rPr>
      </w:pPr>
      <w:bookmarkStart w:id="575" w:name="_Toc221951205"/>
      <w:r>
        <w:rPr>
          <w:rFonts w:hint="eastAsia" w:ascii="宋体" w:hAnsi="宋体"/>
          <w:color w:val="auto"/>
          <w:szCs w:val="21"/>
          <w:highlight w:val="none"/>
        </w:rPr>
        <w:t>（2）全部逾期完工违约金的总限额为不超过合同总价的10%。</w:t>
      </w:r>
      <w:bookmarkEnd w:id="575"/>
    </w:p>
    <w:p w14:paraId="0C80CA80">
      <w:pPr>
        <w:spacing w:line="400" w:lineRule="exact"/>
        <w:rPr>
          <w:rFonts w:hint="eastAsia" w:ascii="黑体" w:hAnsi="宋体" w:eastAsia="黑体"/>
          <w:b/>
          <w:color w:val="auto"/>
          <w:sz w:val="24"/>
          <w:highlight w:val="none"/>
        </w:rPr>
      </w:pPr>
      <w:bookmarkStart w:id="576" w:name="_Toc221951206"/>
      <w:bookmarkStart w:id="577" w:name="_Toc222033888"/>
      <w:bookmarkStart w:id="578" w:name="_Toc222029537"/>
      <w:bookmarkStart w:id="579" w:name="_Toc222032706"/>
      <w:bookmarkStart w:id="580" w:name="_Toc229305395"/>
      <w:bookmarkStart w:id="581" w:name="_Toc222031039"/>
      <w:r>
        <w:rPr>
          <w:rFonts w:hint="eastAsia" w:ascii="黑体" w:hAnsi="宋体" w:eastAsia="黑体"/>
          <w:b/>
          <w:color w:val="auto"/>
          <w:sz w:val="24"/>
          <w:highlight w:val="none"/>
          <w:lang w:val="en-US" w:eastAsia="zh-CN"/>
        </w:rPr>
        <w:t>9</w:t>
      </w:r>
      <w:r>
        <w:rPr>
          <w:rFonts w:hint="eastAsia" w:ascii="黑体" w:hAnsi="宋体" w:eastAsia="黑体"/>
          <w:b/>
          <w:color w:val="auto"/>
          <w:sz w:val="24"/>
          <w:highlight w:val="none"/>
        </w:rPr>
        <w:t>.6 工期提前</w:t>
      </w:r>
    </w:p>
    <w:p w14:paraId="3E1EE2E0">
      <w:pPr>
        <w:spacing w:line="400" w:lineRule="exact"/>
        <w:ind w:firstLine="420" w:firstLineChars="200"/>
        <w:rPr>
          <w:rFonts w:hint="eastAsia" w:ascii="宋体" w:hAnsi="宋体"/>
          <w:color w:val="auto"/>
          <w:highlight w:val="none"/>
        </w:rPr>
      </w:pPr>
      <w:r>
        <w:rPr>
          <w:rFonts w:hint="eastAsia" w:ascii="宋体" w:hAnsi="宋体"/>
          <w:color w:val="auto"/>
          <w:highlight w:val="none"/>
        </w:rPr>
        <w:t xml:space="preserve">工期提前的奖金约定：无奖励。 </w:t>
      </w:r>
    </w:p>
    <w:p w14:paraId="05134B93">
      <w:pPr>
        <w:spacing w:line="400" w:lineRule="exact"/>
        <w:rPr>
          <w:rFonts w:hint="eastAsia" w:ascii="黑体" w:hAnsi="宋体" w:eastAsia="黑体"/>
          <w:b/>
          <w:color w:val="auto"/>
          <w:sz w:val="28"/>
          <w:szCs w:val="28"/>
          <w:highlight w:val="none"/>
        </w:rPr>
      </w:pPr>
      <w:bookmarkStart w:id="582" w:name="_Toc309533357"/>
      <w:bookmarkStart w:id="583" w:name="_Toc309534183"/>
      <w:bookmarkStart w:id="584" w:name="_Toc309533751"/>
      <w:r>
        <w:rPr>
          <w:rFonts w:hint="eastAsia" w:ascii="黑体" w:hAnsi="宋体" w:eastAsia="黑体"/>
          <w:b/>
          <w:color w:val="auto"/>
          <w:sz w:val="28"/>
          <w:szCs w:val="28"/>
          <w:highlight w:val="none"/>
        </w:rPr>
        <w:t>1</w:t>
      </w:r>
      <w:r>
        <w:rPr>
          <w:rFonts w:hint="eastAsia" w:ascii="黑体" w:hAnsi="宋体" w:eastAsia="黑体"/>
          <w:b/>
          <w:color w:val="auto"/>
          <w:sz w:val="28"/>
          <w:szCs w:val="28"/>
          <w:highlight w:val="none"/>
          <w:lang w:val="en-US" w:eastAsia="zh-CN"/>
        </w:rPr>
        <w:t>0</w:t>
      </w:r>
      <w:r>
        <w:rPr>
          <w:rFonts w:hint="eastAsia" w:ascii="黑体" w:hAnsi="宋体" w:eastAsia="黑体"/>
          <w:b/>
          <w:color w:val="auto"/>
          <w:sz w:val="28"/>
          <w:szCs w:val="28"/>
          <w:highlight w:val="none"/>
        </w:rPr>
        <w:t xml:space="preserve"> 暂停施工</w:t>
      </w:r>
      <w:bookmarkEnd w:id="576"/>
      <w:bookmarkEnd w:id="577"/>
      <w:bookmarkEnd w:id="578"/>
      <w:bookmarkEnd w:id="579"/>
      <w:bookmarkEnd w:id="580"/>
      <w:bookmarkEnd w:id="581"/>
      <w:bookmarkEnd w:id="582"/>
      <w:bookmarkEnd w:id="583"/>
      <w:bookmarkEnd w:id="584"/>
    </w:p>
    <w:p w14:paraId="7CE33D74">
      <w:pPr>
        <w:spacing w:line="400" w:lineRule="exact"/>
        <w:rPr>
          <w:rFonts w:hint="eastAsia" w:ascii="黑体" w:hAnsi="宋体" w:eastAsia="黑体"/>
          <w:b/>
          <w:color w:val="auto"/>
          <w:sz w:val="24"/>
          <w:highlight w:val="none"/>
        </w:rPr>
      </w:pPr>
      <w:bookmarkStart w:id="585" w:name="_Toc221951207"/>
      <w:r>
        <w:rPr>
          <w:rFonts w:hint="eastAsia" w:ascii="黑体" w:hAnsi="宋体" w:eastAsia="黑体"/>
          <w:b/>
          <w:color w:val="auto"/>
          <w:sz w:val="24"/>
          <w:highlight w:val="none"/>
        </w:rPr>
        <w:t>1</w:t>
      </w:r>
      <w:r>
        <w:rPr>
          <w:rFonts w:hint="eastAsia" w:ascii="黑体" w:hAnsi="宋体" w:eastAsia="黑体"/>
          <w:b/>
          <w:color w:val="auto"/>
          <w:sz w:val="24"/>
          <w:highlight w:val="none"/>
          <w:lang w:val="en-US" w:eastAsia="zh-CN"/>
        </w:rPr>
        <w:t>0</w:t>
      </w:r>
      <w:r>
        <w:rPr>
          <w:rFonts w:hint="eastAsia" w:ascii="黑体" w:hAnsi="宋体" w:eastAsia="黑体"/>
          <w:b/>
          <w:color w:val="auto"/>
          <w:sz w:val="24"/>
          <w:highlight w:val="none"/>
        </w:rPr>
        <w:t>.1 承包人暂停施工的责任</w:t>
      </w:r>
      <w:bookmarkEnd w:id="585"/>
    </w:p>
    <w:p w14:paraId="1DEFC6F6">
      <w:pPr>
        <w:spacing w:line="400" w:lineRule="exact"/>
        <w:ind w:firstLine="420" w:firstLineChars="200"/>
        <w:rPr>
          <w:rFonts w:hint="eastAsia" w:ascii="宋体" w:hAnsi="宋体"/>
          <w:color w:val="auto"/>
          <w:szCs w:val="21"/>
          <w:highlight w:val="none"/>
        </w:rPr>
      </w:pPr>
      <w:bookmarkStart w:id="586" w:name="_Toc221951209"/>
      <w:r>
        <w:rPr>
          <w:rFonts w:hint="eastAsia" w:ascii="宋体" w:hAnsi="宋体"/>
          <w:color w:val="auto"/>
          <w:szCs w:val="21"/>
          <w:highlight w:val="none"/>
        </w:rPr>
        <w:t>(5) 承包人承担暂停施工责任的其他情形：</w:t>
      </w:r>
      <w:r>
        <w:rPr>
          <w:rFonts w:hint="eastAsia" w:ascii="宋体" w:hAnsi="宋体"/>
          <w:color w:val="auto"/>
          <w:szCs w:val="21"/>
          <w:highlight w:val="none"/>
          <w:u w:val="single"/>
        </w:rPr>
        <w:t xml:space="preserve">     /      </w:t>
      </w:r>
      <w:r>
        <w:rPr>
          <w:rFonts w:hint="eastAsia" w:ascii="宋体" w:hAnsi="宋体"/>
          <w:color w:val="auto"/>
          <w:szCs w:val="21"/>
          <w:highlight w:val="none"/>
        </w:rPr>
        <w:t xml:space="preserve"> 。</w:t>
      </w:r>
      <w:bookmarkEnd w:id="586"/>
    </w:p>
    <w:p w14:paraId="51B358CB">
      <w:pPr>
        <w:spacing w:line="400" w:lineRule="exact"/>
        <w:rPr>
          <w:rFonts w:hint="eastAsia" w:ascii="黑体" w:hAnsi="宋体" w:eastAsia="黑体"/>
          <w:b/>
          <w:color w:val="auto"/>
          <w:sz w:val="24"/>
          <w:highlight w:val="none"/>
        </w:rPr>
      </w:pPr>
      <w:r>
        <w:rPr>
          <w:rFonts w:hint="eastAsia" w:ascii="黑体" w:hAnsi="宋体" w:eastAsia="黑体"/>
          <w:b/>
          <w:color w:val="auto"/>
          <w:sz w:val="24"/>
          <w:highlight w:val="none"/>
        </w:rPr>
        <w:t>1</w:t>
      </w:r>
      <w:r>
        <w:rPr>
          <w:rFonts w:hint="eastAsia" w:ascii="黑体" w:hAnsi="宋体" w:eastAsia="黑体"/>
          <w:b/>
          <w:color w:val="auto"/>
          <w:sz w:val="24"/>
          <w:highlight w:val="none"/>
          <w:lang w:val="en-US" w:eastAsia="zh-CN"/>
        </w:rPr>
        <w:t>0</w:t>
      </w:r>
      <w:r>
        <w:rPr>
          <w:rFonts w:hint="eastAsia" w:ascii="黑体" w:hAnsi="宋体" w:eastAsia="黑体"/>
          <w:b/>
          <w:color w:val="auto"/>
          <w:sz w:val="24"/>
          <w:highlight w:val="none"/>
        </w:rPr>
        <w:t>.2 发包人暂停施工的责任</w:t>
      </w:r>
    </w:p>
    <w:p w14:paraId="65B7038A">
      <w:pPr>
        <w:spacing w:line="400" w:lineRule="exact"/>
        <w:rPr>
          <w:rFonts w:hint="eastAsia" w:ascii="宋体" w:hAnsi="宋体"/>
          <w:b/>
          <w:bCs/>
          <w:color w:val="auto"/>
          <w:szCs w:val="21"/>
          <w:highlight w:val="none"/>
        </w:rPr>
      </w:pPr>
      <w:r>
        <w:rPr>
          <w:rFonts w:hint="eastAsia" w:ascii="宋体" w:hAnsi="宋体"/>
          <w:b/>
          <w:bCs/>
          <w:color w:val="auto"/>
          <w:szCs w:val="21"/>
          <w:highlight w:val="none"/>
        </w:rPr>
        <w:t xml:space="preserve">  </w:t>
      </w:r>
      <w:bookmarkStart w:id="587" w:name="_Toc309534184"/>
      <w:bookmarkStart w:id="588" w:name="_Toc309533752"/>
      <w:bookmarkStart w:id="589" w:name="_Toc309533359"/>
      <w:r>
        <w:rPr>
          <w:rFonts w:hint="eastAsia" w:ascii="宋体" w:hAnsi="宋体"/>
          <w:b/>
          <w:bCs/>
          <w:color w:val="auto"/>
          <w:szCs w:val="21"/>
          <w:highlight w:val="none"/>
        </w:rPr>
        <w:t xml:space="preserve"> </w:t>
      </w:r>
      <w:r>
        <w:rPr>
          <w:rFonts w:hint="eastAsia" w:ascii="宋体" w:hAnsi="宋体"/>
          <w:bCs/>
          <w:color w:val="auto"/>
          <w:szCs w:val="21"/>
          <w:highlight w:val="none"/>
        </w:rPr>
        <w:t xml:space="preserve"> </w:t>
      </w:r>
      <w:bookmarkStart w:id="590" w:name="_Toc309533358"/>
      <w:r>
        <w:rPr>
          <w:rFonts w:hint="eastAsia" w:ascii="宋体" w:hAnsi="宋体"/>
          <w:bCs/>
          <w:color w:val="auto"/>
          <w:szCs w:val="21"/>
          <w:highlight w:val="none"/>
        </w:rPr>
        <w:t>(3) 发包人承担暂停施工责</w:t>
      </w:r>
      <w:r>
        <w:rPr>
          <w:rFonts w:hint="eastAsia" w:ascii="宋体" w:hAnsi="宋体"/>
          <w:bCs/>
          <w:color w:val="auto"/>
          <w:szCs w:val="21"/>
          <w:highlight w:val="none"/>
          <w:lang w:eastAsia="zh-CN"/>
        </w:rPr>
        <w:t>任的</w:t>
      </w:r>
      <w:r>
        <w:rPr>
          <w:rFonts w:hint="eastAsia" w:ascii="宋体" w:hAnsi="宋体"/>
          <w:bCs/>
          <w:color w:val="auto"/>
          <w:szCs w:val="21"/>
          <w:highlight w:val="none"/>
        </w:rPr>
        <w:t>其他情形：</w:t>
      </w:r>
      <w:bookmarkEnd w:id="590"/>
      <w:r>
        <w:rPr>
          <w:rFonts w:hint="eastAsia" w:ascii="宋体" w:hAnsi="宋体"/>
          <w:color w:val="auto"/>
          <w:szCs w:val="21"/>
          <w:highlight w:val="none"/>
          <w:u w:val="single"/>
        </w:rPr>
        <w:t xml:space="preserve">     /      </w:t>
      </w:r>
      <w:r>
        <w:rPr>
          <w:rFonts w:hint="eastAsia" w:ascii="宋体" w:hAnsi="宋体"/>
          <w:color w:val="auto"/>
          <w:szCs w:val="21"/>
          <w:highlight w:val="none"/>
        </w:rPr>
        <w:t xml:space="preserve"> 。</w:t>
      </w:r>
    </w:p>
    <w:p w14:paraId="3B9C467B">
      <w:pPr>
        <w:spacing w:line="400" w:lineRule="exact"/>
        <w:rPr>
          <w:rFonts w:hint="eastAsia" w:ascii="黑体" w:hAnsi="宋体" w:eastAsia="黑体"/>
          <w:b/>
          <w:color w:val="auto"/>
          <w:sz w:val="28"/>
          <w:szCs w:val="28"/>
          <w:highlight w:val="none"/>
        </w:rPr>
      </w:pPr>
      <w:r>
        <w:rPr>
          <w:rFonts w:hint="eastAsia" w:ascii="黑体" w:hAnsi="宋体" w:eastAsia="黑体"/>
          <w:b/>
          <w:color w:val="auto"/>
          <w:sz w:val="28"/>
          <w:szCs w:val="28"/>
          <w:highlight w:val="none"/>
        </w:rPr>
        <w:t>1</w:t>
      </w:r>
      <w:r>
        <w:rPr>
          <w:rFonts w:hint="eastAsia" w:ascii="黑体" w:hAnsi="宋体" w:eastAsia="黑体"/>
          <w:b/>
          <w:color w:val="auto"/>
          <w:sz w:val="28"/>
          <w:szCs w:val="28"/>
          <w:highlight w:val="none"/>
          <w:lang w:val="en-US" w:eastAsia="zh-CN"/>
        </w:rPr>
        <w:t>1</w:t>
      </w:r>
      <w:r>
        <w:rPr>
          <w:rFonts w:hint="eastAsia" w:ascii="黑体" w:hAnsi="宋体" w:eastAsia="黑体"/>
          <w:b/>
          <w:color w:val="auto"/>
          <w:sz w:val="28"/>
          <w:szCs w:val="28"/>
          <w:highlight w:val="none"/>
        </w:rPr>
        <w:t xml:space="preserve"> 工程质量</w:t>
      </w:r>
      <w:bookmarkEnd w:id="587"/>
      <w:bookmarkEnd w:id="588"/>
      <w:bookmarkEnd w:id="589"/>
      <w:r>
        <w:rPr>
          <w:rFonts w:hint="eastAsia" w:ascii="黑体" w:hAnsi="宋体" w:eastAsia="黑体"/>
          <w:b/>
          <w:color w:val="auto"/>
          <w:sz w:val="28"/>
          <w:szCs w:val="28"/>
          <w:highlight w:val="none"/>
        </w:rPr>
        <w:t xml:space="preserve"> </w:t>
      </w:r>
    </w:p>
    <w:p w14:paraId="50287373">
      <w:pPr>
        <w:spacing w:line="400" w:lineRule="exact"/>
        <w:rPr>
          <w:rFonts w:hint="eastAsia" w:ascii="黑体" w:hAnsi="宋体" w:eastAsia="黑体"/>
          <w:b/>
          <w:color w:val="auto"/>
          <w:sz w:val="24"/>
          <w:highlight w:val="none"/>
        </w:rPr>
      </w:pPr>
      <w:r>
        <w:rPr>
          <w:rFonts w:hint="eastAsia" w:ascii="黑体" w:hAnsi="宋体" w:eastAsia="黑体"/>
          <w:b/>
          <w:color w:val="auto"/>
          <w:sz w:val="24"/>
          <w:highlight w:val="none"/>
        </w:rPr>
        <w:t>1</w:t>
      </w:r>
      <w:r>
        <w:rPr>
          <w:rFonts w:hint="eastAsia" w:ascii="黑体" w:hAnsi="宋体" w:eastAsia="黑体"/>
          <w:b/>
          <w:color w:val="auto"/>
          <w:sz w:val="24"/>
          <w:highlight w:val="none"/>
          <w:lang w:val="en-US" w:eastAsia="zh-CN"/>
        </w:rPr>
        <w:t>1</w:t>
      </w:r>
      <w:r>
        <w:rPr>
          <w:rFonts w:hint="eastAsia" w:ascii="黑体" w:hAnsi="宋体" w:eastAsia="黑体"/>
          <w:b/>
          <w:color w:val="auto"/>
          <w:sz w:val="24"/>
          <w:highlight w:val="none"/>
        </w:rPr>
        <w:t>.7  质量评定</w:t>
      </w:r>
    </w:p>
    <w:p w14:paraId="6B41A835">
      <w:pPr>
        <w:spacing w:line="400" w:lineRule="exact"/>
        <w:ind w:firstLine="420" w:firstLineChars="200"/>
        <w:rPr>
          <w:rFonts w:hint="eastAsia" w:ascii="宋体" w:hAnsi="宋体"/>
          <w:color w:val="auto"/>
          <w:highlight w:val="none"/>
        </w:rPr>
      </w:pPr>
      <w:r>
        <w:rPr>
          <w:rFonts w:hint="eastAsia" w:ascii="宋体" w:hAnsi="宋体"/>
          <w:color w:val="auto"/>
          <w:highlight w:val="none"/>
        </w:rPr>
        <w:t>13.7.4 重要隐蔽单元工程和关键部位单元质量评定的约定：</w:t>
      </w:r>
      <w:r>
        <w:rPr>
          <w:rFonts w:hint="eastAsia" w:ascii="宋体" w:hAnsi="宋体"/>
          <w:color w:val="auto"/>
          <w:highlight w:val="none"/>
          <w:u w:val="single"/>
        </w:rPr>
        <w:t xml:space="preserve">   合格   </w:t>
      </w:r>
      <w:r>
        <w:rPr>
          <w:rFonts w:hint="eastAsia" w:ascii="宋体" w:hAnsi="宋体"/>
          <w:color w:val="auto"/>
          <w:highlight w:val="none"/>
        </w:rPr>
        <w:t>。</w:t>
      </w:r>
    </w:p>
    <w:p w14:paraId="6661FB6A">
      <w:pPr>
        <w:spacing w:line="400" w:lineRule="exact"/>
        <w:ind w:firstLine="420" w:firstLineChars="200"/>
        <w:jc w:val="left"/>
        <w:rPr>
          <w:rFonts w:hint="eastAsia" w:ascii="宋体" w:hAnsi="宋体"/>
          <w:color w:val="auto"/>
          <w:highlight w:val="none"/>
        </w:rPr>
      </w:pPr>
      <w:r>
        <w:rPr>
          <w:rFonts w:hint="eastAsia" w:ascii="宋体" w:hAnsi="宋体"/>
          <w:color w:val="auto"/>
          <w:highlight w:val="none"/>
        </w:rPr>
        <w:t>13.7.7 工程合格标准为：</w:t>
      </w:r>
      <w:r>
        <w:rPr>
          <w:rFonts w:hint="eastAsia" w:ascii="宋体" w:hAnsi="宋体"/>
          <w:color w:val="auto"/>
          <w:highlight w:val="none"/>
          <w:u w:val="single"/>
        </w:rPr>
        <w:t xml:space="preserve">  </w:t>
      </w:r>
      <w:r>
        <w:rPr>
          <w:rFonts w:hint="eastAsia" w:ascii="宋体" w:hAnsi="宋体"/>
          <w:color w:val="auto"/>
          <w:szCs w:val="21"/>
          <w:highlight w:val="none"/>
          <w:u w:val="single"/>
        </w:rPr>
        <w:t>工程验收规程规定的合格率标准</w:t>
      </w:r>
      <w:r>
        <w:rPr>
          <w:rFonts w:hint="eastAsia" w:ascii="宋体" w:hAnsi="宋体"/>
          <w:color w:val="auto"/>
          <w:highlight w:val="none"/>
          <w:u w:val="single"/>
        </w:rPr>
        <w:t xml:space="preserve">  </w:t>
      </w:r>
      <w:r>
        <w:rPr>
          <w:rFonts w:hint="eastAsia" w:ascii="宋体" w:hAnsi="宋体"/>
          <w:color w:val="auto"/>
          <w:highlight w:val="none"/>
        </w:rPr>
        <w:t>。优良标准为：</w:t>
      </w:r>
      <w:r>
        <w:rPr>
          <w:rFonts w:hint="eastAsia" w:ascii="宋体" w:hAnsi="宋体"/>
          <w:color w:val="auto"/>
          <w:highlight w:val="none"/>
          <w:u w:val="single"/>
        </w:rPr>
        <w:t xml:space="preserve">  </w:t>
      </w:r>
      <w:r>
        <w:rPr>
          <w:rFonts w:hint="eastAsia" w:ascii="宋体" w:hAnsi="宋体"/>
          <w:color w:val="auto"/>
          <w:szCs w:val="21"/>
          <w:highlight w:val="none"/>
          <w:u w:val="single"/>
        </w:rPr>
        <w:t>/</w:t>
      </w:r>
      <w:r>
        <w:rPr>
          <w:rFonts w:hint="eastAsia" w:ascii="宋体" w:hAnsi="宋体"/>
          <w:color w:val="auto"/>
          <w:highlight w:val="none"/>
          <w:u w:val="single"/>
        </w:rPr>
        <w:t xml:space="preserve">   </w:t>
      </w:r>
      <w:r>
        <w:rPr>
          <w:rFonts w:hint="eastAsia" w:ascii="宋体" w:hAnsi="宋体"/>
          <w:color w:val="auto"/>
          <w:highlight w:val="none"/>
        </w:rPr>
        <w:t>。达到优良的奖金为</w:t>
      </w:r>
      <w:r>
        <w:rPr>
          <w:rFonts w:hint="eastAsia" w:ascii="宋体" w:hAnsi="宋体"/>
          <w:color w:val="auto"/>
          <w:highlight w:val="none"/>
          <w:u w:val="single"/>
        </w:rPr>
        <w:t xml:space="preserve">    </w:t>
      </w:r>
      <w:r>
        <w:rPr>
          <w:rFonts w:hint="eastAsia" w:ascii="宋体" w:hAnsi="宋体"/>
          <w:color w:val="auto"/>
          <w:szCs w:val="21"/>
          <w:highlight w:val="none"/>
          <w:u w:val="single"/>
        </w:rPr>
        <w:t xml:space="preserve">/ </w:t>
      </w:r>
      <w:r>
        <w:rPr>
          <w:rFonts w:hint="eastAsia" w:ascii="宋体" w:hAnsi="宋体"/>
          <w:color w:val="auto"/>
          <w:highlight w:val="none"/>
          <w:u w:val="single"/>
        </w:rPr>
        <w:t xml:space="preserve">    </w:t>
      </w:r>
      <w:r>
        <w:rPr>
          <w:rFonts w:hint="eastAsia" w:ascii="宋体" w:hAnsi="宋体"/>
          <w:color w:val="auto"/>
          <w:highlight w:val="none"/>
        </w:rPr>
        <w:t>。</w:t>
      </w:r>
    </w:p>
    <w:p w14:paraId="0ADF8362">
      <w:pPr>
        <w:spacing w:line="400" w:lineRule="exact"/>
        <w:rPr>
          <w:rFonts w:hint="eastAsia" w:ascii="黑体" w:hAnsi="宋体" w:eastAsia="黑体"/>
          <w:b/>
          <w:color w:val="auto"/>
          <w:sz w:val="24"/>
          <w:highlight w:val="none"/>
        </w:rPr>
      </w:pPr>
      <w:r>
        <w:rPr>
          <w:rFonts w:hint="eastAsia" w:ascii="黑体" w:hAnsi="宋体" w:eastAsia="黑体"/>
          <w:b/>
          <w:color w:val="auto"/>
          <w:sz w:val="24"/>
          <w:highlight w:val="none"/>
        </w:rPr>
        <w:t>1</w:t>
      </w:r>
      <w:r>
        <w:rPr>
          <w:rFonts w:hint="eastAsia" w:ascii="黑体" w:hAnsi="宋体" w:eastAsia="黑体"/>
          <w:b/>
          <w:color w:val="auto"/>
          <w:sz w:val="24"/>
          <w:highlight w:val="none"/>
          <w:lang w:val="en-US" w:eastAsia="zh-CN"/>
        </w:rPr>
        <w:t>1</w:t>
      </w:r>
      <w:r>
        <w:rPr>
          <w:rFonts w:hint="eastAsia" w:ascii="黑体" w:hAnsi="宋体" w:eastAsia="黑体"/>
          <w:b/>
          <w:color w:val="auto"/>
          <w:sz w:val="24"/>
          <w:highlight w:val="none"/>
        </w:rPr>
        <w:t>.8  质量事故处理</w:t>
      </w:r>
    </w:p>
    <w:p w14:paraId="2A7669A5">
      <w:pPr>
        <w:spacing w:line="400" w:lineRule="exact"/>
        <w:ind w:firstLine="420" w:firstLineChars="200"/>
        <w:rPr>
          <w:rFonts w:hint="eastAsia" w:ascii="宋体" w:hAnsi="宋体"/>
          <w:color w:val="auto"/>
          <w:highlight w:val="none"/>
        </w:rPr>
      </w:pPr>
      <w:r>
        <w:rPr>
          <w:rFonts w:hint="eastAsia" w:ascii="宋体" w:hAnsi="宋体"/>
          <w:color w:val="auto"/>
          <w:highlight w:val="none"/>
        </w:rPr>
        <w:t>13.8.4 工程竣工验收时，</w:t>
      </w:r>
      <w:r>
        <w:rPr>
          <w:rFonts w:hint="eastAsia" w:ascii="宋体" w:hAnsi="宋体"/>
          <w:b/>
          <w:color w:val="auto"/>
          <w:highlight w:val="none"/>
        </w:rPr>
        <w:t>项目法人</w:t>
      </w:r>
      <w:r>
        <w:rPr>
          <w:rFonts w:hint="eastAsia" w:ascii="宋体" w:hAnsi="宋体"/>
          <w:color w:val="auto"/>
          <w:highlight w:val="none"/>
        </w:rPr>
        <w:t>向竣工验收委员会汇报并提交历次质量缺陷处理的备案资料。</w:t>
      </w:r>
    </w:p>
    <w:p w14:paraId="6D5C3140">
      <w:pPr>
        <w:spacing w:line="400" w:lineRule="exact"/>
        <w:rPr>
          <w:rFonts w:hint="eastAsia" w:ascii="黑体" w:hAnsi="宋体" w:eastAsia="黑体"/>
          <w:b/>
          <w:color w:val="auto"/>
          <w:sz w:val="28"/>
          <w:szCs w:val="28"/>
          <w:highlight w:val="none"/>
        </w:rPr>
      </w:pPr>
      <w:bookmarkStart w:id="591" w:name="_Toc309534185"/>
      <w:bookmarkStart w:id="592" w:name="_Toc309533360"/>
      <w:bookmarkStart w:id="593" w:name="_Toc309533753"/>
      <w:r>
        <w:rPr>
          <w:rFonts w:hint="eastAsia" w:ascii="黑体" w:hAnsi="宋体" w:eastAsia="黑体"/>
          <w:b/>
          <w:color w:val="auto"/>
          <w:sz w:val="28"/>
          <w:szCs w:val="28"/>
          <w:highlight w:val="none"/>
        </w:rPr>
        <w:t>1</w:t>
      </w:r>
      <w:r>
        <w:rPr>
          <w:rFonts w:hint="eastAsia" w:ascii="黑体" w:hAnsi="宋体" w:eastAsia="黑体"/>
          <w:b/>
          <w:color w:val="auto"/>
          <w:sz w:val="28"/>
          <w:szCs w:val="28"/>
          <w:highlight w:val="none"/>
          <w:lang w:val="en-US" w:eastAsia="zh-CN"/>
        </w:rPr>
        <w:t>2</w:t>
      </w:r>
      <w:r>
        <w:rPr>
          <w:rFonts w:hint="eastAsia" w:ascii="黑体" w:hAnsi="宋体" w:eastAsia="黑体"/>
          <w:b/>
          <w:color w:val="auto"/>
          <w:sz w:val="28"/>
          <w:szCs w:val="28"/>
          <w:highlight w:val="none"/>
        </w:rPr>
        <w:t>.试验和检验</w:t>
      </w:r>
      <w:bookmarkEnd w:id="591"/>
      <w:bookmarkEnd w:id="592"/>
      <w:bookmarkEnd w:id="593"/>
    </w:p>
    <w:p w14:paraId="71D014D3">
      <w:pPr>
        <w:spacing w:line="400" w:lineRule="exact"/>
        <w:ind w:firstLine="420" w:firstLineChars="200"/>
        <w:rPr>
          <w:rFonts w:hint="eastAsia" w:ascii="宋体" w:hAnsi="宋体"/>
          <w:color w:val="auto"/>
          <w:highlight w:val="none"/>
        </w:rPr>
      </w:pPr>
      <w:r>
        <w:rPr>
          <w:rFonts w:hint="eastAsia" w:ascii="宋体" w:hAnsi="宋体"/>
          <w:color w:val="auto"/>
          <w:highlight w:val="none"/>
        </w:rPr>
        <w:t>1</w:t>
      </w:r>
      <w:r>
        <w:rPr>
          <w:rFonts w:hint="eastAsia" w:ascii="宋体" w:hAnsi="宋体"/>
          <w:color w:val="auto"/>
          <w:highlight w:val="none"/>
          <w:lang w:val="en-US" w:eastAsia="zh-CN"/>
        </w:rPr>
        <w:t>2</w:t>
      </w:r>
      <w:r>
        <w:rPr>
          <w:rFonts w:hint="eastAsia" w:ascii="宋体" w:hAnsi="宋体"/>
          <w:color w:val="auto"/>
          <w:highlight w:val="none"/>
        </w:rPr>
        <w:t>.1 材料、工程设备和工程的试验和检验</w:t>
      </w:r>
    </w:p>
    <w:p w14:paraId="546E3B7B">
      <w:pPr>
        <w:spacing w:line="400" w:lineRule="exact"/>
        <w:ind w:firstLine="420" w:firstLineChars="200"/>
        <w:rPr>
          <w:rFonts w:hint="eastAsia" w:ascii="宋体" w:hAnsi="宋体"/>
          <w:color w:val="auto"/>
          <w:highlight w:val="none"/>
        </w:rPr>
      </w:pPr>
      <w:bookmarkStart w:id="594" w:name="_Toc309533361"/>
      <w:bookmarkStart w:id="595" w:name="_Toc309534186"/>
      <w:bookmarkStart w:id="596" w:name="_Toc222032708"/>
      <w:bookmarkStart w:id="597" w:name="_Toc221951213"/>
      <w:bookmarkStart w:id="598" w:name="_Toc222031041"/>
      <w:bookmarkStart w:id="599" w:name="_Toc222033890"/>
      <w:bookmarkStart w:id="600" w:name="_Toc309533754"/>
      <w:bookmarkStart w:id="601" w:name="_Toc222029539"/>
      <w:bookmarkStart w:id="602" w:name="_Toc229305396"/>
      <w:r>
        <w:rPr>
          <w:rFonts w:hint="eastAsia" w:ascii="宋体" w:hAnsi="宋体"/>
          <w:color w:val="auto"/>
          <w:highlight w:val="none"/>
        </w:rPr>
        <w:t>1</w:t>
      </w:r>
      <w:r>
        <w:rPr>
          <w:rFonts w:hint="eastAsia" w:ascii="宋体" w:hAnsi="宋体"/>
          <w:color w:val="auto"/>
          <w:highlight w:val="none"/>
          <w:lang w:val="en-US" w:eastAsia="zh-CN"/>
        </w:rPr>
        <w:t>2</w:t>
      </w:r>
      <w:r>
        <w:rPr>
          <w:rFonts w:hint="eastAsia" w:ascii="宋体" w:hAnsi="宋体"/>
          <w:color w:val="auto"/>
          <w:highlight w:val="none"/>
        </w:rPr>
        <w:t>.1.5 水工金属结构、启闭机及机电产品进场后的交货检查和验收中，承包人负责</w:t>
      </w:r>
      <w:r>
        <w:rPr>
          <w:rFonts w:hint="eastAsia" w:ascii="宋体" w:hAnsi="宋体"/>
          <w:color w:val="auto"/>
          <w:highlight w:val="none"/>
          <w:u w:val="single"/>
        </w:rPr>
        <w:t xml:space="preserve">  </w:t>
      </w:r>
      <w:r>
        <w:rPr>
          <w:rFonts w:hint="eastAsia" w:ascii="宋体" w:hAnsi="宋体"/>
          <w:color w:val="auto"/>
          <w:szCs w:val="21"/>
          <w:highlight w:val="none"/>
          <w:u w:val="single"/>
        </w:rPr>
        <w:t>/</w:t>
      </w:r>
      <w:r>
        <w:rPr>
          <w:rFonts w:hint="eastAsia" w:ascii="宋体" w:hAnsi="宋体"/>
          <w:color w:val="auto"/>
          <w:highlight w:val="none"/>
          <w:u w:val="single"/>
        </w:rPr>
        <w:t xml:space="preserve">  </w:t>
      </w:r>
      <w:r>
        <w:rPr>
          <w:rFonts w:hint="eastAsia" w:ascii="宋体" w:hAnsi="宋体"/>
          <w:color w:val="auto"/>
          <w:highlight w:val="none"/>
        </w:rPr>
        <w:t xml:space="preserve"> 。</w:t>
      </w:r>
    </w:p>
    <w:p w14:paraId="487EFB89">
      <w:pPr>
        <w:spacing w:line="400" w:lineRule="exact"/>
        <w:ind w:firstLine="420" w:firstLineChars="200"/>
        <w:rPr>
          <w:rFonts w:hint="eastAsia" w:ascii="宋体" w:hAnsi="宋体"/>
          <w:color w:val="auto"/>
          <w:kern w:val="0"/>
          <w:szCs w:val="21"/>
          <w:highlight w:val="none"/>
        </w:rPr>
      </w:pPr>
      <w:r>
        <w:rPr>
          <w:rFonts w:hint="eastAsia" w:ascii="宋体" w:hAnsi="宋体"/>
          <w:color w:val="auto"/>
          <w:highlight w:val="none"/>
        </w:rPr>
        <w:t>1</w:t>
      </w:r>
      <w:r>
        <w:rPr>
          <w:rFonts w:hint="eastAsia" w:ascii="宋体" w:hAnsi="宋体"/>
          <w:color w:val="auto"/>
          <w:highlight w:val="none"/>
          <w:lang w:val="en-US" w:eastAsia="zh-CN"/>
        </w:rPr>
        <w:t>2</w:t>
      </w:r>
      <w:r>
        <w:rPr>
          <w:rFonts w:hint="eastAsia" w:ascii="宋体" w:hAnsi="宋体"/>
          <w:color w:val="auto"/>
          <w:highlight w:val="none"/>
        </w:rPr>
        <w:t>.1.6 本工程实行见证取样的试块、试件及有关材料：</w:t>
      </w:r>
      <w:r>
        <w:rPr>
          <w:rFonts w:hint="eastAsia" w:ascii="宋体" w:hAnsi="宋体"/>
          <w:color w:val="auto"/>
          <w:highlight w:val="none"/>
          <w:u w:val="single"/>
        </w:rPr>
        <w:t xml:space="preserve">  /   </w:t>
      </w:r>
      <w:r>
        <w:rPr>
          <w:rFonts w:hint="eastAsia" w:ascii="宋体" w:hAnsi="宋体"/>
          <w:color w:val="auto"/>
          <w:highlight w:val="none"/>
        </w:rPr>
        <w:t>。</w:t>
      </w:r>
    </w:p>
    <w:p w14:paraId="494E38E1">
      <w:pPr>
        <w:spacing w:line="400" w:lineRule="exact"/>
        <w:rPr>
          <w:rFonts w:hint="eastAsia" w:ascii="黑体" w:hAnsi="宋体" w:eastAsia="黑体"/>
          <w:b/>
          <w:color w:val="auto"/>
          <w:sz w:val="28"/>
          <w:szCs w:val="28"/>
          <w:highlight w:val="none"/>
        </w:rPr>
      </w:pPr>
    </w:p>
    <w:p w14:paraId="4F046685">
      <w:pPr>
        <w:spacing w:line="400" w:lineRule="exact"/>
        <w:rPr>
          <w:rFonts w:hint="eastAsia" w:ascii="黑体" w:hAnsi="宋体" w:eastAsia="黑体"/>
          <w:b/>
          <w:color w:val="auto"/>
          <w:sz w:val="28"/>
          <w:szCs w:val="28"/>
          <w:highlight w:val="none"/>
        </w:rPr>
      </w:pPr>
      <w:r>
        <w:rPr>
          <w:rFonts w:hint="eastAsia" w:ascii="黑体" w:hAnsi="宋体" w:eastAsia="黑体"/>
          <w:b/>
          <w:color w:val="auto"/>
          <w:sz w:val="28"/>
          <w:szCs w:val="28"/>
          <w:highlight w:val="none"/>
        </w:rPr>
        <w:t>1</w:t>
      </w:r>
      <w:r>
        <w:rPr>
          <w:rFonts w:hint="eastAsia" w:ascii="黑体" w:hAnsi="宋体" w:eastAsia="黑体"/>
          <w:b/>
          <w:color w:val="auto"/>
          <w:sz w:val="28"/>
          <w:szCs w:val="28"/>
          <w:highlight w:val="none"/>
          <w:lang w:val="en-US" w:eastAsia="zh-CN"/>
        </w:rPr>
        <w:t>3</w:t>
      </w:r>
      <w:r>
        <w:rPr>
          <w:rFonts w:hint="eastAsia" w:ascii="黑体" w:hAnsi="宋体" w:eastAsia="黑体"/>
          <w:b/>
          <w:color w:val="auto"/>
          <w:sz w:val="28"/>
          <w:szCs w:val="28"/>
          <w:highlight w:val="none"/>
        </w:rPr>
        <w:t xml:space="preserve"> 变更</w:t>
      </w:r>
      <w:bookmarkEnd w:id="594"/>
      <w:bookmarkEnd w:id="595"/>
      <w:bookmarkEnd w:id="596"/>
      <w:bookmarkEnd w:id="597"/>
      <w:bookmarkEnd w:id="598"/>
      <w:bookmarkEnd w:id="599"/>
      <w:bookmarkEnd w:id="600"/>
      <w:bookmarkEnd w:id="601"/>
      <w:bookmarkEnd w:id="602"/>
    </w:p>
    <w:p w14:paraId="3058C65F">
      <w:pPr>
        <w:spacing w:line="400" w:lineRule="exact"/>
        <w:rPr>
          <w:rFonts w:hint="eastAsia" w:ascii="黑体" w:hAnsi="宋体" w:eastAsia="黑体"/>
          <w:b/>
          <w:color w:val="auto"/>
          <w:sz w:val="24"/>
          <w:highlight w:val="none"/>
        </w:rPr>
      </w:pPr>
      <w:bookmarkStart w:id="603" w:name="_Toc221951214"/>
      <w:r>
        <w:rPr>
          <w:rFonts w:hint="eastAsia" w:ascii="黑体" w:hAnsi="宋体" w:eastAsia="黑体"/>
          <w:b/>
          <w:color w:val="auto"/>
          <w:sz w:val="24"/>
          <w:highlight w:val="none"/>
        </w:rPr>
        <w:t>1</w:t>
      </w:r>
      <w:r>
        <w:rPr>
          <w:rFonts w:hint="eastAsia" w:ascii="黑体" w:hAnsi="宋体" w:eastAsia="黑体"/>
          <w:b/>
          <w:color w:val="auto"/>
          <w:sz w:val="24"/>
          <w:highlight w:val="none"/>
          <w:lang w:val="en-US" w:eastAsia="zh-CN"/>
        </w:rPr>
        <w:t>3</w:t>
      </w:r>
      <w:r>
        <w:rPr>
          <w:rFonts w:hint="eastAsia" w:ascii="黑体" w:hAnsi="宋体" w:eastAsia="黑体"/>
          <w:b/>
          <w:color w:val="auto"/>
          <w:sz w:val="24"/>
          <w:highlight w:val="none"/>
        </w:rPr>
        <w:t>.1 变更的范围和内容</w:t>
      </w:r>
      <w:bookmarkEnd w:id="603"/>
    </w:p>
    <w:p w14:paraId="1508CD25">
      <w:pPr>
        <w:spacing w:line="400" w:lineRule="exact"/>
        <w:ind w:firstLine="480"/>
        <w:rPr>
          <w:rFonts w:hint="eastAsia" w:ascii="宋体" w:hAnsi="宋体"/>
          <w:color w:val="auto"/>
          <w:szCs w:val="21"/>
          <w:highlight w:val="none"/>
        </w:rPr>
      </w:pPr>
      <w:bookmarkStart w:id="604" w:name="_Toc221951216"/>
      <w:bookmarkStart w:id="605" w:name="_Toc221951218"/>
      <w:r>
        <w:rPr>
          <w:rFonts w:hint="eastAsia" w:ascii="宋体" w:hAnsi="宋体"/>
          <w:color w:val="auto"/>
          <w:szCs w:val="21"/>
          <w:highlight w:val="none"/>
        </w:rPr>
        <w:t>（6）增加或减少合同中关键项目的工程量超过其工程总量的</w:t>
      </w:r>
      <w:r>
        <w:rPr>
          <w:rFonts w:hint="eastAsia" w:ascii="宋体" w:hAnsi="宋体"/>
          <w:color w:val="auto"/>
          <w:szCs w:val="21"/>
          <w:highlight w:val="none"/>
          <w:u w:val="single"/>
        </w:rPr>
        <w:t xml:space="preserve">  25  </w:t>
      </w:r>
      <w:r>
        <w:rPr>
          <w:rFonts w:hint="eastAsia" w:ascii="宋体" w:hAnsi="宋体"/>
          <w:color w:val="auto"/>
          <w:szCs w:val="21"/>
          <w:highlight w:val="none"/>
        </w:rPr>
        <w:t>％，关键项目</w:t>
      </w:r>
      <w:r>
        <w:rPr>
          <w:rFonts w:hint="eastAsia" w:ascii="宋体" w:hAnsi="宋体"/>
          <w:color w:val="auto"/>
          <w:szCs w:val="21"/>
          <w:highlight w:val="none"/>
          <w:u w:val="single"/>
        </w:rPr>
        <w:t xml:space="preserve">  /   </w:t>
      </w:r>
      <w:r>
        <w:rPr>
          <w:rFonts w:hint="eastAsia" w:ascii="宋体" w:hAnsi="宋体"/>
          <w:color w:val="auto"/>
          <w:szCs w:val="21"/>
          <w:highlight w:val="none"/>
        </w:rPr>
        <w:t>，单价调整方式 ：</w:t>
      </w:r>
      <w:r>
        <w:rPr>
          <w:rFonts w:hint="eastAsia" w:ascii="宋体" w:hAnsi="宋体"/>
          <w:color w:val="auto"/>
          <w:szCs w:val="21"/>
          <w:highlight w:val="none"/>
          <w:u w:val="single"/>
        </w:rPr>
        <w:t xml:space="preserve"> 由发包人和承包人协商确定</w:t>
      </w:r>
      <w:r>
        <w:rPr>
          <w:rFonts w:hint="eastAsia" w:ascii="宋体" w:hAnsi="宋体"/>
          <w:color w:val="auto"/>
          <w:szCs w:val="21"/>
          <w:highlight w:val="none"/>
        </w:rPr>
        <w:t>。</w:t>
      </w:r>
      <w:bookmarkEnd w:id="604"/>
    </w:p>
    <w:p w14:paraId="75943EAD">
      <w:pPr>
        <w:spacing w:line="400" w:lineRule="exact"/>
        <w:rPr>
          <w:rFonts w:hint="eastAsia" w:ascii="黑体" w:hAnsi="宋体" w:eastAsia="黑体"/>
          <w:b/>
          <w:color w:val="auto"/>
          <w:sz w:val="24"/>
          <w:highlight w:val="none"/>
        </w:rPr>
      </w:pPr>
      <w:r>
        <w:rPr>
          <w:rFonts w:hint="eastAsia" w:ascii="黑体" w:hAnsi="宋体" w:eastAsia="黑体"/>
          <w:b/>
          <w:color w:val="auto"/>
          <w:sz w:val="24"/>
          <w:highlight w:val="none"/>
        </w:rPr>
        <w:t>1</w:t>
      </w:r>
      <w:r>
        <w:rPr>
          <w:rFonts w:hint="eastAsia" w:ascii="黑体" w:hAnsi="宋体" w:eastAsia="黑体"/>
          <w:b/>
          <w:color w:val="auto"/>
          <w:sz w:val="24"/>
          <w:highlight w:val="none"/>
          <w:lang w:val="en-US" w:eastAsia="zh-CN"/>
        </w:rPr>
        <w:t>3</w:t>
      </w:r>
      <w:r>
        <w:rPr>
          <w:rFonts w:hint="eastAsia" w:ascii="黑体" w:hAnsi="宋体" w:eastAsia="黑体"/>
          <w:b/>
          <w:color w:val="auto"/>
          <w:sz w:val="24"/>
          <w:highlight w:val="none"/>
        </w:rPr>
        <w:t>.5 承包人的合理化建议</w:t>
      </w:r>
    </w:p>
    <w:p w14:paraId="22621257">
      <w:pPr>
        <w:spacing w:line="400" w:lineRule="exact"/>
        <w:ind w:firstLine="420"/>
        <w:rPr>
          <w:rFonts w:hint="eastAsia" w:ascii="宋体" w:hAnsi="宋体"/>
          <w:color w:val="auto"/>
          <w:szCs w:val="21"/>
          <w:highlight w:val="none"/>
        </w:rPr>
      </w:pPr>
      <w:r>
        <w:rPr>
          <w:rFonts w:hint="eastAsia" w:ascii="宋体" w:hAnsi="宋体"/>
          <w:color w:val="auto"/>
          <w:szCs w:val="21"/>
          <w:highlight w:val="none"/>
        </w:rPr>
        <w:t xml:space="preserve">15.5.2 </w:t>
      </w:r>
      <w:bookmarkEnd w:id="605"/>
      <w:bookmarkStart w:id="606" w:name="_Toc221951219"/>
      <w:r>
        <w:rPr>
          <w:rFonts w:hint="eastAsia" w:ascii="宋体" w:hAnsi="宋体"/>
          <w:color w:val="auto"/>
          <w:szCs w:val="21"/>
          <w:highlight w:val="none"/>
        </w:rPr>
        <w:t>承包人实现合理化建议的奖励金额为：</w:t>
      </w:r>
      <w:bookmarkEnd w:id="606"/>
      <w:bookmarkStart w:id="607" w:name="_Toc221951220"/>
      <w:r>
        <w:rPr>
          <w:rFonts w:hint="eastAsia" w:ascii="宋体" w:hAnsi="宋体"/>
          <w:color w:val="auto"/>
          <w:szCs w:val="21"/>
          <w:highlight w:val="none"/>
        </w:rPr>
        <w:t>无。</w:t>
      </w:r>
      <w:bookmarkEnd w:id="607"/>
    </w:p>
    <w:p w14:paraId="4E95DE2D">
      <w:pPr>
        <w:spacing w:line="400" w:lineRule="exact"/>
        <w:rPr>
          <w:rFonts w:hint="eastAsia" w:ascii="黑体" w:hAnsi="宋体" w:eastAsia="黑体"/>
          <w:b/>
          <w:color w:val="auto"/>
          <w:sz w:val="24"/>
          <w:highlight w:val="none"/>
        </w:rPr>
      </w:pPr>
      <w:bookmarkStart w:id="608" w:name="_Toc221951221"/>
      <w:r>
        <w:rPr>
          <w:rFonts w:hint="eastAsia" w:ascii="黑体" w:hAnsi="宋体" w:eastAsia="黑体"/>
          <w:b/>
          <w:color w:val="auto"/>
          <w:sz w:val="24"/>
          <w:highlight w:val="none"/>
        </w:rPr>
        <w:t>1</w:t>
      </w:r>
      <w:r>
        <w:rPr>
          <w:rFonts w:hint="eastAsia" w:ascii="黑体" w:hAnsi="宋体" w:eastAsia="黑体"/>
          <w:b/>
          <w:color w:val="auto"/>
          <w:sz w:val="24"/>
          <w:highlight w:val="none"/>
          <w:lang w:val="en-US" w:eastAsia="zh-CN"/>
        </w:rPr>
        <w:t>3</w:t>
      </w:r>
      <w:r>
        <w:rPr>
          <w:rFonts w:hint="eastAsia" w:ascii="黑体" w:hAnsi="宋体" w:eastAsia="黑体"/>
          <w:b/>
          <w:color w:val="auto"/>
          <w:sz w:val="24"/>
          <w:highlight w:val="none"/>
        </w:rPr>
        <w:t>.8 暂估价</w:t>
      </w:r>
      <w:bookmarkEnd w:id="608"/>
    </w:p>
    <w:p w14:paraId="0A7CD846">
      <w:pPr>
        <w:spacing w:line="400" w:lineRule="exact"/>
        <w:ind w:firstLine="420"/>
        <w:rPr>
          <w:rFonts w:hint="eastAsia" w:ascii="宋体" w:hAnsi="宋体"/>
          <w:color w:val="auto"/>
          <w:szCs w:val="21"/>
          <w:highlight w:val="none"/>
        </w:rPr>
      </w:pPr>
      <w:bookmarkStart w:id="609" w:name="_Toc221951222"/>
      <w:r>
        <w:rPr>
          <w:rFonts w:hint="eastAsia" w:ascii="宋体" w:hAnsi="宋体"/>
          <w:color w:val="auto"/>
          <w:szCs w:val="21"/>
          <w:highlight w:val="none"/>
        </w:rPr>
        <w:t>15.8.1 （1）发包人和承包人组织招标的暂估价项目：</w:t>
      </w:r>
      <w:r>
        <w:rPr>
          <w:rFonts w:hint="eastAsia" w:ascii="宋体" w:hAnsi="宋体"/>
          <w:color w:val="auto"/>
          <w:szCs w:val="21"/>
          <w:highlight w:val="none"/>
          <w:u w:val="single"/>
        </w:rPr>
        <w:t>无</w:t>
      </w:r>
      <w:r>
        <w:rPr>
          <w:rFonts w:hint="eastAsia" w:ascii="宋体" w:hAnsi="宋体"/>
          <w:color w:val="auto"/>
          <w:szCs w:val="21"/>
          <w:highlight w:val="none"/>
        </w:rPr>
        <w:t xml:space="preserve"> ；发包人组织招标的</w:t>
      </w:r>
      <w:bookmarkEnd w:id="609"/>
      <w:r>
        <w:rPr>
          <w:rFonts w:hint="eastAsia" w:ascii="宋体" w:hAnsi="宋体"/>
          <w:color w:val="auto"/>
          <w:szCs w:val="21"/>
          <w:highlight w:val="none"/>
        </w:rPr>
        <w:t>暂估价项目：</w:t>
      </w:r>
      <w:r>
        <w:rPr>
          <w:rFonts w:hint="eastAsia" w:ascii="宋体" w:hAnsi="宋体"/>
          <w:color w:val="auto"/>
          <w:szCs w:val="21"/>
          <w:highlight w:val="none"/>
          <w:u w:val="single"/>
        </w:rPr>
        <w:t xml:space="preserve">  无</w:t>
      </w:r>
      <w:r>
        <w:rPr>
          <w:rFonts w:hint="eastAsia" w:ascii="宋体" w:hAnsi="宋体"/>
          <w:color w:val="auto"/>
          <w:szCs w:val="21"/>
          <w:highlight w:val="none"/>
        </w:rPr>
        <w:t>。</w:t>
      </w:r>
    </w:p>
    <w:p w14:paraId="64275C46">
      <w:pPr>
        <w:spacing w:line="400" w:lineRule="exact"/>
        <w:jc w:val="left"/>
        <w:rPr>
          <w:rFonts w:hint="eastAsia" w:ascii="宋体" w:hAnsi="宋体"/>
          <w:color w:val="auto"/>
          <w:szCs w:val="21"/>
          <w:highlight w:val="none"/>
        </w:rPr>
      </w:pPr>
      <w:bookmarkStart w:id="610" w:name="_Toc309533362"/>
      <w:bookmarkStart w:id="611" w:name="_Toc309533755"/>
      <w:bookmarkStart w:id="612" w:name="_Toc309534187"/>
      <w:bookmarkStart w:id="613" w:name="_Toc229305397"/>
      <w:r>
        <w:rPr>
          <w:rFonts w:hint="eastAsia" w:ascii="宋体" w:hAnsi="宋体"/>
          <w:color w:val="auto"/>
          <w:szCs w:val="21"/>
          <w:highlight w:val="none"/>
        </w:rPr>
        <w:t>（2）发包人和承包人以招标方式选择暂估价项目供应商和分包人时，双方的权利义务关系：</w:t>
      </w:r>
      <w:r>
        <w:rPr>
          <w:rFonts w:hint="eastAsia" w:ascii="宋体" w:hAnsi="宋体"/>
          <w:color w:val="auto"/>
          <w:szCs w:val="21"/>
          <w:highlight w:val="none"/>
          <w:u w:val="single"/>
        </w:rPr>
        <w:t xml:space="preserve">   /   </w:t>
      </w:r>
      <w:r>
        <w:rPr>
          <w:rFonts w:hint="eastAsia" w:ascii="宋体" w:hAnsi="宋体"/>
          <w:color w:val="auto"/>
          <w:szCs w:val="21"/>
          <w:highlight w:val="none"/>
        </w:rPr>
        <w:t>。</w:t>
      </w:r>
    </w:p>
    <w:p w14:paraId="5A8003E7">
      <w:pPr>
        <w:spacing w:line="400" w:lineRule="exact"/>
        <w:rPr>
          <w:rFonts w:hint="eastAsia" w:ascii="黑体" w:hAnsi="宋体" w:eastAsia="黑体"/>
          <w:b/>
          <w:color w:val="auto"/>
          <w:sz w:val="28"/>
          <w:szCs w:val="28"/>
          <w:highlight w:val="none"/>
        </w:rPr>
      </w:pPr>
      <w:r>
        <w:rPr>
          <w:rFonts w:hint="eastAsia" w:ascii="黑体" w:hAnsi="宋体" w:eastAsia="黑体"/>
          <w:b/>
          <w:color w:val="auto"/>
          <w:sz w:val="28"/>
          <w:szCs w:val="28"/>
          <w:highlight w:val="none"/>
        </w:rPr>
        <w:t>1</w:t>
      </w:r>
      <w:r>
        <w:rPr>
          <w:rFonts w:hint="eastAsia" w:ascii="黑体" w:hAnsi="宋体" w:eastAsia="黑体"/>
          <w:b/>
          <w:color w:val="auto"/>
          <w:sz w:val="28"/>
          <w:szCs w:val="28"/>
          <w:highlight w:val="none"/>
          <w:lang w:val="en-US" w:eastAsia="zh-CN"/>
        </w:rPr>
        <w:t>4</w:t>
      </w:r>
      <w:r>
        <w:rPr>
          <w:rFonts w:hint="eastAsia" w:ascii="黑体" w:hAnsi="宋体" w:eastAsia="黑体"/>
          <w:b/>
          <w:color w:val="auto"/>
          <w:sz w:val="28"/>
          <w:szCs w:val="28"/>
          <w:highlight w:val="none"/>
        </w:rPr>
        <w:t xml:space="preserve"> 价格调整</w:t>
      </w:r>
      <w:bookmarkEnd w:id="610"/>
      <w:bookmarkEnd w:id="611"/>
      <w:bookmarkEnd w:id="612"/>
      <w:bookmarkEnd w:id="613"/>
    </w:p>
    <w:p w14:paraId="073C6EFC">
      <w:pPr>
        <w:spacing w:line="400" w:lineRule="exact"/>
        <w:rPr>
          <w:rFonts w:hint="eastAsia" w:ascii="黑体" w:hAnsi="宋体" w:eastAsia="黑体"/>
          <w:b/>
          <w:color w:val="auto"/>
          <w:sz w:val="24"/>
          <w:highlight w:val="none"/>
        </w:rPr>
      </w:pPr>
      <w:r>
        <w:rPr>
          <w:rFonts w:hint="eastAsia" w:ascii="黑体" w:hAnsi="宋体" w:eastAsia="黑体"/>
          <w:b/>
          <w:color w:val="auto"/>
          <w:sz w:val="24"/>
          <w:highlight w:val="none"/>
        </w:rPr>
        <w:t>1</w:t>
      </w:r>
      <w:r>
        <w:rPr>
          <w:rFonts w:hint="eastAsia" w:ascii="黑体" w:hAnsi="宋体" w:eastAsia="黑体"/>
          <w:b/>
          <w:color w:val="auto"/>
          <w:sz w:val="24"/>
          <w:highlight w:val="none"/>
          <w:lang w:val="en-US" w:eastAsia="zh-CN"/>
        </w:rPr>
        <w:t>4</w:t>
      </w:r>
      <w:r>
        <w:rPr>
          <w:rFonts w:hint="eastAsia" w:ascii="黑体" w:hAnsi="宋体" w:eastAsia="黑体"/>
          <w:b/>
          <w:color w:val="auto"/>
          <w:sz w:val="24"/>
          <w:highlight w:val="none"/>
        </w:rPr>
        <w:t>.1 物价波动引起的价格调整</w:t>
      </w:r>
    </w:p>
    <w:p w14:paraId="5BFC8CED">
      <w:pPr>
        <w:spacing w:line="400" w:lineRule="exact"/>
        <w:ind w:firstLine="420"/>
        <w:rPr>
          <w:rFonts w:hint="eastAsia" w:ascii="宋体" w:hAnsi="宋体"/>
          <w:color w:val="auto"/>
          <w:highlight w:val="none"/>
        </w:rPr>
      </w:pPr>
      <w:bookmarkStart w:id="614" w:name="_Toc222031042"/>
      <w:bookmarkStart w:id="615" w:name="_Toc222029540"/>
      <w:bookmarkStart w:id="616" w:name="_Toc229305398"/>
      <w:bookmarkStart w:id="617" w:name="_Toc222033891"/>
      <w:bookmarkStart w:id="618" w:name="_Toc222032709"/>
      <w:bookmarkStart w:id="619" w:name="_Toc309533756"/>
      <w:bookmarkStart w:id="620" w:name="_Toc309533363"/>
      <w:bookmarkStart w:id="621" w:name="_Toc221951223"/>
      <w:bookmarkStart w:id="622" w:name="_Toc309534188"/>
      <w:r>
        <w:rPr>
          <w:rFonts w:hint="eastAsia" w:ascii="宋体" w:hAnsi="宋体"/>
          <w:color w:val="auto"/>
          <w:highlight w:val="none"/>
        </w:rPr>
        <w:t>物价波动引起的价格调整方式：工程施工期间主材的价格调整由发包人与承包人按国家有关政策法规及当地的材料价格信息共同协商确定价格调整方法及执行标准。</w:t>
      </w:r>
    </w:p>
    <w:p w14:paraId="0B5E3ACC">
      <w:pPr>
        <w:spacing w:line="400" w:lineRule="exact"/>
        <w:rPr>
          <w:rFonts w:hint="eastAsia" w:ascii="黑体" w:hAnsi="宋体" w:eastAsia="黑体"/>
          <w:b/>
          <w:color w:val="auto"/>
          <w:sz w:val="28"/>
          <w:szCs w:val="28"/>
          <w:highlight w:val="none"/>
        </w:rPr>
      </w:pPr>
      <w:r>
        <w:rPr>
          <w:rFonts w:hint="eastAsia" w:ascii="黑体" w:hAnsi="宋体" w:eastAsia="黑体"/>
          <w:b/>
          <w:color w:val="auto"/>
          <w:sz w:val="28"/>
          <w:szCs w:val="28"/>
          <w:highlight w:val="none"/>
        </w:rPr>
        <w:t>1</w:t>
      </w:r>
      <w:r>
        <w:rPr>
          <w:rFonts w:hint="eastAsia" w:ascii="黑体" w:hAnsi="宋体" w:eastAsia="黑体"/>
          <w:b/>
          <w:color w:val="auto"/>
          <w:sz w:val="28"/>
          <w:szCs w:val="28"/>
          <w:highlight w:val="none"/>
          <w:lang w:val="en-US" w:eastAsia="zh-CN"/>
        </w:rPr>
        <w:t>5</w:t>
      </w:r>
      <w:r>
        <w:rPr>
          <w:rFonts w:hint="eastAsia" w:ascii="黑体" w:hAnsi="宋体" w:eastAsia="黑体"/>
          <w:b/>
          <w:color w:val="auto"/>
          <w:sz w:val="28"/>
          <w:szCs w:val="28"/>
          <w:highlight w:val="none"/>
        </w:rPr>
        <w:t xml:space="preserve"> 计量与支付</w:t>
      </w:r>
      <w:bookmarkEnd w:id="614"/>
      <w:bookmarkEnd w:id="615"/>
      <w:bookmarkEnd w:id="616"/>
      <w:bookmarkEnd w:id="617"/>
      <w:bookmarkEnd w:id="618"/>
      <w:bookmarkEnd w:id="619"/>
      <w:bookmarkEnd w:id="620"/>
      <w:bookmarkEnd w:id="621"/>
      <w:bookmarkEnd w:id="622"/>
    </w:p>
    <w:p w14:paraId="3927B387">
      <w:pPr>
        <w:spacing w:line="400" w:lineRule="exact"/>
        <w:rPr>
          <w:rFonts w:hint="eastAsia" w:ascii="黑体" w:hAnsi="宋体" w:eastAsia="黑体"/>
          <w:b/>
          <w:color w:val="auto"/>
          <w:sz w:val="24"/>
          <w:highlight w:val="none"/>
        </w:rPr>
      </w:pPr>
      <w:bookmarkStart w:id="623" w:name="_Toc221951224"/>
      <w:r>
        <w:rPr>
          <w:rFonts w:hint="eastAsia" w:ascii="黑体" w:hAnsi="宋体" w:eastAsia="黑体"/>
          <w:b/>
          <w:color w:val="auto"/>
          <w:sz w:val="24"/>
          <w:highlight w:val="none"/>
        </w:rPr>
        <w:t>1</w:t>
      </w:r>
      <w:r>
        <w:rPr>
          <w:rFonts w:hint="eastAsia" w:ascii="黑体" w:hAnsi="宋体" w:eastAsia="黑体"/>
          <w:b/>
          <w:color w:val="auto"/>
          <w:sz w:val="24"/>
          <w:highlight w:val="none"/>
          <w:lang w:val="en-US" w:eastAsia="zh-CN"/>
        </w:rPr>
        <w:t>5</w:t>
      </w:r>
      <w:r>
        <w:rPr>
          <w:rFonts w:hint="eastAsia" w:ascii="黑体" w:hAnsi="宋体" w:eastAsia="黑体"/>
          <w:b/>
          <w:color w:val="auto"/>
          <w:sz w:val="24"/>
          <w:highlight w:val="none"/>
        </w:rPr>
        <w:t>.2 预付款</w:t>
      </w:r>
      <w:bookmarkEnd w:id="623"/>
    </w:p>
    <w:p w14:paraId="69EA2256">
      <w:pPr>
        <w:spacing w:line="400" w:lineRule="exact"/>
        <w:ind w:firstLine="420" w:firstLineChars="200"/>
        <w:rPr>
          <w:rFonts w:hint="default" w:ascii="宋体" w:hAnsi="宋体" w:eastAsia="宋体"/>
          <w:color w:val="auto"/>
          <w:highlight w:val="none"/>
          <w:lang w:val="en-US" w:eastAsia="zh-CN"/>
        </w:rPr>
      </w:pPr>
      <w:bookmarkStart w:id="624" w:name="_Toc221951260"/>
      <w:r>
        <w:rPr>
          <w:rFonts w:hint="eastAsia" w:ascii="宋体" w:hAnsi="宋体"/>
          <w:color w:val="auto"/>
          <w:highlight w:val="none"/>
          <w:lang w:val="en-US" w:eastAsia="zh-CN"/>
        </w:rPr>
        <w:t>本工程无预付款（具体内容以实际签订合同为准）</w:t>
      </w:r>
    </w:p>
    <w:p w14:paraId="30BB6BCF">
      <w:pPr>
        <w:spacing w:line="400" w:lineRule="exact"/>
        <w:rPr>
          <w:rFonts w:hint="eastAsia" w:ascii="黑体" w:hAnsi="宋体" w:eastAsia="黑体"/>
          <w:b/>
          <w:color w:val="auto"/>
          <w:sz w:val="24"/>
          <w:highlight w:val="none"/>
        </w:rPr>
      </w:pPr>
      <w:r>
        <w:rPr>
          <w:rFonts w:hint="eastAsia" w:ascii="黑体" w:hAnsi="宋体" w:eastAsia="黑体"/>
          <w:b/>
          <w:color w:val="auto"/>
          <w:sz w:val="24"/>
          <w:highlight w:val="none"/>
        </w:rPr>
        <w:t>1</w:t>
      </w:r>
      <w:r>
        <w:rPr>
          <w:rFonts w:hint="eastAsia" w:ascii="黑体" w:hAnsi="宋体" w:eastAsia="黑体"/>
          <w:b/>
          <w:color w:val="auto"/>
          <w:sz w:val="24"/>
          <w:highlight w:val="none"/>
          <w:lang w:val="en-US" w:eastAsia="zh-CN"/>
        </w:rPr>
        <w:t>5</w:t>
      </w:r>
      <w:r>
        <w:rPr>
          <w:rFonts w:hint="eastAsia" w:ascii="黑体" w:hAnsi="宋体" w:eastAsia="黑体"/>
          <w:b/>
          <w:color w:val="auto"/>
          <w:sz w:val="24"/>
          <w:highlight w:val="none"/>
        </w:rPr>
        <w:t>.4 质量保证金</w:t>
      </w:r>
      <w:bookmarkEnd w:id="624"/>
    </w:p>
    <w:p w14:paraId="63D425B6">
      <w:pPr>
        <w:spacing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lang w:val="en-US" w:eastAsia="zh-CN"/>
        </w:rPr>
        <w:t>无</w:t>
      </w:r>
      <w:r>
        <w:rPr>
          <w:rFonts w:hint="eastAsia" w:ascii="宋体" w:hAnsi="宋体"/>
          <w:color w:val="auto"/>
          <w:szCs w:val="21"/>
          <w:highlight w:val="none"/>
        </w:rPr>
        <w:t>。</w:t>
      </w:r>
    </w:p>
    <w:p w14:paraId="3A5599B8">
      <w:pPr>
        <w:spacing w:line="400" w:lineRule="exact"/>
        <w:rPr>
          <w:rFonts w:hint="eastAsia" w:ascii="黑体" w:hAnsi="宋体" w:eastAsia="黑体"/>
          <w:b/>
          <w:color w:val="auto"/>
          <w:sz w:val="24"/>
          <w:highlight w:val="none"/>
        </w:rPr>
      </w:pPr>
      <w:bookmarkStart w:id="625" w:name="_Toc221951265"/>
      <w:r>
        <w:rPr>
          <w:rFonts w:hint="eastAsia" w:ascii="黑体" w:hAnsi="宋体" w:eastAsia="黑体"/>
          <w:b/>
          <w:color w:val="auto"/>
          <w:sz w:val="24"/>
          <w:highlight w:val="none"/>
        </w:rPr>
        <w:t>1</w:t>
      </w:r>
      <w:r>
        <w:rPr>
          <w:rFonts w:hint="eastAsia" w:ascii="黑体" w:hAnsi="宋体" w:eastAsia="黑体"/>
          <w:b/>
          <w:color w:val="auto"/>
          <w:sz w:val="24"/>
          <w:highlight w:val="none"/>
          <w:lang w:val="en-US" w:eastAsia="zh-CN"/>
        </w:rPr>
        <w:t>5</w:t>
      </w:r>
      <w:r>
        <w:rPr>
          <w:rFonts w:hint="eastAsia" w:ascii="黑体" w:hAnsi="宋体" w:eastAsia="黑体"/>
          <w:b/>
          <w:color w:val="auto"/>
          <w:sz w:val="24"/>
          <w:highlight w:val="none"/>
        </w:rPr>
        <w:t>.5 竣工（完工）结算</w:t>
      </w:r>
      <w:bookmarkEnd w:id="625"/>
    </w:p>
    <w:p w14:paraId="00F9A16F">
      <w:pPr>
        <w:spacing w:line="400" w:lineRule="exact"/>
        <w:ind w:firstLine="420" w:firstLineChars="200"/>
        <w:rPr>
          <w:rFonts w:hint="eastAsia" w:ascii="宋体" w:hAnsi="宋体"/>
          <w:color w:val="auto"/>
          <w:szCs w:val="21"/>
          <w:highlight w:val="none"/>
        </w:rPr>
      </w:pPr>
      <w:bookmarkStart w:id="626" w:name="_Toc221951266"/>
      <w:r>
        <w:rPr>
          <w:rFonts w:ascii="宋体" w:hAnsi="宋体"/>
          <w:color w:val="auto"/>
          <w:szCs w:val="21"/>
          <w:highlight w:val="none"/>
        </w:rPr>
        <w:t>1</w:t>
      </w:r>
      <w:r>
        <w:rPr>
          <w:rFonts w:hint="eastAsia" w:ascii="宋体" w:hAnsi="宋体"/>
          <w:color w:val="auto"/>
          <w:szCs w:val="21"/>
          <w:highlight w:val="none"/>
          <w:lang w:val="en-US" w:eastAsia="zh-CN"/>
        </w:rPr>
        <w:t>5</w:t>
      </w:r>
      <w:r>
        <w:rPr>
          <w:rFonts w:hint="eastAsia" w:ascii="宋体" w:hAnsi="宋体"/>
          <w:color w:val="auto"/>
          <w:szCs w:val="21"/>
          <w:highlight w:val="none"/>
        </w:rPr>
        <w:t>.</w:t>
      </w:r>
      <w:r>
        <w:rPr>
          <w:rFonts w:ascii="宋体" w:hAnsi="宋体"/>
          <w:color w:val="auto"/>
          <w:szCs w:val="21"/>
          <w:highlight w:val="none"/>
        </w:rPr>
        <w:t>5</w:t>
      </w:r>
      <w:r>
        <w:rPr>
          <w:rFonts w:hint="eastAsia" w:ascii="宋体" w:hAnsi="宋体"/>
          <w:color w:val="auto"/>
          <w:szCs w:val="21"/>
          <w:highlight w:val="none"/>
        </w:rPr>
        <w:t>.</w:t>
      </w:r>
      <w:r>
        <w:rPr>
          <w:rFonts w:ascii="宋体" w:hAnsi="宋体"/>
          <w:color w:val="auto"/>
          <w:szCs w:val="21"/>
          <w:highlight w:val="none"/>
        </w:rPr>
        <w:t>1</w:t>
      </w:r>
      <w:r>
        <w:rPr>
          <w:rFonts w:hint="eastAsia" w:ascii="宋体" w:hAnsi="宋体"/>
          <w:color w:val="auto"/>
          <w:szCs w:val="21"/>
          <w:highlight w:val="none"/>
        </w:rPr>
        <w:t xml:space="preserve">  竣工（完工）付款申请单</w:t>
      </w:r>
      <w:bookmarkEnd w:id="626"/>
      <w:r>
        <w:rPr>
          <w:rFonts w:hint="eastAsia" w:ascii="宋体" w:hAnsi="宋体"/>
          <w:color w:val="auto"/>
          <w:szCs w:val="21"/>
          <w:highlight w:val="none"/>
        </w:rPr>
        <w:t xml:space="preserve"> </w:t>
      </w:r>
    </w:p>
    <w:p w14:paraId="46038A7D">
      <w:pPr>
        <w:spacing w:line="400" w:lineRule="exact"/>
        <w:ind w:firstLine="420" w:firstLineChars="200"/>
        <w:rPr>
          <w:rFonts w:hint="eastAsia" w:ascii="宋体" w:hAnsi="宋体"/>
          <w:color w:val="auto"/>
          <w:szCs w:val="21"/>
          <w:highlight w:val="none"/>
        </w:rPr>
      </w:pPr>
      <w:bookmarkStart w:id="627" w:name="_Toc221951267"/>
      <w:r>
        <w:rPr>
          <w:rFonts w:hint="eastAsia" w:ascii="宋体" w:hAnsi="宋体"/>
          <w:color w:val="auto"/>
          <w:szCs w:val="21"/>
          <w:highlight w:val="none"/>
        </w:rPr>
        <w:t>（1）承包人应提交完工付款申请单一式 4 份。</w:t>
      </w:r>
      <w:bookmarkEnd w:id="627"/>
    </w:p>
    <w:p w14:paraId="1FB33518">
      <w:pPr>
        <w:spacing w:line="400" w:lineRule="exact"/>
        <w:rPr>
          <w:rFonts w:hint="eastAsia" w:ascii="黑体" w:hAnsi="宋体" w:eastAsia="黑体"/>
          <w:b/>
          <w:color w:val="auto"/>
          <w:sz w:val="24"/>
          <w:highlight w:val="none"/>
        </w:rPr>
      </w:pPr>
      <w:bookmarkStart w:id="628" w:name="_Toc221951268"/>
      <w:r>
        <w:rPr>
          <w:rFonts w:hint="eastAsia" w:ascii="黑体" w:hAnsi="宋体" w:eastAsia="黑体"/>
          <w:b/>
          <w:color w:val="auto"/>
          <w:sz w:val="24"/>
          <w:highlight w:val="none"/>
        </w:rPr>
        <w:t>1</w:t>
      </w:r>
      <w:r>
        <w:rPr>
          <w:rFonts w:hint="eastAsia" w:ascii="黑体" w:hAnsi="宋体" w:eastAsia="黑体"/>
          <w:b/>
          <w:color w:val="auto"/>
          <w:sz w:val="24"/>
          <w:highlight w:val="none"/>
          <w:lang w:val="en-US" w:eastAsia="zh-CN"/>
        </w:rPr>
        <w:t>5</w:t>
      </w:r>
      <w:r>
        <w:rPr>
          <w:rFonts w:hint="eastAsia" w:ascii="黑体" w:hAnsi="宋体" w:eastAsia="黑体"/>
          <w:b/>
          <w:color w:val="auto"/>
          <w:sz w:val="24"/>
          <w:highlight w:val="none"/>
        </w:rPr>
        <w:t>.6 最终结清</w:t>
      </w:r>
      <w:bookmarkEnd w:id="628"/>
    </w:p>
    <w:p w14:paraId="184B64E1">
      <w:pPr>
        <w:spacing w:line="400" w:lineRule="exact"/>
        <w:ind w:firstLine="480"/>
        <w:rPr>
          <w:rFonts w:hint="eastAsia" w:ascii="宋体" w:hAnsi="宋体"/>
          <w:color w:val="auto"/>
          <w:highlight w:val="none"/>
        </w:rPr>
      </w:pPr>
      <w:bookmarkStart w:id="629" w:name="_Toc221951269"/>
      <w:r>
        <w:rPr>
          <w:rFonts w:ascii="宋体" w:hAnsi="宋体"/>
          <w:color w:val="auto"/>
          <w:highlight w:val="none"/>
        </w:rPr>
        <w:t>17</w:t>
      </w:r>
      <w:r>
        <w:rPr>
          <w:rFonts w:hint="eastAsia" w:ascii="宋体" w:hAnsi="宋体"/>
          <w:color w:val="auto"/>
          <w:highlight w:val="none"/>
        </w:rPr>
        <w:t>.</w:t>
      </w:r>
      <w:r>
        <w:rPr>
          <w:rFonts w:ascii="宋体" w:hAnsi="宋体"/>
          <w:color w:val="auto"/>
          <w:highlight w:val="none"/>
        </w:rPr>
        <w:t>6</w:t>
      </w:r>
      <w:r>
        <w:rPr>
          <w:rFonts w:hint="eastAsia" w:ascii="宋体" w:hAnsi="宋体"/>
          <w:color w:val="auto"/>
          <w:highlight w:val="none"/>
        </w:rPr>
        <w:t xml:space="preserve"> </w:t>
      </w:r>
      <w:r>
        <w:rPr>
          <w:rFonts w:ascii="宋体" w:hAnsi="宋体"/>
          <w:color w:val="auto"/>
          <w:highlight w:val="none"/>
        </w:rPr>
        <w:t>1</w:t>
      </w:r>
      <w:r>
        <w:rPr>
          <w:rFonts w:hint="eastAsia" w:ascii="宋体" w:hAnsi="宋体"/>
          <w:color w:val="auto"/>
          <w:highlight w:val="none"/>
        </w:rPr>
        <w:t xml:space="preserve">  最终结清申请单</w:t>
      </w:r>
      <w:bookmarkEnd w:id="629"/>
    </w:p>
    <w:p w14:paraId="2C896694">
      <w:pPr>
        <w:spacing w:line="400" w:lineRule="exact"/>
        <w:ind w:firstLine="480"/>
        <w:rPr>
          <w:rFonts w:hint="eastAsia" w:ascii="宋体" w:hAnsi="宋体"/>
          <w:color w:val="auto"/>
          <w:szCs w:val="21"/>
          <w:highlight w:val="none"/>
        </w:rPr>
      </w:pPr>
      <w:bookmarkStart w:id="630" w:name="_Toc221951270"/>
      <w:r>
        <w:rPr>
          <w:rFonts w:hint="eastAsia" w:ascii="宋体" w:hAnsi="宋体"/>
          <w:color w:val="auto"/>
          <w:szCs w:val="21"/>
          <w:highlight w:val="none"/>
        </w:rPr>
        <w:t>（1）承包人应提交最终结清申请单一式 4 份。</w:t>
      </w:r>
      <w:bookmarkEnd w:id="630"/>
    </w:p>
    <w:p w14:paraId="240B5380">
      <w:pPr>
        <w:spacing w:line="400" w:lineRule="exact"/>
        <w:rPr>
          <w:rFonts w:hint="eastAsia" w:ascii="黑体" w:hAnsi="宋体" w:eastAsia="黑体"/>
          <w:b/>
          <w:color w:val="auto"/>
          <w:sz w:val="24"/>
          <w:highlight w:val="none"/>
        </w:rPr>
      </w:pPr>
      <w:r>
        <w:rPr>
          <w:rFonts w:hint="eastAsia" w:ascii="黑体" w:hAnsi="宋体" w:eastAsia="黑体"/>
          <w:b/>
          <w:color w:val="auto"/>
          <w:sz w:val="24"/>
          <w:highlight w:val="none"/>
        </w:rPr>
        <w:t>1</w:t>
      </w:r>
      <w:r>
        <w:rPr>
          <w:rFonts w:hint="eastAsia" w:ascii="黑体" w:hAnsi="宋体" w:eastAsia="黑体"/>
          <w:b/>
          <w:color w:val="auto"/>
          <w:sz w:val="24"/>
          <w:highlight w:val="none"/>
          <w:lang w:val="en-US" w:eastAsia="zh-CN"/>
        </w:rPr>
        <w:t>5</w:t>
      </w:r>
      <w:r>
        <w:rPr>
          <w:rFonts w:hint="eastAsia" w:ascii="黑体" w:hAnsi="宋体" w:eastAsia="黑体"/>
          <w:b/>
          <w:color w:val="auto"/>
          <w:sz w:val="24"/>
          <w:highlight w:val="none"/>
        </w:rPr>
        <w:t>.7 竣工财务决算</w:t>
      </w:r>
    </w:p>
    <w:p w14:paraId="66D63ED3">
      <w:pPr>
        <w:spacing w:line="400" w:lineRule="exact"/>
        <w:ind w:firstLine="420" w:firstLineChars="200"/>
        <w:rPr>
          <w:rFonts w:hint="eastAsia" w:ascii="宋体" w:hAnsi="宋体"/>
          <w:color w:val="auto"/>
          <w:highlight w:val="none"/>
        </w:rPr>
      </w:pPr>
      <w:r>
        <w:rPr>
          <w:rFonts w:hint="eastAsia" w:ascii="宋体" w:hAnsi="宋体"/>
          <w:color w:val="auto"/>
          <w:highlight w:val="none"/>
        </w:rPr>
        <w:t>承包人应为竣工财务决算编制提供的资料：</w:t>
      </w:r>
      <w:r>
        <w:rPr>
          <w:rFonts w:hint="eastAsia" w:ascii="宋体" w:hAnsi="宋体"/>
          <w:color w:val="auto"/>
          <w:highlight w:val="none"/>
          <w:u w:val="single"/>
        </w:rPr>
        <w:t xml:space="preserve">竣工图、有关签证资料、变更通知单、最终结算清单等 </w:t>
      </w:r>
      <w:r>
        <w:rPr>
          <w:rFonts w:ascii="宋体" w:hAnsi="宋体"/>
          <w:color w:val="auto"/>
          <w:highlight w:val="none"/>
        </w:rPr>
        <w:t>。</w:t>
      </w:r>
      <w:bookmarkStart w:id="631" w:name="_Toc221951271"/>
      <w:bookmarkStart w:id="632" w:name="_Toc222029541"/>
      <w:bookmarkStart w:id="633" w:name="_Toc222031043"/>
      <w:bookmarkStart w:id="634" w:name="_Toc222033892"/>
      <w:bookmarkStart w:id="635" w:name="_Toc222032710"/>
      <w:bookmarkStart w:id="636" w:name="_Toc229305399"/>
      <w:bookmarkStart w:id="637" w:name="_Toc309533364"/>
      <w:bookmarkStart w:id="638" w:name="_Toc309533757"/>
      <w:bookmarkStart w:id="639" w:name="_Toc309534189"/>
    </w:p>
    <w:p w14:paraId="074D32DD">
      <w:pPr>
        <w:spacing w:line="400" w:lineRule="exact"/>
        <w:rPr>
          <w:rFonts w:hint="eastAsia"/>
          <w:color w:val="auto"/>
          <w:highlight w:val="none"/>
        </w:rPr>
      </w:pPr>
      <w:r>
        <w:rPr>
          <w:rFonts w:hint="eastAsia" w:ascii="黑体" w:hAnsi="宋体" w:eastAsia="黑体"/>
          <w:b/>
          <w:color w:val="auto"/>
          <w:sz w:val="28"/>
          <w:szCs w:val="28"/>
          <w:highlight w:val="none"/>
        </w:rPr>
        <w:t>1</w:t>
      </w:r>
      <w:r>
        <w:rPr>
          <w:rFonts w:hint="eastAsia" w:ascii="黑体" w:hAnsi="宋体" w:eastAsia="黑体"/>
          <w:b/>
          <w:color w:val="auto"/>
          <w:sz w:val="28"/>
          <w:szCs w:val="28"/>
          <w:highlight w:val="none"/>
          <w:lang w:val="en-US" w:eastAsia="zh-CN"/>
        </w:rPr>
        <w:t>6</w:t>
      </w:r>
      <w:r>
        <w:rPr>
          <w:rFonts w:hint="eastAsia" w:ascii="黑体" w:hAnsi="宋体" w:eastAsia="黑体"/>
          <w:b/>
          <w:color w:val="auto"/>
          <w:sz w:val="28"/>
          <w:szCs w:val="28"/>
          <w:highlight w:val="none"/>
        </w:rPr>
        <w:t xml:space="preserve"> 竣工验收</w:t>
      </w:r>
      <w:bookmarkEnd w:id="631"/>
      <w:bookmarkEnd w:id="632"/>
      <w:bookmarkEnd w:id="633"/>
      <w:bookmarkEnd w:id="634"/>
      <w:bookmarkEnd w:id="635"/>
      <w:bookmarkEnd w:id="636"/>
      <w:r>
        <w:rPr>
          <w:rFonts w:hint="eastAsia" w:ascii="黑体" w:hAnsi="宋体" w:eastAsia="黑体"/>
          <w:b/>
          <w:color w:val="auto"/>
          <w:sz w:val="28"/>
          <w:szCs w:val="28"/>
          <w:highlight w:val="none"/>
        </w:rPr>
        <w:t>（验收）</w:t>
      </w:r>
      <w:bookmarkEnd w:id="637"/>
      <w:bookmarkEnd w:id="638"/>
      <w:bookmarkEnd w:id="639"/>
    </w:p>
    <w:p w14:paraId="67908F1E">
      <w:pPr>
        <w:spacing w:line="400" w:lineRule="exact"/>
        <w:rPr>
          <w:rFonts w:hint="eastAsia" w:ascii="黑体" w:hAnsi="宋体" w:eastAsia="黑体"/>
          <w:b/>
          <w:color w:val="auto"/>
          <w:sz w:val="24"/>
          <w:highlight w:val="none"/>
          <w:lang w:eastAsia="zh-CN"/>
        </w:rPr>
      </w:pPr>
      <w:bookmarkStart w:id="640" w:name="_Toc221951272"/>
      <w:r>
        <w:rPr>
          <w:rFonts w:hint="eastAsia" w:ascii="黑体" w:hAnsi="宋体" w:eastAsia="黑体"/>
          <w:b/>
          <w:color w:val="auto"/>
          <w:sz w:val="24"/>
          <w:highlight w:val="none"/>
        </w:rPr>
        <w:t>1</w:t>
      </w:r>
      <w:r>
        <w:rPr>
          <w:rFonts w:hint="eastAsia" w:ascii="黑体" w:hAnsi="宋体" w:eastAsia="黑体"/>
          <w:b/>
          <w:color w:val="auto"/>
          <w:sz w:val="24"/>
          <w:highlight w:val="none"/>
          <w:lang w:val="en-US" w:eastAsia="zh-CN"/>
        </w:rPr>
        <w:t>6</w:t>
      </w:r>
      <w:r>
        <w:rPr>
          <w:rFonts w:hint="eastAsia" w:ascii="黑体" w:hAnsi="宋体" w:eastAsia="黑体"/>
          <w:b/>
          <w:color w:val="auto"/>
          <w:sz w:val="24"/>
          <w:highlight w:val="none"/>
        </w:rPr>
        <w:t xml:space="preserve">.1 </w:t>
      </w:r>
      <w:bookmarkEnd w:id="640"/>
      <w:r>
        <w:rPr>
          <w:rFonts w:hint="eastAsia" w:ascii="黑体" w:hAnsi="宋体" w:eastAsia="黑体"/>
          <w:b/>
          <w:color w:val="auto"/>
          <w:sz w:val="24"/>
          <w:highlight w:val="none"/>
        </w:rPr>
        <w:t>验收工作分类</w:t>
      </w:r>
    </w:p>
    <w:p w14:paraId="001F72DA">
      <w:pPr>
        <w:spacing w:line="400" w:lineRule="exact"/>
        <w:rPr>
          <w:rFonts w:hint="eastAsia" w:ascii="宋体" w:hAnsi="宋体"/>
          <w:b/>
          <w:color w:val="auto"/>
          <w:szCs w:val="21"/>
          <w:highlight w:val="none"/>
          <w:u w:val="single"/>
        </w:rPr>
      </w:pPr>
      <w:r>
        <w:rPr>
          <w:rFonts w:hint="eastAsia" w:ascii="宋体" w:hAnsi="宋体"/>
          <w:color w:val="auto"/>
          <w:highlight w:val="none"/>
        </w:rPr>
        <w:t xml:space="preserve">   </w:t>
      </w:r>
      <w:bookmarkStart w:id="641" w:name="_Toc221951274"/>
      <w:r>
        <w:rPr>
          <w:rFonts w:hint="eastAsia" w:ascii="宋体" w:hAnsi="宋体"/>
          <w:color w:val="auto"/>
          <w:szCs w:val="21"/>
          <w:highlight w:val="none"/>
        </w:rPr>
        <w:t>本</w:t>
      </w:r>
      <w:r>
        <w:rPr>
          <w:rFonts w:hint="eastAsia" w:ascii="宋体" w:hAnsi="宋体"/>
          <w:color w:val="auto"/>
          <w:szCs w:val="21"/>
          <w:highlight w:val="none"/>
          <w:lang w:eastAsia="zh-CN"/>
        </w:rPr>
        <w:t>工程项目法人</w:t>
      </w:r>
      <w:r>
        <w:rPr>
          <w:rFonts w:hint="eastAsia" w:ascii="宋体" w:hAnsi="宋体"/>
          <w:color w:val="auto"/>
          <w:szCs w:val="21"/>
          <w:highlight w:val="none"/>
        </w:rPr>
        <w:t>验收包括：</w:t>
      </w:r>
      <w:r>
        <w:rPr>
          <w:rFonts w:hint="eastAsia" w:ascii="宋体" w:hAnsi="宋体"/>
          <w:color w:val="auto"/>
          <w:szCs w:val="21"/>
          <w:highlight w:val="none"/>
          <w:u w:val="single"/>
        </w:rPr>
        <w:t xml:space="preserve">分部工程验收、单位工程验收、合同工程完工验收 </w:t>
      </w:r>
      <w:r>
        <w:rPr>
          <w:rFonts w:hint="eastAsia" w:ascii="宋体" w:hAnsi="宋体"/>
          <w:color w:val="auto"/>
          <w:szCs w:val="21"/>
          <w:highlight w:val="none"/>
        </w:rPr>
        <w:t xml:space="preserve"> ；政府验收包括：</w:t>
      </w:r>
      <w:r>
        <w:rPr>
          <w:rFonts w:hint="eastAsia" w:ascii="宋体" w:hAnsi="宋体"/>
          <w:color w:val="auto"/>
          <w:szCs w:val="21"/>
          <w:highlight w:val="none"/>
          <w:u w:val="single"/>
        </w:rPr>
        <w:t>竣工验收</w:t>
      </w:r>
      <w:r>
        <w:rPr>
          <w:rFonts w:hint="eastAsia" w:ascii="宋体" w:hAnsi="宋体"/>
          <w:color w:val="auto"/>
          <w:szCs w:val="21"/>
          <w:highlight w:val="none"/>
        </w:rPr>
        <w:t>。验收条件：</w:t>
      </w:r>
      <w:r>
        <w:rPr>
          <w:rFonts w:hint="eastAsia" w:ascii="宋体" w:hAnsi="宋体"/>
          <w:color w:val="auto"/>
          <w:kern w:val="15"/>
          <w:szCs w:val="21"/>
          <w:highlight w:val="none"/>
          <w:u w:val="single"/>
        </w:rPr>
        <w:t>符合《</w:t>
      </w:r>
      <w:r>
        <w:rPr>
          <w:rFonts w:hint="eastAsia" w:ascii="宋体" w:hAnsi="宋体"/>
          <w:bCs/>
          <w:color w:val="auto"/>
          <w:szCs w:val="21"/>
          <w:highlight w:val="none"/>
          <w:u w:val="single"/>
        </w:rPr>
        <w:t>水利水电建设工程验收规程</w:t>
      </w:r>
      <w:r>
        <w:rPr>
          <w:rFonts w:hint="eastAsia" w:ascii="宋体" w:hAnsi="宋体"/>
          <w:color w:val="auto"/>
          <w:kern w:val="15"/>
          <w:szCs w:val="21"/>
          <w:highlight w:val="none"/>
          <w:u w:val="single"/>
        </w:rPr>
        <w:t>》（SL223-2008）标准</w:t>
      </w:r>
      <w:r>
        <w:rPr>
          <w:rFonts w:hint="eastAsia" w:ascii="宋体" w:hAnsi="宋体"/>
          <w:color w:val="auto"/>
          <w:szCs w:val="21"/>
          <w:highlight w:val="none"/>
        </w:rPr>
        <w:t>，验收程序为：</w:t>
      </w:r>
      <w:r>
        <w:rPr>
          <w:rFonts w:hint="eastAsia" w:ascii="宋体" w:hAnsi="宋体"/>
          <w:bCs/>
          <w:color w:val="auto"/>
          <w:szCs w:val="21"/>
          <w:highlight w:val="none"/>
          <w:u w:val="single"/>
        </w:rPr>
        <w:t>应遵守《水利工程项目验收规定》水利部30号令和《水利水电建设工程验收规程》（SL223-2008）的规定。</w:t>
      </w:r>
    </w:p>
    <w:p w14:paraId="46EFE1BF">
      <w:pPr>
        <w:spacing w:line="400" w:lineRule="exact"/>
        <w:rPr>
          <w:rFonts w:hint="eastAsia" w:ascii="黑体" w:hAnsi="宋体" w:eastAsia="黑体"/>
          <w:b/>
          <w:color w:val="auto"/>
          <w:sz w:val="24"/>
          <w:highlight w:val="none"/>
        </w:rPr>
      </w:pPr>
      <w:r>
        <w:rPr>
          <w:rFonts w:hint="eastAsia" w:ascii="黑体" w:hAnsi="宋体" w:eastAsia="黑体"/>
          <w:b/>
          <w:color w:val="auto"/>
          <w:sz w:val="24"/>
          <w:highlight w:val="none"/>
        </w:rPr>
        <w:t>1</w:t>
      </w:r>
      <w:r>
        <w:rPr>
          <w:rFonts w:hint="eastAsia" w:ascii="黑体" w:hAnsi="宋体" w:eastAsia="黑体"/>
          <w:b/>
          <w:color w:val="auto"/>
          <w:sz w:val="24"/>
          <w:highlight w:val="none"/>
          <w:lang w:val="en-US" w:eastAsia="zh-CN"/>
        </w:rPr>
        <w:t>6.</w:t>
      </w:r>
      <w:r>
        <w:rPr>
          <w:rFonts w:hint="eastAsia" w:ascii="黑体" w:hAnsi="宋体" w:eastAsia="黑体"/>
          <w:b/>
          <w:color w:val="auto"/>
          <w:sz w:val="24"/>
          <w:highlight w:val="none"/>
        </w:rPr>
        <w:t>2 分部工程验收</w:t>
      </w:r>
    </w:p>
    <w:p w14:paraId="66168665">
      <w:pPr>
        <w:spacing w:line="400" w:lineRule="exact"/>
        <w:ind w:firstLine="420" w:firstLineChars="200"/>
        <w:rPr>
          <w:rFonts w:hint="eastAsia" w:ascii="宋体" w:hAnsi="宋体"/>
          <w:color w:val="auto"/>
          <w:highlight w:val="none"/>
        </w:rPr>
      </w:pPr>
      <w:r>
        <w:rPr>
          <w:rFonts w:hint="eastAsia" w:ascii="宋体" w:hAnsi="宋体"/>
          <w:color w:val="auto"/>
          <w:highlight w:val="none"/>
        </w:rPr>
        <w:t>18.2.2 本工程分部工程验收</w:t>
      </w:r>
      <w:r>
        <w:rPr>
          <w:rFonts w:hint="eastAsia" w:ascii="宋体" w:hAnsi="宋体"/>
          <w:color w:val="auto"/>
          <w:szCs w:val="21"/>
          <w:highlight w:val="none"/>
        </w:rPr>
        <w:t>由发包人委托监理人主持。</w:t>
      </w:r>
    </w:p>
    <w:p w14:paraId="79CA7682">
      <w:pPr>
        <w:spacing w:line="400" w:lineRule="exact"/>
        <w:rPr>
          <w:rFonts w:hint="eastAsia" w:ascii="黑体" w:hAnsi="宋体" w:eastAsia="黑体"/>
          <w:b/>
          <w:color w:val="auto"/>
          <w:sz w:val="24"/>
          <w:highlight w:val="none"/>
        </w:rPr>
      </w:pPr>
      <w:r>
        <w:rPr>
          <w:rFonts w:hint="eastAsia" w:ascii="黑体" w:hAnsi="宋体" w:eastAsia="黑体"/>
          <w:b/>
          <w:color w:val="auto"/>
          <w:sz w:val="24"/>
          <w:highlight w:val="none"/>
        </w:rPr>
        <w:t>1</w:t>
      </w:r>
      <w:r>
        <w:rPr>
          <w:rFonts w:hint="eastAsia" w:ascii="黑体" w:hAnsi="宋体" w:eastAsia="黑体"/>
          <w:b/>
          <w:color w:val="auto"/>
          <w:sz w:val="24"/>
          <w:highlight w:val="none"/>
          <w:lang w:val="en-US" w:eastAsia="zh-CN"/>
        </w:rPr>
        <w:t>6</w:t>
      </w:r>
      <w:r>
        <w:rPr>
          <w:rFonts w:hint="eastAsia" w:ascii="黑体" w:hAnsi="宋体" w:eastAsia="黑体"/>
          <w:b/>
          <w:color w:val="auto"/>
          <w:sz w:val="24"/>
          <w:highlight w:val="none"/>
        </w:rPr>
        <w:t>.3 单位工程验收</w:t>
      </w:r>
    </w:p>
    <w:p w14:paraId="4AC2D05C">
      <w:pPr>
        <w:spacing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18.3.4 提前投入使用</w:t>
      </w:r>
      <w:r>
        <w:rPr>
          <w:rFonts w:hint="eastAsia" w:ascii="宋体" w:hAnsi="宋体"/>
          <w:color w:val="auto"/>
          <w:szCs w:val="21"/>
          <w:highlight w:val="none"/>
          <w:lang w:eastAsia="zh-CN"/>
        </w:rPr>
        <w:t>的</w:t>
      </w:r>
      <w:r>
        <w:rPr>
          <w:rFonts w:hint="eastAsia" w:ascii="宋体" w:hAnsi="宋体"/>
          <w:color w:val="auto"/>
          <w:szCs w:val="21"/>
          <w:highlight w:val="none"/>
        </w:rPr>
        <w:t>单位工程包括：</w:t>
      </w:r>
      <w:r>
        <w:rPr>
          <w:rFonts w:hint="eastAsia" w:ascii="宋体" w:hAnsi="宋体"/>
          <w:color w:val="auto"/>
          <w:szCs w:val="21"/>
          <w:highlight w:val="none"/>
          <w:u w:val="single"/>
        </w:rPr>
        <w:t xml:space="preserve">     /      </w:t>
      </w:r>
      <w:r>
        <w:rPr>
          <w:rFonts w:ascii="宋体" w:hAnsi="宋体"/>
          <w:color w:val="auto"/>
          <w:szCs w:val="21"/>
          <w:highlight w:val="none"/>
        </w:rPr>
        <w:t>。</w:t>
      </w:r>
    </w:p>
    <w:p w14:paraId="03F52061">
      <w:pPr>
        <w:spacing w:line="400" w:lineRule="exact"/>
        <w:rPr>
          <w:rFonts w:hint="eastAsia" w:ascii="黑体" w:hAnsi="宋体" w:eastAsia="黑体"/>
          <w:b/>
          <w:bCs/>
          <w:color w:val="auto"/>
          <w:sz w:val="24"/>
          <w:highlight w:val="none"/>
        </w:rPr>
      </w:pPr>
      <w:r>
        <w:rPr>
          <w:rFonts w:hint="eastAsia" w:ascii="黑体" w:hAnsi="宋体" w:eastAsia="黑体"/>
          <w:b/>
          <w:bCs/>
          <w:color w:val="auto"/>
          <w:sz w:val="24"/>
          <w:highlight w:val="none"/>
        </w:rPr>
        <w:t>1</w:t>
      </w:r>
      <w:r>
        <w:rPr>
          <w:rFonts w:hint="eastAsia" w:ascii="黑体" w:hAnsi="宋体" w:eastAsia="黑体"/>
          <w:b/>
          <w:bCs/>
          <w:color w:val="auto"/>
          <w:sz w:val="24"/>
          <w:highlight w:val="none"/>
          <w:lang w:val="en-US" w:eastAsia="zh-CN"/>
        </w:rPr>
        <w:t>6</w:t>
      </w:r>
      <w:r>
        <w:rPr>
          <w:rFonts w:hint="eastAsia" w:ascii="黑体" w:hAnsi="宋体" w:eastAsia="黑体"/>
          <w:b/>
          <w:bCs/>
          <w:color w:val="auto"/>
          <w:sz w:val="24"/>
          <w:highlight w:val="none"/>
        </w:rPr>
        <w:t>.5 阶段验收</w:t>
      </w:r>
    </w:p>
    <w:p w14:paraId="7F96D101">
      <w:pPr>
        <w:spacing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18.5.1 本合同工程阶段验收类别包括：</w:t>
      </w:r>
      <w:r>
        <w:rPr>
          <w:rFonts w:hint="eastAsia" w:ascii="宋体" w:hAnsi="宋体"/>
          <w:color w:val="auto"/>
          <w:szCs w:val="21"/>
          <w:highlight w:val="none"/>
          <w:u w:val="single"/>
        </w:rPr>
        <w:t xml:space="preserve">     /      </w:t>
      </w:r>
      <w:r>
        <w:rPr>
          <w:rFonts w:ascii="宋体" w:hAnsi="宋体"/>
          <w:color w:val="auto"/>
          <w:szCs w:val="21"/>
          <w:highlight w:val="none"/>
        </w:rPr>
        <w:t>。</w:t>
      </w:r>
    </w:p>
    <w:bookmarkEnd w:id="641"/>
    <w:p w14:paraId="7401001C">
      <w:pPr>
        <w:spacing w:line="400" w:lineRule="exact"/>
        <w:rPr>
          <w:rFonts w:hint="eastAsia" w:ascii="黑体" w:hAnsi="宋体" w:eastAsia="黑体"/>
          <w:b/>
          <w:color w:val="auto"/>
          <w:sz w:val="24"/>
          <w:highlight w:val="none"/>
        </w:rPr>
      </w:pPr>
      <w:bookmarkStart w:id="642" w:name="_Toc221951285"/>
      <w:r>
        <w:rPr>
          <w:rFonts w:hint="eastAsia" w:ascii="黑体" w:hAnsi="宋体" w:eastAsia="黑体"/>
          <w:b/>
          <w:color w:val="auto"/>
          <w:sz w:val="24"/>
          <w:highlight w:val="none"/>
        </w:rPr>
        <w:t>1</w:t>
      </w:r>
      <w:r>
        <w:rPr>
          <w:rFonts w:hint="eastAsia" w:ascii="黑体" w:hAnsi="宋体" w:eastAsia="黑体"/>
          <w:b/>
          <w:color w:val="auto"/>
          <w:sz w:val="24"/>
          <w:highlight w:val="none"/>
          <w:lang w:val="en-US" w:eastAsia="zh-CN"/>
        </w:rPr>
        <w:t>6</w:t>
      </w:r>
      <w:r>
        <w:rPr>
          <w:rFonts w:hint="eastAsia" w:ascii="黑体" w:hAnsi="宋体" w:eastAsia="黑体"/>
          <w:b/>
          <w:color w:val="auto"/>
          <w:sz w:val="24"/>
          <w:highlight w:val="none"/>
        </w:rPr>
        <w:t>.6 专项验收</w:t>
      </w:r>
      <w:bookmarkEnd w:id="642"/>
      <w:r>
        <w:rPr>
          <w:rFonts w:hint="eastAsia" w:ascii="黑体" w:hAnsi="宋体" w:eastAsia="黑体"/>
          <w:b/>
          <w:color w:val="auto"/>
          <w:sz w:val="24"/>
          <w:highlight w:val="none"/>
        </w:rPr>
        <w:t xml:space="preserve">   </w:t>
      </w:r>
    </w:p>
    <w:p w14:paraId="1F099E76">
      <w:pPr>
        <w:spacing w:line="400" w:lineRule="exact"/>
        <w:ind w:firstLine="420" w:firstLineChars="200"/>
        <w:rPr>
          <w:rFonts w:hint="eastAsia" w:ascii="宋体" w:hAnsi="宋体"/>
          <w:color w:val="auto"/>
          <w:szCs w:val="21"/>
          <w:highlight w:val="none"/>
        </w:rPr>
      </w:pPr>
      <w:bookmarkStart w:id="643" w:name="_Toc221951286"/>
      <w:r>
        <w:rPr>
          <w:rFonts w:hint="eastAsia" w:ascii="宋体" w:hAnsi="宋体"/>
          <w:color w:val="auto"/>
          <w:szCs w:val="21"/>
          <w:highlight w:val="none"/>
        </w:rPr>
        <w:t xml:space="preserve">18.6.2 </w:t>
      </w:r>
      <w:bookmarkEnd w:id="643"/>
      <w:r>
        <w:rPr>
          <w:rFonts w:hint="eastAsia" w:ascii="宋体" w:hAnsi="宋体"/>
          <w:color w:val="auto"/>
          <w:szCs w:val="21"/>
          <w:highlight w:val="none"/>
        </w:rPr>
        <w:t>本合同工程专项验收类别包括：</w:t>
      </w:r>
      <w:r>
        <w:rPr>
          <w:rFonts w:hint="eastAsia" w:ascii="宋体" w:hAnsi="宋体"/>
          <w:color w:val="auto"/>
          <w:szCs w:val="21"/>
          <w:highlight w:val="none"/>
          <w:u w:val="single"/>
        </w:rPr>
        <w:t xml:space="preserve">     /      </w:t>
      </w:r>
      <w:r>
        <w:rPr>
          <w:rFonts w:ascii="宋体" w:hAnsi="宋体"/>
          <w:color w:val="auto"/>
          <w:szCs w:val="21"/>
          <w:highlight w:val="none"/>
        </w:rPr>
        <w:t>。</w:t>
      </w:r>
    </w:p>
    <w:p w14:paraId="1D4385FD">
      <w:pPr>
        <w:spacing w:line="400" w:lineRule="exact"/>
        <w:rPr>
          <w:rFonts w:hint="eastAsia" w:ascii="黑体" w:hAnsi="宋体" w:eastAsia="黑体"/>
          <w:b/>
          <w:color w:val="auto"/>
          <w:sz w:val="24"/>
          <w:highlight w:val="none"/>
        </w:rPr>
      </w:pPr>
      <w:bookmarkStart w:id="644" w:name="_Toc221951289"/>
      <w:r>
        <w:rPr>
          <w:rFonts w:hint="eastAsia" w:ascii="黑体" w:hAnsi="宋体" w:eastAsia="黑体"/>
          <w:b/>
          <w:color w:val="auto"/>
          <w:sz w:val="24"/>
          <w:highlight w:val="none"/>
        </w:rPr>
        <w:t>1</w:t>
      </w:r>
      <w:r>
        <w:rPr>
          <w:rFonts w:hint="eastAsia" w:ascii="黑体" w:hAnsi="宋体" w:eastAsia="黑体"/>
          <w:b/>
          <w:color w:val="auto"/>
          <w:sz w:val="24"/>
          <w:highlight w:val="none"/>
          <w:lang w:val="en-US" w:eastAsia="zh-CN"/>
        </w:rPr>
        <w:t>6</w:t>
      </w:r>
      <w:r>
        <w:rPr>
          <w:rFonts w:hint="eastAsia" w:ascii="黑体" w:hAnsi="宋体" w:eastAsia="黑体"/>
          <w:b/>
          <w:color w:val="auto"/>
          <w:sz w:val="24"/>
          <w:highlight w:val="none"/>
        </w:rPr>
        <w:t>.7 竣工</w:t>
      </w:r>
      <w:bookmarkEnd w:id="644"/>
      <w:r>
        <w:rPr>
          <w:rFonts w:hint="eastAsia" w:ascii="黑体" w:hAnsi="宋体" w:eastAsia="黑体"/>
          <w:b/>
          <w:color w:val="auto"/>
          <w:sz w:val="24"/>
          <w:highlight w:val="none"/>
        </w:rPr>
        <w:t>验收</w:t>
      </w:r>
    </w:p>
    <w:p w14:paraId="150FDA7E">
      <w:pPr>
        <w:spacing w:line="400" w:lineRule="exact"/>
        <w:ind w:firstLine="420" w:firstLineChars="200"/>
        <w:rPr>
          <w:rFonts w:hint="eastAsia" w:ascii="宋体" w:hAnsi="宋体"/>
          <w:color w:val="auto"/>
          <w:szCs w:val="21"/>
          <w:highlight w:val="none"/>
        </w:rPr>
      </w:pPr>
      <w:bookmarkStart w:id="645" w:name="_Toc221951290"/>
      <w:r>
        <w:rPr>
          <w:rFonts w:hint="eastAsia" w:ascii="宋体" w:hAnsi="宋体"/>
          <w:color w:val="auto"/>
          <w:szCs w:val="21"/>
          <w:highlight w:val="none"/>
        </w:rPr>
        <w:t>18.7.3 本工程</w:t>
      </w:r>
      <w:r>
        <w:rPr>
          <w:rFonts w:hint="eastAsia" w:ascii="宋体" w:hAnsi="宋体"/>
          <w:color w:val="auto"/>
          <w:szCs w:val="21"/>
          <w:highlight w:val="none"/>
          <w:u w:val="single"/>
        </w:rPr>
        <w:t xml:space="preserve">    不需要    </w:t>
      </w:r>
      <w:r>
        <w:rPr>
          <w:rFonts w:hint="eastAsia" w:ascii="宋体" w:hAnsi="宋体"/>
          <w:color w:val="auto"/>
          <w:szCs w:val="21"/>
          <w:highlight w:val="none"/>
        </w:rPr>
        <w:t>竣工验收技术鉴定（蓄水安全鉴定）。</w:t>
      </w:r>
      <w:bookmarkEnd w:id="645"/>
    </w:p>
    <w:p w14:paraId="28FD0F06">
      <w:pPr>
        <w:spacing w:line="400" w:lineRule="exact"/>
        <w:rPr>
          <w:rFonts w:hint="eastAsia" w:ascii="黑体" w:hAnsi="宋体" w:eastAsia="黑体"/>
          <w:b/>
          <w:color w:val="auto"/>
          <w:sz w:val="24"/>
          <w:highlight w:val="none"/>
        </w:rPr>
      </w:pPr>
      <w:r>
        <w:rPr>
          <w:rFonts w:hint="eastAsia" w:ascii="黑体" w:hAnsi="宋体" w:eastAsia="黑体"/>
          <w:b/>
          <w:color w:val="auto"/>
          <w:sz w:val="24"/>
          <w:highlight w:val="none"/>
        </w:rPr>
        <w:t>1</w:t>
      </w:r>
      <w:r>
        <w:rPr>
          <w:rFonts w:hint="eastAsia" w:ascii="黑体" w:hAnsi="宋体" w:eastAsia="黑体"/>
          <w:b/>
          <w:color w:val="auto"/>
          <w:sz w:val="24"/>
          <w:highlight w:val="none"/>
          <w:lang w:val="en-US" w:eastAsia="zh-CN"/>
        </w:rPr>
        <w:t>6</w:t>
      </w:r>
      <w:r>
        <w:rPr>
          <w:rFonts w:hint="eastAsia" w:ascii="黑体" w:hAnsi="宋体" w:eastAsia="黑体"/>
          <w:b/>
          <w:color w:val="auto"/>
          <w:sz w:val="24"/>
          <w:highlight w:val="none"/>
        </w:rPr>
        <w:t>.8 施工期运行</w:t>
      </w:r>
    </w:p>
    <w:p w14:paraId="7AEDCC99">
      <w:pPr>
        <w:spacing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.8.1 需要在施工期运行的单位工程或工程设备为：</w:t>
      </w:r>
      <w:r>
        <w:rPr>
          <w:rFonts w:hint="eastAsia" w:ascii="宋体" w:hAnsi="宋体"/>
          <w:color w:val="auto"/>
          <w:szCs w:val="21"/>
          <w:highlight w:val="none"/>
          <w:u w:val="single"/>
        </w:rPr>
        <w:t xml:space="preserve">    /    </w:t>
      </w:r>
      <w:r>
        <w:rPr>
          <w:rFonts w:ascii="宋体" w:hAnsi="宋体"/>
          <w:color w:val="auto"/>
          <w:szCs w:val="21"/>
          <w:highlight w:val="none"/>
        </w:rPr>
        <w:t>。</w:t>
      </w:r>
    </w:p>
    <w:p w14:paraId="652CFE7E">
      <w:pPr>
        <w:spacing w:line="400" w:lineRule="exact"/>
        <w:rPr>
          <w:rFonts w:hint="eastAsia" w:ascii="黑体" w:hAnsi="宋体" w:eastAsia="黑体"/>
          <w:b/>
          <w:color w:val="auto"/>
          <w:sz w:val="24"/>
          <w:highlight w:val="none"/>
        </w:rPr>
      </w:pPr>
      <w:r>
        <w:rPr>
          <w:rFonts w:hint="eastAsia" w:ascii="黑体" w:hAnsi="宋体" w:eastAsia="黑体"/>
          <w:b/>
          <w:color w:val="auto"/>
          <w:sz w:val="24"/>
          <w:highlight w:val="none"/>
        </w:rPr>
        <w:t>1</w:t>
      </w:r>
      <w:r>
        <w:rPr>
          <w:rFonts w:hint="eastAsia" w:ascii="黑体" w:hAnsi="宋体" w:eastAsia="黑体"/>
          <w:b/>
          <w:color w:val="auto"/>
          <w:sz w:val="24"/>
          <w:highlight w:val="none"/>
          <w:lang w:val="en-US" w:eastAsia="zh-CN"/>
        </w:rPr>
        <w:t>6</w:t>
      </w:r>
      <w:r>
        <w:rPr>
          <w:rFonts w:hint="eastAsia" w:ascii="黑体" w:hAnsi="宋体" w:eastAsia="黑体"/>
          <w:b/>
          <w:color w:val="auto"/>
          <w:sz w:val="24"/>
          <w:highlight w:val="none"/>
        </w:rPr>
        <w:t>.9 试运行</w:t>
      </w:r>
    </w:p>
    <w:p w14:paraId="6F806D70">
      <w:pPr>
        <w:spacing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.9.1 试运行的组织：</w:t>
      </w:r>
      <w:r>
        <w:rPr>
          <w:rFonts w:hint="eastAsia" w:ascii="宋体" w:hAnsi="宋体"/>
          <w:color w:val="auto"/>
          <w:szCs w:val="21"/>
          <w:highlight w:val="none"/>
          <w:u w:val="single"/>
        </w:rPr>
        <w:t xml:space="preserve">     /      </w:t>
      </w:r>
      <w:r>
        <w:rPr>
          <w:rFonts w:hint="eastAsia" w:ascii="宋体" w:hAnsi="宋体"/>
          <w:color w:val="auto"/>
          <w:szCs w:val="21"/>
          <w:highlight w:val="none"/>
        </w:rPr>
        <w:t>；费用承担：</w:t>
      </w:r>
      <w:r>
        <w:rPr>
          <w:rFonts w:hint="eastAsia" w:ascii="宋体" w:hAnsi="宋体"/>
          <w:color w:val="auto"/>
          <w:szCs w:val="21"/>
          <w:highlight w:val="none"/>
          <w:u w:val="single"/>
        </w:rPr>
        <w:t xml:space="preserve">      /      </w:t>
      </w:r>
      <w:r>
        <w:rPr>
          <w:rFonts w:hint="eastAsia" w:ascii="宋体" w:hAnsi="宋体"/>
          <w:color w:val="auto"/>
          <w:szCs w:val="21"/>
          <w:highlight w:val="none"/>
        </w:rPr>
        <w:t xml:space="preserve"> 。</w:t>
      </w:r>
    </w:p>
    <w:p w14:paraId="09304ECF">
      <w:pPr>
        <w:spacing w:line="400" w:lineRule="exact"/>
        <w:rPr>
          <w:rFonts w:hint="eastAsia" w:ascii="黑体" w:hAnsi="宋体" w:eastAsia="黑体"/>
          <w:b/>
          <w:color w:val="auto"/>
          <w:sz w:val="28"/>
          <w:szCs w:val="28"/>
          <w:highlight w:val="none"/>
        </w:rPr>
      </w:pPr>
      <w:bookmarkStart w:id="646" w:name="_Toc309533758"/>
      <w:bookmarkStart w:id="647" w:name="_Toc309533365"/>
      <w:bookmarkStart w:id="648" w:name="_Toc309534190"/>
      <w:r>
        <w:rPr>
          <w:rFonts w:hint="eastAsia" w:ascii="黑体" w:hAnsi="宋体" w:eastAsia="黑体"/>
          <w:b/>
          <w:color w:val="auto"/>
          <w:sz w:val="28"/>
          <w:szCs w:val="28"/>
          <w:highlight w:val="none"/>
        </w:rPr>
        <w:t>1</w:t>
      </w:r>
      <w:r>
        <w:rPr>
          <w:rFonts w:hint="eastAsia" w:ascii="黑体" w:hAnsi="宋体" w:eastAsia="黑体"/>
          <w:b/>
          <w:color w:val="auto"/>
          <w:sz w:val="28"/>
          <w:szCs w:val="28"/>
          <w:highlight w:val="none"/>
          <w:lang w:val="en-US" w:eastAsia="zh-CN"/>
        </w:rPr>
        <w:t>7</w:t>
      </w:r>
      <w:r>
        <w:rPr>
          <w:rFonts w:hint="eastAsia" w:ascii="黑体" w:hAnsi="宋体" w:eastAsia="黑体"/>
          <w:b/>
          <w:color w:val="auto"/>
          <w:sz w:val="28"/>
          <w:szCs w:val="28"/>
          <w:highlight w:val="none"/>
        </w:rPr>
        <w:t xml:space="preserve"> 缺陷责任与保修责任</w:t>
      </w:r>
      <w:bookmarkEnd w:id="646"/>
      <w:bookmarkEnd w:id="647"/>
      <w:bookmarkEnd w:id="648"/>
    </w:p>
    <w:p w14:paraId="782E9AFB">
      <w:pPr>
        <w:spacing w:line="400" w:lineRule="exact"/>
        <w:rPr>
          <w:rFonts w:hint="eastAsia" w:ascii="黑体" w:hAnsi="宋体" w:eastAsia="黑体"/>
          <w:b/>
          <w:color w:val="auto"/>
          <w:sz w:val="24"/>
          <w:highlight w:val="none"/>
        </w:rPr>
      </w:pPr>
      <w:r>
        <w:rPr>
          <w:rFonts w:hint="eastAsia" w:ascii="黑体" w:hAnsi="宋体" w:eastAsia="黑体"/>
          <w:b/>
          <w:color w:val="auto"/>
          <w:sz w:val="24"/>
          <w:highlight w:val="none"/>
        </w:rPr>
        <w:t>1</w:t>
      </w:r>
      <w:r>
        <w:rPr>
          <w:rFonts w:hint="eastAsia" w:ascii="黑体" w:hAnsi="宋体" w:eastAsia="黑体"/>
          <w:b/>
          <w:color w:val="auto"/>
          <w:sz w:val="24"/>
          <w:highlight w:val="none"/>
          <w:lang w:val="en-US" w:eastAsia="zh-CN"/>
        </w:rPr>
        <w:t>7</w:t>
      </w:r>
      <w:r>
        <w:rPr>
          <w:rFonts w:hint="eastAsia" w:ascii="黑体" w:hAnsi="宋体" w:eastAsia="黑体"/>
          <w:b/>
          <w:color w:val="auto"/>
          <w:sz w:val="24"/>
          <w:highlight w:val="none"/>
        </w:rPr>
        <w:t>.1 缺陷责任期（工程质量保修期）的起算时间</w:t>
      </w:r>
    </w:p>
    <w:p w14:paraId="64B61919">
      <w:pPr>
        <w:spacing w:line="400" w:lineRule="exact"/>
        <w:ind w:firstLine="420" w:firstLineChars="200"/>
        <w:rPr>
          <w:rFonts w:hint="default" w:ascii="宋体" w:hAnsi="宋体" w:eastAsia="宋体"/>
          <w:color w:val="auto"/>
          <w:szCs w:val="21"/>
          <w:highlight w:val="none"/>
          <w:lang w:val="en-US" w:eastAsia="zh-CN"/>
        </w:rPr>
      </w:pPr>
      <w:r>
        <w:rPr>
          <w:rFonts w:hint="eastAsia" w:ascii="宋体" w:hAnsi="宋体"/>
          <w:color w:val="auto"/>
          <w:szCs w:val="21"/>
          <w:highlight w:val="none"/>
        </w:rPr>
        <w:t>本工程缺陷责任期（工程质量保修期）计算如下：缺陷责任期限为12个月，缺陷责任期自移交证书颁发之日开始计算。工程质量保修期</w:t>
      </w:r>
      <w:r>
        <w:rPr>
          <w:rFonts w:hint="eastAsia" w:ascii="宋体" w:hAnsi="宋体"/>
          <w:color w:val="auto"/>
          <w:szCs w:val="21"/>
          <w:highlight w:val="none"/>
          <w:lang w:val="en-US" w:eastAsia="zh-CN"/>
        </w:rPr>
        <w:t>内承包单位对所完成工程无偿实施保修义务；缺陷责任期内承包单位对所完成的工程产品发生质量缺陷后提供无偿修补义务.</w:t>
      </w:r>
    </w:p>
    <w:p w14:paraId="62B70086">
      <w:pPr>
        <w:spacing w:line="400" w:lineRule="exact"/>
        <w:rPr>
          <w:rFonts w:hint="eastAsia" w:ascii="黑体" w:hAnsi="宋体" w:eastAsia="黑体"/>
          <w:b/>
          <w:color w:val="auto"/>
          <w:sz w:val="28"/>
          <w:szCs w:val="28"/>
          <w:highlight w:val="none"/>
        </w:rPr>
      </w:pPr>
      <w:bookmarkStart w:id="649" w:name="_Toc222032711"/>
      <w:bookmarkStart w:id="650" w:name="_Toc309533366"/>
      <w:bookmarkStart w:id="651" w:name="_Toc309534191"/>
      <w:bookmarkStart w:id="652" w:name="_Toc222029542"/>
      <w:bookmarkStart w:id="653" w:name="_Toc229305400"/>
      <w:bookmarkStart w:id="654" w:name="_Toc222033893"/>
      <w:bookmarkStart w:id="655" w:name="_Toc309533759"/>
      <w:bookmarkStart w:id="656" w:name="_Toc221951299"/>
      <w:bookmarkStart w:id="657" w:name="_Toc222031044"/>
      <w:r>
        <w:rPr>
          <w:rFonts w:hint="eastAsia" w:ascii="黑体" w:hAnsi="宋体" w:eastAsia="黑体"/>
          <w:b/>
          <w:color w:val="auto"/>
          <w:sz w:val="28"/>
          <w:szCs w:val="28"/>
          <w:highlight w:val="none"/>
          <w:lang w:val="en-US" w:eastAsia="zh-CN"/>
        </w:rPr>
        <w:t>18</w:t>
      </w:r>
      <w:r>
        <w:rPr>
          <w:rFonts w:hint="eastAsia" w:ascii="黑体" w:hAnsi="宋体" w:eastAsia="黑体"/>
          <w:b/>
          <w:color w:val="auto"/>
          <w:sz w:val="28"/>
          <w:szCs w:val="28"/>
          <w:highlight w:val="none"/>
        </w:rPr>
        <w:t xml:space="preserve"> 保险</w:t>
      </w:r>
      <w:bookmarkEnd w:id="649"/>
      <w:bookmarkEnd w:id="650"/>
      <w:bookmarkEnd w:id="651"/>
      <w:bookmarkEnd w:id="652"/>
      <w:bookmarkEnd w:id="653"/>
      <w:bookmarkEnd w:id="654"/>
      <w:bookmarkEnd w:id="655"/>
      <w:bookmarkEnd w:id="656"/>
      <w:bookmarkEnd w:id="657"/>
    </w:p>
    <w:p w14:paraId="04A51DC0">
      <w:pPr>
        <w:spacing w:line="400" w:lineRule="exact"/>
        <w:rPr>
          <w:rFonts w:hint="eastAsia" w:ascii="宋体" w:hAnsi="宋体"/>
          <w:b/>
          <w:color w:val="auto"/>
          <w:sz w:val="24"/>
          <w:highlight w:val="none"/>
        </w:rPr>
      </w:pPr>
      <w:bookmarkStart w:id="658" w:name="_Toc221951321"/>
      <w:bookmarkStart w:id="659" w:name="_Toc221951325"/>
      <w:r>
        <w:rPr>
          <w:rFonts w:hint="eastAsia" w:ascii="宋体" w:hAnsi="宋体"/>
          <w:b/>
          <w:color w:val="auto"/>
          <w:sz w:val="24"/>
          <w:highlight w:val="none"/>
          <w:lang w:val="en-US" w:eastAsia="zh-CN"/>
        </w:rPr>
        <w:t>18</w:t>
      </w:r>
      <w:r>
        <w:rPr>
          <w:rFonts w:hint="eastAsia" w:ascii="宋体" w:hAnsi="宋体"/>
          <w:b/>
          <w:color w:val="auto"/>
          <w:sz w:val="24"/>
          <w:highlight w:val="none"/>
        </w:rPr>
        <w:t>.1 工程保险</w:t>
      </w:r>
      <w:bookmarkEnd w:id="658"/>
    </w:p>
    <w:p w14:paraId="56CD60BE">
      <w:pPr>
        <w:spacing w:line="400" w:lineRule="exact"/>
        <w:ind w:firstLine="480"/>
        <w:rPr>
          <w:rFonts w:hint="eastAsia" w:ascii="宋体" w:hAnsi="宋体"/>
          <w:color w:val="auto"/>
          <w:szCs w:val="21"/>
          <w:highlight w:val="none"/>
        </w:rPr>
      </w:pPr>
      <w:bookmarkStart w:id="660" w:name="_Toc221951323"/>
      <w:r>
        <w:rPr>
          <w:rFonts w:hint="eastAsia" w:ascii="宋体" w:hAnsi="宋体"/>
          <w:color w:val="auto"/>
          <w:szCs w:val="21"/>
          <w:highlight w:val="none"/>
        </w:rPr>
        <w:t>建筑工程一切险</w:t>
      </w:r>
      <w:r>
        <w:rPr>
          <w:rFonts w:hint="eastAsia" w:ascii="宋体" w:hAnsi="宋体"/>
          <w:b/>
          <w:color w:val="auto"/>
          <w:szCs w:val="21"/>
          <w:highlight w:val="none"/>
        </w:rPr>
        <w:t>（含第三者责任险）</w:t>
      </w:r>
      <w:r>
        <w:rPr>
          <w:rFonts w:hint="eastAsia" w:ascii="宋体" w:hAnsi="宋体"/>
          <w:color w:val="auto"/>
          <w:szCs w:val="21"/>
          <w:highlight w:val="none"/>
        </w:rPr>
        <w:t>和（或）安装工程一切险投保人：</w:t>
      </w:r>
      <w:r>
        <w:rPr>
          <w:snapToGrid w:val="0"/>
          <w:color w:val="auto"/>
          <w:szCs w:val="21"/>
          <w:highlight w:val="none"/>
          <w:u w:val="single"/>
        </w:rPr>
        <w:t>由承包人以发包人和承包人的名义投保</w:t>
      </w:r>
      <w:r>
        <w:rPr>
          <w:rFonts w:hint="eastAsia" w:ascii="宋体" w:hAnsi="宋体"/>
          <w:color w:val="auto"/>
          <w:szCs w:val="21"/>
          <w:highlight w:val="none"/>
        </w:rPr>
        <w:t xml:space="preserve">； </w:t>
      </w:r>
    </w:p>
    <w:p w14:paraId="5BA8A6B8">
      <w:pPr>
        <w:spacing w:line="400" w:lineRule="exact"/>
        <w:ind w:firstLine="525" w:firstLineChars="250"/>
        <w:jc w:val="left"/>
        <w:rPr>
          <w:rFonts w:hint="eastAsia" w:ascii="宋体" w:hAnsi="宋体"/>
          <w:color w:val="auto"/>
          <w:szCs w:val="21"/>
          <w:highlight w:val="none"/>
        </w:rPr>
      </w:pPr>
      <w:r>
        <w:rPr>
          <w:rFonts w:hint="eastAsia" w:ascii="宋体" w:hAnsi="宋体"/>
          <w:color w:val="auto"/>
          <w:szCs w:val="21"/>
          <w:highlight w:val="none"/>
        </w:rPr>
        <w:t>投保内容：</w:t>
      </w:r>
      <w:r>
        <w:rPr>
          <w:rFonts w:hint="eastAsia" w:ascii="宋体" w:hAnsi="宋体"/>
          <w:color w:val="auto"/>
          <w:szCs w:val="21"/>
          <w:highlight w:val="none"/>
          <w:lang w:val="en-US" w:eastAsia="zh-CN"/>
        </w:rPr>
        <w:t>农安县饮马河堤防水毁修复工程</w:t>
      </w:r>
      <w:r>
        <w:rPr>
          <w:rFonts w:hint="eastAsia" w:ascii="宋体" w:hAnsi="宋体"/>
          <w:color w:val="auto"/>
          <w:szCs w:val="21"/>
          <w:highlight w:val="none"/>
          <w:u w:val="single"/>
        </w:rPr>
        <w:t xml:space="preserve">以及需要投保的临时工程项目 </w:t>
      </w:r>
      <w:r>
        <w:rPr>
          <w:rFonts w:hint="eastAsia" w:ascii="宋体" w:hAnsi="宋体"/>
          <w:color w:val="auto"/>
          <w:szCs w:val="21"/>
          <w:highlight w:val="none"/>
        </w:rPr>
        <w:t xml:space="preserve">；                                                      </w:t>
      </w:r>
    </w:p>
    <w:p w14:paraId="68289E91">
      <w:pPr>
        <w:spacing w:line="400" w:lineRule="exact"/>
        <w:ind w:firstLine="480"/>
        <w:rPr>
          <w:rFonts w:hint="eastAsia" w:ascii="宋体" w:hAnsi="宋体"/>
          <w:color w:val="auto"/>
          <w:szCs w:val="21"/>
          <w:highlight w:val="none"/>
        </w:rPr>
      </w:pPr>
      <w:r>
        <w:rPr>
          <w:rFonts w:hint="eastAsia" w:ascii="宋体" w:hAnsi="宋体"/>
          <w:color w:val="auto"/>
          <w:szCs w:val="21"/>
          <w:highlight w:val="none"/>
        </w:rPr>
        <w:t>保险金额、保险费率和保险期限：</w:t>
      </w:r>
      <w:r>
        <w:rPr>
          <w:rFonts w:hint="eastAsia" w:ascii="宋体" w:hAnsi="宋体"/>
          <w:color w:val="auto"/>
          <w:szCs w:val="21"/>
          <w:highlight w:val="none"/>
          <w:u w:val="single"/>
        </w:rPr>
        <w:t>保险金额按保险人规定，保险费率由保险人确定，保险期限自开工</w:t>
      </w:r>
      <w:r>
        <w:rPr>
          <w:rFonts w:hint="eastAsia" w:ascii="宋体" w:hAnsi="宋体"/>
          <w:color w:val="auto"/>
          <w:szCs w:val="21"/>
          <w:highlight w:val="none"/>
          <w:u w:val="single"/>
          <w:lang w:eastAsia="zh-CN"/>
        </w:rPr>
        <w:t>即日</w:t>
      </w:r>
      <w:r>
        <w:rPr>
          <w:rFonts w:hint="eastAsia" w:ascii="宋体" w:hAnsi="宋体"/>
          <w:color w:val="auto"/>
          <w:szCs w:val="21"/>
          <w:highlight w:val="none"/>
          <w:u w:val="single"/>
        </w:rPr>
        <w:t>算起至颁发工程移交证书</w:t>
      </w:r>
      <w:r>
        <w:rPr>
          <w:rFonts w:hint="eastAsia" w:ascii="宋体" w:hAnsi="宋体"/>
          <w:color w:val="auto"/>
          <w:szCs w:val="21"/>
          <w:highlight w:val="none"/>
        </w:rPr>
        <w:t>。</w:t>
      </w:r>
    </w:p>
    <w:bookmarkEnd w:id="660"/>
    <w:p w14:paraId="4AADE61A">
      <w:pPr>
        <w:spacing w:line="400" w:lineRule="exact"/>
        <w:rPr>
          <w:rFonts w:hint="eastAsia" w:ascii="宋体" w:hAnsi="宋体"/>
          <w:b/>
          <w:color w:val="auto"/>
          <w:sz w:val="24"/>
          <w:highlight w:val="none"/>
        </w:rPr>
      </w:pPr>
      <w:r>
        <w:rPr>
          <w:rFonts w:hint="eastAsia" w:ascii="宋体" w:hAnsi="宋体"/>
          <w:b/>
          <w:color w:val="auto"/>
          <w:sz w:val="24"/>
          <w:highlight w:val="none"/>
          <w:lang w:val="en-US" w:eastAsia="zh-CN"/>
        </w:rPr>
        <w:t>18</w:t>
      </w:r>
      <w:r>
        <w:rPr>
          <w:rFonts w:hint="eastAsia" w:ascii="宋体" w:hAnsi="宋体"/>
          <w:b/>
          <w:color w:val="auto"/>
          <w:sz w:val="24"/>
          <w:highlight w:val="none"/>
        </w:rPr>
        <w:t>.2人员工伤事故的保险</w:t>
      </w:r>
    </w:p>
    <w:p w14:paraId="6B5CD669">
      <w:pPr>
        <w:spacing w:line="400" w:lineRule="exact"/>
        <w:ind w:firstLine="480"/>
        <w:rPr>
          <w:rFonts w:hint="eastAsia" w:ascii="宋体" w:hAnsi="宋体"/>
          <w:color w:val="auto"/>
          <w:szCs w:val="21"/>
          <w:highlight w:val="none"/>
        </w:rPr>
      </w:pPr>
      <w:r>
        <w:rPr>
          <w:rFonts w:hint="eastAsia" w:ascii="宋体" w:hAnsi="宋体"/>
          <w:color w:val="auto"/>
          <w:szCs w:val="21"/>
          <w:highlight w:val="none"/>
          <w:lang w:val="en-US" w:eastAsia="zh-CN"/>
        </w:rPr>
        <w:t>18</w:t>
      </w:r>
      <w:r>
        <w:rPr>
          <w:rFonts w:hint="eastAsia" w:ascii="宋体" w:hAnsi="宋体"/>
          <w:color w:val="auto"/>
          <w:szCs w:val="21"/>
          <w:highlight w:val="none"/>
        </w:rPr>
        <w:t xml:space="preserve">.2.1承包人员工伤事故的保险 </w:t>
      </w:r>
    </w:p>
    <w:p w14:paraId="4EB6747D">
      <w:pPr>
        <w:spacing w:line="400" w:lineRule="exact"/>
        <w:ind w:firstLine="480"/>
        <w:rPr>
          <w:rFonts w:hint="eastAsia" w:ascii="宋体" w:hAnsi="宋体"/>
          <w:color w:val="auto"/>
          <w:szCs w:val="21"/>
          <w:highlight w:val="none"/>
        </w:rPr>
      </w:pPr>
      <w:r>
        <w:rPr>
          <w:rFonts w:hint="eastAsia" w:ascii="宋体" w:hAnsi="宋体"/>
          <w:color w:val="auto"/>
          <w:szCs w:val="21"/>
          <w:highlight w:val="none"/>
        </w:rPr>
        <w:t>承包人应依照法律规定参加工伤保险，为其履行合同所雇佣的全部人员，缴纳工伤保险费。</w:t>
      </w:r>
    </w:p>
    <w:p w14:paraId="30B0A4C4">
      <w:pPr>
        <w:spacing w:line="400" w:lineRule="exact"/>
        <w:rPr>
          <w:rFonts w:hint="eastAsia" w:ascii="宋体" w:hAnsi="宋体"/>
          <w:b/>
          <w:color w:val="auto"/>
          <w:sz w:val="24"/>
          <w:highlight w:val="none"/>
        </w:rPr>
      </w:pPr>
      <w:r>
        <w:rPr>
          <w:rFonts w:hint="eastAsia" w:ascii="宋体" w:hAnsi="宋体"/>
          <w:b/>
          <w:color w:val="auto"/>
          <w:sz w:val="24"/>
          <w:highlight w:val="none"/>
          <w:lang w:val="en-US" w:eastAsia="zh-CN"/>
        </w:rPr>
        <w:t>18</w:t>
      </w:r>
      <w:r>
        <w:rPr>
          <w:rFonts w:hint="eastAsia" w:ascii="宋体" w:hAnsi="宋体"/>
          <w:b/>
          <w:color w:val="auto"/>
          <w:sz w:val="24"/>
          <w:highlight w:val="none"/>
        </w:rPr>
        <w:t>.3 人身意外伤害险</w:t>
      </w:r>
    </w:p>
    <w:p w14:paraId="20F35C02">
      <w:pPr>
        <w:spacing w:line="400" w:lineRule="exact"/>
        <w:ind w:firstLine="525" w:firstLineChars="250"/>
        <w:rPr>
          <w:rFonts w:hint="eastAsia" w:ascii="宋体" w:hAnsi="宋体"/>
          <w:color w:val="auto"/>
          <w:szCs w:val="21"/>
          <w:highlight w:val="none"/>
        </w:rPr>
      </w:pPr>
      <w:r>
        <w:rPr>
          <w:rFonts w:hint="eastAsia" w:ascii="宋体" w:hAnsi="宋体"/>
          <w:color w:val="auto"/>
          <w:szCs w:val="21"/>
          <w:highlight w:val="none"/>
          <w:lang w:val="en-US" w:eastAsia="zh-CN"/>
        </w:rPr>
        <w:t>18</w:t>
      </w:r>
      <w:r>
        <w:rPr>
          <w:rFonts w:hint="eastAsia" w:ascii="宋体" w:hAnsi="宋体"/>
          <w:color w:val="auto"/>
          <w:szCs w:val="21"/>
          <w:highlight w:val="none"/>
        </w:rPr>
        <w:t>.3.2承包人应在整个施工期间为其现场机构雇用的全部人员，投保人身意外伤害险，缴纳保险费。</w:t>
      </w:r>
    </w:p>
    <w:p w14:paraId="2E04A2D3">
      <w:pPr>
        <w:spacing w:line="400" w:lineRule="exact"/>
        <w:rPr>
          <w:rFonts w:hint="eastAsia" w:ascii="黑体" w:hAnsi="宋体" w:eastAsia="黑体"/>
          <w:b/>
          <w:color w:val="auto"/>
          <w:sz w:val="24"/>
          <w:highlight w:val="none"/>
        </w:rPr>
      </w:pPr>
      <w:r>
        <w:rPr>
          <w:rFonts w:hint="eastAsia" w:ascii="黑体" w:hAnsi="宋体" w:eastAsia="黑体"/>
          <w:b/>
          <w:color w:val="auto"/>
          <w:sz w:val="24"/>
          <w:highlight w:val="none"/>
          <w:lang w:val="en-US" w:eastAsia="zh-CN"/>
        </w:rPr>
        <w:t>18</w:t>
      </w:r>
      <w:r>
        <w:rPr>
          <w:rFonts w:hint="eastAsia" w:ascii="黑体" w:hAnsi="宋体" w:eastAsia="黑体"/>
          <w:b/>
          <w:color w:val="auto"/>
          <w:sz w:val="24"/>
          <w:highlight w:val="none"/>
        </w:rPr>
        <w:t>.5 其他保险</w:t>
      </w:r>
      <w:bookmarkEnd w:id="659"/>
    </w:p>
    <w:p w14:paraId="2A5B3F40">
      <w:pPr>
        <w:spacing w:line="400" w:lineRule="exact"/>
        <w:ind w:firstLine="480"/>
        <w:rPr>
          <w:rFonts w:hint="eastAsia" w:ascii="宋体" w:hAnsi="宋体"/>
          <w:color w:val="auto"/>
          <w:szCs w:val="21"/>
          <w:highlight w:val="none"/>
        </w:rPr>
      </w:pPr>
      <w:bookmarkStart w:id="661" w:name="_Toc221951327"/>
      <w:r>
        <w:rPr>
          <w:rFonts w:hint="eastAsia" w:ascii="宋体" w:hAnsi="宋体"/>
          <w:color w:val="auto"/>
          <w:szCs w:val="21"/>
          <w:highlight w:val="none"/>
        </w:rPr>
        <w:t>需要投保</w:t>
      </w:r>
      <w:r>
        <w:rPr>
          <w:rFonts w:hint="eastAsia" w:ascii="宋体" w:hAnsi="宋体"/>
          <w:color w:val="auto"/>
          <w:szCs w:val="21"/>
          <w:highlight w:val="none"/>
          <w:lang w:eastAsia="zh-CN"/>
        </w:rPr>
        <w:t>的其他内容</w:t>
      </w:r>
      <w:r>
        <w:rPr>
          <w:rFonts w:hint="eastAsia" w:ascii="宋体" w:hAnsi="宋体"/>
          <w:color w:val="auto"/>
          <w:szCs w:val="21"/>
          <w:highlight w:val="none"/>
        </w:rPr>
        <w:t>：</w:t>
      </w:r>
      <w:r>
        <w:rPr>
          <w:rFonts w:hint="eastAsia" w:ascii="宋体" w:hAnsi="宋体"/>
          <w:color w:val="auto"/>
          <w:szCs w:val="21"/>
          <w:highlight w:val="none"/>
          <w:u w:val="single"/>
        </w:rPr>
        <w:t>承包人应为其施工设备、进场的材料和工程设备等办理保险</w:t>
      </w:r>
      <w:r>
        <w:rPr>
          <w:rFonts w:hint="eastAsia" w:ascii="宋体" w:hAnsi="宋体"/>
          <w:color w:val="auto"/>
          <w:szCs w:val="21"/>
          <w:highlight w:val="none"/>
        </w:rPr>
        <w:t>；</w:t>
      </w:r>
    </w:p>
    <w:p w14:paraId="4FA9FEFF">
      <w:pPr>
        <w:spacing w:line="400" w:lineRule="exact"/>
        <w:ind w:firstLine="480"/>
        <w:rPr>
          <w:rFonts w:hint="eastAsia" w:ascii="宋体" w:hAnsi="宋体"/>
          <w:color w:val="auto"/>
          <w:szCs w:val="21"/>
          <w:highlight w:val="none"/>
        </w:rPr>
      </w:pPr>
      <w:r>
        <w:rPr>
          <w:rFonts w:hint="eastAsia" w:ascii="宋体" w:hAnsi="宋体"/>
          <w:color w:val="auto"/>
          <w:szCs w:val="21"/>
          <w:highlight w:val="none"/>
        </w:rPr>
        <w:t>保险金额、保险费率和保险期限：</w:t>
      </w:r>
      <w:r>
        <w:rPr>
          <w:rFonts w:hint="eastAsia" w:ascii="宋体" w:hAnsi="宋体"/>
          <w:color w:val="auto"/>
          <w:szCs w:val="21"/>
          <w:highlight w:val="none"/>
          <w:u w:val="single"/>
        </w:rPr>
        <w:t>保险金额、保险费率由保险人确定，保险期限按实际施工期限投保</w:t>
      </w:r>
      <w:r>
        <w:rPr>
          <w:rFonts w:hint="eastAsia" w:ascii="宋体" w:hAnsi="宋体"/>
          <w:color w:val="auto"/>
          <w:szCs w:val="21"/>
          <w:highlight w:val="none"/>
        </w:rPr>
        <w:t>。</w:t>
      </w:r>
    </w:p>
    <w:p w14:paraId="1C5495B2">
      <w:pPr>
        <w:spacing w:line="400" w:lineRule="exact"/>
        <w:rPr>
          <w:rFonts w:hint="eastAsia" w:ascii="黑体" w:hAnsi="宋体" w:eastAsia="黑体"/>
          <w:b/>
          <w:color w:val="auto"/>
          <w:sz w:val="24"/>
          <w:highlight w:val="none"/>
        </w:rPr>
      </w:pPr>
      <w:r>
        <w:rPr>
          <w:rFonts w:hint="eastAsia" w:ascii="黑体" w:hAnsi="宋体" w:eastAsia="黑体"/>
          <w:b/>
          <w:color w:val="auto"/>
          <w:sz w:val="24"/>
          <w:highlight w:val="none"/>
          <w:lang w:val="en-US" w:eastAsia="zh-CN"/>
        </w:rPr>
        <w:t>18</w:t>
      </w:r>
      <w:r>
        <w:rPr>
          <w:rFonts w:hint="eastAsia" w:ascii="黑体" w:hAnsi="宋体" w:eastAsia="黑体"/>
          <w:b/>
          <w:color w:val="auto"/>
          <w:sz w:val="24"/>
          <w:highlight w:val="none"/>
        </w:rPr>
        <w:t>.6 对各项保险的一般要求</w:t>
      </w:r>
      <w:bookmarkEnd w:id="661"/>
    </w:p>
    <w:p w14:paraId="7EE6DEE3">
      <w:pPr>
        <w:spacing w:line="400" w:lineRule="exact"/>
        <w:ind w:firstLine="525" w:firstLineChars="250"/>
        <w:rPr>
          <w:rFonts w:hint="eastAsia" w:ascii="宋体" w:hAnsi="宋体"/>
          <w:color w:val="auto"/>
          <w:szCs w:val="21"/>
          <w:highlight w:val="none"/>
        </w:rPr>
      </w:pPr>
      <w:bookmarkStart w:id="662" w:name="_Toc221951328"/>
      <w:r>
        <w:rPr>
          <w:rFonts w:hint="eastAsia" w:ascii="宋体" w:hAnsi="宋体"/>
          <w:color w:val="auto"/>
          <w:szCs w:val="21"/>
          <w:highlight w:val="none"/>
          <w:lang w:val="en-US" w:eastAsia="zh-CN"/>
        </w:rPr>
        <w:t>18</w:t>
      </w:r>
      <w:r>
        <w:rPr>
          <w:rFonts w:hint="eastAsia" w:ascii="宋体" w:hAnsi="宋体"/>
          <w:color w:val="auto"/>
          <w:szCs w:val="21"/>
          <w:highlight w:val="none"/>
        </w:rPr>
        <w:t>.</w:t>
      </w:r>
      <w:r>
        <w:rPr>
          <w:rFonts w:ascii="宋体" w:hAnsi="宋体"/>
          <w:color w:val="auto"/>
          <w:szCs w:val="21"/>
          <w:highlight w:val="none"/>
        </w:rPr>
        <w:t>6</w:t>
      </w:r>
      <w:r>
        <w:rPr>
          <w:rFonts w:hint="eastAsia" w:ascii="宋体" w:hAnsi="宋体"/>
          <w:color w:val="auto"/>
          <w:szCs w:val="21"/>
          <w:highlight w:val="none"/>
        </w:rPr>
        <w:t>.</w:t>
      </w:r>
      <w:r>
        <w:rPr>
          <w:rFonts w:ascii="宋体" w:hAnsi="宋体"/>
          <w:color w:val="auto"/>
          <w:szCs w:val="21"/>
          <w:highlight w:val="none"/>
        </w:rPr>
        <w:t>1</w:t>
      </w:r>
      <w:r>
        <w:rPr>
          <w:rFonts w:hint="eastAsia" w:ascii="宋体" w:hAnsi="宋体"/>
          <w:color w:val="auto"/>
          <w:szCs w:val="21"/>
          <w:highlight w:val="none"/>
        </w:rPr>
        <w:t xml:space="preserve">  保险凭证</w:t>
      </w:r>
      <w:bookmarkEnd w:id="662"/>
    </w:p>
    <w:p w14:paraId="63E00AA1">
      <w:pPr>
        <w:spacing w:line="400" w:lineRule="exact"/>
        <w:ind w:firstLine="525" w:firstLineChars="250"/>
        <w:rPr>
          <w:rFonts w:ascii="宋体" w:hAnsi="宋体"/>
          <w:color w:val="auto"/>
          <w:szCs w:val="21"/>
          <w:highlight w:val="none"/>
        </w:rPr>
      </w:pPr>
      <w:r>
        <w:rPr>
          <w:rFonts w:hint="eastAsia" w:ascii="宋体" w:hAnsi="宋体"/>
          <w:color w:val="auto"/>
          <w:szCs w:val="21"/>
          <w:highlight w:val="none"/>
        </w:rPr>
        <w:t>承包人就在工程开工前向发包人提交各项保险生效的证据和保险单副本，保险单必须与专用合同条款约定的条件保持一致。</w:t>
      </w:r>
    </w:p>
    <w:p w14:paraId="44B2F551">
      <w:pPr>
        <w:spacing w:line="400" w:lineRule="exact"/>
        <w:ind w:firstLine="480"/>
        <w:rPr>
          <w:rFonts w:hint="eastAsia" w:ascii="宋体" w:hAnsi="宋体"/>
          <w:color w:val="auto"/>
          <w:szCs w:val="21"/>
          <w:highlight w:val="none"/>
        </w:rPr>
      </w:pPr>
      <w:bookmarkStart w:id="663" w:name="_Toc221951329"/>
      <w:r>
        <w:rPr>
          <w:rFonts w:hint="eastAsia" w:ascii="宋体" w:hAnsi="宋体"/>
          <w:color w:val="auto"/>
          <w:szCs w:val="21"/>
          <w:highlight w:val="none"/>
        </w:rPr>
        <w:t>承包人提交保险凭证的期限：</w:t>
      </w:r>
      <w:r>
        <w:rPr>
          <w:rFonts w:hint="eastAsia" w:ascii="宋体" w:hAnsi="宋体"/>
          <w:color w:val="auto"/>
          <w:szCs w:val="21"/>
          <w:highlight w:val="none"/>
          <w:u w:val="single"/>
        </w:rPr>
        <w:t xml:space="preserve"> 保险手续办理完毕后7天内提交</w:t>
      </w:r>
      <w:bookmarkEnd w:id="663"/>
      <w:r>
        <w:rPr>
          <w:rFonts w:hint="eastAsia" w:ascii="宋体" w:hAnsi="宋体"/>
          <w:color w:val="auto"/>
          <w:szCs w:val="21"/>
          <w:highlight w:val="none"/>
          <w:u w:val="single"/>
        </w:rPr>
        <w:t xml:space="preserve"> </w:t>
      </w:r>
      <w:r>
        <w:rPr>
          <w:rFonts w:hint="eastAsia" w:ascii="宋体" w:hAnsi="宋体"/>
          <w:color w:val="auto"/>
          <w:szCs w:val="21"/>
          <w:highlight w:val="none"/>
        </w:rPr>
        <w:t>；</w:t>
      </w:r>
    </w:p>
    <w:p w14:paraId="2B50FBC4">
      <w:pPr>
        <w:spacing w:line="400" w:lineRule="exact"/>
        <w:ind w:firstLine="480"/>
        <w:rPr>
          <w:rFonts w:hint="eastAsia" w:ascii="宋体" w:hAnsi="宋体"/>
          <w:color w:val="auto"/>
          <w:szCs w:val="21"/>
          <w:highlight w:val="none"/>
        </w:rPr>
      </w:pPr>
      <w:bookmarkStart w:id="664" w:name="_Toc221951330"/>
      <w:r>
        <w:rPr>
          <w:rFonts w:hint="eastAsia" w:ascii="宋体" w:hAnsi="宋体"/>
          <w:color w:val="auto"/>
          <w:szCs w:val="21"/>
          <w:highlight w:val="none"/>
        </w:rPr>
        <w:t>保险条件：</w:t>
      </w:r>
      <w:r>
        <w:rPr>
          <w:rFonts w:hint="eastAsia" w:ascii="宋体" w:hAnsi="宋体"/>
          <w:color w:val="auto"/>
          <w:szCs w:val="21"/>
          <w:highlight w:val="none"/>
          <w:u w:val="single"/>
        </w:rPr>
        <w:t xml:space="preserve">               /                   </w:t>
      </w:r>
      <w:r>
        <w:rPr>
          <w:rFonts w:hint="eastAsia" w:ascii="宋体" w:hAnsi="宋体"/>
          <w:color w:val="auto"/>
          <w:szCs w:val="21"/>
          <w:highlight w:val="none"/>
        </w:rPr>
        <w:t>。</w:t>
      </w:r>
      <w:bookmarkEnd w:id="664"/>
    </w:p>
    <w:p w14:paraId="3574A748">
      <w:pPr>
        <w:numPr>
          <w:ilvl w:val="0"/>
          <w:numId w:val="0"/>
        </w:numPr>
        <w:spacing w:line="400" w:lineRule="exact"/>
        <w:ind w:left="480" w:leftChars="0"/>
        <w:rPr>
          <w:rFonts w:hint="eastAsia" w:ascii="宋体" w:hAnsi="宋体"/>
          <w:color w:val="auto"/>
          <w:szCs w:val="21"/>
          <w:highlight w:val="none"/>
        </w:rPr>
      </w:pPr>
      <w:bookmarkStart w:id="665" w:name="_Toc221951331"/>
      <w:r>
        <w:rPr>
          <w:rFonts w:hint="eastAsia" w:ascii="宋体" w:hAnsi="宋体"/>
          <w:color w:val="auto"/>
          <w:szCs w:val="21"/>
          <w:highlight w:val="none"/>
          <w:lang w:val="en-US" w:eastAsia="zh-CN"/>
        </w:rPr>
        <w:t>18.6.2</w:t>
      </w:r>
      <w:r>
        <w:rPr>
          <w:rFonts w:hint="eastAsia" w:ascii="宋体" w:hAnsi="宋体"/>
          <w:color w:val="auto"/>
          <w:szCs w:val="21"/>
          <w:highlight w:val="none"/>
        </w:rPr>
        <w:t>保险金不足的补偿</w:t>
      </w:r>
      <w:bookmarkEnd w:id="665"/>
    </w:p>
    <w:p w14:paraId="3E327377">
      <w:pPr>
        <w:spacing w:line="400" w:lineRule="exact"/>
        <w:rPr>
          <w:rFonts w:hint="eastAsia" w:ascii="宋体" w:hAnsi="宋体"/>
          <w:color w:val="auto"/>
          <w:szCs w:val="21"/>
          <w:highlight w:val="none"/>
        </w:rPr>
      </w:pPr>
      <w:r>
        <w:rPr>
          <w:rFonts w:hint="eastAsia" w:ascii="宋体" w:hAnsi="宋体"/>
          <w:color w:val="auto"/>
          <w:szCs w:val="21"/>
          <w:highlight w:val="none"/>
        </w:rPr>
        <w:t xml:space="preserve">  承包人负责补偿的范围与金额：</w:t>
      </w:r>
      <w:r>
        <w:rPr>
          <w:rFonts w:hint="eastAsia" w:ascii="宋体" w:hAnsi="宋体"/>
          <w:color w:val="auto"/>
          <w:szCs w:val="21"/>
          <w:highlight w:val="none"/>
          <w:u w:val="single"/>
        </w:rPr>
        <w:t>承包人承保的保险金不足的补偿均由承包人负责</w:t>
      </w:r>
      <w:r>
        <w:rPr>
          <w:rFonts w:hint="eastAsia" w:ascii="宋体" w:hAnsi="宋体"/>
          <w:color w:val="auto"/>
          <w:szCs w:val="21"/>
          <w:highlight w:val="none"/>
        </w:rPr>
        <w:t>。</w:t>
      </w:r>
    </w:p>
    <w:p w14:paraId="241B3C43">
      <w:pPr>
        <w:spacing w:line="400" w:lineRule="exact"/>
        <w:ind w:firstLine="210" w:firstLineChars="100"/>
        <w:rPr>
          <w:rFonts w:hint="eastAsia" w:ascii="宋体" w:hAnsi="宋体"/>
          <w:color w:val="auto"/>
          <w:szCs w:val="21"/>
          <w:highlight w:val="none"/>
        </w:rPr>
      </w:pPr>
      <w:r>
        <w:rPr>
          <w:rFonts w:hint="eastAsia" w:ascii="宋体" w:hAnsi="宋体"/>
          <w:color w:val="auto"/>
          <w:szCs w:val="21"/>
          <w:highlight w:val="none"/>
        </w:rPr>
        <w:t>发包人负责补偿的范围与金额：</w:t>
      </w:r>
      <w:r>
        <w:rPr>
          <w:rFonts w:hint="eastAsia"/>
          <w:color w:val="auto"/>
          <w:szCs w:val="21"/>
          <w:highlight w:val="none"/>
          <w:u w:val="single"/>
        </w:rPr>
        <w:t>由于本工程一切保险均由承包人负责投保，其费用均列入报价，故发包人不承担保险金不足的补偿。</w:t>
      </w:r>
      <w:r>
        <w:rPr>
          <w:rFonts w:hint="eastAsia" w:ascii="宋体" w:hAnsi="宋体"/>
          <w:color w:val="auto"/>
          <w:sz w:val="24"/>
          <w:highlight w:val="none"/>
        </w:rPr>
        <w:t xml:space="preserve">                                                                                                                                                                                                                                                                                                                                                                                                                                                                                                                                                                                                                                                                                                                                                                                                                                                                                                                                                                                                                                                                                                                                                                                                                                                                                                                                                                                                                                                                                                                                                                                                                                                                                                                                                                                                                                                                                                                                                                                                                                     </w:t>
      </w:r>
      <w:r>
        <w:rPr>
          <w:rFonts w:hint="eastAsia" w:ascii="宋体" w:hAnsi="宋体"/>
          <w:b/>
          <w:color w:val="auto"/>
          <w:sz w:val="28"/>
          <w:szCs w:val="28"/>
          <w:highlight w:val="none"/>
        </w:rPr>
        <w:t xml:space="preserve"> </w:t>
      </w:r>
      <w:bookmarkStart w:id="666" w:name="_Toc309534192"/>
      <w:bookmarkStart w:id="667" w:name="_Toc222032712"/>
      <w:bookmarkStart w:id="668" w:name="_Toc222031045"/>
      <w:bookmarkStart w:id="669" w:name="_Toc309533760"/>
      <w:bookmarkStart w:id="670" w:name="_Toc309533367"/>
      <w:bookmarkStart w:id="671" w:name="_Toc222029543"/>
      <w:bookmarkStart w:id="672" w:name="_Toc229305401"/>
      <w:bookmarkStart w:id="673" w:name="_Toc222033894"/>
      <w:bookmarkStart w:id="674" w:name="_Toc221951334"/>
    </w:p>
    <w:p w14:paraId="7A6A7066">
      <w:pPr>
        <w:spacing w:line="400" w:lineRule="exact"/>
        <w:rPr>
          <w:rFonts w:hint="eastAsia" w:ascii="黑体" w:hAnsi="宋体" w:eastAsia="黑体"/>
          <w:b/>
          <w:color w:val="auto"/>
          <w:sz w:val="28"/>
          <w:szCs w:val="28"/>
          <w:highlight w:val="none"/>
        </w:rPr>
      </w:pPr>
      <w:r>
        <w:rPr>
          <w:rFonts w:hint="eastAsia" w:ascii="黑体" w:hAnsi="宋体" w:eastAsia="黑体"/>
          <w:b/>
          <w:color w:val="auto"/>
          <w:sz w:val="28"/>
          <w:szCs w:val="28"/>
          <w:highlight w:val="none"/>
          <w:lang w:val="en-US" w:eastAsia="zh-CN"/>
        </w:rPr>
        <w:t>19</w:t>
      </w:r>
      <w:r>
        <w:rPr>
          <w:rFonts w:hint="eastAsia" w:ascii="黑体" w:hAnsi="宋体" w:eastAsia="黑体"/>
          <w:b/>
          <w:color w:val="auto"/>
          <w:sz w:val="28"/>
          <w:szCs w:val="28"/>
          <w:highlight w:val="none"/>
        </w:rPr>
        <w:t>. 争议的解决</w:t>
      </w:r>
      <w:bookmarkEnd w:id="666"/>
      <w:bookmarkEnd w:id="667"/>
      <w:bookmarkEnd w:id="668"/>
      <w:bookmarkEnd w:id="669"/>
      <w:bookmarkEnd w:id="670"/>
      <w:bookmarkEnd w:id="671"/>
      <w:bookmarkEnd w:id="672"/>
      <w:bookmarkEnd w:id="673"/>
      <w:bookmarkEnd w:id="674"/>
    </w:p>
    <w:p w14:paraId="0C6FAAF1">
      <w:pPr>
        <w:spacing w:line="400" w:lineRule="exact"/>
        <w:ind w:firstLine="482" w:firstLineChars="200"/>
        <w:rPr>
          <w:rFonts w:hint="eastAsia" w:ascii="黑体" w:hAnsi="宋体" w:eastAsia="黑体"/>
          <w:b/>
          <w:color w:val="auto"/>
          <w:sz w:val="24"/>
          <w:highlight w:val="none"/>
        </w:rPr>
      </w:pPr>
      <w:bookmarkStart w:id="675" w:name="_Toc221951335"/>
      <w:r>
        <w:rPr>
          <w:rFonts w:hint="eastAsia" w:ascii="黑体" w:hAnsi="宋体" w:eastAsia="黑体"/>
          <w:b/>
          <w:color w:val="auto"/>
          <w:sz w:val="24"/>
          <w:highlight w:val="none"/>
          <w:lang w:val="en-US" w:eastAsia="zh-CN"/>
        </w:rPr>
        <w:t>19</w:t>
      </w:r>
      <w:r>
        <w:rPr>
          <w:rFonts w:hint="eastAsia" w:ascii="黑体" w:hAnsi="宋体" w:eastAsia="黑体"/>
          <w:b/>
          <w:color w:val="auto"/>
          <w:sz w:val="24"/>
          <w:highlight w:val="none"/>
        </w:rPr>
        <w:t>.1  争议的解决方式</w:t>
      </w:r>
    </w:p>
    <w:p w14:paraId="77BC45CA">
      <w:pPr>
        <w:spacing w:line="400" w:lineRule="exact"/>
        <w:ind w:firstLine="420"/>
        <w:rPr>
          <w:rFonts w:hint="eastAsia" w:ascii="宋体" w:hAnsi="宋体"/>
          <w:color w:val="auto"/>
          <w:szCs w:val="21"/>
          <w:highlight w:val="none"/>
        </w:rPr>
      </w:pPr>
      <w:r>
        <w:rPr>
          <w:rFonts w:hint="eastAsia" w:ascii="宋体" w:hAnsi="宋体"/>
          <w:color w:val="auto"/>
          <w:highlight w:val="none"/>
        </w:rPr>
        <w:t>合同当事人友好协商解决不成、不愿提请争议评审或不接受争议评审组意见的，约定的合同争议解决方式</w:t>
      </w:r>
      <w:r>
        <w:rPr>
          <w:rFonts w:hint="eastAsia" w:ascii="宋体" w:hAnsi="宋体"/>
          <w:color w:val="auto"/>
          <w:szCs w:val="21"/>
          <w:highlight w:val="none"/>
          <w:u w:val="single"/>
        </w:rPr>
        <w:t>合同履行地的人民法院提起诉讼</w:t>
      </w:r>
      <w:r>
        <w:rPr>
          <w:rFonts w:hint="eastAsia" w:ascii="宋体" w:hAnsi="宋体"/>
          <w:color w:val="auto"/>
          <w:szCs w:val="21"/>
          <w:highlight w:val="none"/>
        </w:rPr>
        <w:t>。</w:t>
      </w:r>
    </w:p>
    <w:p w14:paraId="1B1C40A1">
      <w:pPr>
        <w:numPr>
          <w:ilvl w:val="0"/>
          <w:numId w:val="0"/>
        </w:numPr>
        <w:spacing w:line="400" w:lineRule="exact"/>
        <w:rPr>
          <w:rFonts w:hint="eastAsia" w:ascii="黑体" w:hAnsi="宋体" w:eastAsia="黑体"/>
          <w:b/>
          <w:color w:val="auto"/>
          <w:sz w:val="28"/>
          <w:szCs w:val="28"/>
          <w:highlight w:val="none"/>
          <w:lang w:val="en-US" w:eastAsia="zh-CN"/>
        </w:rPr>
      </w:pPr>
    </w:p>
    <w:p w14:paraId="1BE24EAD">
      <w:pPr>
        <w:spacing w:line="400" w:lineRule="exact"/>
        <w:rPr>
          <w:rFonts w:hint="eastAsia" w:ascii="宋体" w:hAnsi="宋体"/>
          <w:color w:val="auto"/>
          <w:szCs w:val="21"/>
          <w:highlight w:val="none"/>
        </w:rPr>
      </w:pPr>
    </w:p>
    <w:bookmarkEnd w:id="675"/>
    <w:p w14:paraId="0D7E7176">
      <w:pPr>
        <w:pStyle w:val="4"/>
        <w:jc w:val="center"/>
        <w:rPr>
          <w:rFonts w:hint="eastAsia" w:ascii="宋体" w:hAnsi="宋体"/>
          <w:color w:val="auto"/>
          <w:sz w:val="32"/>
          <w:highlight w:val="none"/>
        </w:rPr>
      </w:pPr>
    </w:p>
    <w:p w14:paraId="5455DC6F">
      <w:pPr>
        <w:spacing w:line="360" w:lineRule="auto"/>
        <w:ind w:firstLine="420" w:firstLineChars="200"/>
        <w:rPr>
          <w:rFonts w:hint="eastAsia" w:ascii="宋体" w:hAnsi="宋体" w:cs="宋体"/>
          <w:color w:val="auto"/>
          <w:szCs w:val="21"/>
          <w:highlight w:val="none"/>
        </w:rPr>
      </w:pPr>
    </w:p>
    <w:p w14:paraId="1826BC31">
      <w:pPr>
        <w:spacing w:line="360" w:lineRule="auto"/>
        <w:ind w:firstLine="420" w:firstLineChars="200"/>
        <w:rPr>
          <w:rFonts w:hint="eastAsia" w:ascii="宋体" w:hAnsi="宋体" w:cs="宋体"/>
          <w:color w:val="auto"/>
          <w:szCs w:val="21"/>
          <w:highlight w:val="none"/>
        </w:rPr>
      </w:pPr>
    </w:p>
    <w:p w14:paraId="22E987AE">
      <w:pPr>
        <w:spacing w:line="360" w:lineRule="auto"/>
        <w:ind w:firstLine="420" w:firstLineChars="200"/>
        <w:rPr>
          <w:rFonts w:hint="eastAsia" w:ascii="宋体" w:hAnsi="宋体" w:cs="宋体"/>
          <w:color w:val="auto"/>
          <w:szCs w:val="21"/>
          <w:highlight w:val="none"/>
        </w:rPr>
      </w:pPr>
    </w:p>
    <w:p w14:paraId="4EB5C9EB">
      <w:pPr>
        <w:spacing w:line="360" w:lineRule="auto"/>
        <w:ind w:firstLine="420" w:firstLineChars="200"/>
        <w:rPr>
          <w:rFonts w:hint="eastAsia" w:ascii="宋体" w:hAnsi="宋体" w:cs="宋体"/>
          <w:color w:val="auto"/>
          <w:szCs w:val="21"/>
          <w:highlight w:val="none"/>
        </w:rPr>
      </w:pPr>
    </w:p>
    <w:p w14:paraId="64249165">
      <w:pPr>
        <w:spacing w:line="360" w:lineRule="auto"/>
        <w:ind w:firstLine="420" w:firstLineChars="200"/>
        <w:rPr>
          <w:rFonts w:hint="eastAsia" w:ascii="宋体" w:hAnsi="宋体" w:cs="宋体"/>
          <w:color w:val="auto"/>
          <w:szCs w:val="21"/>
          <w:highlight w:val="none"/>
        </w:rPr>
      </w:pPr>
    </w:p>
    <w:p w14:paraId="70B5D292">
      <w:pPr>
        <w:spacing w:line="360" w:lineRule="auto"/>
        <w:ind w:firstLine="420" w:firstLineChars="200"/>
        <w:rPr>
          <w:rFonts w:hint="eastAsia" w:ascii="宋体" w:hAnsi="宋体" w:cs="宋体"/>
          <w:color w:val="auto"/>
          <w:szCs w:val="21"/>
          <w:highlight w:val="none"/>
        </w:rPr>
      </w:pPr>
    </w:p>
    <w:p w14:paraId="2927311E">
      <w:pPr>
        <w:spacing w:line="360" w:lineRule="auto"/>
        <w:ind w:firstLine="420" w:firstLineChars="200"/>
        <w:rPr>
          <w:rFonts w:hint="eastAsia" w:ascii="宋体" w:hAnsi="宋体" w:cs="宋体"/>
          <w:color w:val="auto"/>
          <w:szCs w:val="21"/>
          <w:highlight w:val="none"/>
        </w:rPr>
      </w:pPr>
    </w:p>
    <w:p w14:paraId="4B3BFF02">
      <w:pPr>
        <w:spacing w:line="360" w:lineRule="auto"/>
        <w:ind w:firstLine="420" w:firstLineChars="200"/>
        <w:rPr>
          <w:rFonts w:hint="eastAsia" w:ascii="宋体" w:hAnsi="宋体" w:cs="宋体"/>
          <w:color w:val="auto"/>
          <w:szCs w:val="21"/>
          <w:highlight w:val="none"/>
        </w:rPr>
      </w:pPr>
    </w:p>
    <w:p w14:paraId="0BE39D64">
      <w:pPr>
        <w:spacing w:line="360" w:lineRule="auto"/>
        <w:ind w:firstLine="420" w:firstLineChars="200"/>
        <w:rPr>
          <w:rFonts w:hint="eastAsia" w:ascii="宋体" w:hAnsi="宋体" w:cs="宋体"/>
          <w:color w:val="auto"/>
          <w:szCs w:val="21"/>
          <w:highlight w:val="none"/>
        </w:rPr>
      </w:pPr>
    </w:p>
    <w:p w14:paraId="53B620B9">
      <w:pPr>
        <w:spacing w:line="360" w:lineRule="auto"/>
        <w:ind w:firstLine="420" w:firstLineChars="200"/>
        <w:rPr>
          <w:rFonts w:hint="eastAsia" w:ascii="宋体" w:hAnsi="宋体" w:cs="宋体"/>
          <w:color w:val="auto"/>
          <w:szCs w:val="21"/>
          <w:highlight w:val="none"/>
        </w:rPr>
      </w:pPr>
    </w:p>
    <w:p w14:paraId="67873D65">
      <w:pPr>
        <w:spacing w:line="360" w:lineRule="auto"/>
        <w:ind w:firstLine="420" w:firstLineChars="200"/>
        <w:rPr>
          <w:rFonts w:hint="eastAsia" w:ascii="宋体" w:hAnsi="宋体" w:cs="宋体"/>
          <w:color w:val="auto"/>
          <w:szCs w:val="21"/>
          <w:highlight w:val="none"/>
        </w:rPr>
      </w:pPr>
    </w:p>
    <w:p w14:paraId="0A89B509">
      <w:pPr>
        <w:spacing w:line="360" w:lineRule="auto"/>
        <w:ind w:firstLine="420" w:firstLineChars="200"/>
        <w:rPr>
          <w:rFonts w:hint="eastAsia" w:ascii="宋体" w:hAnsi="宋体" w:cs="宋体"/>
          <w:color w:val="auto"/>
          <w:szCs w:val="21"/>
          <w:highlight w:val="none"/>
        </w:rPr>
      </w:pPr>
    </w:p>
    <w:p w14:paraId="655E6F5A">
      <w:pPr>
        <w:spacing w:line="360" w:lineRule="auto"/>
        <w:ind w:firstLine="420" w:firstLineChars="200"/>
        <w:rPr>
          <w:rFonts w:hint="eastAsia" w:ascii="宋体" w:hAnsi="宋体" w:cs="宋体"/>
          <w:color w:val="auto"/>
          <w:szCs w:val="21"/>
          <w:highlight w:val="none"/>
        </w:rPr>
      </w:pPr>
    </w:p>
    <w:p w14:paraId="254B1B0F">
      <w:pPr>
        <w:spacing w:line="360" w:lineRule="auto"/>
        <w:ind w:firstLine="420" w:firstLineChars="200"/>
        <w:rPr>
          <w:rFonts w:hint="eastAsia" w:ascii="宋体" w:hAnsi="宋体" w:cs="宋体"/>
          <w:color w:val="auto"/>
          <w:szCs w:val="21"/>
          <w:highlight w:val="none"/>
        </w:rPr>
      </w:pPr>
    </w:p>
    <w:p w14:paraId="237F5BDF">
      <w:pPr>
        <w:spacing w:line="360" w:lineRule="auto"/>
        <w:ind w:firstLine="420" w:firstLineChars="200"/>
        <w:rPr>
          <w:rFonts w:hint="eastAsia" w:ascii="宋体" w:hAnsi="宋体" w:cs="宋体"/>
          <w:color w:val="auto"/>
          <w:szCs w:val="21"/>
          <w:highlight w:val="none"/>
        </w:rPr>
      </w:pPr>
    </w:p>
    <w:p w14:paraId="04BB1194">
      <w:pPr>
        <w:spacing w:line="360" w:lineRule="auto"/>
        <w:rPr>
          <w:rFonts w:hint="eastAsia" w:ascii="宋体" w:hAnsi="宋体" w:cs="宋体"/>
          <w:color w:val="auto"/>
          <w:szCs w:val="21"/>
          <w:highlight w:val="none"/>
        </w:rPr>
      </w:pPr>
    </w:p>
    <w:p w14:paraId="2C7EE535">
      <w:pPr>
        <w:spacing w:line="360" w:lineRule="auto"/>
        <w:ind w:firstLine="420" w:firstLineChars="200"/>
        <w:rPr>
          <w:rFonts w:hint="eastAsia" w:ascii="宋体" w:hAnsi="宋体" w:cs="宋体"/>
          <w:color w:val="auto"/>
          <w:szCs w:val="21"/>
          <w:highlight w:val="none"/>
        </w:rPr>
      </w:pPr>
    </w:p>
    <w:p w14:paraId="2D8B10CB">
      <w:pPr>
        <w:spacing w:line="360" w:lineRule="auto"/>
        <w:ind w:firstLine="420" w:firstLineChars="200"/>
        <w:rPr>
          <w:rFonts w:hint="eastAsia" w:ascii="宋体" w:hAnsi="宋体" w:cs="宋体"/>
          <w:color w:val="auto"/>
          <w:szCs w:val="21"/>
          <w:highlight w:val="none"/>
        </w:rPr>
      </w:pPr>
    </w:p>
    <w:p w14:paraId="48B665D9">
      <w:pPr>
        <w:spacing w:line="360" w:lineRule="auto"/>
        <w:ind w:firstLine="420" w:firstLineChars="200"/>
        <w:rPr>
          <w:rFonts w:hint="eastAsia" w:ascii="宋体" w:hAnsi="宋体" w:cs="宋体"/>
          <w:color w:val="auto"/>
          <w:szCs w:val="21"/>
          <w:highlight w:val="none"/>
        </w:rPr>
      </w:pPr>
    </w:p>
    <w:p w14:paraId="7BA1C330">
      <w:pPr>
        <w:pStyle w:val="4"/>
        <w:jc w:val="center"/>
        <w:rPr>
          <w:rFonts w:hint="eastAsia" w:ascii="宋体" w:hAnsi="宋体" w:cs="宋体"/>
          <w:color w:val="auto"/>
          <w:sz w:val="32"/>
          <w:highlight w:val="none"/>
        </w:rPr>
      </w:pPr>
      <w:bookmarkStart w:id="676" w:name="_Toc301985911"/>
      <w:bookmarkStart w:id="677" w:name="_Toc294122013"/>
      <w:bookmarkStart w:id="678" w:name="_Toc294120144"/>
      <w:bookmarkStart w:id="679" w:name="_Toc247079379"/>
      <w:bookmarkStart w:id="680" w:name="_Toc301986707"/>
      <w:bookmarkStart w:id="681" w:name="_Toc294117154"/>
      <w:bookmarkStart w:id="682" w:name="_Toc211162712"/>
      <w:bookmarkStart w:id="683" w:name="_Toc301989341"/>
      <w:bookmarkStart w:id="684" w:name="_Toc295906945"/>
      <w:bookmarkStart w:id="685" w:name="_Toc301986035"/>
      <w:bookmarkStart w:id="686" w:name="_Toc318457685"/>
      <w:bookmarkStart w:id="687" w:name="_Toc294120764"/>
      <w:bookmarkStart w:id="688" w:name="_Toc301986187"/>
      <w:bookmarkStart w:id="689" w:name="_Toc294120581"/>
      <w:bookmarkStart w:id="690" w:name="_Toc294119969"/>
      <w:bookmarkStart w:id="691" w:name="_Toc294117573"/>
      <w:bookmarkStart w:id="692" w:name="_Toc301985510"/>
      <w:bookmarkStart w:id="693" w:name="_Toc301987038"/>
      <w:bookmarkStart w:id="694" w:name="_Toc294120945"/>
      <w:r>
        <w:rPr>
          <w:rFonts w:hint="eastAsia" w:ascii="宋体" w:hAnsi="宋体" w:cs="宋体"/>
          <w:color w:val="auto"/>
          <w:sz w:val="32"/>
          <w:highlight w:val="none"/>
        </w:rPr>
        <w:t>3 合同附件格式</w:t>
      </w:r>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p>
    <w:p w14:paraId="1E9521D4">
      <w:pPr>
        <w:rPr>
          <w:rFonts w:hint="eastAsia" w:ascii="宋体" w:hAnsi="宋体" w:cs="宋体"/>
          <w:color w:val="auto"/>
          <w:highlight w:val="none"/>
        </w:rPr>
      </w:pPr>
    </w:p>
    <w:p w14:paraId="0D4DF308">
      <w:pPr>
        <w:rPr>
          <w:rFonts w:hint="eastAsia" w:ascii="宋体" w:hAnsi="宋体" w:cs="宋体"/>
          <w:color w:val="auto"/>
          <w:highlight w:val="none"/>
        </w:rPr>
      </w:pPr>
    </w:p>
    <w:p w14:paraId="7F9F54FA">
      <w:pPr>
        <w:rPr>
          <w:rFonts w:hint="eastAsia" w:ascii="宋体" w:hAnsi="宋体" w:cs="宋体"/>
          <w:color w:val="auto"/>
          <w:highlight w:val="none"/>
        </w:rPr>
      </w:pPr>
    </w:p>
    <w:p w14:paraId="22A2A0DB">
      <w:pPr>
        <w:rPr>
          <w:rFonts w:hint="eastAsia" w:ascii="宋体" w:hAnsi="宋体" w:cs="宋体"/>
          <w:color w:val="auto"/>
          <w:highlight w:val="none"/>
        </w:rPr>
      </w:pPr>
    </w:p>
    <w:p w14:paraId="77A9D98F">
      <w:pPr>
        <w:rPr>
          <w:rFonts w:hint="eastAsia" w:ascii="宋体" w:hAnsi="宋体" w:cs="宋体"/>
          <w:color w:val="auto"/>
          <w:highlight w:val="none"/>
        </w:rPr>
      </w:pPr>
    </w:p>
    <w:p w14:paraId="02DC4262">
      <w:pPr>
        <w:rPr>
          <w:rFonts w:hint="eastAsia" w:ascii="宋体" w:hAnsi="宋体" w:cs="宋体"/>
          <w:color w:val="auto"/>
          <w:highlight w:val="none"/>
        </w:rPr>
      </w:pPr>
    </w:p>
    <w:p w14:paraId="3627083A">
      <w:pPr>
        <w:rPr>
          <w:rFonts w:hint="eastAsia" w:ascii="宋体" w:hAnsi="宋体" w:cs="宋体"/>
          <w:color w:val="auto"/>
          <w:highlight w:val="none"/>
        </w:rPr>
      </w:pPr>
    </w:p>
    <w:p w14:paraId="136FD68D">
      <w:pPr>
        <w:rPr>
          <w:rFonts w:hint="eastAsia" w:ascii="宋体" w:hAnsi="宋体" w:cs="宋体"/>
          <w:color w:val="auto"/>
          <w:highlight w:val="none"/>
        </w:rPr>
      </w:pPr>
    </w:p>
    <w:p w14:paraId="677F33E5">
      <w:pPr>
        <w:rPr>
          <w:rFonts w:hint="eastAsia" w:ascii="宋体" w:hAnsi="宋体" w:cs="宋体"/>
          <w:color w:val="auto"/>
          <w:highlight w:val="none"/>
        </w:rPr>
      </w:pPr>
    </w:p>
    <w:p w14:paraId="139CD3D8">
      <w:pPr>
        <w:rPr>
          <w:rFonts w:hint="eastAsia" w:ascii="宋体" w:hAnsi="宋体" w:cs="宋体"/>
          <w:color w:val="auto"/>
          <w:highlight w:val="none"/>
        </w:rPr>
      </w:pPr>
    </w:p>
    <w:p w14:paraId="3F109EA2">
      <w:pPr>
        <w:rPr>
          <w:rFonts w:hint="eastAsia" w:ascii="宋体" w:hAnsi="宋体" w:cs="宋体"/>
          <w:color w:val="auto"/>
          <w:highlight w:val="none"/>
        </w:rPr>
      </w:pPr>
    </w:p>
    <w:p w14:paraId="6DD7D3F9">
      <w:pPr>
        <w:rPr>
          <w:rFonts w:hint="eastAsia" w:ascii="宋体" w:hAnsi="宋体" w:cs="宋体"/>
          <w:color w:val="auto"/>
          <w:highlight w:val="none"/>
        </w:rPr>
      </w:pPr>
    </w:p>
    <w:p w14:paraId="2EBE8F72">
      <w:pPr>
        <w:rPr>
          <w:rFonts w:hint="eastAsia" w:ascii="宋体" w:hAnsi="宋体" w:cs="宋体"/>
          <w:color w:val="auto"/>
          <w:highlight w:val="none"/>
        </w:rPr>
      </w:pPr>
    </w:p>
    <w:p w14:paraId="0F5CA8F5">
      <w:pPr>
        <w:rPr>
          <w:rFonts w:hint="eastAsia" w:ascii="宋体" w:hAnsi="宋体" w:cs="宋体"/>
          <w:color w:val="auto"/>
          <w:highlight w:val="none"/>
        </w:rPr>
      </w:pPr>
    </w:p>
    <w:p w14:paraId="65E61A8F">
      <w:pPr>
        <w:rPr>
          <w:rFonts w:hint="eastAsia" w:ascii="宋体" w:hAnsi="宋体" w:cs="宋体"/>
          <w:color w:val="auto"/>
          <w:highlight w:val="none"/>
        </w:rPr>
      </w:pPr>
    </w:p>
    <w:p w14:paraId="32F3BD85">
      <w:pPr>
        <w:rPr>
          <w:rFonts w:hint="eastAsia" w:ascii="宋体" w:hAnsi="宋体" w:cs="宋体"/>
          <w:color w:val="auto"/>
          <w:highlight w:val="none"/>
        </w:rPr>
      </w:pPr>
    </w:p>
    <w:p w14:paraId="499D45EB">
      <w:pPr>
        <w:rPr>
          <w:rFonts w:hint="eastAsia" w:ascii="宋体" w:hAnsi="宋体" w:cs="宋体"/>
          <w:color w:val="auto"/>
          <w:highlight w:val="none"/>
        </w:rPr>
      </w:pPr>
    </w:p>
    <w:p w14:paraId="38DF41ED">
      <w:pPr>
        <w:rPr>
          <w:rFonts w:hint="eastAsia" w:ascii="宋体" w:hAnsi="宋体" w:cs="宋体"/>
          <w:color w:val="auto"/>
          <w:highlight w:val="none"/>
        </w:rPr>
      </w:pPr>
    </w:p>
    <w:p w14:paraId="62BE6E6A">
      <w:pPr>
        <w:rPr>
          <w:rFonts w:hint="eastAsia" w:ascii="宋体" w:hAnsi="宋体" w:cs="宋体"/>
          <w:color w:val="auto"/>
          <w:highlight w:val="none"/>
        </w:rPr>
      </w:pPr>
    </w:p>
    <w:p w14:paraId="51D3C96B">
      <w:pPr>
        <w:rPr>
          <w:rFonts w:hint="eastAsia" w:ascii="宋体" w:hAnsi="宋体" w:cs="宋体"/>
          <w:color w:val="auto"/>
          <w:highlight w:val="none"/>
        </w:rPr>
      </w:pPr>
    </w:p>
    <w:p w14:paraId="526BFBF2">
      <w:pPr>
        <w:rPr>
          <w:rFonts w:hint="eastAsia" w:ascii="宋体" w:hAnsi="宋体" w:cs="宋体"/>
          <w:color w:val="auto"/>
          <w:highlight w:val="none"/>
        </w:rPr>
      </w:pPr>
    </w:p>
    <w:p w14:paraId="28112B27">
      <w:pPr>
        <w:rPr>
          <w:rFonts w:hint="eastAsia" w:ascii="宋体" w:hAnsi="宋体" w:cs="宋体"/>
          <w:color w:val="auto"/>
          <w:highlight w:val="none"/>
        </w:rPr>
      </w:pPr>
    </w:p>
    <w:p w14:paraId="4242D995">
      <w:pPr>
        <w:rPr>
          <w:rFonts w:hint="eastAsia" w:ascii="宋体" w:hAnsi="宋体" w:cs="宋体"/>
          <w:color w:val="auto"/>
          <w:highlight w:val="none"/>
        </w:rPr>
      </w:pPr>
    </w:p>
    <w:p w14:paraId="3272C78E">
      <w:pPr>
        <w:pStyle w:val="5"/>
        <w:rPr>
          <w:rFonts w:hint="eastAsia" w:ascii="宋体" w:hAnsi="宋体" w:cs="宋体"/>
          <w:color w:val="auto"/>
          <w:szCs w:val="21"/>
          <w:highlight w:val="none"/>
        </w:rPr>
      </w:pPr>
      <w:bookmarkStart w:id="695" w:name="_Toc211162713"/>
      <w:bookmarkStart w:id="696" w:name="_Toc247079380"/>
      <w:r>
        <w:rPr>
          <w:rFonts w:hint="eastAsia" w:ascii="宋体" w:hAnsi="宋体" w:cs="宋体"/>
          <w:color w:val="auto"/>
          <w:szCs w:val="21"/>
          <w:highlight w:val="none"/>
        </w:rPr>
        <w:br w:type="page"/>
      </w:r>
      <w:r>
        <w:rPr>
          <w:rFonts w:hint="eastAsia" w:ascii="宋体" w:hAnsi="宋体" w:cs="宋体"/>
          <w:color w:val="auto"/>
          <w:szCs w:val="21"/>
          <w:highlight w:val="none"/>
        </w:rPr>
        <w:t>附件一：合同协议书</w:t>
      </w:r>
      <w:bookmarkEnd w:id="695"/>
      <w:bookmarkEnd w:id="696"/>
    </w:p>
    <w:p w14:paraId="739E1134">
      <w:pPr>
        <w:spacing w:line="360" w:lineRule="auto"/>
        <w:ind w:firstLine="643" w:firstLineChars="200"/>
        <w:jc w:val="center"/>
        <w:rPr>
          <w:rFonts w:hint="eastAsia" w:ascii="宋体" w:hAnsi="宋体" w:cs="宋体"/>
          <w:b/>
          <w:color w:val="auto"/>
          <w:sz w:val="32"/>
          <w:szCs w:val="32"/>
          <w:highlight w:val="none"/>
        </w:rPr>
      </w:pPr>
      <w:r>
        <w:rPr>
          <w:rFonts w:hint="eastAsia" w:ascii="宋体" w:hAnsi="宋体" w:cs="宋体"/>
          <w:b/>
          <w:color w:val="auto"/>
          <w:sz w:val="32"/>
          <w:szCs w:val="32"/>
          <w:highlight w:val="none"/>
        </w:rPr>
        <w:t>合同协议书</w:t>
      </w:r>
    </w:p>
    <w:p w14:paraId="35A0264B">
      <w:pPr>
        <w:spacing w:line="360" w:lineRule="auto"/>
        <w:ind w:firstLine="420" w:firstLineChars="200"/>
        <w:rPr>
          <w:rFonts w:hint="eastAsia" w:ascii="宋体" w:hAnsi="宋体" w:cs="宋体"/>
          <w:color w:val="auto"/>
          <w:szCs w:val="21"/>
          <w:highlight w:val="none"/>
        </w:rPr>
      </w:pPr>
    </w:p>
    <w:p w14:paraId="38BF8BB1">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（发包人名称，以下简称“发包人” ）为实施</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（项目名称），</w:t>
      </w:r>
      <w:r>
        <w:rPr>
          <w:rFonts w:hint="eastAsia" w:ascii="宋体" w:hAnsi="宋体" w:cs="宋体"/>
          <w:color w:val="auto"/>
          <w:szCs w:val="21"/>
          <w:highlight w:val="none"/>
          <w:lang w:val="en-US" w:eastAsia="zh-CN"/>
        </w:rPr>
        <w:t>已</w:t>
      </w:r>
      <w:r>
        <w:rPr>
          <w:rFonts w:hint="eastAsia" w:ascii="宋体" w:hAnsi="宋体" w:cs="宋体"/>
          <w:color w:val="auto"/>
          <w:szCs w:val="21"/>
          <w:highlight w:val="none"/>
        </w:rPr>
        <w:t>接受</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（承包人名称，以下简称“承包人” ）对该项目</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标段施工的投标。发包人和承包人共同达成如下协议。</w:t>
      </w:r>
    </w:p>
    <w:p w14:paraId="6BA3B82A">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1．本协议书与下列文件一起构成合同文件：</w:t>
      </w:r>
    </w:p>
    <w:p w14:paraId="25D585C9">
      <w:pPr>
        <w:pStyle w:val="273"/>
        <w:spacing w:before="20" w:after="20" w:line="300" w:lineRule="auto"/>
        <w:ind w:left="0" w:right="23" w:firstLine="420" w:firstLineChars="200"/>
        <w:rPr>
          <w:rFonts w:hint="eastAsia" w:ascii="宋体" w:hAnsi="宋体" w:cs="宋体"/>
          <w:color w:val="auto"/>
          <w:sz w:val="21"/>
          <w:highlight w:val="none"/>
        </w:rPr>
      </w:pPr>
      <w:r>
        <w:rPr>
          <w:rFonts w:hint="eastAsia" w:ascii="宋体" w:hAnsi="宋体" w:cs="宋体"/>
          <w:color w:val="auto"/>
          <w:sz w:val="21"/>
          <w:highlight w:val="none"/>
        </w:rPr>
        <w:t>（1）本合同协议书；</w:t>
      </w:r>
    </w:p>
    <w:p w14:paraId="57EFDE35">
      <w:pPr>
        <w:spacing w:line="360" w:lineRule="auto"/>
        <w:ind w:firstLine="525" w:firstLineChars="250"/>
        <w:rPr>
          <w:rFonts w:hint="eastAsia" w:ascii="宋体" w:hAnsi="宋体" w:cs="宋体"/>
          <w:color w:val="auto"/>
          <w:szCs w:val="21"/>
          <w:highlight w:val="none"/>
        </w:rPr>
      </w:pPr>
      <w:r>
        <w:rPr>
          <w:rFonts w:hint="eastAsia" w:ascii="宋体" w:hAnsi="宋体" w:cs="宋体"/>
          <w:color w:val="auto"/>
          <w:szCs w:val="21"/>
          <w:highlight w:val="none"/>
          <w:lang w:eastAsia="zh-CN"/>
        </w:rPr>
        <w:t>（</w:t>
      </w:r>
      <w:r>
        <w:rPr>
          <w:rFonts w:hint="eastAsia" w:ascii="宋体" w:hAnsi="宋体" w:cs="宋体"/>
          <w:color w:val="auto"/>
          <w:szCs w:val="21"/>
          <w:highlight w:val="none"/>
        </w:rPr>
        <w:t>2）中标通知书；</w:t>
      </w:r>
    </w:p>
    <w:p w14:paraId="3FC2102C">
      <w:pPr>
        <w:spacing w:line="360" w:lineRule="auto"/>
        <w:ind w:firstLine="525" w:firstLineChars="250"/>
        <w:rPr>
          <w:rFonts w:hint="eastAsia" w:ascii="宋体" w:hAnsi="宋体" w:cs="宋体"/>
          <w:color w:val="auto"/>
          <w:szCs w:val="21"/>
          <w:highlight w:val="none"/>
        </w:rPr>
      </w:pPr>
      <w:r>
        <w:rPr>
          <w:rFonts w:hint="eastAsia" w:ascii="宋体" w:hAnsi="宋体" w:cs="宋体"/>
          <w:color w:val="auto"/>
          <w:szCs w:val="21"/>
          <w:highlight w:val="none"/>
          <w:lang w:eastAsia="zh-CN"/>
        </w:rPr>
        <w:t>（</w:t>
      </w:r>
      <w:r>
        <w:rPr>
          <w:rFonts w:hint="eastAsia" w:ascii="宋体" w:hAnsi="宋体" w:cs="宋体"/>
          <w:color w:val="auto"/>
          <w:szCs w:val="21"/>
          <w:highlight w:val="none"/>
        </w:rPr>
        <w:t>3）投标函及投标函附录；</w:t>
      </w:r>
    </w:p>
    <w:p w14:paraId="15BDC1C3">
      <w:pPr>
        <w:spacing w:line="360" w:lineRule="auto"/>
        <w:ind w:firstLine="525" w:firstLineChars="250"/>
        <w:rPr>
          <w:rFonts w:hint="eastAsia" w:ascii="宋体" w:hAnsi="宋体" w:cs="宋体"/>
          <w:color w:val="auto"/>
          <w:szCs w:val="21"/>
          <w:highlight w:val="none"/>
        </w:rPr>
      </w:pPr>
      <w:r>
        <w:rPr>
          <w:rFonts w:hint="eastAsia" w:ascii="宋体" w:hAnsi="宋体" w:cs="宋体"/>
          <w:color w:val="auto"/>
          <w:szCs w:val="21"/>
          <w:highlight w:val="none"/>
          <w:lang w:eastAsia="zh-CN"/>
        </w:rPr>
        <w:t>（</w:t>
      </w:r>
      <w:r>
        <w:rPr>
          <w:rFonts w:hint="eastAsia" w:ascii="宋体" w:hAnsi="宋体" w:cs="宋体"/>
          <w:color w:val="auto"/>
          <w:szCs w:val="21"/>
          <w:highlight w:val="none"/>
        </w:rPr>
        <w:t>4）专用合同条款；</w:t>
      </w:r>
    </w:p>
    <w:p w14:paraId="73973E35">
      <w:pPr>
        <w:spacing w:line="360" w:lineRule="auto"/>
        <w:ind w:firstLine="525" w:firstLineChars="250"/>
        <w:rPr>
          <w:rFonts w:hint="eastAsia" w:ascii="宋体" w:hAnsi="宋体" w:cs="宋体"/>
          <w:color w:val="auto"/>
          <w:szCs w:val="21"/>
          <w:highlight w:val="none"/>
        </w:rPr>
      </w:pPr>
      <w:r>
        <w:rPr>
          <w:rFonts w:hint="eastAsia" w:ascii="宋体" w:hAnsi="宋体" w:cs="宋体"/>
          <w:color w:val="auto"/>
          <w:szCs w:val="21"/>
          <w:highlight w:val="none"/>
          <w:lang w:eastAsia="zh-CN"/>
        </w:rPr>
        <w:t>（</w:t>
      </w:r>
      <w:r>
        <w:rPr>
          <w:rFonts w:hint="eastAsia" w:ascii="宋体" w:hAnsi="宋体" w:cs="宋体"/>
          <w:color w:val="auto"/>
          <w:szCs w:val="21"/>
          <w:highlight w:val="none"/>
        </w:rPr>
        <w:t>5）通用合同条款；</w:t>
      </w:r>
    </w:p>
    <w:p w14:paraId="5582AE5F">
      <w:pPr>
        <w:spacing w:line="360" w:lineRule="auto"/>
        <w:ind w:firstLine="525" w:firstLineChars="250"/>
        <w:rPr>
          <w:rFonts w:hint="eastAsia" w:ascii="宋体" w:hAnsi="宋体" w:cs="宋体"/>
          <w:color w:val="auto"/>
          <w:szCs w:val="21"/>
          <w:highlight w:val="none"/>
        </w:rPr>
      </w:pPr>
      <w:r>
        <w:rPr>
          <w:rFonts w:hint="eastAsia" w:ascii="宋体" w:hAnsi="宋体" w:cs="宋体"/>
          <w:color w:val="auto"/>
          <w:szCs w:val="21"/>
          <w:highlight w:val="none"/>
          <w:lang w:eastAsia="zh-CN"/>
        </w:rPr>
        <w:t>（</w:t>
      </w:r>
      <w:r>
        <w:rPr>
          <w:rFonts w:hint="eastAsia" w:ascii="宋体" w:hAnsi="宋体" w:cs="宋体"/>
          <w:color w:val="auto"/>
          <w:szCs w:val="21"/>
          <w:highlight w:val="none"/>
        </w:rPr>
        <w:t>6）</w:t>
      </w:r>
      <w:r>
        <w:rPr>
          <w:rFonts w:hint="eastAsia" w:ascii="宋体" w:hAnsi="宋体" w:cs="宋体"/>
          <w:color w:val="auto"/>
          <w:highlight w:val="none"/>
        </w:rPr>
        <w:t>标准、规范及</w:t>
      </w:r>
      <w:r>
        <w:rPr>
          <w:rFonts w:hint="eastAsia" w:ascii="宋体" w:hAnsi="宋体" w:cs="宋体"/>
          <w:color w:val="auto"/>
          <w:szCs w:val="21"/>
          <w:highlight w:val="none"/>
        </w:rPr>
        <w:t>技术标准和要求；</w:t>
      </w:r>
    </w:p>
    <w:p w14:paraId="6679447D">
      <w:pPr>
        <w:spacing w:line="360" w:lineRule="auto"/>
        <w:ind w:firstLine="525" w:firstLineChars="250"/>
        <w:rPr>
          <w:rFonts w:hint="eastAsia" w:ascii="宋体" w:hAnsi="宋体" w:cs="宋体"/>
          <w:color w:val="auto"/>
          <w:szCs w:val="21"/>
          <w:highlight w:val="none"/>
        </w:rPr>
      </w:pPr>
      <w:r>
        <w:rPr>
          <w:rFonts w:hint="eastAsia" w:ascii="宋体" w:hAnsi="宋体" w:cs="宋体"/>
          <w:color w:val="auto"/>
          <w:szCs w:val="21"/>
          <w:highlight w:val="none"/>
          <w:lang w:eastAsia="zh-CN"/>
        </w:rPr>
        <w:t>（</w:t>
      </w:r>
      <w:r>
        <w:rPr>
          <w:rFonts w:hint="eastAsia" w:ascii="宋体" w:hAnsi="宋体" w:cs="宋体"/>
          <w:color w:val="auto"/>
          <w:szCs w:val="21"/>
          <w:highlight w:val="none"/>
        </w:rPr>
        <w:t>7）图纸；</w:t>
      </w:r>
    </w:p>
    <w:p w14:paraId="43CFB5D8">
      <w:pPr>
        <w:spacing w:line="360" w:lineRule="auto"/>
        <w:ind w:firstLine="525" w:firstLineChars="250"/>
        <w:rPr>
          <w:rFonts w:hint="eastAsia" w:ascii="宋体" w:hAnsi="宋体" w:cs="宋体"/>
          <w:color w:val="auto"/>
          <w:szCs w:val="21"/>
          <w:highlight w:val="none"/>
        </w:rPr>
      </w:pPr>
      <w:r>
        <w:rPr>
          <w:rFonts w:hint="eastAsia" w:ascii="宋体" w:hAnsi="宋体" w:cs="宋体"/>
          <w:color w:val="auto"/>
          <w:szCs w:val="21"/>
          <w:highlight w:val="none"/>
          <w:lang w:eastAsia="zh-CN"/>
        </w:rPr>
        <w:t>（</w:t>
      </w:r>
      <w:r>
        <w:rPr>
          <w:rFonts w:hint="eastAsia" w:ascii="宋体" w:hAnsi="宋体" w:cs="宋体"/>
          <w:color w:val="auto"/>
          <w:szCs w:val="21"/>
          <w:highlight w:val="none"/>
        </w:rPr>
        <w:t>8）已标价工程量清单；</w:t>
      </w:r>
    </w:p>
    <w:p w14:paraId="303DF0F5">
      <w:pPr>
        <w:spacing w:line="360" w:lineRule="auto"/>
        <w:ind w:firstLine="525" w:firstLineChars="250"/>
        <w:rPr>
          <w:rFonts w:hint="eastAsia" w:ascii="宋体" w:hAnsi="宋体" w:cs="宋体"/>
          <w:color w:val="auto"/>
          <w:szCs w:val="21"/>
          <w:highlight w:val="none"/>
        </w:rPr>
      </w:pPr>
      <w:r>
        <w:rPr>
          <w:rFonts w:hint="eastAsia" w:ascii="宋体" w:hAnsi="宋体" w:cs="宋体"/>
          <w:color w:val="auto"/>
          <w:szCs w:val="21"/>
          <w:highlight w:val="none"/>
          <w:lang w:eastAsia="zh-CN"/>
        </w:rPr>
        <w:t>（</w:t>
      </w:r>
      <w:r>
        <w:rPr>
          <w:rFonts w:hint="eastAsia" w:ascii="宋体" w:hAnsi="宋体" w:cs="宋体"/>
          <w:color w:val="auto"/>
          <w:szCs w:val="21"/>
          <w:highlight w:val="none"/>
        </w:rPr>
        <w:t>9）其他合同文件。</w:t>
      </w:r>
    </w:p>
    <w:p w14:paraId="508A7106">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2．上述文件互相补充和解释，如有不明确或不一致之处，以合同约定次序在先者为准。</w:t>
      </w:r>
    </w:p>
    <w:p w14:paraId="37B523FD">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3．签约合同价：人民币（大写）</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元（￥</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w:t>
      </w:r>
    </w:p>
    <w:p w14:paraId="7BADF26C">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4．承包人项目经理：</w:t>
      </w:r>
      <w:r>
        <w:rPr>
          <w:rFonts w:hint="eastAsia" w:ascii="宋体" w:hAnsi="宋体" w:cs="宋体"/>
          <w:color w:val="auto"/>
          <w:szCs w:val="21"/>
          <w:highlight w:val="none"/>
          <w:u w:val="single"/>
        </w:rPr>
        <w:t xml:space="preserve">                     </w:t>
      </w:r>
    </w:p>
    <w:p w14:paraId="33D1A2C1">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5．工程质量符合</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标准。</w:t>
      </w:r>
    </w:p>
    <w:p w14:paraId="4AC75AAE">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6．承包人承诺按合同约定承担工程的实施、完成及缺陷修复。</w:t>
      </w:r>
    </w:p>
    <w:p w14:paraId="7CEBFFA3">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7．发包人承诺按合同约定的条件、时间和方式向承包人支付合同价款。</w:t>
      </w:r>
    </w:p>
    <w:p w14:paraId="36B2D3DC">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8．承包人应按照监理人指示开工，工期为</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日历天。</w:t>
      </w:r>
    </w:p>
    <w:p w14:paraId="59DB446B">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9．本协议书一式</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份，合同双方各执一份。</w:t>
      </w:r>
    </w:p>
    <w:p w14:paraId="15BAFA17">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10．合同未尽事宜，双方另行签订补充协议。补充协议是合同的组成部分。</w:t>
      </w:r>
    </w:p>
    <w:p w14:paraId="01E78CA7">
      <w:pPr>
        <w:spacing w:line="360" w:lineRule="auto"/>
        <w:ind w:firstLine="420" w:firstLineChars="200"/>
        <w:rPr>
          <w:rFonts w:hint="eastAsia" w:ascii="宋体" w:hAnsi="宋体" w:cs="宋体"/>
          <w:color w:val="auto"/>
          <w:szCs w:val="21"/>
          <w:highlight w:val="none"/>
        </w:rPr>
      </w:pPr>
    </w:p>
    <w:p w14:paraId="3402E76B">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发包人：</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（盖单位章）        承包人：</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（盖单位章）</w:t>
      </w:r>
    </w:p>
    <w:p w14:paraId="0D68021C">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法定代表人或其委托代理人：</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（签字）    法定代表人或其委托代理人：</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（签字）</w:t>
      </w:r>
    </w:p>
    <w:p w14:paraId="64D4F38F">
      <w:pPr>
        <w:spacing w:line="360" w:lineRule="auto"/>
        <w:ind w:firstLine="1155" w:firstLineChars="550"/>
        <w:rPr>
          <w:rFonts w:hint="eastAsia" w:ascii="宋体" w:hAnsi="宋体" w:cs="宋体"/>
          <w:color w:val="auto"/>
          <w:szCs w:val="21"/>
          <w:highlight w:val="none"/>
        </w:rPr>
      </w:pPr>
      <w:r>
        <w:rPr>
          <w:rFonts w:hint="eastAsia" w:ascii="宋体" w:hAnsi="宋体" w:cs="宋体"/>
          <w:color w:val="auto"/>
          <w:szCs w:val="21"/>
          <w:highlight w:val="none"/>
        </w:rPr>
        <w:t xml:space="preserve">               </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年</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月</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 xml:space="preserve">日                        </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年</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月</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日</w:t>
      </w:r>
    </w:p>
    <w:p w14:paraId="5061AEEB">
      <w:pPr>
        <w:spacing w:line="360" w:lineRule="auto"/>
        <w:ind w:firstLine="1155" w:firstLineChars="550"/>
        <w:rPr>
          <w:rFonts w:hint="eastAsia" w:ascii="宋体" w:hAnsi="宋体" w:cs="宋体"/>
          <w:color w:val="auto"/>
          <w:szCs w:val="21"/>
          <w:highlight w:val="none"/>
        </w:rPr>
      </w:pPr>
    </w:p>
    <w:p w14:paraId="6AC04E5B">
      <w:pPr>
        <w:spacing w:line="360" w:lineRule="auto"/>
        <w:ind w:firstLine="1155" w:firstLineChars="550"/>
        <w:rPr>
          <w:rFonts w:hint="eastAsia" w:ascii="宋体" w:hAnsi="宋体" w:cs="宋体"/>
          <w:color w:val="auto"/>
          <w:szCs w:val="21"/>
          <w:highlight w:val="none"/>
        </w:rPr>
      </w:pPr>
    </w:p>
    <w:p w14:paraId="5EB65750">
      <w:pPr>
        <w:spacing w:line="360" w:lineRule="auto"/>
        <w:ind w:firstLine="1155" w:firstLineChars="550"/>
        <w:rPr>
          <w:rFonts w:hint="eastAsia" w:ascii="宋体" w:hAnsi="宋体" w:cs="宋体"/>
          <w:color w:val="auto"/>
          <w:szCs w:val="21"/>
          <w:highlight w:val="none"/>
        </w:rPr>
      </w:pPr>
    </w:p>
    <w:p w14:paraId="315AC0E8">
      <w:pPr>
        <w:spacing w:line="360" w:lineRule="auto"/>
        <w:ind w:firstLine="1155" w:firstLineChars="550"/>
        <w:rPr>
          <w:rFonts w:hint="eastAsia" w:ascii="宋体" w:hAnsi="宋体" w:cs="宋体"/>
          <w:color w:val="auto"/>
          <w:szCs w:val="21"/>
          <w:highlight w:val="none"/>
        </w:rPr>
      </w:pPr>
    </w:p>
    <w:p w14:paraId="3B734D8E">
      <w:pPr>
        <w:pStyle w:val="5"/>
        <w:rPr>
          <w:rFonts w:hint="eastAsia" w:ascii="宋体" w:hAnsi="宋体" w:cs="宋体"/>
          <w:color w:val="auto"/>
          <w:highlight w:val="none"/>
        </w:rPr>
      </w:pPr>
      <w:r>
        <w:rPr>
          <w:rFonts w:hint="eastAsia" w:ascii="宋体" w:hAnsi="宋体" w:cs="宋体"/>
          <w:color w:val="auto"/>
          <w:highlight w:val="none"/>
        </w:rPr>
        <w:t>附件二：履约担保格式</w:t>
      </w:r>
    </w:p>
    <w:p w14:paraId="1A227F64">
      <w:pPr>
        <w:spacing w:line="360" w:lineRule="auto"/>
        <w:jc w:val="center"/>
        <w:rPr>
          <w:rFonts w:hint="eastAsia" w:ascii="宋体" w:hAnsi="宋体" w:cs="宋体"/>
          <w:b/>
          <w:color w:val="auto"/>
          <w:sz w:val="32"/>
          <w:szCs w:val="32"/>
          <w:highlight w:val="none"/>
        </w:rPr>
      </w:pPr>
      <w:r>
        <w:rPr>
          <w:rFonts w:hint="eastAsia" w:ascii="宋体" w:hAnsi="宋体" w:cs="宋体"/>
          <w:b/>
          <w:color w:val="auto"/>
          <w:sz w:val="32"/>
          <w:szCs w:val="32"/>
          <w:highlight w:val="none"/>
        </w:rPr>
        <w:t>履约担保</w:t>
      </w:r>
    </w:p>
    <w:p w14:paraId="762B2BFE">
      <w:pPr>
        <w:spacing w:line="360" w:lineRule="auto"/>
        <w:rPr>
          <w:rFonts w:hint="eastAsia" w:ascii="宋体" w:hAnsi="宋体" w:cs="宋体"/>
          <w:color w:val="auto"/>
          <w:szCs w:val="21"/>
          <w:highlight w:val="none"/>
          <w:u w:val="single"/>
        </w:rPr>
      </w:pPr>
    </w:p>
    <w:p w14:paraId="36FBBB23">
      <w:pPr>
        <w:spacing w:line="360" w:lineRule="auto"/>
        <w:rPr>
          <w:rFonts w:hint="eastAsia" w:ascii="宋体" w:hAnsi="宋体" w:cs="宋体"/>
          <w:color w:val="auto"/>
          <w:szCs w:val="21"/>
          <w:highlight w:val="none"/>
        </w:rPr>
      </w:pP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（发包人名称）</w:t>
      </w:r>
      <w:r>
        <w:rPr>
          <w:rFonts w:hint="eastAsia" w:ascii="宋体" w:hAnsi="宋体" w:cs="宋体"/>
          <w:color w:val="auto"/>
          <w:szCs w:val="21"/>
          <w:highlight w:val="none"/>
          <w:lang w:eastAsia="zh-CN"/>
        </w:rPr>
        <w:t>：</w:t>
      </w:r>
      <w:r>
        <w:rPr>
          <w:rFonts w:hint="eastAsia" w:ascii="宋体" w:hAnsi="宋体" w:cs="宋体"/>
          <w:color w:val="auto"/>
          <w:szCs w:val="21"/>
          <w:highlight w:val="none"/>
        </w:rPr>
        <w:t xml:space="preserve"> </w:t>
      </w:r>
    </w:p>
    <w:p w14:paraId="6A8687B3">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鉴于</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（发包人名称，以下简称“发包人”）接受</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（承包人名称）（以下称“承包人”）于＿年＿月＿日参加</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（项目名称）施工的投标。我方愿意无条件地、不可撤销地就承包人履行与你方订立的合同，向你方提供担保。</w:t>
      </w:r>
    </w:p>
    <w:p w14:paraId="1720CF91">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1．担保金额人民币（大写）</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元（￥</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w:t>
      </w:r>
    </w:p>
    <w:p w14:paraId="4FB5A1B2">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2．担保有效期自发包人与承包人签订的合同生效之日起至发包人签发工程接收证书之日止。</w:t>
      </w:r>
    </w:p>
    <w:p w14:paraId="133610BD">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3．在本担保有效期内，因承包人违反合同约定的义务给你方造成经济损失时，我方在收到你方以书面形式提出的在担保金额内的赔偿要求后，在7天内无条件支付。</w:t>
      </w:r>
    </w:p>
    <w:p w14:paraId="2FCD3C8F">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4．发包人和承包人按《通用合同条款》变更合同时，我方承担本担保规定的义务不变。</w:t>
      </w:r>
    </w:p>
    <w:p w14:paraId="4043F0C8">
      <w:pPr>
        <w:spacing w:line="360" w:lineRule="auto"/>
        <w:ind w:firstLine="420" w:firstLineChars="200"/>
        <w:rPr>
          <w:rFonts w:hint="eastAsia" w:ascii="宋体" w:hAnsi="宋体" w:cs="宋体"/>
          <w:color w:val="auto"/>
          <w:szCs w:val="21"/>
          <w:highlight w:val="none"/>
        </w:rPr>
      </w:pPr>
    </w:p>
    <w:p w14:paraId="107B36C8">
      <w:pPr>
        <w:spacing w:line="360" w:lineRule="auto"/>
        <w:ind w:firstLine="420" w:firstLineChars="200"/>
        <w:rPr>
          <w:rFonts w:hint="eastAsia" w:ascii="宋体" w:hAnsi="宋体" w:cs="宋体"/>
          <w:color w:val="auto"/>
          <w:szCs w:val="21"/>
          <w:highlight w:val="none"/>
        </w:rPr>
      </w:pPr>
    </w:p>
    <w:p w14:paraId="4E065C79">
      <w:pPr>
        <w:spacing w:line="360" w:lineRule="auto"/>
        <w:ind w:firstLine="420" w:firstLineChars="200"/>
        <w:rPr>
          <w:rFonts w:hint="eastAsia" w:ascii="宋体" w:hAnsi="宋体" w:cs="宋体"/>
          <w:color w:val="auto"/>
          <w:szCs w:val="21"/>
          <w:highlight w:val="none"/>
        </w:rPr>
      </w:pPr>
    </w:p>
    <w:p w14:paraId="141B64F9">
      <w:pPr>
        <w:spacing w:line="360" w:lineRule="auto"/>
        <w:ind w:firstLine="3780" w:firstLineChars="1800"/>
        <w:rPr>
          <w:rFonts w:hint="eastAsia" w:ascii="宋体" w:hAnsi="宋体" w:cs="宋体"/>
          <w:color w:val="auto"/>
          <w:szCs w:val="21"/>
          <w:highlight w:val="none"/>
        </w:rPr>
      </w:pPr>
      <w:r>
        <w:rPr>
          <w:rFonts w:hint="eastAsia" w:ascii="宋体" w:hAnsi="宋体" w:cs="宋体"/>
          <w:color w:val="auto"/>
          <w:szCs w:val="21"/>
          <w:highlight w:val="none"/>
        </w:rPr>
        <w:t>担保人：</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（盖单位章）</w:t>
      </w:r>
    </w:p>
    <w:p w14:paraId="6B762E60">
      <w:pPr>
        <w:spacing w:line="360" w:lineRule="auto"/>
        <w:ind w:firstLine="3780" w:firstLineChars="1800"/>
        <w:rPr>
          <w:rFonts w:hint="eastAsia" w:ascii="宋体" w:hAnsi="宋体" w:cs="宋体"/>
          <w:color w:val="auto"/>
          <w:szCs w:val="21"/>
          <w:highlight w:val="none"/>
        </w:rPr>
      </w:pPr>
      <w:r>
        <w:rPr>
          <w:rFonts w:hint="eastAsia" w:ascii="宋体" w:hAnsi="宋体" w:cs="宋体"/>
          <w:color w:val="auto"/>
          <w:szCs w:val="21"/>
          <w:highlight w:val="none"/>
        </w:rPr>
        <w:t>法定代表人或其委托代理人：</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（签字）</w:t>
      </w:r>
    </w:p>
    <w:p w14:paraId="313A55F5">
      <w:pPr>
        <w:spacing w:line="360" w:lineRule="auto"/>
        <w:ind w:firstLine="3780" w:firstLineChars="1800"/>
        <w:rPr>
          <w:rFonts w:hint="eastAsia" w:ascii="宋体" w:hAnsi="宋体" w:cs="宋体"/>
          <w:color w:val="auto"/>
          <w:szCs w:val="21"/>
          <w:highlight w:val="none"/>
        </w:rPr>
      </w:pPr>
      <w:r>
        <w:rPr>
          <w:rFonts w:hint="eastAsia" w:ascii="宋体" w:hAnsi="宋体" w:cs="宋体"/>
          <w:color w:val="auto"/>
          <w:szCs w:val="21"/>
          <w:highlight w:val="none"/>
        </w:rPr>
        <w:t>地    址：</w:t>
      </w:r>
      <w:r>
        <w:rPr>
          <w:rFonts w:hint="eastAsia" w:ascii="宋体" w:hAnsi="宋体" w:cs="宋体"/>
          <w:color w:val="auto"/>
          <w:szCs w:val="21"/>
          <w:highlight w:val="none"/>
          <w:u w:val="single"/>
        </w:rPr>
        <w:t xml:space="preserve">                     </w:t>
      </w:r>
    </w:p>
    <w:p w14:paraId="6A19CB68">
      <w:pPr>
        <w:spacing w:line="360" w:lineRule="auto"/>
        <w:ind w:firstLine="3780" w:firstLineChars="1800"/>
        <w:rPr>
          <w:rFonts w:hint="eastAsia" w:ascii="宋体" w:hAnsi="宋体" w:cs="宋体"/>
          <w:color w:val="auto"/>
          <w:szCs w:val="21"/>
          <w:highlight w:val="none"/>
        </w:rPr>
      </w:pPr>
      <w:r>
        <w:rPr>
          <w:rFonts w:hint="eastAsia" w:ascii="宋体" w:hAnsi="宋体" w:cs="宋体"/>
          <w:color w:val="auto"/>
          <w:szCs w:val="21"/>
          <w:highlight w:val="none"/>
        </w:rPr>
        <w:t>邮政编码：</w:t>
      </w:r>
      <w:r>
        <w:rPr>
          <w:rFonts w:hint="eastAsia" w:ascii="宋体" w:hAnsi="宋体" w:cs="宋体"/>
          <w:color w:val="auto"/>
          <w:szCs w:val="21"/>
          <w:highlight w:val="none"/>
          <w:u w:val="single"/>
        </w:rPr>
        <w:t xml:space="preserve">                     </w:t>
      </w:r>
    </w:p>
    <w:p w14:paraId="2F52DE3B">
      <w:pPr>
        <w:spacing w:line="360" w:lineRule="auto"/>
        <w:ind w:firstLine="3780" w:firstLineChars="1800"/>
        <w:rPr>
          <w:rFonts w:hint="eastAsia" w:ascii="宋体" w:hAnsi="宋体" w:cs="宋体"/>
          <w:color w:val="auto"/>
          <w:szCs w:val="21"/>
          <w:highlight w:val="none"/>
        </w:rPr>
      </w:pPr>
      <w:r>
        <w:rPr>
          <w:rFonts w:hint="eastAsia" w:ascii="宋体" w:hAnsi="宋体" w:cs="宋体"/>
          <w:color w:val="auto"/>
          <w:szCs w:val="21"/>
          <w:highlight w:val="none"/>
        </w:rPr>
        <w:t>电    话：</w:t>
      </w:r>
      <w:r>
        <w:rPr>
          <w:rFonts w:hint="eastAsia" w:ascii="宋体" w:hAnsi="宋体" w:cs="宋体"/>
          <w:color w:val="auto"/>
          <w:szCs w:val="21"/>
          <w:highlight w:val="none"/>
          <w:u w:val="single"/>
        </w:rPr>
        <w:t xml:space="preserve">                     </w:t>
      </w:r>
    </w:p>
    <w:p w14:paraId="26393B6C">
      <w:pPr>
        <w:spacing w:line="360" w:lineRule="auto"/>
        <w:ind w:firstLine="3780" w:firstLineChars="1800"/>
        <w:rPr>
          <w:rFonts w:hint="eastAsia" w:ascii="宋体" w:hAnsi="宋体" w:cs="宋体"/>
          <w:color w:val="auto"/>
          <w:szCs w:val="21"/>
          <w:highlight w:val="none"/>
        </w:rPr>
      </w:pPr>
      <w:r>
        <w:rPr>
          <w:rFonts w:hint="eastAsia" w:ascii="宋体" w:hAnsi="宋体" w:cs="宋体"/>
          <w:color w:val="auto"/>
          <w:szCs w:val="21"/>
          <w:highlight w:val="none"/>
        </w:rPr>
        <w:t>传     真</w:t>
      </w:r>
      <w:r>
        <w:rPr>
          <w:rFonts w:hint="eastAsia" w:ascii="宋体" w:hAnsi="宋体" w:cs="宋体"/>
          <w:color w:val="auto"/>
          <w:szCs w:val="21"/>
          <w:highlight w:val="none"/>
          <w:lang w:eastAsia="zh-CN"/>
        </w:rPr>
        <w:t>：</w:t>
      </w:r>
      <w:r>
        <w:rPr>
          <w:rFonts w:hint="eastAsia" w:ascii="宋体" w:hAnsi="宋体" w:cs="宋体"/>
          <w:color w:val="auto"/>
          <w:szCs w:val="21"/>
          <w:highlight w:val="none"/>
          <w:u w:val="single"/>
        </w:rPr>
        <w:t xml:space="preserve">                     </w:t>
      </w:r>
    </w:p>
    <w:p w14:paraId="36DD73B1">
      <w:pPr>
        <w:spacing w:line="360" w:lineRule="auto"/>
        <w:ind w:firstLine="4620" w:firstLineChars="2200"/>
        <w:rPr>
          <w:rFonts w:hint="eastAsia" w:ascii="宋体" w:hAnsi="宋体" w:cs="宋体"/>
          <w:color w:val="auto"/>
          <w:szCs w:val="21"/>
          <w:highlight w:val="none"/>
        </w:rPr>
      </w:pPr>
      <w:r>
        <w:rPr>
          <w:rFonts w:hint="eastAsia" w:ascii="宋体" w:hAnsi="宋体" w:cs="宋体"/>
          <w:color w:val="auto"/>
          <w:szCs w:val="21"/>
          <w:highlight w:val="none"/>
        </w:rPr>
        <w:t xml:space="preserve">  </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年</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月</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日</w:t>
      </w:r>
    </w:p>
    <w:p w14:paraId="4DF86D5B">
      <w:pPr>
        <w:rPr>
          <w:rFonts w:ascii="宋体" w:hAnsi="宋体"/>
          <w:b/>
          <w:color w:val="auto"/>
          <w:highlight w:val="none"/>
        </w:rPr>
      </w:pPr>
    </w:p>
    <w:p w14:paraId="4DB777CD">
      <w:pPr>
        <w:rPr>
          <w:rFonts w:ascii="宋体" w:hAnsi="宋体"/>
          <w:color w:val="auto"/>
          <w:highlight w:val="none"/>
        </w:rPr>
        <w:sectPr>
          <w:pgSz w:w="11907" w:h="16840"/>
          <w:pgMar w:top="1247" w:right="1247" w:bottom="1247" w:left="1020" w:header="851" w:footer="992" w:gutter="397"/>
          <w:pgNumType w:fmt="decimal"/>
          <w:cols w:space="720" w:num="1"/>
          <w:docGrid w:linePitch="435" w:charSpace="0"/>
        </w:sectPr>
      </w:pPr>
    </w:p>
    <w:bookmarkEnd w:id="373"/>
    <w:bookmarkEnd w:id="374"/>
    <w:bookmarkEnd w:id="375"/>
    <w:p w14:paraId="4B21E083">
      <w:pPr>
        <w:pStyle w:val="46"/>
        <w:numPr>
          <w:ilvl w:val="0"/>
          <w:numId w:val="3"/>
        </w:numPr>
        <w:spacing w:line="360" w:lineRule="auto"/>
        <w:rPr>
          <w:color w:val="auto"/>
          <w:highlight w:val="none"/>
        </w:rPr>
      </w:pPr>
      <w:r>
        <w:rPr>
          <w:rFonts w:hint="eastAsia"/>
          <w:color w:val="auto"/>
          <w:highlight w:val="none"/>
        </w:rPr>
        <w:t xml:space="preserve"> </w:t>
      </w:r>
      <w:bookmarkStart w:id="697" w:name="_Toc2231"/>
      <w:r>
        <w:rPr>
          <w:rFonts w:hint="eastAsia"/>
          <w:color w:val="auto"/>
          <w:highlight w:val="none"/>
          <w:lang w:val="zh-CN"/>
        </w:rPr>
        <w:t>工程量</w:t>
      </w:r>
      <w:r>
        <w:rPr>
          <w:rFonts w:hint="eastAsia"/>
          <w:color w:val="auto"/>
          <w:highlight w:val="none"/>
        </w:rPr>
        <w:t>清单</w:t>
      </w:r>
      <w:bookmarkEnd w:id="697"/>
    </w:p>
    <w:p w14:paraId="65181472">
      <w:pPr>
        <w:pStyle w:val="26"/>
        <w:spacing w:line="360" w:lineRule="auto"/>
        <w:rPr>
          <w:rFonts w:hint="eastAsia" w:ascii="宋体" w:hAnsi="宋体"/>
          <w:b/>
          <w:bCs/>
          <w:color w:val="auto"/>
          <w:szCs w:val="21"/>
          <w:highlight w:val="none"/>
        </w:rPr>
      </w:pPr>
    </w:p>
    <w:p w14:paraId="3C6C8C04">
      <w:pPr>
        <w:pStyle w:val="26"/>
        <w:spacing w:line="360" w:lineRule="auto"/>
        <w:rPr>
          <w:rFonts w:hint="eastAsia" w:ascii="宋体" w:hAnsi="宋体"/>
          <w:b/>
          <w:bCs/>
          <w:color w:val="auto"/>
          <w:szCs w:val="21"/>
          <w:highlight w:val="none"/>
        </w:rPr>
      </w:pPr>
    </w:p>
    <w:p w14:paraId="6EDCD227">
      <w:pPr>
        <w:pStyle w:val="26"/>
        <w:spacing w:line="360" w:lineRule="auto"/>
        <w:rPr>
          <w:rFonts w:hint="eastAsia" w:ascii="宋体" w:hAnsi="宋体"/>
          <w:b/>
          <w:bCs/>
          <w:color w:val="auto"/>
          <w:szCs w:val="21"/>
          <w:highlight w:val="none"/>
        </w:rPr>
      </w:pPr>
    </w:p>
    <w:p w14:paraId="40FF5758">
      <w:pPr>
        <w:pStyle w:val="26"/>
        <w:spacing w:line="360" w:lineRule="auto"/>
        <w:rPr>
          <w:rFonts w:hint="eastAsia" w:ascii="宋体" w:hAnsi="宋体"/>
          <w:b/>
          <w:bCs/>
          <w:color w:val="auto"/>
          <w:szCs w:val="21"/>
          <w:highlight w:val="none"/>
        </w:rPr>
      </w:pPr>
      <w:r>
        <w:rPr>
          <w:rFonts w:hint="eastAsia" w:ascii="宋体" w:hAnsi="宋体"/>
          <w:b/>
          <w:bCs/>
          <w:color w:val="auto"/>
          <w:szCs w:val="21"/>
          <w:highlight w:val="none"/>
        </w:rPr>
        <w:t>工程量清单另附。</w:t>
      </w:r>
    </w:p>
    <w:p w14:paraId="1AF472C3">
      <w:pPr>
        <w:pStyle w:val="26"/>
        <w:spacing w:line="360" w:lineRule="auto"/>
        <w:rPr>
          <w:rFonts w:hint="eastAsia" w:ascii="宋体" w:hAnsi="宋体" w:eastAsia="宋体" w:cs="Times New Roman"/>
          <w:b/>
          <w:bCs/>
          <w:color w:val="auto"/>
          <w:szCs w:val="21"/>
          <w:highlight w:val="none"/>
          <w:lang w:val="en-US" w:eastAsia="zh-CN"/>
        </w:rPr>
        <w:sectPr>
          <w:headerReference r:id="rId6" w:type="default"/>
          <w:footerReference r:id="rId7" w:type="default"/>
          <w:pgSz w:w="11907" w:h="16840"/>
          <w:pgMar w:top="1440" w:right="1803" w:bottom="1440" w:left="1803" w:header="851" w:footer="850" w:gutter="0"/>
          <w:pgNumType w:fmt="decimal"/>
          <w:cols w:space="720" w:num="1"/>
          <w:titlePg/>
          <w:docGrid w:type="linesAndChars" w:linePitch="312" w:charSpace="-3473"/>
        </w:sectPr>
      </w:pPr>
    </w:p>
    <w:bookmarkEnd w:id="376"/>
    <w:p w14:paraId="236441DD">
      <w:pPr>
        <w:rPr>
          <w:color w:val="auto"/>
          <w:highlight w:val="none"/>
        </w:rPr>
      </w:pPr>
    </w:p>
    <w:p w14:paraId="4C4D0C27">
      <w:pPr>
        <w:pStyle w:val="46"/>
        <w:spacing w:line="400" w:lineRule="exact"/>
        <w:rPr>
          <w:color w:val="auto"/>
          <w:highlight w:val="none"/>
        </w:rPr>
      </w:pPr>
      <w:bookmarkStart w:id="698" w:name="_Toc504654797"/>
      <w:bookmarkStart w:id="699" w:name="_Toc31332"/>
      <w:r>
        <w:rPr>
          <w:rFonts w:hint="eastAsia"/>
          <w:color w:val="auto"/>
          <w:highlight w:val="none"/>
        </w:rPr>
        <w:t xml:space="preserve">第六章    </w:t>
      </w:r>
      <w:bookmarkEnd w:id="698"/>
      <w:r>
        <w:rPr>
          <w:rFonts w:hint="eastAsia"/>
          <w:color w:val="auto"/>
          <w:highlight w:val="none"/>
        </w:rPr>
        <w:t>图  纸</w:t>
      </w:r>
      <w:bookmarkEnd w:id="699"/>
    </w:p>
    <w:p w14:paraId="57CE14AF">
      <w:pPr>
        <w:pStyle w:val="46"/>
        <w:spacing w:line="400" w:lineRule="exact"/>
        <w:outlineLvl w:val="1"/>
        <w:rPr>
          <w:color w:val="auto"/>
          <w:sz w:val="28"/>
          <w:highlight w:val="none"/>
        </w:rPr>
      </w:pPr>
      <w:bookmarkStart w:id="700" w:name="_Toc20151"/>
      <w:r>
        <w:rPr>
          <w:rFonts w:hint="eastAsia"/>
          <w:color w:val="auto"/>
          <w:sz w:val="28"/>
          <w:highlight w:val="none"/>
        </w:rPr>
        <w:t>（另 附）</w:t>
      </w:r>
      <w:bookmarkEnd w:id="700"/>
    </w:p>
    <w:p w14:paraId="6F89FDE5">
      <w:pPr>
        <w:widowControl/>
        <w:spacing w:line="400" w:lineRule="exact"/>
        <w:ind w:firstLine="2520"/>
        <w:rPr>
          <w:rFonts w:ascii="宋体" w:hAnsi="宋体" w:cs="宋体"/>
          <w:b/>
          <w:bCs/>
          <w:color w:val="auto"/>
          <w:kern w:val="0"/>
          <w:sz w:val="28"/>
          <w:szCs w:val="28"/>
          <w:highlight w:val="none"/>
        </w:rPr>
      </w:pPr>
    </w:p>
    <w:p w14:paraId="4F5F0E47">
      <w:pPr>
        <w:widowControl/>
        <w:spacing w:line="400" w:lineRule="exact"/>
        <w:ind w:firstLine="2520"/>
        <w:rPr>
          <w:rFonts w:ascii="宋体" w:hAnsi="宋体" w:cs="宋体"/>
          <w:b/>
          <w:bCs/>
          <w:color w:val="auto"/>
          <w:kern w:val="0"/>
          <w:sz w:val="28"/>
          <w:szCs w:val="28"/>
          <w:highlight w:val="none"/>
        </w:rPr>
      </w:pPr>
    </w:p>
    <w:p w14:paraId="5771C5BF">
      <w:pPr>
        <w:widowControl/>
        <w:spacing w:line="400" w:lineRule="exact"/>
        <w:ind w:firstLine="2520"/>
        <w:rPr>
          <w:rFonts w:ascii="宋体" w:hAnsi="宋体" w:cs="宋体"/>
          <w:b/>
          <w:bCs/>
          <w:color w:val="auto"/>
          <w:kern w:val="0"/>
          <w:sz w:val="28"/>
          <w:szCs w:val="28"/>
          <w:highlight w:val="none"/>
        </w:rPr>
      </w:pPr>
    </w:p>
    <w:p w14:paraId="71687806">
      <w:pPr>
        <w:pStyle w:val="2"/>
        <w:bidi w:val="0"/>
        <w:jc w:val="center"/>
        <w:rPr>
          <w:rFonts w:ascii="宋体" w:hAnsi="宋体"/>
          <w:b/>
          <w:bCs w:val="0"/>
          <w:color w:val="auto"/>
          <w:sz w:val="28"/>
          <w:szCs w:val="28"/>
          <w:highlight w:val="none"/>
        </w:rPr>
      </w:pPr>
      <w:r>
        <w:rPr>
          <w:color w:val="auto"/>
          <w:highlight w:val="none"/>
        </w:rPr>
        <w:br w:type="page"/>
      </w:r>
      <w:bookmarkStart w:id="701" w:name="_Toc311205808"/>
      <w:bookmarkStart w:id="702" w:name="_Toc310088859"/>
      <w:bookmarkStart w:id="703" w:name="_Toc515629898"/>
      <w:bookmarkStart w:id="704" w:name="_Toc268068458"/>
      <w:bookmarkStart w:id="705" w:name="_Toc469666529"/>
      <w:bookmarkStart w:id="706" w:name="_Toc21626"/>
      <w:bookmarkStart w:id="707" w:name="_Toc226966804"/>
      <w:r>
        <w:rPr>
          <w:rFonts w:hint="eastAsia" w:ascii="宋体" w:hAnsi="宋体"/>
          <w:b/>
          <w:bCs w:val="0"/>
          <w:color w:val="auto"/>
          <w:sz w:val="32"/>
          <w:highlight w:val="none"/>
        </w:rPr>
        <w:t>第七章 技术标准和要求</w:t>
      </w:r>
      <w:bookmarkEnd w:id="701"/>
      <w:bookmarkEnd w:id="702"/>
      <w:bookmarkEnd w:id="703"/>
      <w:bookmarkEnd w:id="704"/>
      <w:bookmarkEnd w:id="705"/>
      <w:bookmarkEnd w:id="706"/>
      <w:bookmarkEnd w:id="707"/>
    </w:p>
    <w:p w14:paraId="68359C17">
      <w:pPr>
        <w:pStyle w:val="14"/>
        <w:numPr>
          <w:ilvl w:val="0"/>
          <w:numId w:val="0"/>
        </w:numPr>
        <w:rPr>
          <w:rFonts w:hint="eastAsia"/>
          <w:color w:val="auto"/>
          <w:highlight w:val="none"/>
        </w:rPr>
      </w:pPr>
    </w:p>
    <w:p w14:paraId="43FC62BA">
      <w:pPr>
        <w:autoSpaceDE w:val="0"/>
        <w:autoSpaceDN w:val="0"/>
        <w:spacing w:line="360" w:lineRule="auto"/>
        <w:ind w:right="728"/>
        <w:jc w:val="left"/>
        <w:rPr>
          <w:rFonts w:ascii="宋体" w:hAnsi="宋体" w:cs="宋体"/>
          <w:color w:val="auto"/>
          <w:szCs w:val="21"/>
          <w:highlight w:val="none"/>
          <w:lang w:val="zh-CN" w:bidi="zh-CN"/>
        </w:rPr>
      </w:pPr>
      <w:r>
        <w:rPr>
          <w:rFonts w:ascii="宋体" w:hAnsi="宋体" w:cs="宋体"/>
          <w:color w:val="auto"/>
          <w:spacing w:val="-7"/>
          <w:szCs w:val="21"/>
          <w:highlight w:val="none"/>
          <w:lang w:val="zh-CN" w:bidi="zh-CN"/>
        </w:rPr>
        <w:t>一、依据设计文件的要求，本招标工程项目的材料、设备、施工质量须达到包括但不限于下列现行中</w:t>
      </w:r>
      <w:r>
        <w:rPr>
          <w:rFonts w:ascii="宋体" w:hAnsi="宋体" w:cs="宋体"/>
          <w:color w:val="auto"/>
          <w:spacing w:val="-5"/>
          <w:szCs w:val="21"/>
          <w:highlight w:val="none"/>
          <w:lang w:val="zh-CN" w:bidi="zh-CN"/>
        </w:rPr>
        <w:t>华人民共和国以及省、自治区、直辖市或行业的工程建设标准、规范的要求：</w:t>
      </w:r>
    </w:p>
    <w:p w14:paraId="0A2686E4">
      <w:pPr>
        <w:pStyle w:val="46"/>
        <w:spacing w:line="400" w:lineRule="exact"/>
        <w:jc w:val="left"/>
        <w:outlineLvl w:val="9"/>
        <w:rPr>
          <w:rFonts w:hint="eastAsia" w:ascii="宋体" w:hAnsi="宋体" w:eastAsia="宋体" w:cs="宋体"/>
          <w:b w:val="0"/>
          <w:bCs w:val="0"/>
          <w:color w:val="auto"/>
          <w:spacing w:val="-7"/>
          <w:kern w:val="2"/>
          <w:sz w:val="21"/>
          <w:szCs w:val="21"/>
          <w:highlight w:val="none"/>
          <w:lang w:val="zh-CN" w:eastAsia="zh-CN" w:bidi="zh-CN"/>
        </w:rPr>
      </w:pPr>
      <w:r>
        <w:rPr>
          <w:rFonts w:hint="eastAsia" w:ascii="宋体" w:hAnsi="宋体" w:eastAsia="宋体" w:cs="宋体"/>
          <w:b w:val="0"/>
          <w:bCs w:val="0"/>
          <w:color w:val="auto"/>
          <w:spacing w:val="-7"/>
          <w:kern w:val="2"/>
          <w:sz w:val="21"/>
          <w:szCs w:val="21"/>
          <w:highlight w:val="none"/>
          <w:lang w:val="zh-CN" w:eastAsia="zh-CN" w:bidi="zh-CN"/>
        </w:rPr>
        <w:t>二、根据工程设计要求，该项工程下列项目的材料、施工除必须达到以上标准外，还应满足下列标准要求：按施工图要求施工。</w:t>
      </w:r>
    </w:p>
    <w:p w14:paraId="7A1F3F26">
      <w:pPr>
        <w:pStyle w:val="46"/>
        <w:spacing w:line="400" w:lineRule="exact"/>
        <w:jc w:val="left"/>
        <w:outlineLvl w:val="9"/>
        <w:rPr>
          <w:rFonts w:ascii="宋体" w:hAnsi="宋体" w:eastAsia="宋体" w:cs="宋体"/>
          <w:b w:val="0"/>
          <w:bCs w:val="0"/>
          <w:color w:val="auto"/>
          <w:spacing w:val="-7"/>
          <w:kern w:val="2"/>
          <w:sz w:val="21"/>
          <w:szCs w:val="21"/>
          <w:highlight w:val="none"/>
          <w:lang w:val="zh-CN" w:eastAsia="zh-CN" w:bidi="zh-CN"/>
        </w:rPr>
      </w:pPr>
      <w:r>
        <w:rPr>
          <w:rFonts w:hint="eastAsia" w:ascii="宋体" w:hAnsi="宋体" w:eastAsia="宋体" w:cs="宋体"/>
          <w:b w:val="0"/>
          <w:bCs w:val="0"/>
          <w:color w:val="auto"/>
          <w:spacing w:val="-7"/>
          <w:kern w:val="2"/>
          <w:sz w:val="21"/>
          <w:szCs w:val="21"/>
          <w:highlight w:val="none"/>
          <w:lang w:val="zh-CN" w:eastAsia="zh-CN" w:bidi="zh-CN"/>
        </w:rPr>
        <w:t>若上述标准和规程规范颁布最新版，承包人应执行最新版本。</w:t>
      </w:r>
    </w:p>
    <w:p w14:paraId="146F0AD1">
      <w:pPr>
        <w:pStyle w:val="46"/>
        <w:spacing w:line="400" w:lineRule="exact"/>
        <w:outlineLvl w:val="9"/>
        <w:rPr>
          <w:rFonts w:ascii="宋体" w:hAnsi="宋体"/>
          <w:b w:val="0"/>
          <w:bCs w:val="0"/>
          <w:color w:val="auto"/>
          <w:szCs w:val="44"/>
          <w:highlight w:val="none"/>
        </w:rPr>
      </w:pPr>
      <w:r>
        <w:rPr>
          <w:rFonts w:ascii="宋体" w:hAnsi="宋体"/>
          <w:b w:val="0"/>
          <w:bCs w:val="0"/>
          <w:color w:val="auto"/>
          <w:szCs w:val="44"/>
          <w:highlight w:val="none"/>
        </w:rPr>
        <w:br w:type="page"/>
      </w:r>
    </w:p>
    <w:p w14:paraId="238E225E">
      <w:pPr>
        <w:pStyle w:val="46"/>
        <w:spacing w:line="400" w:lineRule="exact"/>
        <w:outlineLvl w:val="9"/>
        <w:rPr>
          <w:rFonts w:ascii="宋体" w:hAnsi="宋体"/>
          <w:b w:val="0"/>
          <w:bCs w:val="0"/>
          <w:color w:val="auto"/>
          <w:szCs w:val="44"/>
          <w:highlight w:val="none"/>
        </w:rPr>
      </w:pPr>
    </w:p>
    <w:p w14:paraId="6A99C530">
      <w:pPr>
        <w:pStyle w:val="46"/>
        <w:spacing w:line="400" w:lineRule="exact"/>
        <w:outlineLvl w:val="9"/>
        <w:rPr>
          <w:rFonts w:ascii="宋体" w:hAnsi="宋体"/>
          <w:b w:val="0"/>
          <w:bCs w:val="0"/>
          <w:color w:val="auto"/>
          <w:szCs w:val="44"/>
          <w:highlight w:val="none"/>
        </w:rPr>
      </w:pPr>
    </w:p>
    <w:p w14:paraId="330F76AF">
      <w:pPr>
        <w:pStyle w:val="46"/>
        <w:spacing w:line="400" w:lineRule="exact"/>
        <w:outlineLvl w:val="9"/>
        <w:rPr>
          <w:rFonts w:ascii="宋体" w:hAnsi="宋体"/>
          <w:b w:val="0"/>
          <w:bCs w:val="0"/>
          <w:color w:val="auto"/>
          <w:szCs w:val="44"/>
          <w:highlight w:val="none"/>
        </w:rPr>
      </w:pPr>
    </w:p>
    <w:p w14:paraId="7BFDBA39">
      <w:pPr>
        <w:pStyle w:val="46"/>
        <w:spacing w:line="400" w:lineRule="exact"/>
        <w:rPr>
          <w:color w:val="auto"/>
          <w:highlight w:val="none"/>
        </w:rPr>
      </w:pPr>
      <w:bookmarkStart w:id="708" w:name="_Toc15832"/>
      <w:r>
        <w:rPr>
          <w:rFonts w:hint="eastAsia"/>
          <w:color w:val="auto"/>
          <w:highlight w:val="none"/>
        </w:rPr>
        <w:t xml:space="preserve">第八章  </w:t>
      </w:r>
      <w:r>
        <w:rPr>
          <w:rFonts w:hint="eastAsia"/>
          <w:color w:val="auto"/>
          <w:highlight w:val="none"/>
          <w:lang w:eastAsia="zh-CN"/>
        </w:rPr>
        <w:t>响应文件</w:t>
      </w:r>
      <w:r>
        <w:rPr>
          <w:rFonts w:hint="eastAsia"/>
          <w:color w:val="auto"/>
          <w:highlight w:val="none"/>
        </w:rPr>
        <w:t>格式</w:t>
      </w:r>
      <w:bookmarkEnd w:id="708"/>
    </w:p>
    <w:p w14:paraId="093204A3">
      <w:pPr>
        <w:pStyle w:val="46"/>
        <w:spacing w:line="400" w:lineRule="exact"/>
        <w:outlineLvl w:val="9"/>
        <w:rPr>
          <w:color w:val="auto"/>
          <w:highlight w:val="none"/>
        </w:rPr>
      </w:pPr>
    </w:p>
    <w:p w14:paraId="4A490DC6">
      <w:pPr>
        <w:widowControl/>
        <w:jc w:val="left"/>
        <w:rPr>
          <w:rFonts w:ascii="宋体" w:hAnsi="宋体"/>
          <w:b/>
          <w:bCs/>
          <w:color w:val="auto"/>
          <w:kern w:val="0"/>
          <w:sz w:val="44"/>
          <w:szCs w:val="44"/>
          <w:highlight w:val="none"/>
        </w:rPr>
      </w:pPr>
    </w:p>
    <w:p w14:paraId="01392CD2">
      <w:pPr>
        <w:widowControl/>
        <w:spacing w:line="400" w:lineRule="exact"/>
        <w:rPr>
          <w:rFonts w:ascii="宋体" w:hAnsi="宋体"/>
          <w:b/>
          <w:bCs/>
          <w:color w:val="auto"/>
          <w:kern w:val="0"/>
          <w:sz w:val="44"/>
          <w:szCs w:val="44"/>
          <w:highlight w:val="none"/>
        </w:rPr>
      </w:pPr>
    </w:p>
    <w:p w14:paraId="0A222A1D">
      <w:pPr>
        <w:widowControl/>
        <w:spacing w:line="400" w:lineRule="exact"/>
        <w:rPr>
          <w:rFonts w:ascii="宋体" w:hAnsi="宋体"/>
          <w:b/>
          <w:bCs/>
          <w:color w:val="auto"/>
          <w:kern w:val="0"/>
          <w:sz w:val="44"/>
          <w:szCs w:val="44"/>
          <w:highlight w:val="none"/>
        </w:rPr>
      </w:pPr>
    </w:p>
    <w:p w14:paraId="49CAB18D">
      <w:pPr>
        <w:widowControl/>
        <w:spacing w:line="400" w:lineRule="exact"/>
        <w:rPr>
          <w:rFonts w:ascii="宋体" w:hAnsi="宋体"/>
          <w:b/>
          <w:bCs/>
          <w:color w:val="auto"/>
          <w:kern w:val="0"/>
          <w:sz w:val="44"/>
          <w:szCs w:val="44"/>
          <w:highlight w:val="none"/>
        </w:rPr>
      </w:pPr>
    </w:p>
    <w:p w14:paraId="34FC274B">
      <w:pPr>
        <w:widowControl/>
        <w:spacing w:line="400" w:lineRule="exact"/>
        <w:rPr>
          <w:rFonts w:ascii="宋体" w:hAnsi="宋体"/>
          <w:b/>
          <w:bCs/>
          <w:color w:val="auto"/>
          <w:kern w:val="0"/>
          <w:sz w:val="44"/>
          <w:szCs w:val="44"/>
          <w:highlight w:val="none"/>
        </w:rPr>
      </w:pPr>
    </w:p>
    <w:p w14:paraId="09D22589">
      <w:pPr>
        <w:widowControl/>
        <w:spacing w:line="400" w:lineRule="exact"/>
        <w:rPr>
          <w:rFonts w:ascii="宋体" w:hAnsi="宋体"/>
          <w:b/>
          <w:bCs/>
          <w:color w:val="auto"/>
          <w:kern w:val="0"/>
          <w:sz w:val="44"/>
          <w:szCs w:val="44"/>
          <w:highlight w:val="none"/>
        </w:rPr>
      </w:pPr>
    </w:p>
    <w:p w14:paraId="26216990">
      <w:pPr>
        <w:widowControl/>
        <w:spacing w:line="400" w:lineRule="exact"/>
        <w:rPr>
          <w:rFonts w:ascii="宋体" w:hAnsi="宋体"/>
          <w:b/>
          <w:bCs/>
          <w:color w:val="auto"/>
          <w:kern w:val="0"/>
          <w:sz w:val="44"/>
          <w:szCs w:val="44"/>
          <w:highlight w:val="none"/>
        </w:rPr>
      </w:pPr>
    </w:p>
    <w:p w14:paraId="5D0AE169">
      <w:pPr>
        <w:widowControl/>
        <w:spacing w:line="400" w:lineRule="exact"/>
        <w:rPr>
          <w:rFonts w:ascii="宋体" w:hAnsi="宋体"/>
          <w:b/>
          <w:bCs/>
          <w:color w:val="auto"/>
          <w:kern w:val="0"/>
          <w:sz w:val="44"/>
          <w:szCs w:val="44"/>
          <w:highlight w:val="none"/>
        </w:rPr>
      </w:pPr>
      <w:r>
        <w:rPr>
          <w:rFonts w:ascii="宋体" w:hAnsi="宋体"/>
          <w:b/>
          <w:bCs/>
          <w:color w:val="auto"/>
          <w:kern w:val="0"/>
          <w:sz w:val="44"/>
          <w:szCs w:val="44"/>
          <w:highlight w:val="none"/>
        </w:rPr>
        <w:br w:type="page"/>
      </w:r>
      <w:r>
        <w:rPr>
          <w:rFonts w:ascii="宋体" w:hAnsi="宋体"/>
          <w:b/>
          <w:bCs/>
          <w:color w:val="auto"/>
          <w:kern w:val="0"/>
          <w:sz w:val="44"/>
          <w:szCs w:val="44"/>
          <w:highlight w:val="none"/>
        </w:rPr>
        <w:t xml:space="preserve">         </w:t>
      </w:r>
    </w:p>
    <w:p w14:paraId="53A58E68">
      <w:pPr>
        <w:widowControl/>
        <w:spacing w:line="400" w:lineRule="exact"/>
        <w:jc w:val="center"/>
        <w:rPr>
          <w:rFonts w:ascii="宋体" w:hAnsi="宋体" w:cs="宋体"/>
          <w:color w:val="auto"/>
          <w:sz w:val="36"/>
          <w:szCs w:val="18"/>
          <w:highlight w:val="none"/>
          <w:lang w:val="zh-CN"/>
        </w:rPr>
      </w:pPr>
    </w:p>
    <w:p w14:paraId="6A492D43">
      <w:pPr>
        <w:widowControl/>
        <w:spacing w:line="400" w:lineRule="exact"/>
        <w:jc w:val="center"/>
        <w:rPr>
          <w:rFonts w:ascii="宋体" w:hAnsi="宋体" w:cs="宋体"/>
          <w:color w:val="auto"/>
          <w:sz w:val="36"/>
          <w:szCs w:val="18"/>
          <w:highlight w:val="none"/>
          <w:lang w:val="zh-CN"/>
        </w:rPr>
      </w:pPr>
    </w:p>
    <w:p w14:paraId="78735EE8">
      <w:pPr>
        <w:ind w:firstLine="1392" w:firstLineChars="300"/>
        <w:rPr>
          <w:rFonts w:hint="eastAsia" w:ascii="宋体" w:hAnsi="宋体"/>
          <w:b/>
          <w:bCs/>
          <w:color w:val="auto"/>
          <w:sz w:val="48"/>
          <w:highlight w:val="none"/>
          <w:u w:val="single"/>
        </w:rPr>
      </w:pPr>
    </w:p>
    <w:p w14:paraId="1A4D80C2">
      <w:pPr>
        <w:ind w:firstLine="1392" w:firstLineChars="300"/>
        <w:rPr>
          <w:rFonts w:ascii="宋体" w:hAnsi="宋体"/>
          <w:b/>
          <w:color w:val="auto"/>
          <w:sz w:val="36"/>
          <w:highlight w:val="none"/>
        </w:rPr>
      </w:pPr>
      <w:r>
        <w:rPr>
          <w:rFonts w:hint="eastAsia" w:ascii="宋体" w:hAnsi="宋体"/>
          <w:b/>
          <w:bCs/>
          <w:color w:val="auto"/>
          <w:sz w:val="48"/>
          <w:highlight w:val="none"/>
          <w:u w:val="single"/>
        </w:rPr>
        <w:t xml:space="preserve"> </w:t>
      </w:r>
      <w:r>
        <w:rPr>
          <w:rFonts w:hint="eastAsia" w:ascii="宋体" w:hAnsi="宋体"/>
          <w:b/>
          <w:bCs/>
          <w:color w:val="auto"/>
          <w:sz w:val="36"/>
          <w:highlight w:val="none"/>
          <w:u w:val="single"/>
        </w:rPr>
        <w:t xml:space="preserve">                         </w:t>
      </w:r>
      <w:r>
        <w:rPr>
          <w:rFonts w:ascii="黑体" w:hAnsi="黑体" w:eastAsia="黑体"/>
          <w:color w:val="auto"/>
          <w:sz w:val="36"/>
          <w:highlight w:val="none"/>
        </w:rPr>
        <w:t>（项目名称）</w:t>
      </w:r>
    </w:p>
    <w:p w14:paraId="1E722D41">
      <w:pPr>
        <w:ind w:firstLine="1032" w:firstLineChars="300"/>
        <w:rPr>
          <w:rFonts w:ascii="宋体" w:hAnsi="宋体"/>
          <w:b/>
          <w:color w:val="auto"/>
          <w:sz w:val="36"/>
          <w:highlight w:val="none"/>
        </w:rPr>
      </w:pPr>
    </w:p>
    <w:p w14:paraId="1F72633F">
      <w:pPr>
        <w:ind w:firstLine="1032" w:firstLineChars="300"/>
        <w:rPr>
          <w:rFonts w:ascii="宋体" w:hAnsi="宋体"/>
          <w:b/>
          <w:color w:val="auto"/>
          <w:sz w:val="36"/>
          <w:highlight w:val="none"/>
        </w:rPr>
      </w:pPr>
    </w:p>
    <w:p w14:paraId="19B9E88B">
      <w:pPr>
        <w:ind w:firstLine="1032" w:firstLineChars="300"/>
        <w:rPr>
          <w:rFonts w:ascii="宋体" w:hAnsi="宋体"/>
          <w:b/>
          <w:color w:val="auto"/>
          <w:sz w:val="36"/>
          <w:highlight w:val="none"/>
        </w:rPr>
      </w:pPr>
    </w:p>
    <w:p w14:paraId="63CA7727">
      <w:pPr>
        <w:autoSpaceDE w:val="0"/>
        <w:autoSpaceDN w:val="0"/>
        <w:adjustRightInd w:val="0"/>
        <w:spacing w:line="400" w:lineRule="exact"/>
        <w:rPr>
          <w:rFonts w:ascii="宋体" w:hAnsi="宋体" w:cs="宋体"/>
          <w:color w:val="auto"/>
          <w:szCs w:val="18"/>
          <w:highlight w:val="none"/>
          <w:lang w:val="zh-CN"/>
        </w:rPr>
      </w:pPr>
    </w:p>
    <w:p w14:paraId="2AD5F6D8">
      <w:pPr>
        <w:jc w:val="center"/>
        <w:rPr>
          <w:rFonts w:ascii="黑体" w:hAnsi="宋体" w:eastAsia="黑体"/>
          <w:b/>
          <w:color w:val="auto"/>
          <w:sz w:val="72"/>
          <w:highlight w:val="none"/>
        </w:rPr>
      </w:pPr>
    </w:p>
    <w:p w14:paraId="567C39E1">
      <w:pPr>
        <w:jc w:val="center"/>
        <w:rPr>
          <w:rFonts w:ascii="黑体" w:hAnsi="宋体" w:eastAsia="黑体"/>
          <w:b/>
          <w:color w:val="auto"/>
          <w:sz w:val="72"/>
          <w:highlight w:val="none"/>
        </w:rPr>
      </w:pPr>
      <w:r>
        <w:rPr>
          <w:rFonts w:hint="eastAsia" w:ascii="黑体" w:hAnsi="宋体" w:eastAsia="黑体"/>
          <w:b/>
          <w:color w:val="auto"/>
          <w:sz w:val="72"/>
          <w:highlight w:val="none"/>
          <w:lang w:val="en-US" w:eastAsia="zh-CN"/>
        </w:rPr>
        <w:t xml:space="preserve">响  应 </w:t>
      </w:r>
      <w:r>
        <w:rPr>
          <w:rFonts w:hint="eastAsia" w:ascii="黑体" w:hAnsi="宋体" w:eastAsia="黑体"/>
          <w:b/>
          <w:color w:val="auto"/>
          <w:sz w:val="72"/>
          <w:highlight w:val="none"/>
        </w:rPr>
        <w:t xml:space="preserve"> 文 </w:t>
      </w:r>
      <w:r>
        <w:rPr>
          <w:rFonts w:hint="eastAsia" w:ascii="黑体" w:hAnsi="宋体" w:eastAsia="黑体"/>
          <w:b/>
          <w:color w:val="auto"/>
          <w:sz w:val="72"/>
          <w:highlight w:val="none"/>
          <w:lang w:val="en-US" w:eastAsia="zh-CN"/>
        </w:rPr>
        <w:t xml:space="preserve"> </w:t>
      </w:r>
      <w:r>
        <w:rPr>
          <w:rFonts w:hint="eastAsia" w:ascii="黑体" w:hAnsi="宋体" w:eastAsia="黑体"/>
          <w:b/>
          <w:color w:val="auto"/>
          <w:sz w:val="72"/>
          <w:highlight w:val="none"/>
        </w:rPr>
        <w:t>件</w:t>
      </w:r>
    </w:p>
    <w:p w14:paraId="6821AB70">
      <w:pPr>
        <w:autoSpaceDE w:val="0"/>
        <w:autoSpaceDN w:val="0"/>
        <w:adjustRightInd w:val="0"/>
        <w:spacing w:line="400" w:lineRule="exact"/>
        <w:jc w:val="left"/>
        <w:rPr>
          <w:rFonts w:ascii="宋体" w:hAnsi="宋体" w:cs="宋体"/>
          <w:color w:val="auto"/>
          <w:szCs w:val="18"/>
          <w:highlight w:val="none"/>
          <w:lang w:val="zh-CN"/>
        </w:rPr>
      </w:pPr>
    </w:p>
    <w:p w14:paraId="3BE96085">
      <w:pPr>
        <w:jc w:val="center"/>
        <w:rPr>
          <w:rFonts w:ascii="宋体" w:hAnsi="宋体"/>
          <w:b/>
          <w:color w:val="auto"/>
          <w:sz w:val="28"/>
          <w:highlight w:val="none"/>
        </w:rPr>
      </w:pPr>
      <w:r>
        <w:rPr>
          <w:rFonts w:hint="default" w:ascii="宋体" w:hAnsi="宋体"/>
          <w:b/>
          <w:color w:val="auto"/>
          <w:sz w:val="28"/>
          <w:highlight w:val="none"/>
        </w:rPr>
        <w:t>采购项目</w:t>
      </w:r>
      <w:r>
        <w:rPr>
          <w:rFonts w:hint="eastAsia" w:ascii="宋体" w:hAnsi="宋体"/>
          <w:b/>
          <w:color w:val="auto"/>
          <w:sz w:val="28"/>
          <w:highlight w:val="none"/>
        </w:rPr>
        <w:t>编号：</w:t>
      </w:r>
    </w:p>
    <w:p w14:paraId="62648CF3">
      <w:pPr>
        <w:autoSpaceDE w:val="0"/>
        <w:autoSpaceDN w:val="0"/>
        <w:adjustRightInd w:val="0"/>
        <w:spacing w:line="400" w:lineRule="exact"/>
        <w:jc w:val="center"/>
        <w:rPr>
          <w:rFonts w:ascii="宋体" w:hAnsi="宋体" w:cs="宋体"/>
          <w:color w:val="auto"/>
          <w:szCs w:val="18"/>
          <w:highlight w:val="none"/>
          <w:lang w:val="zh-CN"/>
        </w:rPr>
      </w:pPr>
    </w:p>
    <w:p w14:paraId="7A9A2916">
      <w:pPr>
        <w:autoSpaceDE w:val="0"/>
        <w:autoSpaceDN w:val="0"/>
        <w:adjustRightInd w:val="0"/>
        <w:spacing w:line="400" w:lineRule="exact"/>
        <w:jc w:val="left"/>
        <w:rPr>
          <w:rFonts w:ascii="宋体" w:hAnsi="宋体" w:cs="宋体"/>
          <w:color w:val="auto"/>
          <w:szCs w:val="18"/>
          <w:highlight w:val="none"/>
          <w:lang w:val="zh-CN"/>
        </w:rPr>
      </w:pPr>
    </w:p>
    <w:p w14:paraId="23C1C8F4">
      <w:pPr>
        <w:autoSpaceDE w:val="0"/>
        <w:autoSpaceDN w:val="0"/>
        <w:adjustRightInd w:val="0"/>
        <w:spacing w:line="400" w:lineRule="exact"/>
        <w:jc w:val="left"/>
        <w:rPr>
          <w:rFonts w:hint="eastAsia" w:ascii="宋体" w:hAnsi="宋体" w:cs="宋体"/>
          <w:color w:val="auto"/>
          <w:szCs w:val="18"/>
          <w:highlight w:val="none"/>
          <w:lang w:val="zh-CN"/>
        </w:rPr>
      </w:pPr>
    </w:p>
    <w:p w14:paraId="1E72CE7C">
      <w:pPr>
        <w:pStyle w:val="20"/>
        <w:rPr>
          <w:color w:val="auto"/>
          <w:highlight w:val="none"/>
          <w:lang w:val="zh-CN"/>
        </w:rPr>
      </w:pPr>
    </w:p>
    <w:p w14:paraId="2B667EC0">
      <w:pPr>
        <w:autoSpaceDE w:val="0"/>
        <w:autoSpaceDN w:val="0"/>
        <w:adjustRightInd w:val="0"/>
        <w:spacing w:line="400" w:lineRule="exact"/>
        <w:jc w:val="left"/>
        <w:rPr>
          <w:rFonts w:ascii="宋体" w:hAnsi="宋体" w:cs="宋体"/>
          <w:color w:val="auto"/>
          <w:szCs w:val="18"/>
          <w:highlight w:val="none"/>
          <w:lang w:val="zh-CN"/>
        </w:rPr>
      </w:pPr>
    </w:p>
    <w:p w14:paraId="1DD8E1E5">
      <w:pPr>
        <w:autoSpaceDE w:val="0"/>
        <w:autoSpaceDN w:val="0"/>
        <w:adjustRightInd w:val="0"/>
        <w:spacing w:line="400" w:lineRule="exact"/>
        <w:jc w:val="left"/>
        <w:rPr>
          <w:rFonts w:ascii="宋体" w:hAnsi="宋体" w:cs="宋体"/>
          <w:color w:val="auto"/>
          <w:szCs w:val="18"/>
          <w:highlight w:val="none"/>
          <w:lang w:val="zh-CN"/>
        </w:rPr>
      </w:pPr>
    </w:p>
    <w:p w14:paraId="7F9D8F75">
      <w:pPr>
        <w:autoSpaceDE w:val="0"/>
        <w:autoSpaceDN w:val="0"/>
        <w:adjustRightInd w:val="0"/>
        <w:spacing w:line="400" w:lineRule="exact"/>
        <w:jc w:val="left"/>
        <w:rPr>
          <w:rFonts w:ascii="宋体" w:hAnsi="宋体" w:cs="宋体"/>
          <w:color w:val="auto"/>
          <w:szCs w:val="18"/>
          <w:highlight w:val="none"/>
          <w:lang w:val="zh-CN"/>
        </w:rPr>
      </w:pPr>
    </w:p>
    <w:p w14:paraId="30EE4525">
      <w:pPr>
        <w:rPr>
          <w:rFonts w:ascii="宋体" w:hAnsi="宋体"/>
          <w:b/>
          <w:color w:val="auto"/>
          <w:sz w:val="30"/>
          <w:highlight w:val="none"/>
          <w:u w:val="single"/>
        </w:rPr>
      </w:pPr>
      <w:r>
        <w:rPr>
          <w:rFonts w:hint="eastAsia"/>
          <w:b/>
          <w:color w:val="auto"/>
          <w:sz w:val="30"/>
          <w:szCs w:val="30"/>
          <w:highlight w:val="none"/>
          <w:lang w:val="en-US" w:eastAsia="zh-CN"/>
        </w:rPr>
        <w:t>供应商名称</w:t>
      </w:r>
      <w:r>
        <w:rPr>
          <w:rFonts w:hint="eastAsia"/>
          <w:b/>
          <w:color w:val="auto"/>
          <w:sz w:val="30"/>
          <w:szCs w:val="30"/>
          <w:highlight w:val="none"/>
        </w:rPr>
        <w:t>：</w:t>
      </w:r>
      <w:r>
        <w:rPr>
          <w:rFonts w:hint="eastAsia" w:ascii="宋体" w:hAnsi="宋体"/>
          <w:b/>
          <w:color w:val="auto"/>
          <w:sz w:val="30"/>
          <w:highlight w:val="none"/>
          <w:u w:val="single"/>
        </w:rPr>
        <w:t xml:space="preserve">            </w:t>
      </w:r>
      <w:r>
        <w:rPr>
          <w:rFonts w:hint="eastAsia" w:ascii="宋体" w:hAnsi="宋体"/>
          <w:b/>
          <w:color w:val="auto"/>
          <w:sz w:val="30"/>
          <w:highlight w:val="none"/>
          <w:u w:val="single"/>
        </w:rPr>
        <w:tab/>
      </w:r>
      <w:r>
        <w:rPr>
          <w:rFonts w:hint="eastAsia" w:ascii="宋体" w:hAnsi="宋体"/>
          <w:b/>
          <w:color w:val="auto"/>
          <w:sz w:val="30"/>
          <w:highlight w:val="none"/>
          <w:u w:val="single"/>
        </w:rPr>
        <w:tab/>
      </w:r>
      <w:r>
        <w:rPr>
          <w:rFonts w:hint="eastAsia" w:ascii="宋体" w:hAnsi="宋体"/>
          <w:b/>
          <w:color w:val="auto"/>
          <w:sz w:val="30"/>
          <w:highlight w:val="none"/>
          <w:u w:val="single"/>
        </w:rPr>
        <w:t xml:space="preserve">            （盖章） </w:t>
      </w:r>
    </w:p>
    <w:p w14:paraId="49BAC250">
      <w:pPr>
        <w:rPr>
          <w:rFonts w:ascii="宋体" w:hAnsi="宋体"/>
          <w:b/>
          <w:color w:val="auto"/>
          <w:sz w:val="30"/>
          <w:highlight w:val="none"/>
        </w:rPr>
      </w:pPr>
      <w:r>
        <w:rPr>
          <w:rFonts w:hint="eastAsia" w:ascii="宋体" w:hAnsi="宋体"/>
          <w:b/>
          <w:color w:val="auto"/>
          <w:sz w:val="30"/>
          <w:highlight w:val="none"/>
        </w:rPr>
        <w:t>法定代表人或</w:t>
      </w:r>
    </w:p>
    <w:p w14:paraId="470F59A5">
      <w:pPr>
        <w:snapToGrid w:val="0"/>
        <w:outlineLvl w:val="1"/>
        <w:rPr>
          <w:rFonts w:ascii="宋体" w:hAnsi="宋体"/>
          <w:b/>
          <w:color w:val="auto"/>
          <w:sz w:val="30"/>
          <w:highlight w:val="none"/>
        </w:rPr>
      </w:pPr>
      <w:bookmarkStart w:id="709" w:name="_Toc19729"/>
      <w:r>
        <w:rPr>
          <w:rFonts w:hint="eastAsia" w:ascii="宋体" w:hAnsi="宋体"/>
          <w:b/>
          <w:color w:val="auto"/>
          <w:sz w:val="30"/>
          <w:highlight w:val="none"/>
        </w:rPr>
        <w:t>其</w:t>
      </w:r>
      <w:r>
        <w:rPr>
          <w:rFonts w:hint="eastAsia" w:ascii="宋体" w:hAnsi="宋体"/>
          <w:b/>
          <w:color w:val="auto"/>
          <w:spacing w:val="40"/>
          <w:sz w:val="30"/>
          <w:highlight w:val="none"/>
        </w:rPr>
        <w:t>委托代理人</w:t>
      </w:r>
      <w:r>
        <w:rPr>
          <w:rFonts w:hint="eastAsia" w:ascii="宋体" w:hAnsi="宋体"/>
          <w:b/>
          <w:color w:val="auto"/>
          <w:sz w:val="30"/>
          <w:highlight w:val="none"/>
        </w:rPr>
        <w:t>：</w:t>
      </w:r>
      <w:r>
        <w:rPr>
          <w:rFonts w:hint="eastAsia" w:ascii="宋体" w:hAnsi="宋体"/>
          <w:b/>
          <w:color w:val="auto"/>
          <w:sz w:val="30"/>
          <w:highlight w:val="none"/>
          <w:u w:val="single"/>
        </w:rPr>
        <w:t xml:space="preserve">                    （签字或盖章）</w:t>
      </w:r>
      <w:bookmarkEnd w:id="709"/>
    </w:p>
    <w:p w14:paraId="02B9ABAB">
      <w:pPr>
        <w:autoSpaceDE w:val="0"/>
        <w:autoSpaceDN w:val="0"/>
        <w:adjustRightInd w:val="0"/>
        <w:spacing w:line="400" w:lineRule="exact"/>
        <w:ind w:firstLine="264" w:firstLineChars="100"/>
        <w:jc w:val="center"/>
        <w:rPr>
          <w:rFonts w:ascii="宋体" w:hAnsi="宋体" w:cs="宋体"/>
          <w:color w:val="auto"/>
          <w:sz w:val="28"/>
          <w:szCs w:val="18"/>
          <w:highlight w:val="none"/>
          <w:lang w:val="zh-CN"/>
        </w:rPr>
      </w:pPr>
    </w:p>
    <w:p w14:paraId="1A2ED7AE">
      <w:pPr>
        <w:snapToGrid w:val="0"/>
        <w:spacing w:before="480" w:line="360" w:lineRule="auto"/>
        <w:ind w:firstLine="1988" w:firstLineChars="700"/>
        <w:rPr>
          <w:rFonts w:hint="eastAsia" w:ascii="宋体" w:hAnsi="宋体"/>
          <w:b/>
          <w:color w:val="auto"/>
          <w:sz w:val="30"/>
          <w:highlight w:val="none"/>
        </w:rPr>
      </w:pPr>
      <w:r>
        <w:rPr>
          <w:rFonts w:hint="eastAsia" w:ascii="宋体" w:hAnsi="宋体"/>
          <w:b/>
          <w:color w:val="auto"/>
          <w:sz w:val="30"/>
          <w:highlight w:val="none"/>
        </w:rPr>
        <w:t>日  期：</w:t>
      </w:r>
      <w:r>
        <w:rPr>
          <w:rFonts w:hint="eastAsia" w:ascii="宋体" w:hAnsi="宋体"/>
          <w:b/>
          <w:color w:val="auto"/>
          <w:sz w:val="30"/>
          <w:highlight w:val="none"/>
          <w:u w:val="single"/>
        </w:rPr>
        <w:t xml:space="preserve">      </w:t>
      </w:r>
      <w:r>
        <w:rPr>
          <w:rFonts w:hint="eastAsia" w:ascii="宋体" w:hAnsi="宋体"/>
          <w:b/>
          <w:color w:val="auto"/>
          <w:sz w:val="30"/>
          <w:highlight w:val="none"/>
        </w:rPr>
        <w:t xml:space="preserve"> 年</w:t>
      </w:r>
      <w:r>
        <w:rPr>
          <w:rFonts w:hint="eastAsia" w:ascii="宋体" w:hAnsi="宋体"/>
          <w:b/>
          <w:color w:val="auto"/>
          <w:sz w:val="30"/>
          <w:highlight w:val="none"/>
          <w:u w:val="single"/>
        </w:rPr>
        <w:t xml:space="preserve">     </w:t>
      </w:r>
      <w:r>
        <w:rPr>
          <w:rFonts w:hint="eastAsia" w:ascii="宋体" w:hAnsi="宋体"/>
          <w:b/>
          <w:color w:val="auto"/>
          <w:sz w:val="30"/>
          <w:highlight w:val="none"/>
        </w:rPr>
        <w:t xml:space="preserve"> 月</w:t>
      </w:r>
      <w:r>
        <w:rPr>
          <w:rFonts w:hint="eastAsia" w:ascii="宋体" w:hAnsi="宋体"/>
          <w:b/>
          <w:color w:val="auto"/>
          <w:sz w:val="30"/>
          <w:highlight w:val="none"/>
          <w:u w:val="single"/>
        </w:rPr>
        <w:t xml:space="preserve">     </w:t>
      </w:r>
      <w:r>
        <w:rPr>
          <w:rFonts w:hint="eastAsia" w:ascii="宋体" w:hAnsi="宋体"/>
          <w:b/>
          <w:color w:val="auto"/>
          <w:sz w:val="30"/>
          <w:highlight w:val="none"/>
        </w:rPr>
        <w:t>日</w:t>
      </w:r>
      <w:bookmarkStart w:id="710" w:name="_Toc504654798"/>
    </w:p>
    <w:p w14:paraId="721560F0">
      <w:pPr>
        <w:pStyle w:val="20"/>
        <w:jc w:val="center"/>
        <w:rPr>
          <w:rFonts w:ascii="宋体" w:hAnsi="宋体"/>
          <w:b w:val="0"/>
          <w:color w:val="auto"/>
          <w:sz w:val="30"/>
          <w:highlight w:val="none"/>
        </w:rPr>
      </w:pPr>
      <w:r>
        <w:rPr>
          <w:color w:val="auto"/>
          <w:highlight w:val="none"/>
        </w:rPr>
        <w:br w:type="page"/>
      </w:r>
      <w:r>
        <w:rPr>
          <w:rFonts w:hint="eastAsia" w:ascii="黑体" w:hAnsi="黑体" w:eastAsia="黑体" w:cs="宋体"/>
          <w:bCs/>
          <w:color w:val="auto"/>
          <w:sz w:val="44"/>
          <w:szCs w:val="44"/>
          <w:highlight w:val="none"/>
          <w:lang w:val="zh-CN"/>
        </w:rPr>
        <w:t>目     录</w:t>
      </w:r>
      <w:bookmarkEnd w:id="710"/>
    </w:p>
    <w:p w14:paraId="6A2EB799">
      <w:pPr>
        <w:spacing w:before="120" w:line="420" w:lineRule="exact"/>
        <w:outlineLvl w:val="1"/>
        <w:rPr>
          <w:rFonts w:ascii="宋体"/>
          <w:color w:val="auto"/>
          <w:sz w:val="24"/>
          <w:highlight w:val="none"/>
        </w:rPr>
      </w:pPr>
      <w:bookmarkStart w:id="711" w:name="_Toc29733"/>
      <w:bookmarkStart w:id="712" w:name="_Toc201719186"/>
      <w:r>
        <w:rPr>
          <w:rFonts w:hint="eastAsia" w:ascii="宋体"/>
          <w:color w:val="auto"/>
          <w:sz w:val="24"/>
          <w:highlight w:val="none"/>
        </w:rPr>
        <w:t>一、价格部分</w:t>
      </w:r>
      <w:bookmarkEnd w:id="711"/>
    </w:p>
    <w:p w14:paraId="024269F6">
      <w:pPr>
        <w:spacing w:line="420" w:lineRule="exact"/>
        <w:ind w:firstLine="426"/>
        <w:rPr>
          <w:rFonts w:ascii="宋体"/>
          <w:color w:val="auto"/>
          <w:sz w:val="24"/>
          <w:highlight w:val="none"/>
        </w:rPr>
      </w:pPr>
      <w:r>
        <w:rPr>
          <w:rFonts w:hint="eastAsia" w:ascii="宋体"/>
          <w:color w:val="auto"/>
          <w:sz w:val="24"/>
          <w:highlight w:val="none"/>
        </w:rPr>
        <w:t>（1）</w:t>
      </w:r>
      <w:r>
        <w:rPr>
          <w:rFonts w:hint="eastAsia" w:ascii="宋体"/>
          <w:color w:val="auto"/>
          <w:sz w:val="24"/>
          <w:highlight w:val="none"/>
          <w:lang w:eastAsia="zh-CN"/>
        </w:rPr>
        <w:t>开启一览表</w:t>
      </w:r>
      <w:r>
        <w:rPr>
          <w:rFonts w:hint="eastAsia" w:ascii="宋体"/>
          <w:color w:val="auto"/>
          <w:sz w:val="24"/>
          <w:highlight w:val="none"/>
        </w:rPr>
        <w:t>（格式1）</w:t>
      </w:r>
    </w:p>
    <w:p w14:paraId="481B6708">
      <w:pPr>
        <w:spacing w:line="420" w:lineRule="exact"/>
        <w:ind w:left="426"/>
        <w:rPr>
          <w:rFonts w:ascii="宋体"/>
          <w:color w:val="auto"/>
          <w:sz w:val="24"/>
          <w:highlight w:val="none"/>
        </w:rPr>
      </w:pPr>
      <w:r>
        <w:rPr>
          <w:rFonts w:hint="eastAsia" w:ascii="宋体"/>
          <w:color w:val="auto"/>
          <w:sz w:val="24"/>
          <w:highlight w:val="none"/>
        </w:rPr>
        <w:t>（2）已标价工程量清单（格式2）</w:t>
      </w:r>
    </w:p>
    <w:p w14:paraId="7BB6AB63">
      <w:pPr>
        <w:tabs>
          <w:tab w:val="left" w:pos="770"/>
        </w:tabs>
        <w:spacing w:line="420" w:lineRule="exact"/>
        <w:outlineLvl w:val="1"/>
        <w:rPr>
          <w:rFonts w:ascii="宋体"/>
          <w:color w:val="auto"/>
          <w:sz w:val="24"/>
          <w:highlight w:val="none"/>
        </w:rPr>
      </w:pPr>
      <w:bookmarkStart w:id="713" w:name="_Toc10845"/>
      <w:r>
        <w:rPr>
          <w:rFonts w:hint="eastAsia" w:ascii="宋体"/>
          <w:color w:val="auto"/>
          <w:sz w:val="24"/>
          <w:highlight w:val="none"/>
        </w:rPr>
        <w:t>二、商务部分</w:t>
      </w:r>
      <w:bookmarkEnd w:id="713"/>
    </w:p>
    <w:p w14:paraId="1633AE13">
      <w:pPr>
        <w:tabs>
          <w:tab w:val="left" w:pos="770"/>
        </w:tabs>
        <w:spacing w:line="420" w:lineRule="exact"/>
        <w:ind w:firstLine="448" w:firstLineChars="200"/>
        <w:rPr>
          <w:rFonts w:ascii="宋体"/>
          <w:color w:val="auto"/>
          <w:sz w:val="24"/>
          <w:highlight w:val="none"/>
        </w:rPr>
      </w:pPr>
      <w:r>
        <w:rPr>
          <w:rFonts w:hint="eastAsia" w:ascii="宋体"/>
          <w:color w:val="auto"/>
          <w:sz w:val="24"/>
          <w:highlight w:val="none"/>
        </w:rPr>
        <w:t>（1）投标函及投标函附录（格式3）</w:t>
      </w:r>
    </w:p>
    <w:p w14:paraId="584716C0">
      <w:pPr>
        <w:tabs>
          <w:tab w:val="left" w:pos="770"/>
        </w:tabs>
        <w:spacing w:line="420" w:lineRule="exact"/>
        <w:ind w:firstLine="448" w:firstLineChars="200"/>
        <w:rPr>
          <w:rFonts w:ascii="宋体"/>
          <w:color w:val="auto"/>
          <w:sz w:val="24"/>
          <w:highlight w:val="none"/>
        </w:rPr>
      </w:pPr>
      <w:r>
        <w:rPr>
          <w:rFonts w:hint="eastAsia" w:ascii="宋体"/>
          <w:color w:val="auto"/>
          <w:sz w:val="24"/>
          <w:highlight w:val="none"/>
        </w:rPr>
        <w:t>（2）</w:t>
      </w:r>
      <w:r>
        <w:rPr>
          <w:rFonts w:hint="eastAsia" w:ascii="宋体"/>
          <w:color w:val="auto"/>
          <w:sz w:val="24"/>
          <w:highlight w:val="none"/>
          <w:lang w:eastAsia="zh-CN"/>
        </w:rPr>
        <w:t>磋商保证金</w:t>
      </w:r>
      <w:r>
        <w:rPr>
          <w:rFonts w:hint="eastAsia" w:ascii="宋体"/>
          <w:color w:val="auto"/>
          <w:sz w:val="24"/>
          <w:highlight w:val="none"/>
        </w:rPr>
        <w:t>（格式4）</w:t>
      </w:r>
    </w:p>
    <w:p w14:paraId="2B1B9748">
      <w:pPr>
        <w:tabs>
          <w:tab w:val="left" w:pos="770"/>
        </w:tabs>
        <w:spacing w:line="420" w:lineRule="exact"/>
        <w:ind w:firstLine="448" w:firstLineChars="200"/>
        <w:rPr>
          <w:rFonts w:ascii="宋体"/>
          <w:color w:val="auto"/>
          <w:sz w:val="24"/>
          <w:highlight w:val="none"/>
        </w:rPr>
      </w:pPr>
      <w:r>
        <w:rPr>
          <w:rFonts w:hint="eastAsia" w:ascii="宋体"/>
          <w:color w:val="auto"/>
          <w:sz w:val="24"/>
          <w:highlight w:val="none"/>
        </w:rPr>
        <w:t>（3）法定代表人身份证明书（格式5）</w:t>
      </w:r>
    </w:p>
    <w:p w14:paraId="6FDB4CC5">
      <w:pPr>
        <w:tabs>
          <w:tab w:val="left" w:pos="770"/>
        </w:tabs>
        <w:spacing w:line="420" w:lineRule="exact"/>
        <w:ind w:firstLine="448" w:firstLineChars="200"/>
        <w:rPr>
          <w:rFonts w:ascii="宋体"/>
          <w:color w:val="auto"/>
          <w:sz w:val="24"/>
          <w:highlight w:val="none"/>
        </w:rPr>
      </w:pPr>
      <w:r>
        <w:rPr>
          <w:rFonts w:hint="eastAsia" w:ascii="宋体"/>
          <w:color w:val="auto"/>
          <w:sz w:val="24"/>
          <w:highlight w:val="none"/>
        </w:rPr>
        <w:t>（4）法定代表人授权委托书（格式6）</w:t>
      </w:r>
    </w:p>
    <w:p w14:paraId="4DB77F3D">
      <w:pPr>
        <w:tabs>
          <w:tab w:val="left" w:pos="770"/>
        </w:tabs>
        <w:spacing w:line="420" w:lineRule="exact"/>
        <w:ind w:firstLine="448" w:firstLineChars="200"/>
        <w:rPr>
          <w:rFonts w:ascii="宋体"/>
          <w:color w:val="auto"/>
          <w:sz w:val="24"/>
          <w:highlight w:val="none"/>
        </w:rPr>
      </w:pPr>
      <w:r>
        <w:rPr>
          <w:rFonts w:hint="eastAsia" w:ascii="宋体"/>
          <w:color w:val="auto"/>
          <w:sz w:val="24"/>
          <w:highlight w:val="none"/>
        </w:rPr>
        <w:t>（5）项目管理机构（格式7）</w:t>
      </w:r>
    </w:p>
    <w:p w14:paraId="603E6530">
      <w:pPr>
        <w:tabs>
          <w:tab w:val="left" w:pos="770"/>
        </w:tabs>
        <w:spacing w:line="420" w:lineRule="exact"/>
        <w:ind w:firstLine="448" w:firstLineChars="200"/>
        <w:rPr>
          <w:rFonts w:ascii="宋体"/>
          <w:color w:val="auto"/>
          <w:sz w:val="24"/>
          <w:highlight w:val="none"/>
        </w:rPr>
      </w:pPr>
      <w:r>
        <w:rPr>
          <w:rFonts w:hint="eastAsia" w:ascii="宋体"/>
          <w:color w:val="auto"/>
          <w:sz w:val="24"/>
          <w:highlight w:val="none"/>
        </w:rPr>
        <w:t>（6）拟分包项目情况表（格式8）</w:t>
      </w:r>
    </w:p>
    <w:p w14:paraId="30A18EE3">
      <w:pPr>
        <w:tabs>
          <w:tab w:val="left" w:pos="770"/>
        </w:tabs>
        <w:spacing w:line="420" w:lineRule="exact"/>
        <w:ind w:firstLine="448" w:firstLineChars="200"/>
        <w:rPr>
          <w:rFonts w:ascii="宋体"/>
          <w:color w:val="auto"/>
          <w:sz w:val="24"/>
          <w:highlight w:val="none"/>
        </w:rPr>
      </w:pPr>
      <w:r>
        <w:rPr>
          <w:rFonts w:hint="eastAsia" w:ascii="宋体"/>
          <w:color w:val="auto"/>
          <w:sz w:val="24"/>
          <w:highlight w:val="none"/>
        </w:rPr>
        <w:t>（7）</w:t>
      </w:r>
      <w:r>
        <w:rPr>
          <w:rFonts w:hint="eastAsia" w:cs="宋体"/>
          <w:color w:val="auto"/>
          <w:sz w:val="24"/>
          <w:highlight w:val="none"/>
        </w:rPr>
        <w:t>资格审查材料</w:t>
      </w:r>
      <w:r>
        <w:rPr>
          <w:rFonts w:hint="eastAsia" w:ascii="宋体"/>
          <w:color w:val="auto"/>
          <w:sz w:val="24"/>
          <w:highlight w:val="none"/>
        </w:rPr>
        <w:t>（格式9）</w:t>
      </w:r>
    </w:p>
    <w:p w14:paraId="386A2805">
      <w:pPr>
        <w:tabs>
          <w:tab w:val="left" w:pos="770"/>
        </w:tabs>
        <w:spacing w:line="420" w:lineRule="exact"/>
        <w:outlineLvl w:val="1"/>
        <w:rPr>
          <w:rFonts w:ascii="宋体"/>
          <w:color w:val="auto"/>
          <w:sz w:val="24"/>
          <w:highlight w:val="none"/>
        </w:rPr>
      </w:pPr>
      <w:bookmarkStart w:id="714" w:name="_Toc18505"/>
      <w:r>
        <w:rPr>
          <w:rFonts w:hint="eastAsia" w:ascii="宋体"/>
          <w:color w:val="auto"/>
          <w:sz w:val="24"/>
          <w:highlight w:val="none"/>
        </w:rPr>
        <w:t>三、技术部分</w:t>
      </w:r>
      <w:bookmarkEnd w:id="714"/>
    </w:p>
    <w:p w14:paraId="2CA3C2D3">
      <w:pPr>
        <w:tabs>
          <w:tab w:val="left" w:pos="770"/>
        </w:tabs>
        <w:spacing w:line="420" w:lineRule="exact"/>
        <w:ind w:firstLine="448" w:firstLineChars="200"/>
        <w:rPr>
          <w:rFonts w:ascii="宋体"/>
          <w:color w:val="auto"/>
          <w:sz w:val="24"/>
          <w:highlight w:val="none"/>
        </w:rPr>
      </w:pPr>
      <w:r>
        <w:rPr>
          <w:rFonts w:hint="eastAsia" w:ascii="宋体"/>
          <w:color w:val="auto"/>
          <w:sz w:val="24"/>
          <w:highlight w:val="none"/>
        </w:rPr>
        <w:t>（1）工程基本概况</w:t>
      </w:r>
    </w:p>
    <w:p w14:paraId="5B8AB36E">
      <w:pPr>
        <w:tabs>
          <w:tab w:val="left" w:pos="770"/>
        </w:tabs>
        <w:spacing w:line="420" w:lineRule="exact"/>
        <w:ind w:firstLine="448" w:firstLineChars="200"/>
        <w:rPr>
          <w:rFonts w:ascii="宋体"/>
          <w:color w:val="auto"/>
          <w:sz w:val="24"/>
          <w:highlight w:val="none"/>
        </w:rPr>
      </w:pPr>
      <w:r>
        <w:rPr>
          <w:rFonts w:hint="eastAsia" w:ascii="宋体"/>
          <w:color w:val="auto"/>
          <w:sz w:val="24"/>
          <w:highlight w:val="none"/>
        </w:rPr>
        <w:t>（2）施工总体布置</w:t>
      </w:r>
    </w:p>
    <w:p w14:paraId="1A2D203F">
      <w:pPr>
        <w:tabs>
          <w:tab w:val="left" w:pos="770"/>
        </w:tabs>
        <w:spacing w:line="420" w:lineRule="exact"/>
        <w:ind w:firstLine="448" w:firstLineChars="200"/>
        <w:rPr>
          <w:rFonts w:ascii="宋体"/>
          <w:color w:val="auto"/>
          <w:sz w:val="24"/>
          <w:highlight w:val="none"/>
        </w:rPr>
      </w:pPr>
      <w:r>
        <w:rPr>
          <w:rFonts w:hint="eastAsia" w:ascii="宋体"/>
          <w:color w:val="auto"/>
          <w:sz w:val="24"/>
          <w:highlight w:val="none"/>
        </w:rPr>
        <w:t>（3）整体工程施工方案</w:t>
      </w:r>
    </w:p>
    <w:p w14:paraId="5BA5609E">
      <w:pPr>
        <w:tabs>
          <w:tab w:val="left" w:pos="770"/>
        </w:tabs>
        <w:spacing w:line="420" w:lineRule="exact"/>
        <w:ind w:firstLine="448" w:firstLineChars="200"/>
        <w:rPr>
          <w:rFonts w:ascii="宋体"/>
          <w:color w:val="auto"/>
          <w:sz w:val="24"/>
          <w:highlight w:val="none"/>
        </w:rPr>
      </w:pPr>
      <w:r>
        <w:rPr>
          <w:rFonts w:hint="eastAsia" w:ascii="宋体"/>
          <w:color w:val="auto"/>
          <w:sz w:val="24"/>
          <w:highlight w:val="none"/>
        </w:rPr>
        <w:t>（4）施工测量控制</w:t>
      </w:r>
    </w:p>
    <w:p w14:paraId="22445150">
      <w:pPr>
        <w:tabs>
          <w:tab w:val="left" w:pos="770"/>
        </w:tabs>
        <w:spacing w:line="420" w:lineRule="exact"/>
        <w:ind w:firstLine="448" w:firstLineChars="200"/>
        <w:rPr>
          <w:rFonts w:ascii="宋体"/>
          <w:color w:val="auto"/>
          <w:sz w:val="24"/>
          <w:highlight w:val="none"/>
        </w:rPr>
      </w:pPr>
      <w:r>
        <w:rPr>
          <w:rFonts w:hint="eastAsia" w:ascii="宋体"/>
          <w:color w:val="auto"/>
          <w:sz w:val="24"/>
          <w:highlight w:val="none"/>
        </w:rPr>
        <w:t>（5）主体工程和重要临时工程施工方法和措施</w:t>
      </w:r>
    </w:p>
    <w:p w14:paraId="7ED1AA5E">
      <w:pPr>
        <w:tabs>
          <w:tab w:val="left" w:pos="770"/>
        </w:tabs>
        <w:spacing w:line="420" w:lineRule="exact"/>
        <w:ind w:firstLine="448" w:firstLineChars="200"/>
        <w:rPr>
          <w:rFonts w:ascii="宋体"/>
          <w:color w:val="auto"/>
          <w:sz w:val="24"/>
          <w:highlight w:val="none"/>
        </w:rPr>
      </w:pPr>
      <w:r>
        <w:rPr>
          <w:rFonts w:hint="eastAsia" w:ascii="宋体"/>
          <w:color w:val="auto"/>
          <w:sz w:val="24"/>
          <w:highlight w:val="none"/>
        </w:rPr>
        <w:t>（6）施工进度计划和保证工期的措施</w:t>
      </w:r>
    </w:p>
    <w:p w14:paraId="4391EDAB">
      <w:pPr>
        <w:tabs>
          <w:tab w:val="left" w:pos="770"/>
        </w:tabs>
        <w:spacing w:line="420" w:lineRule="exact"/>
        <w:ind w:firstLine="448" w:firstLineChars="200"/>
        <w:rPr>
          <w:rFonts w:ascii="宋体"/>
          <w:color w:val="auto"/>
          <w:sz w:val="24"/>
          <w:highlight w:val="none"/>
        </w:rPr>
      </w:pPr>
      <w:r>
        <w:rPr>
          <w:rFonts w:hint="eastAsia" w:ascii="宋体"/>
          <w:color w:val="auto"/>
          <w:sz w:val="24"/>
          <w:highlight w:val="none"/>
        </w:rPr>
        <w:t>（7）主要机械设备计划安排</w:t>
      </w:r>
    </w:p>
    <w:p w14:paraId="010A0A63">
      <w:pPr>
        <w:tabs>
          <w:tab w:val="left" w:pos="770"/>
        </w:tabs>
        <w:spacing w:line="420" w:lineRule="exact"/>
        <w:ind w:firstLine="448" w:firstLineChars="200"/>
        <w:rPr>
          <w:rFonts w:ascii="宋体"/>
          <w:color w:val="auto"/>
          <w:sz w:val="24"/>
          <w:highlight w:val="none"/>
        </w:rPr>
      </w:pPr>
      <w:r>
        <w:rPr>
          <w:rFonts w:hint="eastAsia" w:ascii="宋体"/>
          <w:color w:val="auto"/>
          <w:sz w:val="24"/>
          <w:highlight w:val="none"/>
        </w:rPr>
        <w:t>（8）质量控制措施</w:t>
      </w:r>
    </w:p>
    <w:p w14:paraId="70E55EFC">
      <w:pPr>
        <w:tabs>
          <w:tab w:val="left" w:pos="770"/>
        </w:tabs>
        <w:spacing w:line="420" w:lineRule="exact"/>
        <w:ind w:firstLine="448" w:firstLineChars="200"/>
        <w:rPr>
          <w:rFonts w:ascii="宋体"/>
          <w:color w:val="auto"/>
          <w:sz w:val="24"/>
          <w:highlight w:val="none"/>
        </w:rPr>
      </w:pPr>
      <w:r>
        <w:rPr>
          <w:rFonts w:hint="eastAsia" w:ascii="宋体"/>
          <w:color w:val="auto"/>
          <w:sz w:val="24"/>
          <w:highlight w:val="none"/>
        </w:rPr>
        <w:t>（9）安全度汛措施</w:t>
      </w:r>
    </w:p>
    <w:p w14:paraId="5B67B60F">
      <w:pPr>
        <w:tabs>
          <w:tab w:val="left" w:pos="770"/>
        </w:tabs>
        <w:spacing w:line="420" w:lineRule="exact"/>
        <w:ind w:firstLine="448" w:firstLineChars="200"/>
        <w:rPr>
          <w:rFonts w:ascii="宋体"/>
          <w:color w:val="auto"/>
          <w:sz w:val="24"/>
          <w:highlight w:val="none"/>
        </w:rPr>
      </w:pPr>
      <w:r>
        <w:rPr>
          <w:rFonts w:hint="eastAsia" w:ascii="宋体"/>
          <w:color w:val="auto"/>
          <w:sz w:val="24"/>
          <w:highlight w:val="none"/>
        </w:rPr>
        <w:t>（10）安全生产措施</w:t>
      </w:r>
    </w:p>
    <w:p w14:paraId="034EA4D3">
      <w:pPr>
        <w:tabs>
          <w:tab w:val="left" w:pos="770"/>
        </w:tabs>
        <w:spacing w:line="420" w:lineRule="exact"/>
        <w:ind w:firstLine="448" w:firstLineChars="200"/>
        <w:rPr>
          <w:rFonts w:ascii="宋体"/>
          <w:color w:val="auto"/>
          <w:sz w:val="24"/>
          <w:highlight w:val="none"/>
        </w:rPr>
      </w:pPr>
      <w:r>
        <w:rPr>
          <w:rFonts w:hint="eastAsia" w:ascii="宋体"/>
          <w:color w:val="auto"/>
          <w:sz w:val="24"/>
          <w:highlight w:val="none"/>
        </w:rPr>
        <w:t>（11）文明施工技术措施</w:t>
      </w:r>
    </w:p>
    <w:p w14:paraId="25C21D35">
      <w:pPr>
        <w:tabs>
          <w:tab w:val="left" w:pos="770"/>
        </w:tabs>
        <w:spacing w:line="420" w:lineRule="exact"/>
        <w:ind w:firstLine="448" w:firstLineChars="200"/>
        <w:rPr>
          <w:rFonts w:ascii="宋体"/>
          <w:color w:val="auto"/>
          <w:sz w:val="24"/>
          <w:highlight w:val="none"/>
        </w:rPr>
      </w:pPr>
      <w:r>
        <w:rPr>
          <w:rFonts w:hint="eastAsia" w:ascii="宋体"/>
          <w:color w:val="auto"/>
          <w:sz w:val="24"/>
          <w:highlight w:val="none"/>
        </w:rPr>
        <w:t>（12）水土保持和环境保护措施</w:t>
      </w:r>
    </w:p>
    <w:p w14:paraId="7D507276">
      <w:pPr>
        <w:tabs>
          <w:tab w:val="left" w:pos="770"/>
        </w:tabs>
        <w:spacing w:line="420" w:lineRule="exact"/>
        <w:ind w:firstLine="448" w:firstLineChars="200"/>
        <w:rPr>
          <w:rFonts w:ascii="宋体"/>
          <w:color w:val="auto"/>
          <w:sz w:val="24"/>
          <w:highlight w:val="none"/>
        </w:rPr>
      </w:pPr>
      <w:r>
        <w:rPr>
          <w:rFonts w:hint="eastAsia" w:ascii="宋体"/>
          <w:color w:val="auto"/>
          <w:sz w:val="24"/>
          <w:highlight w:val="none"/>
        </w:rPr>
        <w:t>（13）保修承诺、保修措施及优惠条件</w:t>
      </w:r>
    </w:p>
    <w:p w14:paraId="0C8ABB09">
      <w:pPr>
        <w:tabs>
          <w:tab w:val="left" w:pos="770"/>
        </w:tabs>
        <w:spacing w:line="420" w:lineRule="exact"/>
        <w:ind w:firstLine="672" w:firstLineChars="300"/>
        <w:contextualSpacing/>
        <w:rPr>
          <w:rFonts w:ascii="宋体"/>
          <w:color w:val="auto"/>
          <w:sz w:val="24"/>
          <w:highlight w:val="none"/>
        </w:rPr>
      </w:pPr>
      <w:r>
        <w:rPr>
          <w:rFonts w:hint="eastAsia" w:ascii="宋体"/>
          <w:color w:val="auto"/>
          <w:sz w:val="24"/>
          <w:highlight w:val="none"/>
        </w:rPr>
        <w:t>附表一：拟投入本标段的主要施工设备表（格式10）</w:t>
      </w:r>
    </w:p>
    <w:p w14:paraId="53186B98">
      <w:pPr>
        <w:tabs>
          <w:tab w:val="left" w:pos="770"/>
        </w:tabs>
        <w:spacing w:line="420" w:lineRule="exact"/>
        <w:ind w:firstLine="672" w:firstLineChars="300"/>
        <w:contextualSpacing/>
        <w:rPr>
          <w:rFonts w:ascii="宋体"/>
          <w:color w:val="auto"/>
          <w:sz w:val="24"/>
          <w:highlight w:val="none"/>
        </w:rPr>
      </w:pPr>
      <w:r>
        <w:rPr>
          <w:rFonts w:hint="eastAsia" w:ascii="宋体"/>
          <w:color w:val="auto"/>
          <w:sz w:val="24"/>
          <w:highlight w:val="none"/>
        </w:rPr>
        <w:t>附表二：拟投入本标段的试验和检测仪器设备表（格式11）</w:t>
      </w:r>
    </w:p>
    <w:p w14:paraId="603B9650">
      <w:pPr>
        <w:tabs>
          <w:tab w:val="left" w:pos="1530"/>
        </w:tabs>
        <w:spacing w:line="420" w:lineRule="exact"/>
        <w:ind w:firstLine="672" w:firstLineChars="300"/>
        <w:contextualSpacing/>
        <w:rPr>
          <w:rFonts w:ascii="宋体"/>
          <w:color w:val="auto"/>
          <w:sz w:val="24"/>
          <w:highlight w:val="none"/>
        </w:rPr>
      </w:pPr>
      <w:r>
        <w:rPr>
          <w:rFonts w:hint="eastAsia" w:ascii="宋体"/>
          <w:color w:val="auto"/>
          <w:sz w:val="24"/>
          <w:highlight w:val="none"/>
        </w:rPr>
        <w:t>附表三：拟投入本标段的劳动力计划表（格式12）</w:t>
      </w:r>
    </w:p>
    <w:p w14:paraId="56792D0C">
      <w:pPr>
        <w:tabs>
          <w:tab w:val="left" w:pos="1530"/>
        </w:tabs>
        <w:spacing w:line="420" w:lineRule="exact"/>
        <w:ind w:firstLine="672" w:firstLineChars="300"/>
        <w:contextualSpacing/>
        <w:rPr>
          <w:rFonts w:ascii="宋体"/>
          <w:color w:val="auto"/>
          <w:sz w:val="24"/>
          <w:highlight w:val="none"/>
        </w:rPr>
      </w:pPr>
      <w:r>
        <w:rPr>
          <w:rFonts w:hint="eastAsia" w:ascii="宋体"/>
          <w:color w:val="auto"/>
          <w:sz w:val="24"/>
          <w:highlight w:val="none"/>
        </w:rPr>
        <w:t>附图一：计划开工日期、完工日期和施工进度计划横道图（格式13）</w:t>
      </w:r>
    </w:p>
    <w:p w14:paraId="101E8636">
      <w:pPr>
        <w:tabs>
          <w:tab w:val="left" w:pos="770"/>
        </w:tabs>
        <w:spacing w:line="420" w:lineRule="exact"/>
        <w:ind w:firstLine="672" w:firstLineChars="300"/>
        <w:rPr>
          <w:rFonts w:ascii="宋体"/>
          <w:color w:val="auto"/>
          <w:sz w:val="24"/>
          <w:highlight w:val="none"/>
        </w:rPr>
      </w:pPr>
      <w:r>
        <w:rPr>
          <w:rFonts w:hint="eastAsia" w:ascii="宋体"/>
          <w:color w:val="auto"/>
          <w:sz w:val="24"/>
          <w:highlight w:val="none"/>
        </w:rPr>
        <w:t>附图二：施工总平面图（格式14）</w:t>
      </w:r>
    </w:p>
    <w:p w14:paraId="32D4C281">
      <w:pPr>
        <w:rPr>
          <w:rFonts w:ascii="宋体"/>
          <w:b/>
          <w:color w:val="auto"/>
          <w:sz w:val="28"/>
          <w:highlight w:val="none"/>
        </w:rPr>
      </w:pPr>
      <w:r>
        <w:rPr>
          <w:rFonts w:ascii="宋体" w:hAnsi="宋体" w:eastAsia="黑体"/>
          <w:b/>
          <w:bCs/>
          <w:color w:val="auto"/>
          <w:sz w:val="32"/>
          <w:highlight w:val="none"/>
          <w:lang w:val="zh-CN"/>
        </w:rPr>
        <w:br w:type="page"/>
      </w:r>
      <w:r>
        <w:rPr>
          <w:rFonts w:hint="eastAsia" w:ascii="宋体"/>
          <w:b/>
          <w:color w:val="auto"/>
          <w:sz w:val="24"/>
          <w:highlight w:val="none"/>
        </w:rPr>
        <w:t xml:space="preserve">格式1 </w:t>
      </w:r>
      <w:r>
        <w:rPr>
          <w:rFonts w:hint="eastAsia" w:ascii="宋体"/>
          <w:b/>
          <w:color w:val="auto"/>
          <w:sz w:val="28"/>
          <w:highlight w:val="none"/>
        </w:rPr>
        <w:t xml:space="preserve">                </w:t>
      </w:r>
    </w:p>
    <w:p w14:paraId="03FCBEDC">
      <w:pPr>
        <w:spacing w:before="200" w:line="360" w:lineRule="auto"/>
        <w:jc w:val="center"/>
        <w:outlineLvl w:val="2"/>
        <w:rPr>
          <w:rFonts w:hint="eastAsia" w:ascii="宋体" w:eastAsia="宋体"/>
          <w:b/>
          <w:color w:val="auto"/>
          <w:sz w:val="36"/>
          <w:szCs w:val="30"/>
          <w:highlight w:val="none"/>
          <w:lang w:eastAsia="zh-CN"/>
        </w:rPr>
      </w:pPr>
      <w:r>
        <w:rPr>
          <w:rFonts w:hint="eastAsia" w:ascii="宋体"/>
          <w:b/>
          <w:color w:val="auto"/>
          <w:sz w:val="36"/>
          <w:szCs w:val="30"/>
          <w:highlight w:val="none"/>
          <w:lang w:eastAsia="zh-CN"/>
        </w:rPr>
        <w:t>开启一览表</w:t>
      </w:r>
    </w:p>
    <w:p w14:paraId="67379413">
      <w:pPr>
        <w:snapToGrid w:val="0"/>
        <w:spacing w:line="360" w:lineRule="auto"/>
        <w:jc w:val="left"/>
        <w:rPr>
          <w:rFonts w:ascii="宋体" w:hAnsi="宋体"/>
          <w:color w:val="auto"/>
          <w:sz w:val="24"/>
          <w:highlight w:val="none"/>
        </w:rPr>
      </w:pPr>
      <w:bookmarkStart w:id="715" w:name="_Toc98580424"/>
      <w:r>
        <w:rPr>
          <w:rFonts w:hint="eastAsia"/>
          <w:color w:val="auto"/>
          <w:sz w:val="24"/>
          <w:highlight w:val="none"/>
        </w:rPr>
        <w:t>项目名称：</w:t>
      </w:r>
      <w:r>
        <w:rPr>
          <w:rFonts w:hint="eastAsia" w:ascii="宋体" w:hAnsi="宋体"/>
          <w:color w:val="auto"/>
          <w:sz w:val="24"/>
          <w:highlight w:val="none"/>
        </w:rPr>
        <w:t xml:space="preserve">                       </w:t>
      </w:r>
    </w:p>
    <w:p w14:paraId="0ABBCBE5">
      <w:pPr>
        <w:snapToGrid w:val="0"/>
        <w:spacing w:line="360" w:lineRule="auto"/>
        <w:ind w:left="4680" w:hanging="4368" w:hangingChars="1950"/>
        <w:jc w:val="left"/>
        <w:rPr>
          <w:color w:val="auto"/>
          <w:sz w:val="24"/>
          <w:highlight w:val="none"/>
        </w:rPr>
      </w:pPr>
      <w:r>
        <w:rPr>
          <w:rFonts w:hint="eastAsia"/>
          <w:color w:val="auto"/>
          <w:sz w:val="24"/>
          <w:highlight w:val="none"/>
          <w:lang w:eastAsia="zh-CN"/>
        </w:rPr>
        <w:t>项目编号</w:t>
      </w:r>
      <w:r>
        <w:rPr>
          <w:rFonts w:hint="eastAsia"/>
          <w:color w:val="auto"/>
          <w:sz w:val="24"/>
          <w:highlight w:val="none"/>
        </w:rPr>
        <w:t>：                                 开标时间：  年  月  日（北京时间）</w:t>
      </w:r>
    </w:p>
    <w:tbl>
      <w:tblPr>
        <w:tblStyle w:val="49"/>
        <w:tblW w:w="9071" w:type="dxa"/>
        <w:tblInd w:w="8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4"/>
        <w:gridCol w:w="1566"/>
        <w:gridCol w:w="1278"/>
        <w:gridCol w:w="1742"/>
        <w:gridCol w:w="1827"/>
        <w:gridCol w:w="1924"/>
      </w:tblGrid>
      <w:tr w14:paraId="6DB741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15" w:hRule="atLeast"/>
        </w:trPr>
        <w:tc>
          <w:tcPr>
            <w:tcW w:w="734" w:type="dxa"/>
            <w:tcBorders>
              <w:bottom w:val="single" w:color="auto" w:sz="4" w:space="0"/>
            </w:tcBorders>
            <w:noWrap w:val="0"/>
            <w:vAlign w:val="center"/>
          </w:tcPr>
          <w:p w14:paraId="12F0BFE7">
            <w:pPr>
              <w:jc w:val="center"/>
              <w:rPr>
                <w:color w:val="auto"/>
                <w:sz w:val="24"/>
                <w:highlight w:val="none"/>
              </w:rPr>
            </w:pPr>
            <w:r>
              <w:rPr>
                <w:rFonts w:hint="eastAsia"/>
                <w:color w:val="auto"/>
                <w:sz w:val="24"/>
                <w:highlight w:val="none"/>
              </w:rPr>
              <w:t>序号</w:t>
            </w:r>
          </w:p>
        </w:tc>
        <w:tc>
          <w:tcPr>
            <w:tcW w:w="1566" w:type="dxa"/>
            <w:tcBorders>
              <w:bottom w:val="single" w:color="auto" w:sz="4" w:space="0"/>
            </w:tcBorders>
            <w:noWrap w:val="0"/>
            <w:vAlign w:val="center"/>
          </w:tcPr>
          <w:p w14:paraId="17C6F4AA">
            <w:pPr>
              <w:jc w:val="center"/>
              <w:rPr>
                <w:color w:val="auto"/>
                <w:sz w:val="24"/>
                <w:highlight w:val="none"/>
              </w:rPr>
            </w:pPr>
            <w:r>
              <w:rPr>
                <w:rFonts w:hint="eastAsia"/>
                <w:color w:val="auto"/>
                <w:sz w:val="24"/>
                <w:highlight w:val="none"/>
                <w:lang w:eastAsia="zh-CN"/>
              </w:rPr>
              <w:t>供应商</w:t>
            </w:r>
            <w:r>
              <w:rPr>
                <w:rFonts w:hint="eastAsia"/>
                <w:color w:val="auto"/>
                <w:sz w:val="24"/>
                <w:highlight w:val="none"/>
              </w:rPr>
              <w:t>名称</w:t>
            </w:r>
          </w:p>
        </w:tc>
        <w:tc>
          <w:tcPr>
            <w:tcW w:w="1278" w:type="dxa"/>
            <w:tcBorders>
              <w:bottom w:val="single" w:color="auto" w:sz="4" w:space="0"/>
            </w:tcBorders>
            <w:noWrap w:val="0"/>
            <w:vAlign w:val="center"/>
          </w:tcPr>
          <w:p w14:paraId="0E12140B">
            <w:pPr>
              <w:jc w:val="center"/>
              <w:rPr>
                <w:color w:val="auto"/>
                <w:sz w:val="24"/>
                <w:highlight w:val="none"/>
              </w:rPr>
            </w:pPr>
            <w:r>
              <w:rPr>
                <w:rFonts w:hint="eastAsia"/>
                <w:color w:val="auto"/>
                <w:sz w:val="24"/>
                <w:highlight w:val="none"/>
              </w:rPr>
              <w:t>企业施工</w:t>
            </w:r>
          </w:p>
          <w:p w14:paraId="06E52D54">
            <w:pPr>
              <w:jc w:val="center"/>
              <w:rPr>
                <w:color w:val="auto"/>
                <w:sz w:val="24"/>
                <w:highlight w:val="none"/>
              </w:rPr>
            </w:pPr>
            <w:r>
              <w:rPr>
                <w:rFonts w:hint="eastAsia"/>
                <w:color w:val="auto"/>
                <w:sz w:val="24"/>
                <w:highlight w:val="none"/>
              </w:rPr>
              <w:t>资质等级</w:t>
            </w:r>
          </w:p>
        </w:tc>
        <w:tc>
          <w:tcPr>
            <w:tcW w:w="1742" w:type="dxa"/>
            <w:tcBorders>
              <w:bottom w:val="single" w:color="auto" w:sz="4" w:space="0"/>
            </w:tcBorders>
            <w:noWrap w:val="0"/>
            <w:vAlign w:val="center"/>
          </w:tcPr>
          <w:p w14:paraId="53D49B60">
            <w:pPr>
              <w:jc w:val="center"/>
              <w:rPr>
                <w:color w:val="auto"/>
                <w:sz w:val="24"/>
                <w:highlight w:val="none"/>
              </w:rPr>
            </w:pPr>
            <w:r>
              <w:rPr>
                <w:rFonts w:hint="eastAsia"/>
                <w:color w:val="auto"/>
                <w:sz w:val="24"/>
                <w:highlight w:val="none"/>
              </w:rPr>
              <w:t>投标报价（元）</w:t>
            </w:r>
          </w:p>
        </w:tc>
        <w:tc>
          <w:tcPr>
            <w:tcW w:w="1827" w:type="dxa"/>
            <w:tcBorders>
              <w:bottom w:val="single" w:color="auto" w:sz="4" w:space="0"/>
            </w:tcBorders>
            <w:noWrap w:val="0"/>
            <w:vAlign w:val="center"/>
          </w:tcPr>
          <w:p w14:paraId="3F87488A">
            <w:pPr>
              <w:jc w:val="center"/>
              <w:rPr>
                <w:rFonts w:hint="eastAsia" w:eastAsia="宋体"/>
                <w:color w:val="auto"/>
                <w:sz w:val="24"/>
                <w:highlight w:val="none"/>
                <w:lang w:eastAsia="zh-CN"/>
              </w:rPr>
            </w:pPr>
            <w:r>
              <w:rPr>
                <w:rFonts w:hint="eastAsia"/>
                <w:color w:val="auto"/>
                <w:sz w:val="24"/>
                <w:highlight w:val="none"/>
                <w:lang w:eastAsia="zh-CN"/>
              </w:rPr>
              <w:t>合同履行期限</w:t>
            </w:r>
          </w:p>
        </w:tc>
        <w:tc>
          <w:tcPr>
            <w:tcW w:w="1924" w:type="dxa"/>
            <w:tcBorders>
              <w:bottom w:val="single" w:color="auto" w:sz="4" w:space="0"/>
            </w:tcBorders>
            <w:noWrap w:val="0"/>
            <w:vAlign w:val="center"/>
          </w:tcPr>
          <w:p w14:paraId="071EA4C0">
            <w:pPr>
              <w:jc w:val="center"/>
              <w:rPr>
                <w:rFonts w:hint="eastAsia" w:eastAsia="宋体"/>
                <w:color w:val="auto"/>
                <w:sz w:val="24"/>
                <w:highlight w:val="none"/>
                <w:lang w:eastAsia="zh-CN"/>
              </w:rPr>
            </w:pPr>
            <w:r>
              <w:rPr>
                <w:rFonts w:hint="eastAsia"/>
                <w:color w:val="auto"/>
                <w:sz w:val="24"/>
                <w:highlight w:val="none"/>
              </w:rPr>
              <w:t>质量</w:t>
            </w:r>
            <w:r>
              <w:rPr>
                <w:rFonts w:hint="eastAsia"/>
                <w:color w:val="auto"/>
                <w:sz w:val="24"/>
                <w:highlight w:val="none"/>
                <w:lang w:eastAsia="zh-CN"/>
              </w:rPr>
              <w:t>标准</w:t>
            </w:r>
          </w:p>
        </w:tc>
      </w:tr>
      <w:tr w14:paraId="1A1A49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9" w:hRule="atLeast"/>
        </w:trPr>
        <w:tc>
          <w:tcPr>
            <w:tcW w:w="734" w:type="dxa"/>
            <w:noWrap w:val="0"/>
            <w:vAlign w:val="center"/>
          </w:tcPr>
          <w:p w14:paraId="49F6BE10">
            <w:pPr>
              <w:spacing w:line="480" w:lineRule="auto"/>
              <w:jc w:val="center"/>
              <w:rPr>
                <w:color w:val="auto"/>
                <w:sz w:val="24"/>
                <w:highlight w:val="none"/>
              </w:rPr>
            </w:pPr>
          </w:p>
        </w:tc>
        <w:tc>
          <w:tcPr>
            <w:tcW w:w="1566" w:type="dxa"/>
            <w:noWrap w:val="0"/>
            <w:vAlign w:val="center"/>
          </w:tcPr>
          <w:p w14:paraId="5A59E5BA">
            <w:pPr>
              <w:spacing w:line="480" w:lineRule="auto"/>
              <w:jc w:val="center"/>
              <w:rPr>
                <w:color w:val="auto"/>
                <w:sz w:val="24"/>
                <w:highlight w:val="none"/>
              </w:rPr>
            </w:pPr>
          </w:p>
        </w:tc>
        <w:tc>
          <w:tcPr>
            <w:tcW w:w="1278" w:type="dxa"/>
            <w:noWrap w:val="0"/>
            <w:vAlign w:val="center"/>
          </w:tcPr>
          <w:p w14:paraId="690612E4">
            <w:pPr>
              <w:spacing w:line="480" w:lineRule="auto"/>
              <w:jc w:val="center"/>
              <w:rPr>
                <w:color w:val="auto"/>
                <w:sz w:val="24"/>
                <w:highlight w:val="none"/>
              </w:rPr>
            </w:pPr>
          </w:p>
        </w:tc>
        <w:tc>
          <w:tcPr>
            <w:tcW w:w="1742" w:type="dxa"/>
            <w:noWrap w:val="0"/>
            <w:vAlign w:val="center"/>
          </w:tcPr>
          <w:p w14:paraId="08707E7E">
            <w:pPr>
              <w:spacing w:line="480" w:lineRule="auto"/>
              <w:jc w:val="center"/>
              <w:rPr>
                <w:color w:val="auto"/>
                <w:sz w:val="24"/>
                <w:highlight w:val="none"/>
              </w:rPr>
            </w:pPr>
          </w:p>
        </w:tc>
        <w:tc>
          <w:tcPr>
            <w:tcW w:w="1827" w:type="dxa"/>
            <w:noWrap w:val="0"/>
            <w:vAlign w:val="center"/>
          </w:tcPr>
          <w:p w14:paraId="59ABFEDE">
            <w:pPr>
              <w:spacing w:line="480" w:lineRule="auto"/>
              <w:jc w:val="center"/>
              <w:rPr>
                <w:color w:val="auto"/>
                <w:sz w:val="24"/>
                <w:highlight w:val="none"/>
              </w:rPr>
            </w:pPr>
          </w:p>
        </w:tc>
        <w:tc>
          <w:tcPr>
            <w:tcW w:w="1924" w:type="dxa"/>
            <w:noWrap w:val="0"/>
            <w:vAlign w:val="center"/>
          </w:tcPr>
          <w:p w14:paraId="56673EB3">
            <w:pPr>
              <w:spacing w:line="480" w:lineRule="auto"/>
              <w:jc w:val="center"/>
              <w:rPr>
                <w:color w:val="auto"/>
                <w:sz w:val="24"/>
                <w:highlight w:val="none"/>
              </w:rPr>
            </w:pPr>
          </w:p>
        </w:tc>
      </w:tr>
      <w:tr w14:paraId="16703F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9" w:hRule="atLeast"/>
        </w:trPr>
        <w:tc>
          <w:tcPr>
            <w:tcW w:w="734" w:type="dxa"/>
            <w:noWrap w:val="0"/>
            <w:vAlign w:val="center"/>
          </w:tcPr>
          <w:p w14:paraId="62702C15">
            <w:pPr>
              <w:spacing w:line="480" w:lineRule="auto"/>
              <w:jc w:val="center"/>
              <w:rPr>
                <w:color w:val="auto"/>
                <w:sz w:val="24"/>
                <w:highlight w:val="none"/>
              </w:rPr>
            </w:pPr>
          </w:p>
        </w:tc>
        <w:tc>
          <w:tcPr>
            <w:tcW w:w="1566" w:type="dxa"/>
            <w:noWrap w:val="0"/>
            <w:vAlign w:val="center"/>
          </w:tcPr>
          <w:p w14:paraId="57735239">
            <w:pPr>
              <w:spacing w:line="480" w:lineRule="auto"/>
              <w:jc w:val="center"/>
              <w:rPr>
                <w:color w:val="auto"/>
                <w:sz w:val="24"/>
                <w:highlight w:val="none"/>
              </w:rPr>
            </w:pPr>
          </w:p>
        </w:tc>
        <w:tc>
          <w:tcPr>
            <w:tcW w:w="1278" w:type="dxa"/>
            <w:noWrap w:val="0"/>
            <w:vAlign w:val="center"/>
          </w:tcPr>
          <w:p w14:paraId="3FDEF84D">
            <w:pPr>
              <w:spacing w:line="480" w:lineRule="auto"/>
              <w:jc w:val="center"/>
              <w:rPr>
                <w:color w:val="auto"/>
                <w:sz w:val="24"/>
                <w:highlight w:val="none"/>
              </w:rPr>
            </w:pPr>
          </w:p>
        </w:tc>
        <w:tc>
          <w:tcPr>
            <w:tcW w:w="1742" w:type="dxa"/>
            <w:noWrap w:val="0"/>
            <w:vAlign w:val="center"/>
          </w:tcPr>
          <w:p w14:paraId="4594609D">
            <w:pPr>
              <w:spacing w:line="480" w:lineRule="auto"/>
              <w:jc w:val="center"/>
              <w:rPr>
                <w:color w:val="auto"/>
                <w:sz w:val="24"/>
                <w:highlight w:val="none"/>
              </w:rPr>
            </w:pPr>
          </w:p>
        </w:tc>
        <w:tc>
          <w:tcPr>
            <w:tcW w:w="1827" w:type="dxa"/>
            <w:noWrap w:val="0"/>
            <w:vAlign w:val="center"/>
          </w:tcPr>
          <w:p w14:paraId="4C71C42B">
            <w:pPr>
              <w:spacing w:line="480" w:lineRule="auto"/>
              <w:jc w:val="center"/>
              <w:rPr>
                <w:color w:val="auto"/>
                <w:sz w:val="24"/>
                <w:highlight w:val="none"/>
              </w:rPr>
            </w:pPr>
          </w:p>
        </w:tc>
        <w:tc>
          <w:tcPr>
            <w:tcW w:w="1924" w:type="dxa"/>
            <w:noWrap w:val="0"/>
            <w:vAlign w:val="center"/>
          </w:tcPr>
          <w:p w14:paraId="51B8B032">
            <w:pPr>
              <w:spacing w:line="480" w:lineRule="auto"/>
              <w:jc w:val="center"/>
              <w:rPr>
                <w:color w:val="auto"/>
                <w:sz w:val="24"/>
                <w:highlight w:val="none"/>
              </w:rPr>
            </w:pPr>
          </w:p>
        </w:tc>
      </w:tr>
      <w:tr w14:paraId="2A350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9" w:hRule="atLeast"/>
        </w:trPr>
        <w:tc>
          <w:tcPr>
            <w:tcW w:w="734" w:type="dxa"/>
            <w:noWrap w:val="0"/>
            <w:vAlign w:val="center"/>
          </w:tcPr>
          <w:p w14:paraId="0FB1390D">
            <w:pPr>
              <w:spacing w:line="480" w:lineRule="auto"/>
              <w:jc w:val="center"/>
              <w:rPr>
                <w:color w:val="auto"/>
                <w:sz w:val="24"/>
                <w:highlight w:val="none"/>
              </w:rPr>
            </w:pPr>
          </w:p>
        </w:tc>
        <w:tc>
          <w:tcPr>
            <w:tcW w:w="1566" w:type="dxa"/>
            <w:noWrap w:val="0"/>
            <w:vAlign w:val="center"/>
          </w:tcPr>
          <w:p w14:paraId="3F4063FB">
            <w:pPr>
              <w:spacing w:line="480" w:lineRule="auto"/>
              <w:jc w:val="center"/>
              <w:rPr>
                <w:color w:val="auto"/>
                <w:sz w:val="24"/>
                <w:highlight w:val="none"/>
              </w:rPr>
            </w:pPr>
          </w:p>
        </w:tc>
        <w:tc>
          <w:tcPr>
            <w:tcW w:w="1278" w:type="dxa"/>
            <w:noWrap w:val="0"/>
            <w:vAlign w:val="center"/>
          </w:tcPr>
          <w:p w14:paraId="7239CB96">
            <w:pPr>
              <w:spacing w:line="480" w:lineRule="auto"/>
              <w:jc w:val="center"/>
              <w:rPr>
                <w:color w:val="auto"/>
                <w:sz w:val="24"/>
                <w:highlight w:val="none"/>
              </w:rPr>
            </w:pPr>
          </w:p>
        </w:tc>
        <w:tc>
          <w:tcPr>
            <w:tcW w:w="1742" w:type="dxa"/>
            <w:noWrap w:val="0"/>
            <w:vAlign w:val="center"/>
          </w:tcPr>
          <w:p w14:paraId="0250096B">
            <w:pPr>
              <w:spacing w:line="480" w:lineRule="auto"/>
              <w:jc w:val="center"/>
              <w:rPr>
                <w:color w:val="auto"/>
                <w:sz w:val="24"/>
                <w:highlight w:val="none"/>
              </w:rPr>
            </w:pPr>
          </w:p>
        </w:tc>
        <w:tc>
          <w:tcPr>
            <w:tcW w:w="1827" w:type="dxa"/>
            <w:noWrap w:val="0"/>
            <w:vAlign w:val="center"/>
          </w:tcPr>
          <w:p w14:paraId="74E08124">
            <w:pPr>
              <w:spacing w:line="480" w:lineRule="auto"/>
              <w:jc w:val="center"/>
              <w:rPr>
                <w:color w:val="auto"/>
                <w:sz w:val="24"/>
                <w:highlight w:val="none"/>
              </w:rPr>
            </w:pPr>
          </w:p>
        </w:tc>
        <w:tc>
          <w:tcPr>
            <w:tcW w:w="1924" w:type="dxa"/>
            <w:noWrap w:val="0"/>
            <w:vAlign w:val="center"/>
          </w:tcPr>
          <w:p w14:paraId="15322FB3">
            <w:pPr>
              <w:spacing w:line="480" w:lineRule="auto"/>
              <w:jc w:val="center"/>
              <w:rPr>
                <w:color w:val="auto"/>
                <w:sz w:val="24"/>
                <w:highlight w:val="none"/>
              </w:rPr>
            </w:pPr>
          </w:p>
        </w:tc>
      </w:tr>
      <w:tr w14:paraId="4677D5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9" w:hRule="atLeast"/>
        </w:trPr>
        <w:tc>
          <w:tcPr>
            <w:tcW w:w="734" w:type="dxa"/>
            <w:noWrap w:val="0"/>
            <w:vAlign w:val="center"/>
          </w:tcPr>
          <w:p w14:paraId="2226F67A">
            <w:pPr>
              <w:spacing w:line="480" w:lineRule="auto"/>
              <w:jc w:val="center"/>
              <w:rPr>
                <w:color w:val="auto"/>
                <w:sz w:val="24"/>
                <w:highlight w:val="none"/>
              </w:rPr>
            </w:pPr>
          </w:p>
        </w:tc>
        <w:tc>
          <w:tcPr>
            <w:tcW w:w="1566" w:type="dxa"/>
            <w:noWrap w:val="0"/>
            <w:vAlign w:val="center"/>
          </w:tcPr>
          <w:p w14:paraId="72985063">
            <w:pPr>
              <w:spacing w:line="480" w:lineRule="auto"/>
              <w:jc w:val="center"/>
              <w:rPr>
                <w:color w:val="auto"/>
                <w:sz w:val="24"/>
                <w:highlight w:val="none"/>
              </w:rPr>
            </w:pPr>
          </w:p>
        </w:tc>
        <w:tc>
          <w:tcPr>
            <w:tcW w:w="1278" w:type="dxa"/>
            <w:noWrap w:val="0"/>
            <w:vAlign w:val="center"/>
          </w:tcPr>
          <w:p w14:paraId="4E18140B">
            <w:pPr>
              <w:spacing w:line="480" w:lineRule="auto"/>
              <w:jc w:val="center"/>
              <w:rPr>
                <w:color w:val="auto"/>
                <w:sz w:val="24"/>
                <w:highlight w:val="none"/>
              </w:rPr>
            </w:pPr>
          </w:p>
        </w:tc>
        <w:tc>
          <w:tcPr>
            <w:tcW w:w="1742" w:type="dxa"/>
            <w:noWrap w:val="0"/>
            <w:vAlign w:val="center"/>
          </w:tcPr>
          <w:p w14:paraId="15D8B1BF">
            <w:pPr>
              <w:spacing w:line="480" w:lineRule="auto"/>
              <w:jc w:val="center"/>
              <w:rPr>
                <w:color w:val="auto"/>
                <w:sz w:val="24"/>
                <w:highlight w:val="none"/>
              </w:rPr>
            </w:pPr>
          </w:p>
        </w:tc>
        <w:tc>
          <w:tcPr>
            <w:tcW w:w="1827" w:type="dxa"/>
            <w:noWrap w:val="0"/>
            <w:vAlign w:val="center"/>
          </w:tcPr>
          <w:p w14:paraId="3D507628">
            <w:pPr>
              <w:spacing w:line="480" w:lineRule="auto"/>
              <w:jc w:val="center"/>
              <w:rPr>
                <w:color w:val="auto"/>
                <w:sz w:val="24"/>
                <w:highlight w:val="none"/>
              </w:rPr>
            </w:pPr>
          </w:p>
        </w:tc>
        <w:tc>
          <w:tcPr>
            <w:tcW w:w="1924" w:type="dxa"/>
            <w:noWrap w:val="0"/>
            <w:vAlign w:val="center"/>
          </w:tcPr>
          <w:p w14:paraId="3FE4A40A">
            <w:pPr>
              <w:spacing w:line="480" w:lineRule="auto"/>
              <w:jc w:val="center"/>
              <w:rPr>
                <w:color w:val="auto"/>
                <w:sz w:val="24"/>
                <w:highlight w:val="none"/>
              </w:rPr>
            </w:pPr>
          </w:p>
        </w:tc>
      </w:tr>
      <w:tr w14:paraId="295320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9" w:hRule="atLeast"/>
        </w:trPr>
        <w:tc>
          <w:tcPr>
            <w:tcW w:w="2300" w:type="dxa"/>
            <w:gridSpan w:val="2"/>
            <w:noWrap w:val="0"/>
            <w:vAlign w:val="center"/>
          </w:tcPr>
          <w:p w14:paraId="59EAE89D">
            <w:pPr>
              <w:jc w:val="center"/>
              <w:rPr>
                <w:color w:val="auto"/>
                <w:sz w:val="24"/>
                <w:highlight w:val="none"/>
              </w:rPr>
            </w:pPr>
            <w:r>
              <w:rPr>
                <w:rFonts w:hint="eastAsia"/>
                <w:color w:val="auto"/>
                <w:sz w:val="24"/>
                <w:highlight w:val="none"/>
              </w:rPr>
              <w:t>总价（小写）</w:t>
            </w:r>
          </w:p>
        </w:tc>
        <w:tc>
          <w:tcPr>
            <w:tcW w:w="6771" w:type="dxa"/>
            <w:gridSpan w:val="4"/>
            <w:noWrap w:val="0"/>
            <w:vAlign w:val="center"/>
          </w:tcPr>
          <w:p w14:paraId="181E670E">
            <w:pPr>
              <w:spacing w:line="480" w:lineRule="auto"/>
              <w:jc w:val="center"/>
              <w:rPr>
                <w:color w:val="auto"/>
                <w:sz w:val="24"/>
                <w:highlight w:val="none"/>
              </w:rPr>
            </w:pPr>
          </w:p>
        </w:tc>
      </w:tr>
      <w:tr w14:paraId="2CFA4E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9" w:hRule="atLeast"/>
        </w:trPr>
        <w:tc>
          <w:tcPr>
            <w:tcW w:w="2300" w:type="dxa"/>
            <w:gridSpan w:val="2"/>
            <w:noWrap w:val="0"/>
            <w:vAlign w:val="center"/>
          </w:tcPr>
          <w:p w14:paraId="13F87986">
            <w:pPr>
              <w:jc w:val="center"/>
              <w:rPr>
                <w:color w:val="auto"/>
                <w:sz w:val="24"/>
                <w:highlight w:val="none"/>
              </w:rPr>
            </w:pPr>
            <w:r>
              <w:rPr>
                <w:rFonts w:hint="eastAsia"/>
                <w:color w:val="auto"/>
                <w:sz w:val="24"/>
                <w:highlight w:val="none"/>
              </w:rPr>
              <w:t>总价（大写）</w:t>
            </w:r>
          </w:p>
        </w:tc>
        <w:tc>
          <w:tcPr>
            <w:tcW w:w="6771" w:type="dxa"/>
            <w:gridSpan w:val="4"/>
            <w:noWrap w:val="0"/>
            <w:vAlign w:val="center"/>
          </w:tcPr>
          <w:p w14:paraId="3E42AAEE">
            <w:pPr>
              <w:spacing w:line="480" w:lineRule="auto"/>
              <w:jc w:val="center"/>
              <w:rPr>
                <w:color w:val="auto"/>
                <w:sz w:val="24"/>
                <w:highlight w:val="none"/>
              </w:rPr>
            </w:pPr>
          </w:p>
        </w:tc>
      </w:tr>
    </w:tbl>
    <w:p w14:paraId="2279C059">
      <w:pPr>
        <w:pStyle w:val="291"/>
        <w:spacing w:line="480" w:lineRule="exact"/>
        <w:jc w:val="left"/>
        <w:rPr>
          <w:rFonts w:ascii="宋体" w:hAnsi="宋体" w:cs="Times New Roman"/>
          <w:color w:val="auto"/>
          <w:sz w:val="24"/>
          <w:szCs w:val="24"/>
          <w:highlight w:val="none"/>
        </w:rPr>
      </w:pPr>
      <w:r>
        <w:rPr>
          <w:rFonts w:ascii="宋体" w:hAnsi="宋体" w:cs="Times New Roman"/>
          <w:color w:val="auto"/>
          <w:sz w:val="24"/>
          <w:szCs w:val="24"/>
          <w:highlight w:val="none"/>
        </w:rPr>
        <w:t>1、填报的内容必须和投标函中的内容一致；如不一致，以</w:t>
      </w:r>
      <w:r>
        <w:rPr>
          <w:rFonts w:hint="eastAsia" w:ascii="宋体" w:hAnsi="宋体" w:cs="Times New Roman"/>
          <w:color w:val="auto"/>
          <w:sz w:val="24"/>
          <w:szCs w:val="24"/>
          <w:highlight w:val="none"/>
          <w:lang w:eastAsia="zh-CN"/>
        </w:rPr>
        <w:t>投</w:t>
      </w:r>
      <w:r>
        <w:rPr>
          <w:rFonts w:ascii="宋体" w:hAnsi="宋体" w:cs="Times New Roman"/>
          <w:color w:val="auto"/>
          <w:sz w:val="24"/>
          <w:szCs w:val="24"/>
          <w:highlight w:val="none"/>
        </w:rPr>
        <w:t>标函中相关内容为准；</w:t>
      </w:r>
    </w:p>
    <w:p w14:paraId="1F99CBA6">
      <w:pPr>
        <w:pStyle w:val="291"/>
        <w:spacing w:line="480" w:lineRule="exact"/>
        <w:jc w:val="left"/>
        <w:rPr>
          <w:rFonts w:ascii="宋体" w:hAnsi="宋体" w:cs="Times New Roman"/>
          <w:color w:val="auto"/>
          <w:sz w:val="24"/>
          <w:szCs w:val="24"/>
          <w:highlight w:val="none"/>
        </w:rPr>
      </w:pPr>
      <w:r>
        <w:rPr>
          <w:rFonts w:hint="eastAsia" w:ascii="宋体" w:hAnsi="宋体" w:cs="Times New Roman"/>
          <w:color w:val="auto"/>
          <w:sz w:val="24"/>
          <w:szCs w:val="24"/>
          <w:highlight w:val="none"/>
          <w:lang w:val="en-US" w:eastAsia="zh-CN"/>
        </w:rPr>
        <w:t>2</w:t>
      </w:r>
      <w:r>
        <w:rPr>
          <w:rFonts w:ascii="宋体" w:hAnsi="宋体" w:cs="Times New Roman"/>
          <w:color w:val="auto"/>
          <w:sz w:val="24"/>
          <w:szCs w:val="24"/>
          <w:highlight w:val="none"/>
        </w:rPr>
        <w:t>、投标函、</w:t>
      </w:r>
      <w:r>
        <w:rPr>
          <w:rFonts w:hint="eastAsia" w:ascii="宋体" w:hAnsi="宋体" w:cs="Times New Roman"/>
          <w:color w:val="auto"/>
          <w:sz w:val="24"/>
          <w:szCs w:val="24"/>
          <w:highlight w:val="none"/>
          <w:lang w:eastAsia="zh-CN"/>
        </w:rPr>
        <w:t>开启一览表</w:t>
      </w:r>
      <w:r>
        <w:rPr>
          <w:rFonts w:ascii="宋体" w:hAnsi="宋体" w:cs="Times New Roman"/>
          <w:color w:val="auto"/>
          <w:sz w:val="24"/>
          <w:szCs w:val="24"/>
          <w:highlight w:val="none"/>
        </w:rPr>
        <w:t>中的</w:t>
      </w:r>
      <w:r>
        <w:rPr>
          <w:rFonts w:hint="eastAsia" w:ascii="宋体" w:hAnsi="宋体" w:cs="Times New Roman"/>
          <w:color w:val="auto"/>
          <w:sz w:val="24"/>
          <w:szCs w:val="24"/>
          <w:highlight w:val="none"/>
        </w:rPr>
        <w:t>大、</w:t>
      </w:r>
      <w:r>
        <w:rPr>
          <w:rFonts w:ascii="宋体" w:hAnsi="宋体" w:cs="Times New Roman"/>
          <w:color w:val="auto"/>
          <w:sz w:val="24"/>
          <w:szCs w:val="24"/>
          <w:highlight w:val="none"/>
        </w:rPr>
        <w:t>小写金额报价不一致时，以投标函中的大写金额报价为准。</w:t>
      </w:r>
    </w:p>
    <w:p w14:paraId="19A21819">
      <w:pPr>
        <w:autoSpaceDE w:val="0"/>
        <w:autoSpaceDN w:val="0"/>
        <w:adjustRightInd w:val="0"/>
        <w:spacing w:line="480" w:lineRule="exact"/>
        <w:jc w:val="left"/>
        <w:rPr>
          <w:rFonts w:ascii="宋体" w:hAnsi="宋体" w:cs="宋体"/>
          <w:bCs/>
          <w:color w:val="auto"/>
          <w:sz w:val="24"/>
          <w:highlight w:val="none"/>
          <w:lang w:val="zh-CN"/>
        </w:rPr>
      </w:pPr>
    </w:p>
    <w:p w14:paraId="6A9B5153">
      <w:pPr>
        <w:rPr>
          <w:color w:val="auto"/>
          <w:sz w:val="24"/>
          <w:highlight w:val="none"/>
        </w:rPr>
      </w:pPr>
      <w:r>
        <w:rPr>
          <w:rFonts w:hint="eastAsia"/>
          <w:color w:val="auto"/>
          <w:sz w:val="24"/>
          <w:highlight w:val="none"/>
          <w:lang w:eastAsia="zh-CN"/>
        </w:rPr>
        <w:t>供应商</w:t>
      </w:r>
      <w:r>
        <w:rPr>
          <w:rFonts w:hint="eastAsia"/>
          <w:color w:val="auto"/>
          <w:sz w:val="24"/>
          <w:highlight w:val="none"/>
        </w:rPr>
        <w:t>（印刷体及公章）：</w:t>
      </w:r>
    </w:p>
    <w:p w14:paraId="4E60DB55">
      <w:pPr>
        <w:snapToGrid w:val="0"/>
        <w:spacing w:line="480" w:lineRule="exact"/>
        <w:rPr>
          <w:color w:val="auto"/>
          <w:sz w:val="24"/>
          <w:highlight w:val="none"/>
        </w:rPr>
      </w:pPr>
      <w:r>
        <w:rPr>
          <w:rFonts w:hint="eastAsia"/>
          <w:color w:val="auto"/>
          <w:sz w:val="24"/>
          <w:highlight w:val="none"/>
        </w:rPr>
        <w:t>法定代表人或其授权代表人（签字或盖章）：</w:t>
      </w:r>
    </w:p>
    <w:p w14:paraId="29D5C474">
      <w:pPr>
        <w:snapToGrid w:val="0"/>
        <w:spacing w:line="480" w:lineRule="exact"/>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 xml:space="preserve">                                   </w:t>
      </w:r>
    </w:p>
    <w:p w14:paraId="1D58A01C">
      <w:pPr>
        <w:snapToGrid w:val="0"/>
        <w:spacing w:line="480" w:lineRule="exact"/>
        <w:jc w:val="right"/>
        <w:rPr>
          <w:rFonts w:ascii="黑体" w:hAnsi="黑体" w:eastAsia="黑体"/>
          <w:color w:val="auto"/>
          <w:sz w:val="32"/>
          <w:highlight w:val="none"/>
          <w:lang w:val="zh-CN"/>
        </w:rPr>
      </w:pPr>
      <w:r>
        <w:rPr>
          <w:rFonts w:hint="eastAsia" w:ascii="宋体" w:hAnsi="宋体" w:cs="宋体"/>
          <w:bCs/>
          <w:color w:val="auto"/>
          <w:sz w:val="24"/>
          <w:highlight w:val="none"/>
          <w:lang w:val="zh-CN"/>
        </w:rPr>
        <w:t xml:space="preserve">   日  期：     年    月    日</w:t>
      </w:r>
    </w:p>
    <w:bookmarkEnd w:id="715"/>
    <w:p w14:paraId="577884E0">
      <w:pPr>
        <w:rPr>
          <w:rFonts w:ascii="宋体"/>
          <w:color w:val="auto"/>
          <w:sz w:val="24"/>
          <w:highlight w:val="none"/>
        </w:rPr>
      </w:pPr>
    </w:p>
    <w:p w14:paraId="45AFA2C4">
      <w:pPr>
        <w:rPr>
          <w:color w:val="auto"/>
          <w:highlight w:val="none"/>
        </w:rPr>
      </w:pPr>
      <w:bookmarkStart w:id="716" w:name="_Toc98580425"/>
      <w:bookmarkStart w:id="717" w:name="_Toc48199907"/>
      <w:r>
        <w:rPr>
          <w:b/>
          <w:color w:val="auto"/>
          <w:sz w:val="24"/>
          <w:highlight w:val="none"/>
        </w:rPr>
        <w:br w:type="page"/>
      </w:r>
      <w:r>
        <w:rPr>
          <w:rFonts w:hint="eastAsia" w:ascii="宋体"/>
          <w:b/>
          <w:color w:val="auto"/>
          <w:sz w:val="24"/>
          <w:highlight w:val="none"/>
        </w:rPr>
        <w:t xml:space="preserve">格式2   </w:t>
      </w:r>
      <w:r>
        <w:rPr>
          <w:rFonts w:hint="eastAsia" w:ascii="宋体"/>
          <w:color w:val="auto"/>
          <w:sz w:val="24"/>
          <w:highlight w:val="none"/>
        </w:rPr>
        <w:t xml:space="preserve">   </w:t>
      </w:r>
      <w:r>
        <w:rPr>
          <w:rFonts w:hint="eastAsia" w:ascii="宋体"/>
          <w:color w:val="auto"/>
          <w:sz w:val="28"/>
          <w:highlight w:val="none"/>
        </w:rPr>
        <w:t xml:space="preserve">  </w:t>
      </w:r>
    </w:p>
    <w:bookmarkEnd w:id="716"/>
    <w:bookmarkEnd w:id="717"/>
    <w:p w14:paraId="276EB116">
      <w:pPr>
        <w:pStyle w:val="4"/>
        <w:jc w:val="center"/>
        <w:rPr>
          <w:rFonts w:ascii="宋体" w:hAnsi="宋体"/>
          <w:color w:val="auto"/>
          <w:highlight w:val="none"/>
        </w:rPr>
      </w:pPr>
      <w:bookmarkStart w:id="718" w:name="_Toc22632"/>
      <w:r>
        <w:rPr>
          <w:rFonts w:hint="eastAsia" w:ascii="宋体" w:hAnsi="宋体"/>
          <w:color w:val="auto"/>
          <w:highlight w:val="none"/>
        </w:rPr>
        <w:t>已标价工程量清单</w:t>
      </w:r>
      <w:bookmarkEnd w:id="718"/>
    </w:p>
    <w:p w14:paraId="4CE7F648">
      <w:pPr>
        <w:jc w:val="center"/>
        <w:rPr>
          <w:rFonts w:ascii="宋体" w:hAnsi="宋体"/>
          <w:color w:val="auto"/>
          <w:sz w:val="28"/>
          <w:szCs w:val="28"/>
          <w:highlight w:val="none"/>
        </w:rPr>
      </w:pPr>
      <w:bookmarkStart w:id="719" w:name="_Toc294117168"/>
      <w:bookmarkStart w:id="720" w:name="_Toc294117586"/>
    </w:p>
    <w:bookmarkEnd w:id="719"/>
    <w:bookmarkEnd w:id="720"/>
    <w:p w14:paraId="6F812FDC">
      <w:pPr>
        <w:spacing w:line="500" w:lineRule="exact"/>
        <w:jc w:val="center"/>
        <w:rPr>
          <w:rFonts w:ascii="宋体" w:hAnsi="宋体"/>
          <w:b/>
          <w:color w:val="auto"/>
          <w:sz w:val="28"/>
          <w:szCs w:val="28"/>
          <w:highlight w:val="none"/>
        </w:rPr>
      </w:pPr>
    </w:p>
    <w:p w14:paraId="50C2AB9D">
      <w:pPr>
        <w:spacing w:line="500" w:lineRule="exact"/>
        <w:jc w:val="center"/>
        <w:rPr>
          <w:rFonts w:ascii="宋体" w:hAnsi="宋体"/>
          <w:b/>
          <w:color w:val="auto"/>
          <w:sz w:val="28"/>
          <w:szCs w:val="28"/>
          <w:highlight w:val="none"/>
        </w:rPr>
      </w:pPr>
    </w:p>
    <w:p w14:paraId="016BF61B">
      <w:pPr>
        <w:spacing w:line="500" w:lineRule="exact"/>
        <w:jc w:val="center"/>
        <w:rPr>
          <w:rFonts w:ascii="宋体" w:hAnsi="宋体"/>
          <w:b/>
          <w:color w:val="auto"/>
          <w:sz w:val="28"/>
          <w:szCs w:val="28"/>
          <w:highlight w:val="none"/>
        </w:rPr>
      </w:pPr>
    </w:p>
    <w:p w14:paraId="3319E7C6">
      <w:pPr>
        <w:spacing w:line="500" w:lineRule="exact"/>
        <w:jc w:val="center"/>
        <w:rPr>
          <w:rFonts w:ascii="宋体" w:hAnsi="宋体"/>
          <w:b/>
          <w:color w:val="auto"/>
          <w:sz w:val="28"/>
          <w:szCs w:val="28"/>
          <w:highlight w:val="none"/>
        </w:rPr>
      </w:pPr>
    </w:p>
    <w:p w14:paraId="2318B2AB">
      <w:pPr>
        <w:spacing w:line="500" w:lineRule="exact"/>
        <w:jc w:val="center"/>
        <w:rPr>
          <w:rFonts w:ascii="宋体" w:hAnsi="宋体"/>
          <w:b/>
          <w:color w:val="auto"/>
          <w:sz w:val="28"/>
          <w:szCs w:val="28"/>
          <w:highlight w:val="none"/>
        </w:rPr>
      </w:pPr>
    </w:p>
    <w:p w14:paraId="1816F2C2">
      <w:pPr>
        <w:jc w:val="center"/>
        <w:rPr>
          <w:rFonts w:ascii="宋体"/>
          <w:color w:val="auto"/>
          <w:highlight w:val="none"/>
        </w:rPr>
      </w:pPr>
      <w:r>
        <w:rPr>
          <w:rFonts w:hint="eastAsia" w:ascii="宋体" w:hAnsi="宋体"/>
          <w:b/>
          <w:color w:val="auto"/>
          <w:sz w:val="28"/>
          <w:szCs w:val="28"/>
          <w:highlight w:val="none"/>
        </w:rPr>
        <w:t>按第五章工程量清单中的格式编写</w:t>
      </w:r>
    </w:p>
    <w:p w14:paraId="085841FB">
      <w:pPr>
        <w:rPr>
          <w:rFonts w:ascii="宋体"/>
          <w:color w:val="auto"/>
          <w:highlight w:val="none"/>
        </w:rPr>
      </w:pPr>
    </w:p>
    <w:p w14:paraId="04017A3D">
      <w:pPr>
        <w:rPr>
          <w:rFonts w:ascii="宋体"/>
          <w:color w:val="auto"/>
          <w:highlight w:val="none"/>
        </w:rPr>
      </w:pPr>
    </w:p>
    <w:p w14:paraId="1362B14B">
      <w:pPr>
        <w:rPr>
          <w:b/>
          <w:color w:val="auto"/>
          <w:sz w:val="24"/>
          <w:highlight w:val="none"/>
        </w:rPr>
      </w:pPr>
    </w:p>
    <w:p w14:paraId="6661D513">
      <w:pPr>
        <w:widowControl/>
        <w:jc w:val="left"/>
        <w:rPr>
          <w:b/>
          <w:color w:val="auto"/>
          <w:sz w:val="24"/>
          <w:highlight w:val="none"/>
        </w:rPr>
      </w:pPr>
      <w:r>
        <w:rPr>
          <w:b/>
          <w:color w:val="auto"/>
          <w:sz w:val="24"/>
          <w:highlight w:val="none"/>
        </w:rPr>
        <w:br w:type="page"/>
      </w:r>
      <w:r>
        <w:rPr>
          <w:rFonts w:hint="eastAsia"/>
          <w:b/>
          <w:color w:val="auto"/>
          <w:sz w:val="24"/>
          <w:highlight w:val="none"/>
        </w:rPr>
        <w:t xml:space="preserve">格式3     </w:t>
      </w:r>
    </w:p>
    <w:p w14:paraId="4002F064">
      <w:pPr>
        <w:spacing w:line="360" w:lineRule="auto"/>
        <w:jc w:val="center"/>
        <w:rPr>
          <w:b/>
          <w:color w:val="auto"/>
          <w:sz w:val="36"/>
          <w:szCs w:val="30"/>
          <w:highlight w:val="none"/>
        </w:rPr>
      </w:pPr>
      <w:r>
        <w:rPr>
          <w:rFonts w:hint="eastAsia"/>
          <w:b/>
          <w:color w:val="auto"/>
          <w:sz w:val="36"/>
          <w:szCs w:val="30"/>
          <w:highlight w:val="none"/>
        </w:rPr>
        <w:t>投标函及投标函附录</w:t>
      </w:r>
    </w:p>
    <w:p w14:paraId="18887E3A">
      <w:pPr>
        <w:pStyle w:val="5"/>
        <w:jc w:val="center"/>
        <w:outlineLvl w:val="2"/>
        <w:rPr>
          <w:rFonts w:ascii="宋体" w:hAnsi="宋体"/>
          <w:color w:val="auto"/>
          <w:highlight w:val="none"/>
        </w:rPr>
      </w:pPr>
      <w:bookmarkStart w:id="721" w:name="_Toc22203"/>
      <w:bookmarkStart w:id="722" w:name="_Toc247079391"/>
      <w:bookmarkStart w:id="723" w:name="_Toc211162729"/>
      <w:r>
        <w:rPr>
          <w:rFonts w:hint="eastAsia" w:ascii="宋体" w:hAnsi="宋体"/>
          <w:color w:val="auto"/>
          <w:highlight w:val="none"/>
        </w:rPr>
        <w:t>（一）投标函</w:t>
      </w:r>
      <w:bookmarkEnd w:id="721"/>
      <w:bookmarkEnd w:id="722"/>
      <w:bookmarkEnd w:id="723"/>
    </w:p>
    <w:p w14:paraId="5AC4FB97">
      <w:pPr>
        <w:spacing w:line="360" w:lineRule="auto"/>
        <w:ind w:firstLine="388" w:firstLineChars="200"/>
        <w:rPr>
          <w:rFonts w:ascii="宋体" w:hAnsi="宋体"/>
          <w:color w:val="auto"/>
          <w:szCs w:val="21"/>
          <w:highlight w:val="none"/>
        </w:rPr>
      </w:pPr>
    </w:p>
    <w:p w14:paraId="06486C56">
      <w:pPr>
        <w:spacing w:line="360" w:lineRule="auto"/>
        <w:rPr>
          <w:rFonts w:ascii="宋体" w:hAnsi="宋体"/>
          <w:color w:val="auto"/>
          <w:szCs w:val="21"/>
          <w:highlight w:val="none"/>
        </w:rPr>
      </w:pPr>
      <w:r>
        <w:rPr>
          <w:rFonts w:hint="eastAsia" w:ascii="宋体" w:hAnsi="宋体"/>
          <w:color w:val="auto"/>
          <w:szCs w:val="21"/>
          <w:highlight w:val="none"/>
          <w:u w:val="single"/>
        </w:rPr>
        <w:t xml:space="preserve">                     </w:t>
      </w:r>
      <w:r>
        <w:rPr>
          <w:rFonts w:hint="eastAsia" w:ascii="宋体" w:hAnsi="宋体"/>
          <w:color w:val="auto"/>
          <w:szCs w:val="21"/>
          <w:highlight w:val="none"/>
        </w:rPr>
        <w:t>（</w:t>
      </w:r>
      <w:r>
        <w:rPr>
          <w:rFonts w:hint="eastAsia" w:ascii="宋体" w:hAnsi="宋体"/>
          <w:color w:val="auto"/>
          <w:szCs w:val="21"/>
          <w:highlight w:val="none"/>
          <w:lang w:eastAsia="zh-CN"/>
        </w:rPr>
        <w:t>采购人</w:t>
      </w:r>
      <w:r>
        <w:rPr>
          <w:rFonts w:hint="eastAsia" w:ascii="宋体" w:hAnsi="宋体"/>
          <w:color w:val="auto"/>
          <w:szCs w:val="21"/>
          <w:highlight w:val="none"/>
        </w:rPr>
        <w:t>名称）</w:t>
      </w:r>
      <w:r>
        <w:rPr>
          <w:rFonts w:hint="eastAsia" w:ascii="宋体" w:hAnsi="宋体"/>
          <w:color w:val="auto"/>
          <w:szCs w:val="21"/>
          <w:highlight w:val="none"/>
          <w:lang w:eastAsia="zh-CN"/>
        </w:rPr>
        <w:t>：</w:t>
      </w:r>
      <w:r>
        <w:rPr>
          <w:rFonts w:hint="eastAsia" w:ascii="宋体" w:hAnsi="宋体"/>
          <w:color w:val="auto"/>
          <w:szCs w:val="21"/>
          <w:highlight w:val="none"/>
        </w:rPr>
        <w:t xml:space="preserve"> </w:t>
      </w:r>
    </w:p>
    <w:p w14:paraId="3BE73CA0">
      <w:pPr>
        <w:spacing w:line="360" w:lineRule="auto"/>
        <w:ind w:firstLine="388" w:firstLineChars="200"/>
        <w:rPr>
          <w:rFonts w:ascii="宋体" w:hAnsi="宋体" w:cs="宋体"/>
          <w:color w:val="auto"/>
          <w:kern w:val="0"/>
          <w:szCs w:val="21"/>
          <w:highlight w:val="none"/>
        </w:rPr>
      </w:pPr>
      <w:r>
        <w:rPr>
          <w:rFonts w:hint="eastAsia" w:ascii="宋体" w:hAnsi="宋体"/>
          <w:color w:val="auto"/>
          <w:szCs w:val="21"/>
          <w:highlight w:val="none"/>
        </w:rPr>
        <w:t>1．我方</w:t>
      </w:r>
      <w:r>
        <w:rPr>
          <w:rFonts w:hint="eastAsia" w:ascii="宋体" w:hAnsi="宋体"/>
          <w:color w:val="auto"/>
          <w:szCs w:val="21"/>
          <w:highlight w:val="none"/>
          <w:lang w:val="en-US" w:eastAsia="zh-CN"/>
        </w:rPr>
        <w:t>已</w:t>
      </w:r>
      <w:r>
        <w:rPr>
          <w:rFonts w:hint="eastAsia" w:ascii="宋体" w:hAnsi="宋体"/>
          <w:color w:val="auto"/>
          <w:szCs w:val="21"/>
          <w:highlight w:val="none"/>
        </w:rPr>
        <w:t>仔细研究了</w:t>
      </w:r>
      <w:r>
        <w:rPr>
          <w:rFonts w:hint="eastAsia" w:ascii="宋体" w:hAnsi="宋体"/>
          <w:color w:val="auto"/>
          <w:szCs w:val="21"/>
          <w:highlight w:val="none"/>
          <w:u w:val="single"/>
        </w:rPr>
        <w:t xml:space="preserve">                     </w:t>
      </w:r>
      <w:r>
        <w:rPr>
          <w:rFonts w:hint="eastAsia" w:ascii="宋体" w:hAnsi="宋体"/>
          <w:color w:val="auto"/>
          <w:szCs w:val="21"/>
          <w:highlight w:val="none"/>
        </w:rPr>
        <w:t>（项目名称）</w:t>
      </w:r>
      <w:r>
        <w:rPr>
          <w:rFonts w:hint="eastAsia" w:ascii="宋体" w:hAnsi="宋体"/>
          <w:color w:val="auto"/>
          <w:szCs w:val="21"/>
          <w:highlight w:val="none"/>
          <w:lang w:eastAsia="zh-CN"/>
        </w:rPr>
        <w:t>磋商文件</w:t>
      </w:r>
      <w:r>
        <w:rPr>
          <w:rFonts w:hint="eastAsia" w:ascii="宋体" w:hAnsi="宋体"/>
          <w:color w:val="auto"/>
          <w:szCs w:val="21"/>
          <w:highlight w:val="none"/>
        </w:rPr>
        <w:t>的全部内容，我方愿意以人民币（大写）</w:t>
      </w:r>
      <w:r>
        <w:rPr>
          <w:rFonts w:hint="eastAsia" w:ascii="宋体" w:hAnsi="宋体"/>
          <w:color w:val="auto"/>
          <w:szCs w:val="21"/>
          <w:highlight w:val="none"/>
          <w:u w:val="single"/>
        </w:rPr>
        <w:t xml:space="preserve">                 </w:t>
      </w:r>
      <w:r>
        <w:rPr>
          <w:rFonts w:hint="eastAsia" w:ascii="宋体" w:hAnsi="宋体"/>
          <w:color w:val="auto"/>
          <w:szCs w:val="21"/>
          <w:highlight w:val="none"/>
        </w:rPr>
        <w:t>元（￥</w:t>
      </w:r>
      <w:r>
        <w:rPr>
          <w:rFonts w:hint="eastAsia" w:ascii="宋体" w:hAnsi="宋体"/>
          <w:color w:val="auto"/>
          <w:szCs w:val="21"/>
          <w:highlight w:val="none"/>
          <w:u w:val="single"/>
        </w:rPr>
        <w:t xml:space="preserve">       </w:t>
      </w:r>
      <w:r>
        <w:rPr>
          <w:rFonts w:hint="eastAsia" w:ascii="宋体" w:hAnsi="宋体"/>
          <w:color w:val="auto"/>
          <w:szCs w:val="21"/>
          <w:highlight w:val="none"/>
        </w:rPr>
        <w:t>）的投标总报价，工期</w:t>
      </w:r>
      <w:r>
        <w:rPr>
          <w:rFonts w:hint="eastAsia" w:ascii="宋体" w:hAnsi="宋体"/>
          <w:color w:val="auto"/>
          <w:szCs w:val="21"/>
          <w:highlight w:val="none"/>
          <w:u w:val="single"/>
        </w:rPr>
        <w:t xml:space="preserve">        </w:t>
      </w:r>
      <w:r>
        <w:rPr>
          <w:rFonts w:hint="eastAsia" w:ascii="宋体" w:hAnsi="宋体"/>
          <w:color w:val="auto"/>
          <w:szCs w:val="21"/>
          <w:highlight w:val="none"/>
        </w:rPr>
        <w:t>，按合同约定实施和完成承包工程，修补工程中的任何缺陷，工程质量达到</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w:t>
      </w:r>
    </w:p>
    <w:p w14:paraId="6F93E852">
      <w:pPr>
        <w:spacing w:line="360" w:lineRule="auto"/>
        <w:ind w:firstLine="388" w:firstLineChars="200"/>
        <w:rPr>
          <w:rFonts w:ascii="宋体" w:hAnsi="宋体"/>
          <w:color w:val="auto"/>
          <w:szCs w:val="21"/>
          <w:highlight w:val="none"/>
        </w:rPr>
      </w:pPr>
      <w:r>
        <w:rPr>
          <w:rFonts w:hint="eastAsia" w:ascii="宋体" w:hAnsi="宋体"/>
          <w:color w:val="auto"/>
          <w:szCs w:val="21"/>
          <w:highlight w:val="none"/>
        </w:rPr>
        <w:t>2．我方承诺在</w:t>
      </w:r>
      <w:r>
        <w:rPr>
          <w:rFonts w:hint="eastAsia" w:ascii="宋体" w:hAnsi="宋体"/>
          <w:color w:val="auto"/>
          <w:szCs w:val="21"/>
          <w:highlight w:val="none"/>
          <w:lang w:eastAsia="zh-CN"/>
        </w:rPr>
        <w:t>磋商有效期</w:t>
      </w:r>
      <w:r>
        <w:rPr>
          <w:rFonts w:hint="eastAsia" w:ascii="宋体" w:hAnsi="宋体"/>
          <w:color w:val="auto"/>
          <w:szCs w:val="21"/>
          <w:highlight w:val="none"/>
        </w:rPr>
        <w:t>内不修改、撤销</w:t>
      </w:r>
      <w:r>
        <w:rPr>
          <w:rFonts w:hint="eastAsia" w:ascii="宋体" w:hAnsi="宋体"/>
          <w:color w:val="auto"/>
          <w:szCs w:val="21"/>
          <w:highlight w:val="none"/>
          <w:lang w:eastAsia="zh-CN"/>
        </w:rPr>
        <w:t>响应文件</w:t>
      </w:r>
      <w:r>
        <w:rPr>
          <w:rFonts w:hint="eastAsia" w:ascii="宋体" w:hAnsi="宋体"/>
          <w:color w:val="auto"/>
          <w:szCs w:val="21"/>
          <w:highlight w:val="none"/>
        </w:rPr>
        <w:t>。</w:t>
      </w:r>
    </w:p>
    <w:p w14:paraId="405A5914">
      <w:pPr>
        <w:spacing w:line="360" w:lineRule="auto"/>
        <w:ind w:firstLine="388" w:firstLineChars="200"/>
        <w:rPr>
          <w:rFonts w:ascii="宋体" w:hAnsi="宋体"/>
          <w:color w:val="auto"/>
          <w:szCs w:val="21"/>
          <w:highlight w:val="none"/>
        </w:rPr>
      </w:pPr>
      <w:r>
        <w:rPr>
          <w:rFonts w:hint="eastAsia" w:ascii="宋体" w:hAnsi="宋体"/>
          <w:color w:val="auto"/>
          <w:szCs w:val="21"/>
          <w:highlight w:val="none"/>
        </w:rPr>
        <w:t>3．随同本投标函提交</w:t>
      </w:r>
      <w:r>
        <w:rPr>
          <w:rFonts w:hint="eastAsia" w:ascii="宋体" w:hAnsi="宋体"/>
          <w:color w:val="auto"/>
          <w:szCs w:val="21"/>
          <w:highlight w:val="none"/>
          <w:lang w:eastAsia="zh-CN"/>
        </w:rPr>
        <w:t>磋商保证金</w:t>
      </w:r>
      <w:r>
        <w:rPr>
          <w:rFonts w:hint="eastAsia" w:ascii="宋体" w:hAnsi="宋体"/>
          <w:color w:val="auto"/>
          <w:szCs w:val="21"/>
          <w:highlight w:val="none"/>
        </w:rPr>
        <w:t>承诺一份。</w:t>
      </w:r>
    </w:p>
    <w:p w14:paraId="7E1F6516">
      <w:pPr>
        <w:spacing w:line="360" w:lineRule="auto"/>
        <w:ind w:firstLine="388" w:firstLineChars="200"/>
        <w:rPr>
          <w:rFonts w:ascii="宋体" w:hAnsi="宋体"/>
          <w:color w:val="auto"/>
          <w:szCs w:val="21"/>
          <w:highlight w:val="none"/>
        </w:rPr>
      </w:pPr>
      <w:r>
        <w:rPr>
          <w:rFonts w:hint="eastAsia" w:ascii="宋体" w:hAnsi="宋体"/>
          <w:color w:val="auto"/>
          <w:szCs w:val="21"/>
          <w:highlight w:val="none"/>
        </w:rPr>
        <w:t>4．如我方中标：</w:t>
      </w:r>
    </w:p>
    <w:p w14:paraId="167820BD">
      <w:pPr>
        <w:spacing w:line="360" w:lineRule="auto"/>
        <w:ind w:firstLine="388" w:firstLineChars="200"/>
        <w:rPr>
          <w:rFonts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l）我方承诺在收到中标通知书后，在中标通知书规定的期限内与你方签订合同。</w:t>
      </w:r>
    </w:p>
    <w:p w14:paraId="18A27D0E">
      <w:pPr>
        <w:spacing w:line="360" w:lineRule="auto"/>
        <w:ind w:firstLine="388" w:firstLineChars="200"/>
        <w:rPr>
          <w:rFonts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2）随同本投标函递交的投标函附录属于合同文件的组成部分。</w:t>
      </w:r>
    </w:p>
    <w:p w14:paraId="26207D35">
      <w:pPr>
        <w:spacing w:line="360" w:lineRule="auto"/>
        <w:ind w:firstLine="291" w:firstLineChars="150"/>
        <w:rPr>
          <w:rFonts w:ascii="宋体" w:hAnsi="宋体"/>
          <w:color w:val="auto"/>
          <w:szCs w:val="21"/>
          <w:highlight w:val="none"/>
        </w:rPr>
      </w:pPr>
      <w:r>
        <w:rPr>
          <w:rFonts w:hint="eastAsia" w:ascii="宋体" w:hAnsi="宋体"/>
          <w:color w:val="auto"/>
          <w:szCs w:val="21"/>
          <w:highlight w:val="none"/>
        </w:rPr>
        <w:t xml:space="preserve"> </w:t>
      </w:r>
      <w:r>
        <w:rPr>
          <w:rFonts w:hint="eastAsia" w:ascii="宋体" w:hAnsi="宋体"/>
          <w:color w:val="auto"/>
          <w:szCs w:val="21"/>
          <w:highlight w:val="none"/>
          <w:lang w:eastAsia="zh-CN"/>
        </w:rPr>
        <w:t>（</w:t>
      </w:r>
      <w:r>
        <w:rPr>
          <w:rFonts w:hint="eastAsia" w:ascii="宋体" w:hAnsi="宋体"/>
          <w:color w:val="auto"/>
          <w:szCs w:val="21"/>
          <w:highlight w:val="none"/>
        </w:rPr>
        <w:t>3）我方承诺在合同约定的期限内完成并移交全部合同工程。</w:t>
      </w:r>
    </w:p>
    <w:p w14:paraId="6D361ADB">
      <w:pPr>
        <w:spacing w:line="360" w:lineRule="auto"/>
        <w:ind w:firstLine="388" w:firstLineChars="200"/>
        <w:rPr>
          <w:rFonts w:ascii="宋体" w:hAnsi="宋体"/>
          <w:color w:val="auto"/>
          <w:szCs w:val="21"/>
          <w:highlight w:val="none"/>
        </w:rPr>
      </w:pPr>
      <w:r>
        <w:rPr>
          <w:rFonts w:hint="eastAsia" w:ascii="宋体" w:hAnsi="宋体"/>
          <w:color w:val="auto"/>
          <w:szCs w:val="21"/>
          <w:highlight w:val="none"/>
        </w:rPr>
        <w:t>5．我方在此声明，所递交的</w:t>
      </w:r>
      <w:r>
        <w:rPr>
          <w:rFonts w:hint="eastAsia" w:ascii="宋体" w:hAnsi="宋体"/>
          <w:color w:val="auto"/>
          <w:szCs w:val="21"/>
          <w:highlight w:val="none"/>
          <w:lang w:eastAsia="zh-CN"/>
        </w:rPr>
        <w:t>响应文件</w:t>
      </w:r>
      <w:r>
        <w:rPr>
          <w:rFonts w:hint="eastAsia" w:ascii="宋体" w:hAnsi="宋体"/>
          <w:color w:val="auto"/>
          <w:szCs w:val="21"/>
          <w:highlight w:val="none"/>
        </w:rPr>
        <w:t>及有关资料内容完整、真实和准确，且不存在第二章“</w:t>
      </w:r>
      <w:r>
        <w:rPr>
          <w:rFonts w:hint="eastAsia" w:ascii="宋体" w:hAnsi="宋体"/>
          <w:color w:val="auto"/>
          <w:szCs w:val="21"/>
          <w:highlight w:val="none"/>
          <w:lang w:eastAsia="zh-CN"/>
        </w:rPr>
        <w:t>供应商</w:t>
      </w:r>
      <w:r>
        <w:rPr>
          <w:rFonts w:hint="eastAsia" w:ascii="宋体" w:hAnsi="宋体"/>
          <w:color w:val="auto"/>
          <w:szCs w:val="21"/>
          <w:highlight w:val="none"/>
        </w:rPr>
        <w:t>须知”第</w:t>
      </w:r>
      <w:r>
        <w:rPr>
          <w:rFonts w:hint="eastAsia" w:ascii="宋体" w:hAnsi="宋体"/>
          <w:color w:val="auto"/>
          <w:szCs w:val="21"/>
          <w:highlight w:val="none"/>
          <w:lang w:val="en-US" w:eastAsia="zh-CN"/>
        </w:rPr>
        <w:t>16（3）</w:t>
      </w:r>
      <w:r>
        <w:rPr>
          <w:rFonts w:hint="eastAsia" w:ascii="宋体" w:hAnsi="宋体"/>
          <w:color w:val="auto"/>
          <w:szCs w:val="21"/>
          <w:highlight w:val="none"/>
        </w:rPr>
        <w:t>项规定的任何一种情形。</w:t>
      </w:r>
    </w:p>
    <w:p w14:paraId="11263D64">
      <w:pPr>
        <w:spacing w:line="360" w:lineRule="auto"/>
        <w:ind w:firstLine="388" w:firstLineChars="200"/>
        <w:rPr>
          <w:rFonts w:ascii="宋体" w:hAnsi="宋体"/>
          <w:color w:val="auto"/>
          <w:szCs w:val="21"/>
          <w:highlight w:val="none"/>
        </w:rPr>
      </w:pPr>
      <w:r>
        <w:rPr>
          <w:rFonts w:hint="eastAsia" w:ascii="宋体" w:hAnsi="宋体"/>
          <w:color w:val="auto"/>
          <w:szCs w:val="21"/>
          <w:highlight w:val="none"/>
        </w:rPr>
        <w:t xml:space="preserve">6. </w:t>
      </w:r>
      <w:r>
        <w:rPr>
          <w:rFonts w:hint="eastAsia" w:ascii="宋体" w:hAnsi="宋体"/>
          <w:color w:val="auto"/>
          <w:szCs w:val="21"/>
          <w:highlight w:val="none"/>
          <w:u w:val="single"/>
        </w:rPr>
        <w:t xml:space="preserve">                     </w:t>
      </w:r>
      <w:r>
        <w:rPr>
          <w:rFonts w:hint="eastAsia" w:ascii="宋体" w:hAnsi="宋体"/>
          <w:color w:val="auto"/>
          <w:szCs w:val="21"/>
          <w:highlight w:val="none"/>
        </w:rPr>
        <w:t>（其他补充说明）。</w:t>
      </w:r>
    </w:p>
    <w:p w14:paraId="378639E7">
      <w:pPr>
        <w:spacing w:line="360" w:lineRule="auto"/>
        <w:ind w:firstLine="388" w:firstLineChars="200"/>
        <w:rPr>
          <w:rFonts w:ascii="宋体" w:hAnsi="宋体"/>
          <w:color w:val="auto"/>
          <w:szCs w:val="21"/>
          <w:highlight w:val="none"/>
        </w:rPr>
      </w:pPr>
    </w:p>
    <w:p w14:paraId="465D6961">
      <w:pPr>
        <w:spacing w:line="360" w:lineRule="auto"/>
        <w:ind w:firstLine="3492" w:firstLineChars="1800"/>
        <w:rPr>
          <w:rFonts w:ascii="宋体" w:hAnsi="宋体"/>
          <w:color w:val="auto"/>
          <w:szCs w:val="21"/>
          <w:highlight w:val="none"/>
        </w:rPr>
      </w:pPr>
      <w:r>
        <w:rPr>
          <w:rFonts w:hint="eastAsia" w:ascii="宋体" w:hAnsi="宋体"/>
          <w:color w:val="auto"/>
          <w:szCs w:val="21"/>
          <w:highlight w:val="none"/>
          <w:lang w:eastAsia="zh-CN"/>
        </w:rPr>
        <w:t>供应商</w:t>
      </w:r>
      <w:r>
        <w:rPr>
          <w:rFonts w:hint="eastAsia" w:ascii="宋体" w:hAnsi="宋体"/>
          <w:color w:val="auto"/>
          <w:szCs w:val="21"/>
          <w:highlight w:val="none"/>
        </w:rPr>
        <w:t>：</w:t>
      </w:r>
      <w:r>
        <w:rPr>
          <w:rFonts w:hint="eastAsia" w:ascii="宋体" w:hAnsi="宋体"/>
          <w:color w:val="auto"/>
          <w:szCs w:val="21"/>
          <w:highlight w:val="none"/>
          <w:u w:val="single"/>
        </w:rPr>
        <w:t xml:space="preserve">                     </w:t>
      </w:r>
      <w:r>
        <w:rPr>
          <w:rFonts w:hint="eastAsia" w:ascii="宋体" w:hAnsi="宋体"/>
          <w:color w:val="auto"/>
          <w:szCs w:val="21"/>
          <w:highlight w:val="none"/>
        </w:rPr>
        <w:t>（盖单位章）</w:t>
      </w:r>
    </w:p>
    <w:p w14:paraId="1E539E71">
      <w:pPr>
        <w:spacing w:line="360" w:lineRule="auto"/>
        <w:ind w:firstLine="3298" w:firstLineChars="1700"/>
        <w:rPr>
          <w:rFonts w:ascii="宋体" w:hAnsi="宋体"/>
          <w:color w:val="auto"/>
          <w:szCs w:val="21"/>
          <w:highlight w:val="none"/>
        </w:rPr>
      </w:pPr>
      <w:r>
        <w:rPr>
          <w:rFonts w:hint="eastAsia" w:ascii="宋体" w:hAnsi="宋体"/>
          <w:color w:val="auto"/>
          <w:szCs w:val="21"/>
          <w:highlight w:val="none"/>
        </w:rPr>
        <w:t>法定代表人或其委托代理人：</w:t>
      </w:r>
      <w:r>
        <w:rPr>
          <w:rFonts w:hint="eastAsia" w:ascii="宋体" w:hAnsi="宋体"/>
          <w:color w:val="auto"/>
          <w:szCs w:val="21"/>
          <w:highlight w:val="none"/>
          <w:u w:val="single"/>
        </w:rPr>
        <w:t xml:space="preserve">             </w:t>
      </w:r>
      <w:r>
        <w:rPr>
          <w:rFonts w:hint="eastAsia" w:ascii="宋体" w:hAnsi="宋体"/>
          <w:color w:val="auto"/>
          <w:szCs w:val="21"/>
          <w:highlight w:val="none"/>
        </w:rPr>
        <w:t>（签字或盖章）</w:t>
      </w:r>
    </w:p>
    <w:p w14:paraId="2B9094E7">
      <w:pPr>
        <w:spacing w:line="360" w:lineRule="auto"/>
        <w:ind w:firstLine="3977" w:firstLineChars="2050"/>
        <w:rPr>
          <w:rFonts w:ascii="宋体" w:hAnsi="宋体"/>
          <w:color w:val="auto"/>
          <w:szCs w:val="21"/>
          <w:highlight w:val="none"/>
        </w:rPr>
      </w:pPr>
      <w:r>
        <w:rPr>
          <w:rFonts w:hint="eastAsia" w:ascii="宋体" w:hAnsi="宋体"/>
          <w:color w:val="auto"/>
          <w:szCs w:val="21"/>
          <w:highlight w:val="none"/>
        </w:rPr>
        <w:t>地  址：</w:t>
      </w:r>
      <w:r>
        <w:rPr>
          <w:rFonts w:hint="eastAsia" w:ascii="宋体" w:hAnsi="宋体"/>
          <w:color w:val="auto"/>
          <w:szCs w:val="21"/>
          <w:highlight w:val="none"/>
          <w:u w:val="single"/>
        </w:rPr>
        <w:t xml:space="preserve">                                 </w:t>
      </w:r>
    </w:p>
    <w:p w14:paraId="6D84426E">
      <w:pPr>
        <w:spacing w:line="360" w:lineRule="auto"/>
        <w:ind w:firstLine="3977" w:firstLineChars="2050"/>
        <w:rPr>
          <w:rFonts w:ascii="宋体" w:hAnsi="宋体"/>
          <w:color w:val="auto"/>
          <w:szCs w:val="21"/>
          <w:highlight w:val="none"/>
        </w:rPr>
      </w:pPr>
      <w:r>
        <w:rPr>
          <w:rFonts w:hint="eastAsia" w:ascii="宋体" w:hAnsi="宋体"/>
          <w:color w:val="auto"/>
          <w:szCs w:val="21"/>
          <w:highlight w:val="none"/>
        </w:rPr>
        <w:t>网  址：</w:t>
      </w:r>
      <w:r>
        <w:rPr>
          <w:rFonts w:hint="eastAsia" w:ascii="宋体" w:hAnsi="宋体"/>
          <w:color w:val="auto"/>
          <w:szCs w:val="21"/>
          <w:highlight w:val="none"/>
          <w:u w:val="single"/>
        </w:rPr>
        <w:t xml:space="preserve">                                 </w:t>
      </w:r>
    </w:p>
    <w:p w14:paraId="344E538A">
      <w:pPr>
        <w:spacing w:line="360" w:lineRule="auto"/>
        <w:ind w:firstLine="3977" w:firstLineChars="2050"/>
        <w:rPr>
          <w:rFonts w:ascii="宋体" w:hAnsi="宋体"/>
          <w:color w:val="auto"/>
          <w:szCs w:val="21"/>
          <w:highlight w:val="none"/>
        </w:rPr>
      </w:pPr>
      <w:r>
        <w:rPr>
          <w:rFonts w:hint="eastAsia" w:ascii="宋体" w:hAnsi="宋体"/>
          <w:color w:val="auto"/>
          <w:szCs w:val="21"/>
          <w:highlight w:val="none"/>
        </w:rPr>
        <w:t>电  话：</w:t>
      </w:r>
      <w:r>
        <w:rPr>
          <w:rFonts w:hint="eastAsia" w:ascii="宋体" w:hAnsi="宋体"/>
          <w:color w:val="auto"/>
          <w:szCs w:val="21"/>
          <w:highlight w:val="none"/>
          <w:u w:val="single"/>
        </w:rPr>
        <w:t xml:space="preserve">                                 </w:t>
      </w:r>
    </w:p>
    <w:p w14:paraId="34F42F97">
      <w:pPr>
        <w:spacing w:line="360" w:lineRule="auto"/>
        <w:ind w:firstLine="3977" w:firstLineChars="2050"/>
        <w:rPr>
          <w:rFonts w:ascii="宋体" w:hAnsi="宋体"/>
          <w:color w:val="auto"/>
          <w:szCs w:val="21"/>
          <w:highlight w:val="none"/>
        </w:rPr>
      </w:pPr>
      <w:r>
        <w:rPr>
          <w:rFonts w:hint="eastAsia" w:ascii="宋体" w:hAnsi="宋体"/>
          <w:color w:val="auto"/>
          <w:szCs w:val="21"/>
          <w:highlight w:val="none"/>
        </w:rPr>
        <w:t>传  真：</w:t>
      </w:r>
      <w:r>
        <w:rPr>
          <w:rFonts w:hint="eastAsia" w:ascii="宋体" w:hAnsi="宋体"/>
          <w:color w:val="auto"/>
          <w:szCs w:val="21"/>
          <w:highlight w:val="none"/>
          <w:u w:val="single"/>
        </w:rPr>
        <w:t xml:space="preserve">                                 </w:t>
      </w:r>
    </w:p>
    <w:p w14:paraId="61E80FC7">
      <w:pPr>
        <w:spacing w:line="360" w:lineRule="auto"/>
        <w:ind w:firstLine="3977" w:firstLineChars="2050"/>
        <w:rPr>
          <w:rFonts w:ascii="宋体" w:hAnsi="宋体"/>
          <w:color w:val="auto"/>
          <w:szCs w:val="21"/>
          <w:highlight w:val="none"/>
        </w:rPr>
      </w:pPr>
      <w:r>
        <w:rPr>
          <w:rFonts w:hint="eastAsia" w:ascii="宋体" w:hAnsi="宋体"/>
          <w:color w:val="auto"/>
          <w:szCs w:val="21"/>
          <w:highlight w:val="none"/>
        </w:rPr>
        <w:t>邮政编码：</w:t>
      </w:r>
      <w:r>
        <w:rPr>
          <w:rFonts w:hint="eastAsia" w:ascii="宋体" w:hAnsi="宋体"/>
          <w:color w:val="auto"/>
          <w:szCs w:val="21"/>
          <w:highlight w:val="none"/>
          <w:u w:val="single"/>
        </w:rPr>
        <w:t xml:space="preserve">                             </w:t>
      </w:r>
    </w:p>
    <w:p w14:paraId="653EB40C">
      <w:pPr>
        <w:spacing w:line="360" w:lineRule="auto"/>
        <w:ind w:firstLine="3977" w:firstLineChars="2050"/>
        <w:rPr>
          <w:color w:val="auto"/>
          <w:highlight w:val="none"/>
        </w:rPr>
      </w:pPr>
      <w:r>
        <w:rPr>
          <w:rFonts w:hint="eastAsia" w:ascii="宋体" w:hAnsi="宋体"/>
          <w:color w:val="auto"/>
          <w:szCs w:val="21"/>
          <w:highlight w:val="none"/>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rPr>
        <w:t>年</w:t>
      </w:r>
      <w:r>
        <w:rPr>
          <w:rFonts w:hint="eastAsia" w:ascii="宋体" w:hAnsi="宋体"/>
          <w:color w:val="auto"/>
          <w:szCs w:val="21"/>
          <w:highlight w:val="none"/>
          <w:u w:val="single"/>
        </w:rPr>
        <w:t xml:space="preserve">    </w:t>
      </w:r>
      <w:r>
        <w:rPr>
          <w:rFonts w:hint="eastAsia" w:ascii="宋体" w:hAnsi="宋体"/>
          <w:color w:val="auto"/>
          <w:szCs w:val="21"/>
          <w:highlight w:val="none"/>
        </w:rPr>
        <w:t>月</w:t>
      </w:r>
      <w:r>
        <w:rPr>
          <w:rFonts w:hint="eastAsia" w:ascii="宋体" w:hAnsi="宋体"/>
          <w:color w:val="auto"/>
          <w:szCs w:val="21"/>
          <w:highlight w:val="none"/>
          <w:u w:val="single"/>
        </w:rPr>
        <w:t xml:space="preserve">    </w:t>
      </w:r>
      <w:r>
        <w:rPr>
          <w:rFonts w:hint="eastAsia" w:ascii="宋体" w:hAnsi="宋体"/>
          <w:color w:val="auto"/>
          <w:szCs w:val="21"/>
          <w:highlight w:val="none"/>
        </w:rPr>
        <w:t>日</w:t>
      </w:r>
    </w:p>
    <w:p w14:paraId="76833BD8">
      <w:pPr>
        <w:spacing w:line="360" w:lineRule="auto"/>
        <w:ind w:firstLine="3977" w:firstLineChars="2050"/>
        <w:rPr>
          <w:rFonts w:ascii="宋体" w:hAnsi="宋体"/>
          <w:color w:val="auto"/>
          <w:szCs w:val="21"/>
          <w:highlight w:val="none"/>
        </w:rPr>
        <w:sectPr>
          <w:pgSz w:w="11907" w:h="16840"/>
          <w:pgMar w:top="1440" w:right="1803" w:bottom="1440" w:left="1803" w:header="851" w:footer="850" w:gutter="0"/>
          <w:pgNumType w:fmt="decimal"/>
          <w:cols w:space="720" w:num="1"/>
          <w:titlePg/>
          <w:docGrid w:type="linesAndChars" w:linePitch="312" w:charSpace="-3473"/>
        </w:sectPr>
      </w:pPr>
    </w:p>
    <w:p w14:paraId="43CD7C0A">
      <w:pPr>
        <w:pStyle w:val="5"/>
        <w:jc w:val="center"/>
        <w:outlineLvl w:val="2"/>
        <w:rPr>
          <w:color w:val="auto"/>
          <w:highlight w:val="none"/>
        </w:rPr>
      </w:pPr>
      <w:bookmarkStart w:id="724" w:name="_Toc247079392"/>
      <w:bookmarkStart w:id="725" w:name="_Toc7723"/>
      <w:bookmarkStart w:id="726" w:name="_Toc211162730"/>
      <w:r>
        <w:rPr>
          <w:rFonts w:hint="eastAsia"/>
          <w:color w:val="auto"/>
          <w:highlight w:val="none"/>
        </w:rPr>
        <w:t>（二）投标函附录</w:t>
      </w:r>
      <w:bookmarkEnd w:id="724"/>
      <w:bookmarkEnd w:id="725"/>
      <w:bookmarkEnd w:id="726"/>
    </w:p>
    <w:tbl>
      <w:tblPr>
        <w:tblStyle w:val="49"/>
        <w:tblW w:w="9913"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49"/>
        <w:gridCol w:w="1787"/>
        <w:gridCol w:w="932"/>
        <w:gridCol w:w="5644"/>
        <w:gridCol w:w="901"/>
      </w:tblGrid>
      <w:tr w14:paraId="39C34F2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0" w:hRule="atLeast"/>
          <w:jc w:val="center"/>
        </w:trPr>
        <w:tc>
          <w:tcPr>
            <w:tcW w:w="649" w:type="dxa"/>
            <w:noWrap w:val="0"/>
            <w:vAlign w:val="center"/>
          </w:tcPr>
          <w:p w14:paraId="31A6F3F6">
            <w:pPr>
              <w:autoSpaceDE w:val="0"/>
              <w:autoSpaceDN w:val="0"/>
              <w:adjustRightInd w:val="0"/>
              <w:spacing w:line="300" w:lineRule="exact"/>
              <w:jc w:val="center"/>
              <w:rPr>
                <w:rFonts w:hint="eastAsia" w:ascii="宋体" w:hAnsi="宋体" w:cs="宋体"/>
                <w:b/>
                <w:bCs/>
                <w:color w:val="auto"/>
                <w:szCs w:val="21"/>
                <w:highlight w:val="none"/>
                <w:lang w:val="zh-CN"/>
              </w:rPr>
            </w:pPr>
            <w:r>
              <w:rPr>
                <w:rFonts w:hint="eastAsia" w:ascii="宋体" w:hAnsi="宋体" w:cs="宋体"/>
                <w:b/>
                <w:bCs/>
                <w:color w:val="auto"/>
                <w:szCs w:val="21"/>
                <w:highlight w:val="none"/>
                <w:lang w:val="zh-CN"/>
              </w:rPr>
              <w:t>序号</w:t>
            </w:r>
          </w:p>
        </w:tc>
        <w:tc>
          <w:tcPr>
            <w:tcW w:w="1787" w:type="dxa"/>
            <w:noWrap w:val="0"/>
            <w:vAlign w:val="center"/>
          </w:tcPr>
          <w:p w14:paraId="6546FCCF">
            <w:pPr>
              <w:autoSpaceDE w:val="0"/>
              <w:autoSpaceDN w:val="0"/>
              <w:adjustRightInd w:val="0"/>
              <w:spacing w:line="300" w:lineRule="exact"/>
              <w:jc w:val="center"/>
              <w:rPr>
                <w:rFonts w:hint="eastAsia" w:ascii="宋体" w:hAnsi="宋体" w:cs="宋体"/>
                <w:b/>
                <w:bCs/>
                <w:color w:val="auto"/>
                <w:szCs w:val="21"/>
                <w:highlight w:val="none"/>
                <w:lang w:val="zh-CN"/>
              </w:rPr>
            </w:pPr>
            <w:r>
              <w:rPr>
                <w:rFonts w:hint="eastAsia" w:ascii="宋体" w:hAnsi="宋体" w:cs="宋体"/>
                <w:b/>
                <w:bCs/>
                <w:color w:val="auto"/>
                <w:szCs w:val="21"/>
                <w:highlight w:val="none"/>
                <w:lang w:val="zh-CN"/>
              </w:rPr>
              <w:t>条款名称</w:t>
            </w:r>
          </w:p>
        </w:tc>
        <w:tc>
          <w:tcPr>
            <w:tcW w:w="932" w:type="dxa"/>
            <w:noWrap w:val="0"/>
            <w:vAlign w:val="center"/>
          </w:tcPr>
          <w:p w14:paraId="69C7D453">
            <w:pPr>
              <w:autoSpaceDE w:val="0"/>
              <w:autoSpaceDN w:val="0"/>
              <w:adjustRightInd w:val="0"/>
              <w:spacing w:line="300" w:lineRule="exact"/>
              <w:jc w:val="center"/>
              <w:rPr>
                <w:rFonts w:hint="eastAsia" w:ascii="宋体" w:hAnsi="宋体" w:cs="宋体"/>
                <w:b/>
                <w:bCs/>
                <w:color w:val="auto"/>
                <w:szCs w:val="21"/>
                <w:highlight w:val="none"/>
                <w:lang w:val="zh-CN"/>
              </w:rPr>
            </w:pPr>
            <w:r>
              <w:rPr>
                <w:rFonts w:hint="eastAsia" w:ascii="宋体" w:hAnsi="宋体" w:cs="宋体"/>
                <w:b/>
                <w:bCs/>
                <w:color w:val="auto"/>
                <w:szCs w:val="21"/>
                <w:highlight w:val="none"/>
                <w:lang w:val="zh-CN"/>
              </w:rPr>
              <w:t>合同</w:t>
            </w:r>
          </w:p>
          <w:p w14:paraId="464AA87D">
            <w:pPr>
              <w:autoSpaceDE w:val="0"/>
              <w:autoSpaceDN w:val="0"/>
              <w:adjustRightInd w:val="0"/>
              <w:spacing w:line="300" w:lineRule="exact"/>
              <w:jc w:val="center"/>
              <w:rPr>
                <w:rFonts w:hint="eastAsia" w:ascii="宋体" w:hAnsi="宋体" w:cs="宋体"/>
                <w:b/>
                <w:bCs/>
                <w:color w:val="auto"/>
                <w:szCs w:val="21"/>
                <w:highlight w:val="none"/>
                <w:lang w:val="zh-CN"/>
              </w:rPr>
            </w:pPr>
            <w:r>
              <w:rPr>
                <w:rFonts w:hint="eastAsia" w:ascii="宋体" w:hAnsi="宋体" w:cs="宋体"/>
                <w:b/>
                <w:bCs/>
                <w:color w:val="auto"/>
                <w:szCs w:val="21"/>
                <w:highlight w:val="none"/>
                <w:lang w:val="zh-CN"/>
              </w:rPr>
              <w:t>条款号</w:t>
            </w:r>
          </w:p>
        </w:tc>
        <w:tc>
          <w:tcPr>
            <w:tcW w:w="5644" w:type="dxa"/>
            <w:noWrap w:val="0"/>
            <w:vAlign w:val="center"/>
          </w:tcPr>
          <w:p w14:paraId="7817D1A7">
            <w:pPr>
              <w:autoSpaceDE w:val="0"/>
              <w:autoSpaceDN w:val="0"/>
              <w:adjustRightInd w:val="0"/>
              <w:spacing w:line="300" w:lineRule="exact"/>
              <w:jc w:val="center"/>
              <w:rPr>
                <w:rFonts w:hint="eastAsia" w:ascii="宋体" w:hAnsi="宋体" w:cs="宋体"/>
                <w:b/>
                <w:bCs/>
                <w:color w:val="auto"/>
                <w:szCs w:val="21"/>
                <w:highlight w:val="none"/>
                <w:lang w:val="zh-CN"/>
              </w:rPr>
            </w:pPr>
            <w:r>
              <w:rPr>
                <w:rFonts w:hint="eastAsia" w:ascii="宋体" w:hAnsi="宋体" w:cs="宋体"/>
                <w:b/>
                <w:bCs/>
                <w:color w:val="auto"/>
                <w:szCs w:val="21"/>
                <w:highlight w:val="none"/>
                <w:lang w:val="zh-CN"/>
              </w:rPr>
              <w:t>约定内容</w:t>
            </w:r>
          </w:p>
        </w:tc>
        <w:tc>
          <w:tcPr>
            <w:tcW w:w="901" w:type="dxa"/>
            <w:noWrap w:val="0"/>
            <w:vAlign w:val="center"/>
          </w:tcPr>
          <w:p w14:paraId="0A61DC20">
            <w:pPr>
              <w:autoSpaceDE w:val="0"/>
              <w:autoSpaceDN w:val="0"/>
              <w:adjustRightInd w:val="0"/>
              <w:spacing w:line="300" w:lineRule="exact"/>
              <w:jc w:val="center"/>
              <w:rPr>
                <w:rFonts w:hint="eastAsia" w:ascii="宋体" w:hAnsi="宋体" w:cs="宋体"/>
                <w:b/>
                <w:bCs/>
                <w:color w:val="auto"/>
                <w:szCs w:val="21"/>
                <w:highlight w:val="none"/>
                <w:lang w:val="zh-CN"/>
              </w:rPr>
            </w:pPr>
            <w:r>
              <w:rPr>
                <w:rFonts w:hint="eastAsia" w:ascii="宋体" w:hAnsi="宋体" w:cs="宋体"/>
                <w:b/>
                <w:bCs/>
                <w:color w:val="auto"/>
                <w:szCs w:val="21"/>
                <w:highlight w:val="none"/>
                <w:lang w:val="zh-CN"/>
              </w:rPr>
              <w:t>是否</w:t>
            </w:r>
          </w:p>
          <w:p w14:paraId="25B37082">
            <w:pPr>
              <w:autoSpaceDE w:val="0"/>
              <w:autoSpaceDN w:val="0"/>
              <w:adjustRightInd w:val="0"/>
              <w:spacing w:line="300" w:lineRule="exact"/>
              <w:jc w:val="center"/>
              <w:rPr>
                <w:rFonts w:hint="eastAsia" w:ascii="宋体" w:hAnsi="宋体" w:cs="宋体"/>
                <w:b/>
                <w:bCs/>
                <w:color w:val="auto"/>
                <w:szCs w:val="21"/>
                <w:highlight w:val="none"/>
                <w:lang w:val="zh-CN"/>
              </w:rPr>
            </w:pPr>
            <w:r>
              <w:rPr>
                <w:rFonts w:hint="eastAsia" w:ascii="宋体" w:hAnsi="宋体" w:cs="宋体"/>
                <w:b/>
                <w:bCs/>
                <w:color w:val="auto"/>
                <w:szCs w:val="21"/>
                <w:highlight w:val="none"/>
                <w:lang w:val="zh-CN"/>
              </w:rPr>
              <w:t>响应</w:t>
            </w:r>
          </w:p>
        </w:tc>
      </w:tr>
      <w:tr w14:paraId="56EBEFC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1" w:hRule="atLeast"/>
          <w:jc w:val="center"/>
        </w:trPr>
        <w:tc>
          <w:tcPr>
            <w:tcW w:w="649" w:type="dxa"/>
            <w:noWrap w:val="0"/>
            <w:vAlign w:val="center"/>
          </w:tcPr>
          <w:p w14:paraId="3BA19027">
            <w:pPr>
              <w:autoSpaceDE w:val="0"/>
              <w:autoSpaceDN w:val="0"/>
              <w:adjustRightInd w:val="0"/>
              <w:spacing w:line="300" w:lineRule="exact"/>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1</w:t>
            </w:r>
          </w:p>
        </w:tc>
        <w:tc>
          <w:tcPr>
            <w:tcW w:w="1787" w:type="dxa"/>
            <w:noWrap w:val="0"/>
            <w:vAlign w:val="center"/>
          </w:tcPr>
          <w:p w14:paraId="1CC28009">
            <w:pPr>
              <w:autoSpaceDE w:val="0"/>
              <w:autoSpaceDN w:val="0"/>
              <w:adjustRightInd w:val="0"/>
              <w:spacing w:line="300" w:lineRule="exact"/>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项目经理</w:t>
            </w:r>
          </w:p>
        </w:tc>
        <w:tc>
          <w:tcPr>
            <w:tcW w:w="932" w:type="dxa"/>
            <w:noWrap w:val="0"/>
            <w:vAlign w:val="center"/>
          </w:tcPr>
          <w:p w14:paraId="0892C0F4">
            <w:pPr>
              <w:autoSpaceDE w:val="0"/>
              <w:autoSpaceDN w:val="0"/>
              <w:adjustRightInd w:val="0"/>
              <w:spacing w:line="300" w:lineRule="exact"/>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1.1.2.4</w:t>
            </w:r>
          </w:p>
        </w:tc>
        <w:tc>
          <w:tcPr>
            <w:tcW w:w="5644" w:type="dxa"/>
            <w:noWrap w:val="0"/>
            <w:vAlign w:val="center"/>
          </w:tcPr>
          <w:p w14:paraId="2E156C42">
            <w:pPr>
              <w:autoSpaceDE w:val="0"/>
              <w:autoSpaceDN w:val="0"/>
              <w:adjustRightInd w:val="0"/>
              <w:spacing w:line="300" w:lineRule="exact"/>
              <w:jc w:val="left"/>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姓名：</w:t>
            </w:r>
            <w:r>
              <w:rPr>
                <w:rFonts w:hint="eastAsia" w:ascii="宋体" w:hAnsi="宋体" w:cs="宋体"/>
                <w:bCs/>
                <w:color w:val="auto"/>
                <w:szCs w:val="21"/>
                <w:highlight w:val="none"/>
                <w:u w:val="single"/>
                <w:lang w:val="zh-CN"/>
              </w:rPr>
              <w:t xml:space="preserve">       </w:t>
            </w:r>
          </w:p>
        </w:tc>
        <w:tc>
          <w:tcPr>
            <w:tcW w:w="901" w:type="dxa"/>
            <w:noWrap w:val="0"/>
            <w:vAlign w:val="center"/>
          </w:tcPr>
          <w:p w14:paraId="0ACD90A1">
            <w:pPr>
              <w:autoSpaceDE w:val="0"/>
              <w:autoSpaceDN w:val="0"/>
              <w:adjustRightInd w:val="0"/>
              <w:spacing w:line="300" w:lineRule="exact"/>
              <w:rPr>
                <w:rFonts w:hint="eastAsia" w:ascii="宋体" w:hAnsi="宋体" w:cs="宋体"/>
                <w:bCs/>
                <w:color w:val="auto"/>
                <w:szCs w:val="21"/>
                <w:highlight w:val="none"/>
                <w:lang w:val="zh-CN"/>
              </w:rPr>
            </w:pPr>
          </w:p>
        </w:tc>
      </w:tr>
      <w:tr w14:paraId="72916DB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75" w:hRule="atLeast"/>
          <w:jc w:val="center"/>
        </w:trPr>
        <w:tc>
          <w:tcPr>
            <w:tcW w:w="649" w:type="dxa"/>
            <w:noWrap w:val="0"/>
            <w:vAlign w:val="center"/>
          </w:tcPr>
          <w:p w14:paraId="560F2A83">
            <w:pPr>
              <w:autoSpaceDE w:val="0"/>
              <w:autoSpaceDN w:val="0"/>
              <w:adjustRightInd w:val="0"/>
              <w:spacing w:line="300" w:lineRule="exact"/>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2</w:t>
            </w:r>
          </w:p>
        </w:tc>
        <w:tc>
          <w:tcPr>
            <w:tcW w:w="1787" w:type="dxa"/>
            <w:noWrap w:val="0"/>
            <w:vAlign w:val="center"/>
          </w:tcPr>
          <w:p w14:paraId="06C141CD">
            <w:pPr>
              <w:autoSpaceDE w:val="0"/>
              <w:autoSpaceDN w:val="0"/>
              <w:adjustRightInd w:val="0"/>
              <w:spacing w:line="300" w:lineRule="exact"/>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工期</w:t>
            </w:r>
          </w:p>
        </w:tc>
        <w:tc>
          <w:tcPr>
            <w:tcW w:w="932" w:type="dxa"/>
            <w:noWrap w:val="0"/>
            <w:vAlign w:val="center"/>
          </w:tcPr>
          <w:p w14:paraId="582A91C2">
            <w:pPr>
              <w:autoSpaceDE w:val="0"/>
              <w:autoSpaceDN w:val="0"/>
              <w:adjustRightInd w:val="0"/>
              <w:spacing w:line="300" w:lineRule="exact"/>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1.1.4.3</w:t>
            </w:r>
          </w:p>
        </w:tc>
        <w:tc>
          <w:tcPr>
            <w:tcW w:w="5644" w:type="dxa"/>
            <w:noWrap w:val="0"/>
            <w:vAlign w:val="center"/>
          </w:tcPr>
          <w:p w14:paraId="67BC0E8C">
            <w:pPr>
              <w:autoSpaceDE w:val="0"/>
              <w:autoSpaceDN w:val="0"/>
              <w:adjustRightInd w:val="0"/>
              <w:spacing w:line="300" w:lineRule="exact"/>
              <w:rPr>
                <w:rFonts w:hint="eastAsia" w:ascii="宋体" w:hAnsi="宋体" w:cs="宋体"/>
                <w:bCs/>
                <w:color w:val="auto"/>
                <w:kern w:val="15"/>
                <w:szCs w:val="21"/>
                <w:highlight w:val="none"/>
              </w:rPr>
            </w:pPr>
          </w:p>
        </w:tc>
        <w:tc>
          <w:tcPr>
            <w:tcW w:w="901" w:type="dxa"/>
            <w:noWrap w:val="0"/>
            <w:vAlign w:val="center"/>
          </w:tcPr>
          <w:p w14:paraId="150157C5">
            <w:pPr>
              <w:autoSpaceDE w:val="0"/>
              <w:autoSpaceDN w:val="0"/>
              <w:adjustRightInd w:val="0"/>
              <w:spacing w:line="300" w:lineRule="exact"/>
              <w:rPr>
                <w:rFonts w:hint="eastAsia" w:ascii="宋体" w:hAnsi="宋体" w:cs="宋体"/>
                <w:bCs/>
                <w:color w:val="auto"/>
                <w:szCs w:val="21"/>
                <w:highlight w:val="none"/>
                <w:lang w:val="zh-CN"/>
              </w:rPr>
            </w:pPr>
          </w:p>
        </w:tc>
      </w:tr>
      <w:tr w14:paraId="74FD697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20" w:hRule="atLeast"/>
          <w:jc w:val="center"/>
        </w:trPr>
        <w:tc>
          <w:tcPr>
            <w:tcW w:w="649" w:type="dxa"/>
            <w:noWrap w:val="0"/>
            <w:vAlign w:val="center"/>
          </w:tcPr>
          <w:p w14:paraId="6320F9DB">
            <w:pPr>
              <w:autoSpaceDE w:val="0"/>
              <w:autoSpaceDN w:val="0"/>
              <w:adjustRightInd w:val="0"/>
              <w:spacing w:line="300" w:lineRule="exact"/>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3</w:t>
            </w:r>
          </w:p>
        </w:tc>
        <w:tc>
          <w:tcPr>
            <w:tcW w:w="1787" w:type="dxa"/>
            <w:noWrap w:val="0"/>
            <w:vAlign w:val="center"/>
          </w:tcPr>
          <w:p w14:paraId="0D5A2A6B">
            <w:pPr>
              <w:autoSpaceDE w:val="0"/>
              <w:autoSpaceDN w:val="0"/>
              <w:adjustRightInd w:val="0"/>
              <w:spacing w:line="300" w:lineRule="exact"/>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缺陷责任期（工程质量保修期）</w:t>
            </w:r>
          </w:p>
        </w:tc>
        <w:tc>
          <w:tcPr>
            <w:tcW w:w="932" w:type="dxa"/>
            <w:noWrap w:val="0"/>
            <w:vAlign w:val="center"/>
          </w:tcPr>
          <w:p w14:paraId="0BBA3E12">
            <w:pPr>
              <w:autoSpaceDE w:val="0"/>
              <w:autoSpaceDN w:val="0"/>
              <w:adjustRightInd w:val="0"/>
              <w:spacing w:line="300" w:lineRule="exact"/>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1.1.4.5</w:t>
            </w:r>
          </w:p>
        </w:tc>
        <w:tc>
          <w:tcPr>
            <w:tcW w:w="5644" w:type="dxa"/>
            <w:noWrap w:val="0"/>
            <w:vAlign w:val="center"/>
          </w:tcPr>
          <w:p w14:paraId="3203EFA8">
            <w:pPr>
              <w:autoSpaceDE w:val="0"/>
              <w:autoSpaceDN w:val="0"/>
              <w:adjustRightInd w:val="0"/>
              <w:spacing w:line="300" w:lineRule="exact"/>
              <w:jc w:val="left"/>
              <w:rPr>
                <w:rFonts w:hint="eastAsia" w:ascii="宋体" w:hAnsi="宋体" w:cs="宋体"/>
                <w:bCs/>
                <w:color w:val="auto"/>
                <w:szCs w:val="21"/>
                <w:highlight w:val="none"/>
                <w:lang w:val="zh-CN"/>
              </w:rPr>
            </w:pPr>
            <w:r>
              <w:rPr>
                <w:rFonts w:hint="eastAsia" w:ascii="宋体" w:hAnsi="宋体"/>
                <w:color w:val="auto"/>
                <w:szCs w:val="21"/>
                <w:highlight w:val="none"/>
              </w:rPr>
              <w:t>本工程缺陷责任期（工程质量保修期）：缺陷责任期限为12个月，缺陷责任期自</w:t>
            </w:r>
            <w:r>
              <w:rPr>
                <w:rFonts w:hint="eastAsia" w:ascii="宋体" w:hAnsi="宋体"/>
                <w:color w:val="auto"/>
                <w:szCs w:val="21"/>
                <w:highlight w:val="none"/>
                <w:lang w:eastAsia="zh-CN"/>
              </w:rPr>
              <w:t>通过工程投入使用验收</w:t>
            </w:r>
            <w:r>
              <w:rPr>
                <w:rFonts w:hint="eastAsia" w:ascii="宋体" w:hAnsi="宋体"/>
                <w:color w:val="auto"/>
                <w:szCs w:val="21"/>
                <w:highlight w:val="none"/>
              </w:rPr>
              <w:t>之日开始计算。</w:t>
            </w:r>
          </w:p>
        </w:tc>
        <w:tc>
          <w:tcPr>
            <w:tcW w:w="901" w:type="dxa"/>
            <w:noWrap w:val="0"/>
            <w:vAlign w:val="center"/>
          </w:tcPr>
          <w:p w14:paraId="7EC5E189">
            <w:pPr>
              <w:autoSpaceDE w:val="0"/>
              <w:autoSpaceDN w:val="0"/>
              <w:adjustRightInd w:val="0"/>
              <w:spacing w:line="300" w:lineRule="exact"/>
              <w:rPr>
                <w:rFonts w:hint="eastAsia" w:ascii="宋体" w:hAnsi="宋体" w:cs="宋体"/>
                <w:bCs/>
                <w:color w:val="auto"/>
                <w:szCs w:val="21"/>
                <w:highlight w:val="none"/>
                <w:lang w:val="zh-CN"/>
              </w:rPr>
            </w:pPr>
          </w:p>
        </w:tc>
      </w:tr>
      <w:tr w14:paraId="578C67D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06" w:hRule="atLeast"/>
          <w:jc w:val="center"/>
        </w:trPr>
        <w:tc>
          <w:tcPr>
            <w:tcW w:w="649" w:type="dxa"/>
            <w:noWrap w:val="0"/>
            <w:vAlign w:val="center"/>
          </w:tcPr>
          <w:p w14:paraId="2B348329">
            <w:pPr>
              <w:autoSpaceDE w:val="0"/>
              <w:autoSpaceDN w:val="0"/>
              <w:adjustRightInd w:val="0"/>
              <w:spacing w:line="300" w:lineRule="exact"/>
              <w:jc w:val="left"/>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4</w:t>
            </w:r>
          </w:p>
        </w:tc>
        <w:tc>
          <w:tcPr>
            <w:tcW w:w="1787" w:type="dxa"/>
            <w:noWrap w:val="0"/>
            <w:vAlign w:val="center"/>
          </w:tcPr>
          <w:p w14:paraId="67592761">
            <w:pPr>
              <w:autoSpaceDE w:val="0"/>
              <w:autoSpaceDN w:val="0"/>
              <w:adjustRightInd w:val="0"/>
              <w:spacing w:line="300" w:lineRule="exact"/>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Cs w:val="21"/>
                <w:highlight w:val="none"/>
                <w:lang w:val="zh-CN"/>
              </w:rPr>
              <w:t>履约担保</w:t>
            </w:r>
          </w:p>
        </w:tc>
        <w:tc>
          <w:tcPr>
            <w:tcW w:w="932" w:type="dxa"/>
            <w:noWrap w:val="0"/>
            <w:vAlign w:val="center"/>
          </w:tcPr>
          <w:p w14:paraId="633E4978">
            <w:pPr>
              <w:autoSpaceDE w:val="0"/>
              <w:autoSpaceDN w:val="0"/>
              <w:adjustRightInd w:val="0"/>
              <w:spacing w:line="300" w:lineRule="exact"/>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Cs w:val="21"/>
                <w:highlight w:val="none"/>
                <w:lang w:val="zh-CN"/>
              </w:rPr>
              <w:t>4.2</w:t>
            </w:r>
          </w:p>
        </w:tc>
        <w:tc>
          <w:tcPr>
            <w:tcW w:w="5644" w:type="dxa"/>
            <w:noWrap w:val="0"/>
            <w:vAlign w:val="center"/>
          </w:tcPr>
          <w:p w14:paraId="7FAE514E">
            <w:pPr>
              <w:autoSpaceDE w:val="0"/>
              <w:autoSpaceDN w:val="0"/>
              <w:adjustRightInd w:val="0"/>
              <w:spacing w:line="300" w:lineRule="exact"/>
              <w:jc w:val="left"/>
              <w:rPr>
                <w:rFonts w:hint="eastAsia" w:ascii="宋体" w:hAnsi="宋体" w:eastAsia="宋体" w:cs="宋体"/>
                <w:bCs/>
                <w:color w:val="auto"/>
                <w:kern w:val="2"/>
                <w:sz w:val="21"/>
                <w:szCs w:val="21"/>
                <w:highlight w:val="none"/>
                <w:lang w:val="en-US" w:eastAsia="zh-CN" w:bidi="ar-SA"/>
              </w:rPr>
            </w:pPr>
            <w:r>
              <w:rPr>
                <w:rFonts w:hint="eastAsia" w:ascii="宋体" w:hAnsi="宋体" w:cs="宋体"/>
                <w:bCs/>
                <w:color w:val="auto"/>
                <w:szCs w:val="21"/>
                <w:highlight w:val="none"/>
                <w:lang w:val="en-US" w:eastAsia="zh-CN"/>
              </w:rPr>
              <w:t>/</w:t>
            </w:r>
          </w:p>
        </w:tc>
        <w:tc>
          <w:tcPr>
            <w:tcW w:w="901" w:type="dxa"/>
            <w:noWrap w:val="0"/>
            <w:vAlign w:val="center"/>
          </w:tcPr>
          <w:p w14:paraId="4E979B95">
            <w:pPr>
              <w:autoSpaceDE w:val="0"/>
              <w:autoSpaceDN w:val="0"/>
              <w:adjustRightInd w:val="0"/>
              <w:spacing w:line="300" w:lineRule="exact"/>
              <w:jc w:val="left"/>
              <w:rPr>
                <w:rFonts w:hint="eastAsia" w:ascii="宋体" w:hAnsi="宋体" w:eastAsia="宋体" w:cs="宋体"/>
                <w:bCs/>
                <w:color w:val="auto"/>
                <w:szCs w:val="21"/>
                <w:highlight w:val="none"/>
                <w:lang w:val="zh-CN"/>
              </w:rPr>
            </w:pPr>
          </w:p>
        </w:tc>
      </w:tr>
      <w:tr w14:paraId="3C93712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3" w:hRule="atLeast"/>
          <w:jc w:val="center"/>
        </w:trPr>
        <w:tc>
          <w:tcPr>
            <w:tcW w:w="649" w:type="dxa"/>
            <w:noWrap w:val="0"/>
            <w:vAlign w:val="center"/>
          </w:tcPr>
          <w:p w14:paraId="19F3657C">
            <w:pPr>
              <w:autoSpaceDE w:val="0"/>
              <w:autoSpaceDN w:val="0"/>
              <w:adjustRightInd w:val="0"/>
              <w:spacing w:line="300" w:lineRule="exact"/>
              <w:jc w:val="left"/>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5</w:t>
            </w:r>
          </w:p>
        </w:tc>
        <w:tc>
          <w:tcPr>
            <w:tcW w:w="1787" w:type="dxa"/>
            <w:noWrap w:val="0"/>
            <w:vAlign w:val="center"/>
          </w:tcPr>
          <w:p w14:paraId="6D981D4E">
            <w:pPr>
              <w:autoSpaceDE w:val="0"/>
              <w:autoSpaceDN w:val="0"/>
              <w:adjustRightInd w:val="0"/>
              <w:spacing w:line="300" w:lineRule="exact"/>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Cs w:val="21"/>
                <w:highlight w:val="none"/>
                <w:lang w:val="zh-CN"/>
              </w:rPr>
              <w:t>分包</w:t>
            </w:r>
          </w:p>
        </w:tc>
        <w:tc>
          <w:tcPr>
            <w:tcW w:w="932" w:type="dxa"/>
            <w:noWrap w:val="0"/>
            <w:vAlign w:val="center"/>
          </w:tcPr>
          <w:p w14:paraId="66FCF93B">
            <w:pPr>
              <w:autoSpaceDE w:val="0"/>
              <w:autoSpaceDN w:val="0"/>
              <w:adjustRightInd w:val="0"/>
              <w:spacing w:line="300" w:lineRule="exact"/>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Cs w:val="21"/>
                <w:highlight w:val="none"/>
                <w:lang w:val="zh-CN"/>
              </w:rPr>
              <w:t>4.3</w:t>
            </w:r>
          </w:p>
        </w:tc>
        <w:tc>
          <w:tcPr>
            <w:tcW w:w="5644" w:type="dxa"/>
            <w:noWrap w:val="0"/>
            <w:vAlign w:val="center"/>
          </w:tcPr>
          <w:p w14:paraId="761BEC74">
            <w:pPr>
              <w:autoSpaceDE w:val="0"/>
              <w:autoSpaceDN w:val="0"/>
              <w:adjustRightInd w:val="0"/>
              <w:spacing w:line="300" w:lineRule="exact"/>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Cs w:val="21"/>
                <w:highlight w:val="none"/>
              </w:rPr>
              <w:t>本工程不</w:t>
            </w:r>
            <w:r>
              <w:rPr>
                <w:rFonts w:hint="eastAsia" w:ascii="宋体" w:hAnsi="宋体" w:eastAsia="宋体" w:cs="宋体"/>
                <w:bCs/>
                <w:color w:val="auto"/>
                <w:szCs w:val="21"/>
                <w:highlight w:val="none"/>
                <w:lang w:val="zh-CN"/>
              </w:rPr>
              <w:t>允许分包。</w:t>
            </w:r>
          </w:p>
        </w:tc>
        <w:tc>
          <w:tcPr>
            <w:tcW w:w="901" w:type="dxa"/>
            <w:noWrap w:val="0"/>
            <w:vAlign w:val="center"/>
          </w:tcPr>
          <w:p w14:paraId="212D3286">
            <w:pPr>
              <w:autoSpaceDE w:val="0"/>
              <w:autoSpaceDN w:val="0"/>
              <w:adjustRightInd w:val="0"/>
              <w:spacing w:line="300" w:lineRule="exact"/>
              <w:jc w:val="left"/>
              <w:rPr>
                <w:rFonts w:hint="eastAsia" w:ascii="宋体" w:hAnsi="宋体" w:eastAsia="宋体" w:cs="宋体"/>
                <w:bCs/>
                <w:color w:val="auto"/>
                <w:szCs w:val="21"/>
                <w:highlight w:val="none"/>
                <w:lang w:val="zh-CN"/>
              </w:rPr>
            </w:pPr>
          </w:p>
        </w:tc>
      </w:tr>
      <w:tr w14:paraId="34EC4CE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35" w:hRule="atLeast"/>
          <w:jc w:val="center"/>
        </w:trPr>
        <w:tc>
          <w:tcPr>
            <w:tcW w:w="649" w:type="dxa"/>
            <w:noWrap w:val="0"/>
            <w:vAlign w:val="center"/>
          </w:tcPr>
          <w:p w14:paraId="24A67530">
            <w:pPr>
              <w:autoSpaceDE w:val="0"/>
              <w:autoSpaceDN w:val="0"/>
              <w:adjustRightInd w:val="0"/>
              <w:spacing w:line="300" w:lineRule="exact"/>
              <w:jc w:val="left"/>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6</w:t>
            </w:r>
          </w:p>
        </w:tc>
        <w:tc>
          <w:tcPr>
            <w:tcW w:w="1787" w:type="dxa"/>
            <w:noWrap w:val="0"/>
            <w:vAlign w:val="center"/>
          </w:tcPr>
          <w:p w14:paraId="68A4F708">
            <w:pPr>
              <w:autoSpaceDE w:val="0"/>
              <w:autoSpaceDN w:val="0"/>
              <w:adjustRightInd w:val="0"/>
              <w:spacing w:line="300" w:lineRule="exact"/>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Cs w:val="21"/>
                <w:highlight w:val="none"/>
                <w:lang w:val="zh-CN"/>
              </w:rPr>
              <w:t>误期违约金额</w:t>
            </w:r>
          </w:p>
        </w:tc>
        <w:tc>
          <w:tcPr>
            <w:tcW w:w="932" w:type="dxa"/>
            <w:noWrap w:val="0"/>
            <w:vAlign w:val="center"/>
          </w:tcPr>
          <w:p w14:paraId="61EC47B7">
            <w:pPr>
              <w:autoSpaceDE w:val="0"/>
              <w:autoSpaceDN w:val="0"/>
              <w:adjustRightInd w:val="0"/>
              <w:spacing w:line="300" w:lineRule="exact"/>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Cs w:val="21"/>
                <w:highlight w:val="none"/>
                <w:lang w:val="zh-CN"/>
              </w:rPr>
              <w:t>11.5</w:t>
            </w:r>
          </w:p>
        </w:tc>
        <w:tc>
          <w:tcPr>
            <w:tcW w:w="5644" w:type="dxa"/>
            <w:noWrap w:val="0"/>
            <w:vAlign w:val="center"/>
          </w:tcPr>
          <w:p w14:paraId="1D27E935">
            <w:pPr>
              <w:autoSpaceDE w:val="0"/>
              <w:autoSpaceDN w:val="0"/>
              <w:adjustRightInd w:val="0"/>
              <w:spacing w:line="300" w:lineRule="exact"/>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Cs w:val="21"/>
                <w:highlight w:val="none"/>
              </w:rPr>
              <w:t>由于承包人原因造成工期延误，承包人应按</w:t>
            </w:r>
            <w:r>
              <w:rPr>
                <w:rFonts w:hint="eastAsia" w:ascii="宋体" w:hAnsi="宋体" w:eastAsia="宋体" w:cs="宋体"/>
                <w:bCs/>
                <w:color w:val="auto"/>
                <w:szCs w:val="21"/>
                <w:highlight w:val="none"/>
                <w:lang w:val="en-US" w:eastAsia="zh-CN"/>
              </w:rPr>
              <w:t>1</w:t>
            </w:r>
            <w:r>
              <w:rPr>
                <w:rFonts w:hint="eastAsia" w:ascii="宋体" w:hAnsi="宋体" w:eastAsia="宋体" w:cs="宋体"/>
                <w:bCs/>
                <w:color w:val="auto"/>
                <w:szCs w:val="21"/>
                <w:highlight w:val="none"/>
              </w:rPr>
              <w:t>000元/日支付逾期竣工违约金。承包人支付逾期竣工违约金，不免除承包人完成工程及修补缺陷的义务。</w:t>
            </w:r>
          </w:p>
        </w:tc>
        <w:tc>
          <w:tcPr>
            <w:tcW w:w="901" w:type="dxa"/>
            <w:noWrap w:val="0"/>
            <w:vAlign w:val="center"/>
          </w:tcPr>
          <w:p w14:paraId="6638E9F7">
            <w:pPr>
              <w:autoSpaceDE w:val="0"/>
              <w:autoSpaceDN w:val="0"/>
              <w:adjustRightInd w:val="0"/>
              <w:spacing w:line="300" w:lineRule="exact"/>
              <w:jc w:val="left"/>
              <w:rPr>
                <w:rFonts w:hint="eastAsia" w:ascii="宋体" w:hAnsi="宋体" w:eastAsia="宋体" w:cs="宋体"/>
                <w:bCs/>
                <w:color w:val="auto"/>
                <w:szCs w:val="21"/>
                <w:highlight w:val="none"/>
                <w:lang w:val="zh-CN"/>
              </w:rPr>
            </w:pPr>
          </w:p>
        </w:tc>
      </w:tr>
      <w:tr w14:paraId="67D7D06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84" w:hRule="atLeast"/>
          <w:jc w:val="center"/>
        </w:trPr>
        <w:tc>
          <w:tcPr>
            <w:tcW w:w="649" w:type="dxa"/>
            <w:noWrap w:val="0"/>
            <w:vAlign w:val="center"/>
          </w:tcPr>
          <w:p w14:paraId="6933A218">
            <w:pPr>
              <w:autoSpaceDE w:val="0"/>
              <w:autoSpaceDN w:val="0"/>
              <w:adjustRightInd w:val="0"/>
              <w:spacing w:line="300" w:lineRule="exact"/>
              <w:jc w:val="left"/>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7</w:t>
            </w:r>
          </w:p>
        </w:tc>
        <w:tc>
          <w:tcPr>
            <w:tcW w:w="1787" w:type="dxa"/>
            <w:noWrap w:val="0"/>
            <w:vAlign w:val="center"/>
          </w:tcPr>
          <w:p w14:paraId="4D9499FB">
            <w:pPr>
              <w:autoSpaceDE w:val="0"/>
              <w:autoSpaceDN w:val="0"/>
              <w:adjustRightInd w:val="0"/>
              <w:spacing w:line="300" w:lineRule="exact"/>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Cs w:val="21"/>
                <w:highlight w:val="none"/>
                <w:lang w:val="zh-CN"/>
              </w:rPr>
              <w:t>工期提前</w:t>
            </w:r>
          </w:p>
        </w:tc>
        <w:tc>
          <w:tcPr>
            <w:tcW w:w="932" w:type="dxa"/>
            <w:noWrap w:val="0"/>
            <w:vAlign w:val="center"/>
          </w:tcPr>
          <w:p w14:paraId="77C3617F">
            <w:pPr>
              <w:autoSpaceDE w:val="0"/>
              <w:autoSpaceDN w:val="0"/>
              <w:adjustRightInd w:val="0"/>
              <w:spacing w:line="300" w:lineRule="exact"/>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Cs w:val="21"/>
                <w:highlight w:val="none"/>
                <w:lang w:val="zh-CN"/>
              </w:rPr>
              <w:t>11.6</w:t>
            </w:r>
          </w:p>
        </w:tc>
        <w:tc>
          <w:tcPr>
            <w:tcW w:w="5644" w:type="dxa"/>
            <w:noWrap w:val="0"/>
            <w:vAlign w:val="center"/>
          </w:tcPr>
          <w:p w14:paraId="3B10C74E">
            <w:pPr>
              <w:autoSpaceDE w:val="0"/>
              <w:autoSpaceDN w:val="0"/>
              <w:adjustRightInd w:val="0"/>
              <w:spacing w:line="300" w:lineRule="exact"/>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Cs w:val="21"/>
                <w:highlight w:val="none"/>
              </w:rPr>
              <w:t>承包人提前竣工，不奖励。</w:t>
            </w:r>
          </w:p>
        </w:tc>
        <w:tc>
          <w:tcPr>
            <w:tcW w:w="901" w:type="dxa"/>
            <w:noWrap w:val="0"/>
            <w:vAlign w:val="center"/>
          </w:tcPr>
          <w:p w14:paraId="44ACAC20">
            <w:pPr>
              <w:autoSpaceDE w:val="0"/>
              <w:autoSpaceDN w:val="0"/>
              <w:adjustRightInd w:val="0"/>
              <w:spacing w:line="300" w:lineRule="exact"/>
              <w:jc w:val="left"/>
              <w:rPr>
                <w:rFonts w:hint="eastAsia" w:ascii="宋体" w:hAnsi="宋体" w:eastAsia="宋体" w:cs="宋体"/>
                <w:bCs/>
                <w:color w:val="auto"/>
                <w:szCs w:val="21"/>
                <w:highlight w:val="none"/>
                <w:lang w:val="zh-CN"/>
              </w:rPr>
            </w:pPr>
          </w:p>
        </w:tc>
      </w:tr>
      <w:tr w14:paraId="3DB89D5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60" w:hRule="atLeast"/>
          <w:jc w:val="center"/>
        </w:trPr>
        <w:tc>
          <w:tcPr>
            <w:tcW w:w="649" w:type="dxa"/>
            <w:noWrap w:val="0"/>
            <w:vAlign w:val="center"/>
          </w:tcPr>
          <w:p w14:paraId="4F40CD8C">
            <w:pPr>
              <w:autoSpaceDE w:val="0"/>
              <w:autoSpaceDN w:val="0"/>
              <w:adjustRightInd w:val="0"/>
              <w:spacing w:line="300" w:lineRule="exact"/>
              <w:jc w:val="left"/>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8</w:t>
            </w:r>
          </w:p>
        </w:tc>
        <w:tc>
          <w:tcPr>
            <w:tcW w:w="1787" w:type="dxa"/>
            <w:noWrap w:val="0"/>
            <w:vAlign w:val="center"/>
          </w:tcPr>
          <w:p w14:paraId="558B59A4">
            <w:pPr>
              <w:autoSpaceDE w:val="0"/>
              <w:autoSpaceDN w:val="0"/>
              <w:adjustRightInd w:val="0"/>
              <w:spacing w:line="300" w:lineRule="exact"/>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Cs w:val="21"/>
                <w:highlight w:val="none"/>
                <w:lang w:val="zh-CN"/>
              </w:rPr>
              <w:t>质量标准</w:t>
            </w:r>
          </w:p>
        </w:tc>
        <w:tc>
          <w:tcPr>
            <w:tcW w:w="932" w:type="dxa"/>
            <w:noWrap w:val="0"/>
            <w:vAlign w:val="center"/>
          </w:tcPr>
          <w:p w14:paraId="3B897893">
            <w:pPr>
              <w:autoSpaceDE w:val="0"/>
              <w:autoSpaceDN w:val="0"/>
              <w:adjustRightInd w:val="0"/>
              <w:spacing w:line="300" w:lineRule="exact"/>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Cs w:val="21"/>
                <w:highlight w:val="none"/>
                <w:lang w:val="zh-CN"/>
              </w:rPr>
              <w:t>13.1.1</w:t>
            </w:r>
          </w:p>
        </w:tc>
        <w:tc>
          <w:tcPr>
            <w:tcW w:w="5644" w:type="dxa"/>
            <w:noWrap w:val="0"/>
            <w:vAlign w:val="center"/>
          </w:tcPr>
          <w:p w14:paraId="70F8067B">
            <w:pPr>
              <w:autoSpaceDE w:val="0"/>
              <w:autoSpaceDN w:val="0"/>
              <w:adjustRightInd w:val="0"/>
              <w:spacing w:line="300" w:lineRule="exact"/>
              <w:jc w:val="left"/>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szCs w:val="21"/>
                <w:highlight w:val="none"/>
                <w:lang w:eastAsia="zh-CN"/>
              </w:rPr>
              <w:t>符合《水利水电工程施工质量检验与评定规程》（SLl76-2007）及《水利水电建设工程验收规程》（SL223-2008）标准的合格工程及国家相关法律规定；</w:t>
            </w:r>
          </w:p>
        </w:tc>
        <w:tc>
          <w:tcPr>
            <w:tcW w:w="901" w:type="dxa"/>
            <w:noWrap w:val="0"/>
            <w:vAlign w:val="center"/>
          </w:tcPr>
          <w:p w14:paraId="3F96023B">
            <w:pPr>
              <w:autoSpaceDE w:val="0"/>
              <w:autoSpaceDN w:val="0"/>
              <w:adjustRightInd w:val="0"/>
              <w:spacing w:line="300" w:lineRule="exact"/>
              <w:jc w:val="left"/>
              <w:rPr>
                <w:rFonts w:hint="eastAsia" w:ascii="宋体" w:hAnsi="宋体" w:eastAsia="宋体" w:cs="宋体"/>
                <w:bCs/>
                <w:color w:val="auto"/>
                <w:szCs w:val="21"/>
                <w:highlight w:val="none"/>
                <w:lang w:val="zh-CN"/>
              </w:rPr>
            </w:pPr>
          </w:p>
        </w:tc>
      </w:tr>
      <w:tr w14:paraId="1B5CCD9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1" w:hRule="atLeast"/>
          <w:jc w:val="center"/>
        </w:trPr>
        <w:tc>
          <w:tcPr>
            <w:tcW w:w="649" w:type="dxa"/>
            <w:shd w:val="clear" w:color="auto" w:fill="auto"/>
            <w:noWrap w:val="0"/>
            <w:vAlign w:val="center"/>
          </w:tcPr>
          <w:p w14:paraId="7E052493">
            <w:pPr>
              <w:autoSpaceDE w:val="0"/>
              <w:autoSpaceDN w:val="0"/>
              <w:adjustRightInd w:val="0"/>
              <w:spacing w:line="300" w:lineRule="exact"/>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Cs w:val="21"/>
                <w:highlight w:val="none"/>
                <w:lang w:val="zh-CN"/>
              </w:rPr>
              <w:t>9</w:t>
            </w:r>
          </w:p>
        </w:tc>
        <w:tc>
          <w:tcPr>
            <w:tcW w:w="1787" w:type="dxa"/>
            <w:shd w:val="clear" w:color="auto" w:fill="auto"/>
            <w:noWrap w:val="0"/>
            <w:vAlign w:val="center"/>
          </w:tcPr>
          <w:p w14:paraId="242370CB">
            <w:pPr>
              <w:autoSpaceDE w:val="0"/>
              <w:autoSpaceDN w:val="0"/>
              <w:adjustRightInd w:val="0"/>
              <w:spacing w:line="300" w:lineRule="exact"/>
              <w:jc w:val="left"/>
              <w:rPr>
                <w:rFonts w:hint="eastAsia" w:ascii="宋体" w:hAnsi="宋体" w:eastAsia="宋体" w:cs="宋体"/>
                <w:bCs/>
                <w:color w:val="auto"/>
                <w:szCs w:val="21"/>
                <w:highlight w:val="none"/>
                <w:lang w:val="zh-CN" w:eastAsia="zh-CN"/>
              </w:rPr>
            </w:pPr>
            <w:r>
              <w:rPr>
                <w:rFonts w:hint="eastAsia" w:ascii="宋体" w:hAnsi="宋体" w:eastAsia="宋体" w:cs="宋体"/>
                <w:bCs/>
                <w:color w:val="auto"/>
                <w:szCs w:val="21"/>
                <w:highlight w:val="none"/>
                <w:lang w:eastAsia="zh-CN"/>
              </w:rPr>
              <w:t>安全要求</w:t>
            </w:r>
          </w:p>
        </w:tc>
        <w:tc>
          <w:tcPr>
            <w:tcW w:w="932" w:type="dxa"/>
            <w:shd w:val="clear" w:color="auto" w:fill="auto"/>
            <w:noWrap w:val="0"/>
            <w:vAlign w:val="center"/>
          </w:tcPr>
          <w:p w14:paraId="3B87CD40">
            <w:pPr>
              <w:autoSpaceDE w:val="0"/>
              <w:autoSpaceDN w:val="0"/>
              <w:adjustRightInd w:val="0"/>
              <w:spacing w:line="300" w:lineRule="exact"/>
              <w:jc w:val="left"/>
              <w:rPr>
                <w:rFonts w:hint="eastAsia" w:ascii="宋体" w:hAnsi="宋体" w:eastAsia="宋体" w:cs="宋体"/>
                <w:bCs/>
                <w:color w:val="auto"/>
                <w:szCs w:val="21"/>
                <w:highlight w:val="none"/>
                <w:lang w:val="zh-CN" w:eastAsia="zh-CN"/>
              </w:rPr>
            </w:pPr>
          </w:p>
        </w:tc>
        <w:tc>
          <w:tcPr>
            <w:tcW w:w="5644" w:type="dxa"/>
            <w:noWrap w:val="0"/>
            <w:vAlign w:val="center"/>
          </w:tcPr>
          <w:p w14:paraId="2D8DAD39">
            <w:pPr>
              <w:autoSpaceDE w:val="0"/>
              <w:autoSpaceDN w:val="0"/>
              <w:adjustRightInd w:val="0"/>
              <w:spacing w:line="300" w:lineRule="exact"/>
              <w:jc w:val="left"/>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符合现行水利行业施工安全相关标准</w:t>
            </w:r>
          </w:p>
        </w:tc>
        <w:tc>
          <w:tcPr>
            <w:tcW w:w="901" w:type="dxa"/>
            <w:noWrap w:val="0"/>
            <w:vAlign w:val="center"/>
          </w:tcPr>
          <w:p w14:paraId="7C7F2A6C">
            <w:pPr>
              <w:autoSpaceDE w:val="0"/>
              <w:autoSpaceDN w:val="0"/>
              <w:adjustRightInd w:val="0"/>
              <w:spacing w:line="300" w:lineRule="exact"/>
              <w:jc w:val="left"/>
              <w:rPr>
                <w:rFonts w:hint="eastAsia" w:ascii="宋体" w:hAnsi="宋体" w:eastAsia="宋体" w:cs="宋体"/>
                <w:bCs/>
                <w:color w:val="auto"/>
                <w:szCs w:val="21"/>
                <w:highlight w:val="none"/>
                <w:lang w:val="zh-CN"/>
              </w:rPr>
            </w:pPr>
          </w:p>
        </w:tc>
      </w:tr>
      <w:tr w14:paraId="11520DB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99" w:hRule="atLeast"/>
          <w:jc w:val="center"/>
        </w:trPr>
        <w:tc>
          <w:tcPr>
            <w:tcW w:w="649" w:type="dxa"/>
            <w:shd w:val="clear" w:color="auto" w:fill="auto"/>
            <w:noWrap w:val="0"/>
            <w:vAlign w:val="center"/>
          </w:tcPr>
          <w:p w14:paraId="59F979FC">
            <w:pPr>
              <w:autoSpaceDE w:val="0"/>
              <w:autoSpaceDN w:val="0"/>
              <w:adjustRightInd w:val="0"/>
              <w:spacing w:line="300" w:lineRule="exact"/>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Cs w:val="21"/>
                <w:highlight w:val="none"/>
                <w:lang w:val="en-US" w:eastAsia="zh-CN"/>
              </w:rPr>
              <w:t>10</w:t>
            </w:r>
          </w:p>
        </w:tc>
        <w:tc>
          <w:tcPr>
            <w:tcW w:w="1787" w:type="dxa"/>
            <w:noWrap w:val="0"/>
            <w:vAlign w:val="center"/>
          </w:tcPr>
          <w:p w14:paraId="44490290">
            <w:pPr>
              <w:autoSpaceDE w:val="0"/>
              <w:autoSpaceDN w:val="0"/>
              <w:adjustRightInd w:val="0"/>
              <w:spacing w:line="300" w:lineRule="exact"/>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Cs w:val="21"/>
                <w:highlight w:val="none"/>
                <w:lang w:val="zh-CN"/>
              </w:rPr>
              <w:t>价格调整</w:t>
            </w:r>
          </w:p>
        </w:tc>
        <w:tc>
          <w:tcPr>
            <w:tcW w:w="932" w:type="dxa"/>
            <w:noWrap w:val="0"/>
            <w:vAlign w:val="center"/>
          </w:tcPr>
          <w:p w14:paraId="3CA7896F">
            <w:pPr>
              <w:autoSpaceDE w:val="0"/>
              <w:autoSpaceDN w:val="0"/>
              <w:adjustRightInd w:val="0"/>
              <w:spacing w:line="300" w:lineRule="exact"/>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Cs w:val="21"/>
                <w:highlight w:val="none"/>
                <w:lang w:val="zh-CN"/>
              </w:rPr>
              <w:t>16.1</w:t>
            </w:r>
          </w:p>
        </w:tc>
        <w:tc>
          <w:tcPr>
            <w:tcW w:w="5644" w:type="dxa"/>
            <w:noWrap w:val="0"/>
            <w:vAlign w:val="center"/>
          </w:tcPr>
          <w:p w14:paraId="56A4B629">
            <w:pPr>
              <w:autoSpaceDE w:val="0"/>
              <w:autoSpaceDN w:val="0"/>
              <w:adjustRightInd w:val="0"/>
              <w:spacing w:line="300" w:lineRule="exact"/>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Cs w:val="21"/>
                <w:highlight w:val="none"/>
                <w:lang w:val="zh-CN"/>
              </w:rPr>
              <w:t>本合同采用固定</w:t>
            </w:r>
            <w:r>
              <w:rPr>
                <w:rFonts w:hint="eastAsia" w:ascii="宋体" w:hAnsi="宋体" w:cs="宋体"/>
                <w:bCs/>
                <w:color w:val="auto"/>
                <w:szCs w:val="21"/>
                <w:highlight w:val="none"/>
                <w:lang w:val="en-US" w:eastAsia="zh-CN"/>
              </w:rPr>
              <w:t>总</w:t>
            </w:r>
            <w:r>
              <w:rPr>
                <w:rFonts w:hint="eastAsia" w:ascii="宋体" w:hAnsi="宋体" w:eastAsia="宋体" w:cs="宋体"/>
                <w:bCs/>
                <w:color w:val="auto"/>
                <w:szCs w:val="21"/>
                <w:highlight w:val="none"/>
                <w:lang w:val="zh-CN"/>
              </w:rPr>
              <w:t>价合同，不因物价波动引起的价格调整。</w:t>
            </w:r>
          </w:p>
        </w:tc>
        <w:tc>
          <w:tcPr>
            <w:tcW w:w="901" w:type="dxa"/>
            <w:noWrap w:val="0"/>
            <w:vAlign w:val="center"/>
          </w:tcPr>
          <w:p w14:paraId="6784644B">
            <w:pPr>
              <w:autoSpaceDE w:val="0"/>
              <w:autoSpaceDN w:val="0"/>
              <w:adjustRightInd w:val="0"/>
              <w:spacing w:line="300" w:lineRule="exact"/>
              <w:jc w:val="left"/>
              <w:rPr>
                <w:rFonts w:hint="eastAsia" w:ascii="宋体" w:hAnsi="宋体" w:eastAsia="宋体" w:cs="宋体"/>
                <w:bCs/>
                <w:color w:val="auto"/>
                <w:szCs w:val="21"/>
                <w:highlight w:val="none"/>
                <w:lang w:val="zh-CN"/>
              </w:rPr>
            </w:pPr>
          </w:p>
        </w:tc>
      </w:tr>
      <w:tr w14:paraId="6EDC3E0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7" w:hRule="atLeast"/>
          <w:jc w:val="center"/>
        </w:trPr>
        <w:tc>
          <w:tcPr>
            <w:tcW w:w="649" w:type="dxa"/>
            <w:shd w:val="clear" w:color="auto" w:fill="auto"/>
            <w:noWrap w:val="0"/>
            <w:vAlign w:val="center"/>
          </w:tcPr>
          <w:p w14:paraId="69C9A45B">
            <w:pPr>
              <w:autoSpaceDE w:val="0"/>
              <w:autoSpaceDN w:val="0"/>
              <w:adjustRightInd w:val="0"/>
              <w:spacing w:line="300" w:lineRule="exact"/>
              <w:jc w:val="left"/>
              <w:rPr>
                <w:rFonts w:hint="default"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szCs w:val="21"/>
                <w:highlight w:val="none"/>
                <w:lang w:val="en-US" w:eastAsia="zh-CN"/>
              </w:rPr>
              <w:t>11</w:t>
            </w:r>
          </w:p>
        </w:tc>
        <w:tc>
          <w:tcPr>
            <w:tcW w:w="1787" w:type="dxa"/>
            <w:noWrap w:val="0"/>
            <w:vAlign w:val="center"/>
          </w:tcPr>
          <w:p w14:paraId="217C33F5">
            <w:pPr>
              <w:autoSpaceDE w:val="0"/>
              <w:autoSpaceDN w:val="0"/>
              <w:adjustRightInd w:val="0"/>
              <w:spacing w:line="300" w:lineRule="exact"/>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Cs w:val="21"/>
                <w:highlight w:val="none"/>
                <w:lang w:val="zh-CN"/>
              </w:rPr>
              <w:t>质量保留金</w:t>
            </w:r>
          </w:p>
        </w:tc>
        <w:tc>
          <w:tcPr>
            <w:tcW w:w="932" w:type="dxa"/>
            <w:noWrap w:val="0"/>
            <w:vAlign w:val="center"/>
          </w:tcPr>
          <w:p w14:paraId="1E73DEA9">
            <w:pPr>
              <w:autoSpaceDE w:val="0"/>
              <w:autoSpaceDN w:val="0"/>
              <w:adjustRightInd w:val="0"/>
              <w:spacing w:line="300" w:lineRule="exact"/>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Cs w:val="21"/>
                <w:highlight w:val="none"/>
                <w:lang w:val="zh-CN"/>
              </w:rPr>
              <w:t>17.4.1</w:t>
            </w:r>
          </w:p>
        </w:tc>
        <w:tc>
          <w:tcPr>
            <w:tcW w:w="5644" w:type="dxa"/>
            <w:noWrap w:val="0"/>
            <w:vAlign w:val="center"/>
          </w:tcPr>
          <w:p w14:paraId="6F4CBABA">
            <w:pPr>
              <w:autoSpaceDE w:val="0"/>
              <w:autoSpaceDN w:val="0"/>
              <w:adjustRightInd w:val="0"/>
              <w:spacing w:line="300" w:lineRule="exact"/>
              <w:jc w:val="left"/>
              <w:rPr>
                <w:rFonts w:hint="eastAsia" w:ascii="宋体" w:hAnsi="宋体" w:eastAsia="宋体" w:cs="宋体"/>
                <w:bCs/>
                <w:color w:val="auto"/>
                <w:kern w:val="2"/>
                <w:sz w:val="21"/>
                <w:szCs w:val="21"/>
                <w:highlight w:val="none"/>
                <w:lang w:val="en-US" w:eastAsia="zh-CN" w:bidi="ar-SA"/>
              </w:rPr>
            </w:pPr>
            <w:r>
              <w:rPr>
                <w:rFonts w:hint="eastAsia" w:ascii="宋体" w:hAnsi="宋体"/>
                <w:color w:val="auto"/>
                <w:szCs w:val="21"/>
                <w:highlight w:val="none"/>
                <w:lang w:val="en-US" w:eastAsia="zh-CN"/>
              </w:rPr>
              <w:t>/</w:t>
            </w:r>
          </w:p>
        </w:tc>
        <w:tc>
          <w:tcPr>
            <w:tcW w:w="901" w:type="dxa"/>
            <w:noWrap w:val="0"/>
            <w:vAlign w:val="center"/>
          </w:tcPr>
          <w:p w14:paraId="38629578">
            <w:pPr>
              <w:autoSpaceDE w:val="0"/>
              <w:autoSpaceDN w:val="0"/>
              <w:adjustRightInd w:val="0"/>
              <w:spacing w:line="300" w:lineRule="exact"/>
              <w:jc w:val="left"/>
              <w:rPr>
                <w:rFonts w:hint="eastAsia" w:ascii="宋体" w:hAnsi="宋体" w:eastAsia="宋体" w:cs="宋体"/>
                <w:bCs/>
                <w:color w:val="auto"/>
                <w:szCs w:val="21"/>
                <w:highlight w:val="none"/>
                <w:lang w:val="zh-CN"/>
              </w:rPr>
            </w:pPr>
          </w:p>
        </w:tc>
      </w:tr>
      <w:tr w14:paraId="700EC70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98" w:hRule="atLeast"/>
          <w:jc w:val="center"/>
        </w:trPr>
        <w:tc>
          <w:tcPr>
            <w:tcW w:w="649" w:type="dxa"/>
            <w:shd w:val="clear" w:color="auto" w:fill="auto"/>
            <w:noWrap w:val="0"/>
            <w:vAlign w:val="center"/>
          </w:tcPr>
          <w:p w14:paraId="01AA9A6D">
            <w:pPr>
              <w:autoSpaceDE w:val="0"/>
              <w:autoSpaceDN w:val="0"/>
              <w:adjustRightInd w:val="0"/>
              <w:spacing w:line="300" w:lineRule="exact"/>
              <w:jc w:val="left"/>
              <w:rPr>
                <w:rFonts w:hint="default"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szCs w:val="21"/>
                <w:highlight w:val="none"/>
                <w:lang w:val="en-US" w:eastAsia="zh-CN"/>
              </w:rPr>
              <w:t>12</w:t>
            </w:r>
          </w:p>
        </w:tc>
        <w:tc>
          <w:tcPr>
            <w:tcW w:w="1787" w:type="dxa"/>
            <w:noWrap w:val="0"/>
            <w:vAlign w:val="center"/>
          </w:tcPr>
          <w:p w14:paraId="64179CFF">
            <w:pPr>
              <w:autoSpaceDE w:val="0"/>
              <w:autoSpaceDN w:val="0"/>
              <w:adjustRightInd w:val="0"/>
              <w:spacing w:line="300" w:lineRule="exact"/>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Cs w:val="21"/>
                <w:highlight w:val="none"/>
                <w:lang w:val="zh-CN"/>
              </w:rPr>
              <w:t>农民工工资保证金</w:t>
            </w:r>
          </w:p>
        </w:tc>
        <w:tc>
          <w:tcPr>
            <w:tcW w:w="932" w:type="dxa"/>
            <w:noWrap w:val="0"/>
            <w:vAlign w:val="center"/>
          </w:tcPr>
          <w:p w14:paraId="1A1AD4F9">
            <w:pPr>
              <w:autoSpaceDE w:val="0"/>
              <w:autoSpaceDN w:val="0"/>
              <w:adjustRightInd w:val="0"/>
              <w:spacing w:line="300" w:lineRule="exact"/>
              <w:jc w:val="left"/>
              <w:rPr>
                <w:rFonts w:hint="eastAsia" w:ascii="宋体" w:hAnsi="宋体" w:eastAsia="宋体" w:cs="宋体"/>
                <w:bCs/>
                <w:color w:val="auto"/>
                <w:kern w:val="2"/>
                <w:sz w:val="21"/>
                <w:szCs w:val="21"/>
                <w:highlight w:val="none"/>
                <w:lang w:val="zh-CN" w:eastAsia="zh-CN" w:bidi="ar-SA"/>
              </w:rPr>
            </w:pPr>
          </w:p>
        </w:tc>
        <w:tc>
          <w:tcPr>
            <w:tcW w:w="5644" w:type="dxa"/>
            <w:noWrap w:val="0"/>
            <w:vAlign w:val="center"/>
          </w:tcPr>
          <w:p w14:paraId="536B331C">
            <w:pPr>
              <w:autoSpaceDE w:val="0"/>
              <w:autoSpaceDN w:val="0"/>
              <w:adjustRightInd w:val="0"/>
              <w:spacing w:line="300" w:lineRule="exact"/>
              <w:jc w:val="left"/>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szCs w:val="21"/>
                <w:highlight w:val="none"/>
                <w:lang w:val="en-US" w:eastAsia="zh-CN"/>
              </w:rPr>
              <w:t>承包人应按国家及地方相关规定，向劳动主管部门</w:t>
            </w:r>
            <w:r>
              <w:rPr>
                <w:rFonts w:hint="eastAsia" w:ascii="宋体" w:hAnsi="宋体" w:cs="宋体"/>
                <w:bCs/>
                <w:color w:val="auto"/>
                <w:szCs w:val="21"/>
                <w:highlight w:val="none"/>
                <w:lang w:val="en-US" w:eastAsia="zh-CN"/>
              </w:rPr>
              <w:t>缴纳</w:t>
            </w:r>
            <w:r>
              <w:rPr>
                <w:rFonts w:hint="eastAsia" w:ascii="宋体" w:hAnsi="宋体" w:eastAsia="宋体" w:cs="宋体"/>
                <w:bCs/>
                <w:color w:val="auto"/>
                <w:szCs w:val="21"/>
                <w:highlight w:val="none"/>
                <w:lang w:val="en-US" w:eastAsia="zh-CN"/>
              </w:rPr>
              <w:t>农民工工资保证金</w:t>
            </w:r>
          </w:p>
        </w:tc>
        <w:tc>
          <w:tcPr>
            <w:tcW w:w="901" w:type="dxa"/>
            <w:noWrap w:val="0"/>
            <w:vAlign w:val="center"/>
          </w:tcPr>
          <w:p w14:paraId="6AAC91BF">
            <w:pPr>
              <w:autoSpaceDE w:val="0"/>
              <w:autoSpaceDN w:val="0"/>
              <w:adjustRightInd w:val="0"/>
              <w:spacing w:line="300" w:lineRule="exact"/>
              <w:jc w:val="left"/>
              <w:rPr>
                <w:rFonts w:hint="eastAsia" w:ascii="宋体" w:hAnsi="宋体" w:eastAsia="宋体" w:cs="宋体"/>
                <w:bCs/>
                <w:color w:val="auto"/>
                <w:szCs w:val="21"/>
                <w:highlight w:val="none"/>
                <w:lang w:val="zh-CN"/>
              </w:rPr>
            </w:pPr>
          </w:p>
        </w:tc>
      </w:tr>
      <w:tr w14:paraId="36EAFDF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5" w:hRule="atLeast"/>
          <w:jc w:val="center"/>
        </w:trPr>
        <w:tc>
          <w:tcPr>
            <w:tcW w:w="649" w:type="dxa"/>
            <w:noWrap w:val="0"/>
            <w:vAlign w:val="center"/>
          </w:tcPr>
          <w:p w14:paraId="244AA572">
            <w:pPr>
              <w:autoSpaceDE w:val="0"/>
              <w:autoSpaceDN w:val="0"/>
              <w:adjustRightInd w:val="0"/>
              <w:spacing w:line="300" w:lineRule="exact"/>
              <w:jc w:val="left"/>
              <w:rPr>
                <w:rFonts w:hint="default" w:ascii="宋体" w:hAnsi="宋体" w:eastAsia="宋体" w:cs="宋体"/>
                <w:bCs/>
                <w:color w:val="auto"/>
                <w:kern w:val="2"/>
                <w:sz w:val="21"/>
                <w:szCs w:val="21"/>
                <w:highlight w:val="none"/>
                <w:lang w:val="en-US" w:eastAsia="zh-CN" w:bidi="ar-SA"/>
              </w:rPr>
            </w:pPr>
            <w:r>
              <w:rPr>
                <w:rFonts w:hint="eastAsia" w:ascii="宋体" w:hAnsi="宋体" w:cs="宋体"/>
                <w:bCs/>
                <w:color w:val="auto"/>
                <w:kern w:val="2"/>
                <w:sz w:val="21"/>
                <w:szCs w:val="21"/>
                <w:highlight w:val="none"/>
                <w:lang w:val="en-US" w:eastAsia="zh-CN" w:bidi="ar-SA"/>
              </w:rPr>
              <w:t>13</w:t>
            </w:r>
          </w:p>
        </w:tc>
        <w:tc>
          <w:tcPr>
            <w:tcW w:w="1787" w:type="dxa"/>
            <w:noWrap w:val="0"/>
            <w:vAlign w:val="center"/>
          </w:tcPr>
          <w:p w14:paraId="74CCE80E">
            <w:pPr>
              <w:autoSpaceDE w:val="0"/>
              <w:autoSpaceDN w:val="0"/>
              <w:adjustRightInd w:val="0"/>
              <w:spacing w:line="300" w:lineRule="exact"/>
              <w:jc w:val="left"/>
              <w:rPr>
                <w:rFonts w:hint="eastAsia" w:ascii="宋体" w:hAnsi="宋体" w:eastAsia="宋体" w:cs="宋体"/>
                <w:bCs/>
                <w:color w:val="auto"/>
                <w:szCs w:val="21"/>
                <w:highlight w:val="none"/>
                <w:lang w:val="zh-CN"/>
              </w:rPr>
            </w:pPr>
            <w:r>
              <w:rPr>
                <w:rFonts w:hint="eastAsia" w:ascii="宋体" w:hAnsi="宋体" w:eastAsia="宋体" w:cs="宋体"/>
                <w:color w:val="auto"/>
                <w:szCs w:val="21"/>
                <w:highlight w:val="none"/>
                <w:lang w:eastAsia="zh-CN"/>
              </w:rPr>
              <w:t>投标有效期</w:t>
            </w:r>
          </w:p>
        </w:tc>
        <w:tc>
          <w:tcPr>
            <w:tcW w:w="932" w:type="dxa"/>
            <w:noWrap w:val="0"/>
            <w:vAlign w:val="center"/>
          </w:tcPr>
          <w:p w14:paraId="7755C973">
            <w:pPr>
              <w:autoSpaceDE w:val="0"/>
              <w:autoSpaceDN w:val="0"/>
              <w:adjustRightInd w:val="0"/>
              <w:spacing w:line="300" w:lineRule="exact"/>
              <w:jc w:val="left"/>
              <w:rPr>
                <w:rFonts w:hint="default" w:ascii="宋体" w:hAnsi="宋体" w:eastAsia="宋体" w:cs="宋体"/>
                <w:bCs/>
                <w:color w:val="auto"/>
                <w:szCs w:val="21"/>
                <w:highlight w:val="none"/>
                <w:lang w:val="en-US" w:eastAsia="zh-CN"/>
              </w:rPr>
            </w:pPr>
          </w:p>
        </w:tc>
        <w:tc>
          <w:tcPr>
            <w:tcW w:w="5644" w:type="dxa"/>
            <w:noWrap w:val="0"/>
            <w:vAlign w:val="center"/>
          </w:tcPr>
          <w:p w14:paraId="6F48A578">
            <w:pPr>
              <w:autoSpaceDE w:val="0"/>
              <w:autoSpaceDN w:val="0"/>
              <w:adjustRightInd w:val="0"/>
              <w:spacing w:line="300" w:lineRule="exact"/>
              <w:jc w:val="left"/>
              <w:rPr>
                <w:rFonts w:hint="eastAsia" w:ascii="宋体" w:hAnsi="宋体" w:eastAsia="宋体" w:cs="宋体"/>
                <w:bCs/>
                <w:color w:val="auto"/>
                <w:szCs w:val="21"/>
                <w:highlight w:val="none"/>
                <w:lang w:val="en-US" w:eastAsia="zh-CN"/>
              </w:rPr>
            </w:pPr>
            <w:r>
              <w:rPr>
                <w:rFonts w:hint="eastAsia" w:ascii="宋体" w:hAnsi="宋体" w:eastAsia="宋体" w:cs="宋体"/>
                <w:color w:val="auto"/>
                <w:szCs w:val="21"/>
                <w:highlight w:val="none"/>
                <w:lang w:val="en-US" w:eastAsia="zh-CN"/>
              </w:rPr>
              <w:t>投标截止之日起</w:t>
            </w:r>
            <w:r>
              <w:rPr>
                <w:rFonts w:hint="eastAsia" w:ascii="宋体" w:hAnsi="宋体" w:eastAsia="宋体" w:cs="宋体"/>
                <w:color w:val="auto"/>
                <w:szCs w:val="21"/>
                <w:highlight w:val="none"/>
                <w:u w:val="single"/>
                <w:lang w:val="en-US" w:eastAsia="zh-CN"/>
              </w:rPr>
              <w:t>90</w:t>
            </w:r>
            <w:r>
              <w:rPr>
                <w:rFonts w:hint="eastAsia" w:ascii="宋体" w:hAnsi="宋体" w:eastAsia="宋体" w:cs="宋体"/>
                <w:color w:val="auto"/>
                <w:szCs w:val="21"/>
                <w:highlight w:val="none"/>
                <w:lang w:val="en-US" w:eastAsia="zh-CN"/>
              </w:rPr>
              <w:t>天</w:t>
            </w:r>
          </w:p>
        </w:tc>
        <w:tc>
          <w:tcPr>
            <w:tcW w:w="901" w:type="dxa"/>
            <w:noWrap w:val="0"/>
            <w:vAlign w:val="center"/>
          </w:tcPr>
          <w:p w14:paraId="48E24480">
            <w:pPr>
              <w:autoSpaceDE w:val="0"/>
              <w:autoSpaceDN w:val="0"/>
              <w:adjustRightInd w:val="0"/>
              <w:spacing w:line="300" w:lineRule="exact"/>
              <w:jc w:val="left"/>
              <w:rPr>
                <w:rFonts w:hint="eastAsia" w:ascii="宋体" w:hAnsi="宋体" w:eastAsia="宋体" w:cs="宋体"/>
                <w:bCs/>
                <w:color w:val="auto"/>
                <w:szCs w:val="21"/>
                <w:highlight w:val="none"/>
                <w:lang w:val="zh-CN"/>
              </w:rPr>
            </w:pPr>
          </w:p>
        </w:tc>
      </w:tr>
      <w:tr w14:paraId="0883689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45" w:hRule="atLeast"/>
          <w:jc w:val="center"/>
        </w:trPr>
        <w:tc>
          <w:tcPr>
            <w:tcW w:w="9913" w:type="dxa"/>
            <w:gridSpan w:val="5"/>
            <w:noWrap w:val="0"/>
            <w:vAlign w:val="center"/>
          </w:tcPr>
          <w:p w14:paraId="1CF44653">
            <w:pPr>
              <w:autoSpaceDE w:val="0"/>
              <w:autoSpaceDN w:val="0"/>
              <w:adjustRightInd w:val="0"/>
              <w:spacing w:line="300" w:lineRule="exact"/>
              <w:jc w:val="left"/>
              <w:rPr>
                <w:rFonts w:hint="eastAsia" w:ascii="宋体" w:hAnsi="宋体" w:eastAsia="宋体" w:cs="宋体"/>
                <w:bCs/>
                <w:color w:val="auto"/>
                <w:szCs w:val="21"/>
                <w:highlight w:val="none"/>
                <w:lang w:val="zh-CN" w:eastAsia="zh-CN"/>
              </w:rPr>
            </w:pPr>
            <w:r>
              <w:rPr>
                <w:rFonts w:hint="eastAsia" w:ascii="宋体" w:hAnsi="宋体" w:eastAsia="宋体" w:cs="宋体"/>
                <w:bCs/>
                <w:color w:val="auto"/>
                <w:szCs w:val="21"/>
                <w:highlight w:val="none"/>
              </w:rPr>
              <w:t>备注：</w:t>
            </w:r>
            <w:r>
              <w:rPr>
                <w:rFonts w:hint="eastAsia" w:ascii="宋体" w:hAnsi="宋体" w:eastAsia="宋体" w:cs="宋体"/>
                <w:bCs/>
                <w:color w:val="auto"/>
                <w:szCs w:val="21"/>
                <w:highlight w:val="none"/>
                <w:lang w:eastAsia="zh-CN"/>
              </w:rPr>
              <w:t>供应商</w:t>
            </w:r>
            <w:r>
              <w:rPr>
                <w:rFonts w:hint="eastAsia" w:ascii="宋体" w:hAnsi="宋体" w:eastAsia="宋体" w:cs="宋体"/>
                <w:bCs/>
                <w:color w:val="auto"/>
                <w:szCs w:val="21"/>
                <w:highlight w:val="none"/>
              </w:rPr>
              <w:t>在响应</w:t>
            </w:r>
            <w:r>
              <w:rPr>
                <w:rFonts w:hint="eastAsia" w:ascii="宋体" w:hAnsi="宋体" w:eastAsia="宋体" w:cs="宋体"/>
                <w:bCs/>
                <w:color w:val="auto"/>
                <w:szCs w:val="21"/>
                <w:highlight w:val="none"/>
                <w:lang w:eastAsia="zh-CN"/>
              </w:rPr>
              <w:t>磋商文件</w:t>
            </w:r>
            <w:r>
              <w:rPr>
                <w:rFonts w:hint="eastAsia" w:ascii="宋体" w:hAnsi="宋体" w:eastAsia="宋体" w:cs="宋体"/>
                <w:bCs/>
                <w:color w:val="auto"/>
                <w:szCs w:val="21"/>
                <w:highlight w:val="none"/>
              </w:rPr>
              <w:t>中规定的实质性要求和条件的基础上，可做出其他有利于</w:t>
            </w:r>
            <w:r>
              <w:rPr>
                <w:rFonts w:hint="eastAsia" w:ascii="宋体" w:hAnsi="宋体" w:eastAsia="宋体" w:cs="宋体"/>
                <w:bCs/>
                <w:color w:val="auto"/>
                <w:szCs w:val="21"/>
                <w:highlight w:val="none"/>
                <w:lang w:eastAsia="zh-CN"/>
              </w:rPr>
              <w:t>采购人</w:t>
            </w:r>
            <w:r>
              <w:rPr>
                <w:rFonts w:hint="eastAsia" w:ascii="宋体" w:hAnsi="宋体" w:eastAsia="宋体" w:cs="宋体"/>
                <w:bCs/>
                <w:color w:val="auto"/>
                <w:szCs w:val="21"/>
                <w:highlight w:val="none"/>
              </w:rPr>
              <w:t>的承诺。此类承诺可在本表中予以补充填写。</w:t>
            </w:r>
          </w:p>
        </w:tc>
      </w:tr>
    </w:tbl>
    <w:p w14:paraId="3D4676A7">
      <w:pPr>
        <w:rPr>
          <w:color w:val="auto"/>
          <w:highlight w:val="none"/>
        </w:rPr>
      </w:pPr>
    </w:p>
    <w:p w14:paraId="696A0501">
      <w:pPr>
        <w:spacing w:line="360" w:lineRule="auto"/>
        <w:rPr>
          <w:rFonts w:ascii="宋体" w:hAnsi="宋体"/>
          <w:color w:val="auto"/>
          <w:szCs w:val="21"/>
          <w:highlight w:val="none"/>
        </w:rPr>
      </w:pPr>
    </w:p>
    <w:p w14:paraId="0AD40DDB">
      <w:pPr>
        <w:spacing w:line="360" w:lineRule="auto"/>
        <w:rPr>
          <w:rFonts w:ascii="宋体" w:hAnsi="宋体"/>
          <w:color w:val="auto"/>
          <w:szCs w:val="21"/>
          <w:highlight w:val="none"/>
        </w:rPr>
      </w:pPr>
    </w:p>
    <w:p w14:paraId="6DE48AB3">
      <w:pPr>
        <w:spacing w:line="360" w:lineRule="auto"/>
        <w:rPr>
          <w:rFonts w:ascii="宋体" w:hAnsi="宋体"/>
          <w:color w:val="auto"/>
          <w:szCs w:val="21"/>
          <w:highlight w:val="none"/>
        </w:rPr>
        <w:sectPr>
          <w:pgSz w:w="11907" w:h="16840"/>
          <w:pgMar w:top="1440" w:right="1803" w:bottom="1440" w:left="1803" w:header="851" w:footer="850" w:gutter="0"/>
          <w:pgNumType w:fmt="decimal"/>
          <w:cols w:space="720" w:num="1"/>
          <w:titlePg/>
          <w:docGrid w:type="linesAndChars" w:linePitch="312" w:charSpace="-3473"/>
        </w:sectPr>
      </w:pPr>
    </w:p>
    <w:p w14:paraId="70E9BCD4">
      <w:pPr>
        <w:rPr>
          <w:rFonts w:ascii="宋体"/>
          <w:b/>
          <w:color w:val="auto"/>
          <w:sz w:val="24"/>
          <w:highlight w:val="none"/>
        </w:rPr>
      </w:pPr>
      <w:r>
        <w:rPr>
          <w:rFonts w:hint="eastAsia" w:ascii="宋体"/>
          <w:b/>
          <w:color w:val="auto"/>
          <w:sz w:val="24"/>
          <w:highlight w:val="none"/>
        </w:rPr>
        <w:t>格式4</w:t>
      </w:r>
    </w:p>
    <w:p w14:paraId="541E868A">
      <w:pPr>
        <w:pStyle w:val="4"/>
        <w:jc w:val="center"/>
        <w:rPr>
          <w:rFonts w:hint="eastAsia" w:ascii="宋体" w:hAnsi="宋体" w:eastAsia="宋体"/>
          <w:color w:val="auto"/>
          <w:highlight w:val="none"/>
          <w:lang w:eastAsia="zh-CN"/>
        </w:rPr>
      </w:pPr>
      <w:r>
        <w:rPr>
          <w:rFonts w:hint="eastAsia" w:ascii="宋体" w:hAnsi="宋体"/>
          <w:color w:val="auto"/>
          <w:highlight w:val="none"/>
          <w:lang w:eastAsia="zh-CN"/>
        </w:rPr>
        <w:t>磋商保证金（</w:t>
      </w:r>
      <w:r>
        <w:rPr>
          <w:rFonts w:hint="eastAsia" w:ascii="宋体" w:hAnsi="宋体"/>
          <w:color w:val="auto"/>
          <w:highlight w:val="none"/>
          <w:lang w:val="en-US" w:eastAsia="zh-CN"/>
        </w:rPr>
        <w:t>如有</w:t>
      </w:r>
      <w:r>
        <w:rPr>
          <w:rFonts w:hint="eastAsia" w:ascii="宋体" w:hAnsi="宋体"/>
          <w:color w:val="auto"/>
          <w:highlight w:val="none"/>
          <w:lang w:eastAsia="zh-CN"/>
        </w:rPr>
        <w:t>）</w:t>
      </w:r>
    </w:p>
    <w:p w14:paraId="2023D5E1">
      <w:pPr>
        <w:spacing w:before="120" w:line="600" w:lineRule="exact"/>
        <w:rPr>
          <w:rFonts w:ascii="宋体" w:hAnsi="宋体"/>
          <w:b/>
          <w:snapToGrid w:val="0"/>
          <w:color w:val="auto"/>
          <w:szCs w:val="21"/>
          <w:highlight w:val="none"/>
        </w:rPr>
      </w:pPr>
      <w:bookmarkStart w:id="727" w:name="_Toc221952056"/>
      <w:r>
        <w:rPr>
          <w:rFonts w:hint="eastAsia" w:ascii="宋体" w:hAnsi="宋体"/>
          <w:b/>
          <w:snapToGrid w:val="0"/>
          <w:color w:val="auto"/>
          <w:szCs w:val="21"/>
          <w:highlight w:val="none"/>
        </w:rPr>
        <w:t xml:space="preserve">致 </w:t>
      </w:r>
      <w:r>
        <w:rPr>
          <w:rFonts w:hint="eastAsia" w:ascii="宋体" w:hAnsi="宋体"/>
          <w:b/>
          <w:snapToGrid w:val="0"/>
          <w:color w:val="auto"/>
          <w:szCs w:val="21"/>
          <w:highlight w:val="none"/>
          <w:u w:val="single"/>
        </w:rPr>
        <w:t xml:space="preserve">      </w:t>
      </w:r>
      <w:r>
        <w:rPr>
          <w:rFonts w:hint="eastAsia" w:ascii="宋体" w:hAnsi="宋体"/>
          <w:b/>
          <w:snapToGrid w:val="0"/>
          <w:color w:val="auto"/>
          <w:szCs w:val="21"/>
          <w:highlight w:val="none"/>
          <w:u w:val="single"/>
          <w:lang w:val="en-US" w:eastAsia="zh-CN"/>
        </w:rPr>
        <w:t xml:space="preserve">  </w:t>
      </w:r>
      <w:r>
        <w:rPr>
          <w:rFonts w:hint="eastAsia" w:ascii="宋体" w:hAnsi="宋体"/>
          <w:b/>
          <w:snapToGrid w:val="0"/>
          <w:color w:val="auto"/>
          <w:szCs w:val="21"/>
          <w:highlight w:val="none"/>
          <w:u w:val="single"/>
        </w:rPr>
        <w:t xml:space="preserve">  </w:t>
      </w:r>
      <w:r>
        <w:rPr>
          <w:rFonts w:hint="eastAsia" w:ascii="宋体" w:hAnsi="宋体"/>
          <w:b/>
          <w:snapToGrid w:val="0"/>
          <w:color w:val="auto"/>
          <w:szCs w:val="21"/>
          <w:highlight w:val="none"/>
        </w:rPr>
        <w:t>：</w:t>
      </w:r>
    </w:p>
    <w:p w14:paraId="09698605">
      <w:pPr>
        <w:spacing w:line="600" w:lineRule="exact"/>
        <w:ind w:firstLine="437"/>
        <w:rPr>
          <w:rFonts w:ascii="宋体" w:hAnsi="宋体"/>
          <w:color w:val="auto"/>
          <w:szCs w:val="21"/>
          <w:highlight w:val="none"/>
          <w:u w:val="single"/>
        </w:rPr>
      </w:pPr>
      <w:r>
        <w:rPr>
          <w:rFonts w:hint="eastAsia" w:ascii="宋体" w:hAnsi="宋体"/>
          <w:color w:val="auto"/>
          <w:szCs w:val="21"/>
          <w:highlight w:val="none"/>
        </w:rPr>
        <w:t>我方按照</w:t>
      </w:r>
      <w:r>
        <w:rPr>
          <w:rFonts w:hint="eastAsia" w:ascii="宋体" w:hAnsi="宋体"/>
          <w:color w:val="auto"/>
          <w:szCs w:val="21"/>
          <w:highlight w:val="none"/>
          <w:u w:val="single"/>
        </w:rPr>
        <w:t xml:space="preserve">                 </w:t>
      </w:r>
      <w:r>
        <w:rPr>
          <w:rFonts w:hint="eastAsia" w:ascii="宋体" w:hAnsi="宋体"/>
          <w:b/>
          <w:snapToGrid w:val="0"/>
          <w:color w:val="auto"/>
          <w:szCs w:val="21"/>
          <w:highlight w:val="none"/>
        </w:rPr>
        <w:t>（</w:t>
      </w:r>
      <w:r>
        <w:rPr>
          <w:rFonts w:hint="default" w:ascii="宋体" w:hAnsi="宋体"/>
          <w:b/>
          <w:snapToGrid w:val="0"/>
          <w:color w:val="auto"/>
          <w:szCs w:val="21"/>
          <w:highlight w:val="none"/>
        </w:rPr>
        <w:t>采购项目</w:t>
      </w:r>
      <w:r>
        <w:rPr>
          <w:rFonts w:hint="eastAsia" w:ascii="宋体" w:hAnsi="宋体"/>
          <w:b/>
          <w:snapToGrid w:val="0"/>
          <w:color w:val="auto"/>
          <w:szCs w:val="21"/>
          <w:highlight w:val="none"/>
        </w:rPr>
        <w:t>名称）</w:t>
      </w:r>
      <w:r>
        <w:rPr>
          <w:rFonts w:hint="eastAsia" w:ascii="宋体" w:hAnsi="宋体"/>
          <w:color w:val="auto"/>
          <w:szCs w:val="21"/>
          <w:highlight w:val="none"/>
          <w:lang w:eastAsia="zh-CN"/>
        </w:rPr>
        <w:t>磋商文件</w:t>
      </w:r>
      <w:r>
        <w:rPr>
          <w:rFonts w:hint="eastAsia" w:ascii="宋体" w:hAnsi="宋体"/>
          <w:color w:val="auto"/>
          <w:szCs w:val="21"/>
          <w:highlight w:val="none"/>
        </w:rPr>
        <w:t>的要求，在</w:t>
      </w:r>
      <w:r>
        <w:rPr>
          <w:rFonts w:hint="eastAsia" w:ascii="宋体" w:hAnsi="宋体"/>
          <w:color w:val="auto"/>
          <w:szCs w:val="21"/>
          <w:highlight w:val="none"/>
          <w:lang w:eastAsia="zh-CN"/>
        </w:rPr>
        <w:t>响应文件</w:t>
      </w:r>
      <w:r>
        <w:rPr>
          <w:rFonts w:hint="eastAsia" w:ascii="宋体" w:hAnsi="宋体"/>
          <w:color w:val="auto"/>
          <w:szCs w:val="21"/>
          <w:highlight w:val="none"/>
        </w:rPr>
        <w:t>送达截止时间以前，保证金按</w:t>
      </w:r>
      <w:r>
        <w:rPr>
          <w:rFonts w:hint="eastAsia" w:ascii="宋体" w:hAnsi="宋体"/>
          <w:color w:val="auto"/>
          <w:szCs w:val="21"/>
          <w:highlight w:val="none"/>
          <w:lang w:eastAsia="zh-CN"/>
        </w:rPr>
        <w:t>磋商文件</w:t>
      </w:r>
      <w:r>
        <w:rPr>
          <w:rFonts w:hint="eastAsia" w:ascii="宋体" w:hAnsi="宋体"/>
          <w:color w:val="auto"/>
          <w:szCs w:val="21"/>
          <w:highlight w:val="none"/>
        </w:rPr>
        <w:t>规定的方式和时间提交</w:t>
      </w:r>
      <w:r>
        <w:rPr>
          <w:rFonts w:hint="eastAsia" w:ascii="宋体" w:hAnsi="宋体"/>
          <w:color w:val="auto"/>
          <w:szCs w:val="21"/>
          <w:highlight w:val="none"/>
          <w:lang w:eastAsia="zh-CN"/>
        </w:rPr>
        <w:t>，</w:t>
      </w:r>
      <w:r>
        <w:rPr>
          <w:rFonts w:hint="eastAsia" w:ascii="宋体" w:hAnsi="宋体"/>
          <w:b/>
          <w:snapToGrid w:val="0"/>
          <w:color w:val="auto"/>
          <w:szCs w:val="21"/>
          <w:highlight w:val="none"/>
          <w:u w:val="single"/>
        </w:rPr>
        <w:t>（</w:t>
      </w:r>
      <w:r>
        <w:rPr>
          <w:rFonts w:hint="default" w:ascii="宋体" w:hAnsi="宋体"/>
          <w:b/>
          <w:snapToGrid w:val="0"/>
          <w:color w:val="auto"/>
          <w:szCs w:val="21"/>
          <w:highlight w:val="none"/>
          <w:u w:val="single"/>
        </w:rPr>
        <w:t>采购项目</w:t>
      </w:r>
      <w:r>
        <w:rPr>
          <w:rFonts w:hint="eastAsia" w:ascii="宋体" w:hAnsi="宋体"/>
          <w:b/>
          <w:snapToGrid w:val="0"/>
          <w:color w:val="auto"/>
          <w:szCs w:val="21"/>
          <w:highlight w:val="none"/>
          <w:u w:val="single"/>
        </w:rPr>
        <w:t>名称）（</w:t>
      </w:r>
      <w:r>
        <w:rPr>
          <w:rFonts w:hint="eastAsia" w:ascii="宋体" w:hAnsi="宋体"/>
          <w:b/>
          <w:bCs/>
          <w:color w:val="auto"/>
          <w:szCs w:val="21"/>
          <w:highlight w:val="none"/>
          <w:u w:val="single"/>
          <w:lang w:eastAsia="zh-CN"/>
        </w:rPr>
        <w:t>磋商文件</w:t>
      </w:r>
      <w:r>
        <w:rPr>
          <w:rFonts w:hint="eastAsia" w:ascii="宋体" w:hAnsi="宋体"/>
          <w:b/>
          <w:bCs/>
          <w:color w:val="auto"/>
          <w:szCs w:val="21"/>
          <w:highlight w:val="none"/>
          <w:u w:val="single"/>
        </w:rPr>
        <w:t>编号：）</w:t>
      </w:r>
      <w:r>
        <w:rPr>
          <w:rFonts w:hint="eastAsia" w:ascii="宋体" w:hAnsi="宋体"/>
          <w:bCs/>
          <w:color w:val="auto"/>
          <w:szCs w:val="21"/>
          <w:highlight w:val="none"/>
          <w:lang w:eastAsia="zh-CN"/>
        </w:rPr>
        <w:t>磋商保证金</w:t>
      </w:r>
      <w:r>
        <w:rPr>
          <w:rFonts w:hint="eastAsia" w:ascii="宋体" w:hAnsi="宋体"/>
          <w:bCs/>
          <w:color w:val="auto"/>
          <w:szCs w:val="21"/>
          <w:highlight w:val="none"/>
        </w:rPr>
        <w:t>金额（大写）：</w:t>
      </w:r>
      <w:r>
        <w:rPr>
          <w:rFonts w:hint="eastAsia" w:ascii="宋体" w:hAnsi="宋体"/>
          <w:bCs/>
          <w:color w:val="auto"/>
          <w:szCs w:val="21"/>
          <w:highlight w:val="none"/>
          <w:u w:val="single"/>
        </w:rPr>
        <w:t xml:space="preserve">     </w:t>
      </w:r>
      <w:r>
        <w:rPr>
          <w:rFonts w:hint="eastAsia" w:ascii="宋体" w:hAnsi="宋体"/>
          <w:bCs/>
          <w:color w:val="auto"/>
          <w:szCs w:val="21"/>
          <w:highlight w:val="none"/>
          <w:u w:val="single"/>
          <w:lang w:val="en-US" w:eastAsia="zh-CN"/>
        </w:rPr>
        <w:t xml:space="preserve">   </w:t>
      </w:r>
      <w:r>
        <w:rPr>
          <w:rFonts w:hint="eastAsia" w:ascii="宋体" w:hAnsi="宋体"/>
          <w:bCs/>
          <w:color w:val="auto"/>
          <w:szCs w:val="21"/>
          <w:highlight w:val="none"/>
        </w:rPr>
        <w:t>元。</w:t>
      </w:r>
    </w:p>
    <w:p w14:paraId="68D65A18">
      <w:pPr>
        <w:spacing w:line="600" w:lineRule="exact"/>
        <w:ind w:firstLine="435"/>
        <w:rPr>
          <w:rFonts w:ascii="宋体" w:hAnsi="宋体"/>
          <w:color w:val="auto"/>
          <w:szCs w:val="21"/>
          <w:highlight w:val="none"/>
        </w:rPr>
      </w:pPr>
      <w:r>
        <w:rPr>
          <w:rFonts w:hint="eastAsia" w:ascii="宋体" w:hAnsi="宋体"/>
          <w:bCs/>
          <w:color w:val="auto"/>
          <w:szCs w:val="21"/>
          <w:highlight w:val="none"/>
        </w:rPr>
        <w:t>我方承诺：在本保证金有效期内若违反</w:t>
      </w:r>
      <w:r>
        <w:rPr>
          <w:rFonts w:hint="eastAsia" w:ascii="宋体" w:hAnsi="宋体"/>
          <w:bCs/>
          <w:color w:val="auto"/>
          <w:szCs w:val="21"/>
          <w:highlight w:val="none"/>
          <w:lang w:eastAsia="zh-CN"/>
        </w:rPr>
        <w:t>磋商文件</w:t>
      </w:r>
      <w:r>
        <w:rPr>
          <w:rFonts w:hint="eastAsia" w:ascii="宋体" w:hAnsi="宋体"/>
          <w:bCs/>
          <w:color w:val="auto"/>
          <w:szCs w:val="21"/>
          <w:highlight w:val="none"/>
        </w:rPr>
        <w:t>规定的下列事实，你方可以没收</w:t>
      </w:r>
      <w:r>
        <w:rPr>
          <w:rFonts w:hint="eastAsia" w:ascii="宋体" w:hAnsi="宋体"/>
          <w:bCs/>
          <w:color w:val="auto"/>
          <w:szCs w:val="21"/>
          <w:highlight w:val="none"/>
          <w:lang w:eastAsia="zh-CN"/>
        </w:rPr>
        <w:t>磋商保证金</w:t>
      </w:r>
      <w:r>
        <w:rPr>
          <w:rFonts w:hint="eastAsia" w:ascii="宋体" w:hAnsi="宋体"/>
          <w:bCs/>
          <w:color w:val="auto"/>
          <w:szCs w:val="21"/>
          <w:highlight w:val="none"/>
        </w:rPr>
        <w:t>。</w:t>
      </w:r>
    </w:p>
    <w:p w14:paraId="2C0992C2">
      <w:pPr>
        <w:spacing w:line="600" w:lineRule="exact"/>
        <w:ind w:firstLine="388" w:firstLineChars="200"/>
        <w:rPr>
          <w:rFonts w:ascii="宋体" w:hAnsi="宋体"/>
          <w:color w:val="auto"/>
          <w:szCs w:val="21"/>
          <w:highlight w:val="none"/>
        </w:rPr>
      </w:pPr>
      <w:bookmarkStart w:id="728" w:name="_Toc295114969"/>
      <w:r>
        <w:rPr>
          <w:rFonts w:hint="eastAsia" w:ascii="宋体" w:hAnsi="宋体"/>
          <w:color w:val="auto"/>
          <w:szCs w:val="21"/>
          <w:highlight w:val="none"/>
        </w:rPr>
        <w:t>（1）在</w:t>
      </w:r>
      <w:r>
        <w:rPr>
          <w:rFonts w:hint="eastAsia" w:ascii="宋体" w:hAnsi="宋体"/>
          <w:color w:val="auto"/>
          <w:szCs w:val="21"/>
          <w:highlight w:val="none"/>
          <w:lang w:eastAsia="zh-CN"/>
        </w:rPr>
        <w:t>磋商文件</w:t>
      </w:r>
      <w:r>
        <w:rPr>
          <w:rFonts w:hint="eastAsia" w:ascii="宋体" w:hAnsi="宋体"/>
          <w:color w:val="auto"/>
          <w:szCs w:val="21"/>
          <w:highlight w:val="none"/>
        </w:rPr>
        <w:t>规定的</w:t>
      </w:r>
      <w:r>
        <w:rPr>
          <w:rFonts w:hint="eastAsia" w:ascii="宋体" w:hAnsi="宋体"/>
          <w:color w:val="auto"/>
          <w:szCs w:val="21"/>
          <w:highlight w:val="none"/>
          <w:lang w:eastAsia="zh-CN"/>
        </w:rPr>
        <w:t>响应文件</w:t>
      </w:r>
      <w:r>
        <w:rPr>
          <w:rFonts w:hint="eastAsia" w:ascii="宋体" w:hAnsi="宋体"/>
          <w:color w:val="auto"/>
          <w:szCs w:val="21"/>
          <w:highlight w:val="none"/>
        </w:rPr>
        <w:t>的有效期内撤回</w:t>
      </w:r>
      <w:r>
        <w:rPr>
          <w:rFonts w:hint="eastAsia" w:ascii="宋体" w:hAnsi="宋体"/>
          <w:color w:val="auto"/>
          <w:szCs w:val="21"/>
          <w:highlight w:val="none"/>
          <w:lang w:eastAsia="zh-CN"/>
        </w:rPr>
        <w:t>响应文件</w:t>
      </w:r>
      <w:r>
        <w:rPr>
          <w:rFonts w:hint="eastAsia" w:ascii="宋体" w:hAnsi="宋体"/>
          <w:color w:val="auto"/>
          <w:szCs w:val="21"/>
          <w:highlight w:val="none"/>
        </w:rPr>
        <w:t>；</w:t>
      </w:r>
      <w:bookmarkEnd w:id="728"/>
    </w:p>
    <w:p w14:paraId="54D82D06">
      <w:pPr>
        <w:spacing w:line="600" w:lineRule="exact"/>
        <w:ind w:firstLine="388" w:firstLineChars="200"/>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eastAsia="zh-CN"/>
        </w:rPr>
        <w:t>成交后</w:t>
      </w:r>
      <w:r>
        <w:rPr>
          <w:rFonts w:hint="eastAsia" w:ascii="宋体" w:hAnsi="宋体"/>
          <w:color w:val="auto"/>
          <w:szCs w:val="21"/>
          <w:highlight w:val="none"/>
        </w:rPr>
        <w:t>，未能在</w:t>
      </w:r>
      <w:r>
        <w:rPr>
          <w:rFonts w:hint="eastAsia" w:ascii="宋体" w:hAnsi="宋体"/>
          <w:color w:val="auto"/>
          <w:szCs w:val="21"/>
          <w:highlight w:val="none"/>
          <w:lang w:eastAsia="zh-CN"/>
        </w:rPr>
        <w:t>磋商文件</w:t>
      </w:r>
      <w:r>
        <w:rPr>
          <w:rFonts w:hint="eastAsia" w:ascii="宋体" w:hAnsi="宋体"/>
          <w:color w:val="auto"/>
          <w:szCs w:val="21"/>
          <w:highlight w:val="none"/>
        </w:rPr>
        <w:t>规定的期限内提交履约担保文件；</w:t>
      </w:r>
    </w:p>
    <w:p w14:paraId="252FBCAD">
      <w:pPr>
        <w:spacing w:line="600" w:lineRule="exact"/>
        <w:ind w:firstLine="373" w:firstLineChars="192"/>
        <w:rPr>
          <w:rFonts w:ascii="宋体" w:hAnsi="宋体"/>
          <w:color w:val="auto"/>
          <w:szCs w:val="21"/>
          <w:highlight w:val="none"/>
        </w:rPr>
      </w:pPr>
      <w:r>
        <w:rPr>
          <w:rFonts w:hint="eastAsia" w:ascii="宋体" w:hAnsi="宋体"/>
          <w:color w:val="auto"/>
          <w:szCs w:val="21"/>
          <w:highlight w:val="none"/>
        </w:rPr>
        <w:t>（3）</w:t>
      </w:r>
      <w:r>
        <w:rPr>
          <w:rFonts w:hint="eastAsia" w:ascii="宋体" w:hAnsi="宋体"/>
          <w:color w:val="auto"/>
          <w:szCs w:val="21"/>
          <w:highlight w:val="none"/>
          <w:lang w:eastAsia="zh-CN"/>
        </w:rPr>
        <w:t>成交后</w:t>
      </w:r>
      <w:r>
        <w:rPr>
          <w:rFonts w:hint="eastAsia" w:ascii="宋体" w:hAnsi="宋体"/>
          <w:color w:val="auto"/>
          <w:szCs w:val="21"/>
          <w:highlight w:val="none"/>
        </w:rPr>
        <w:t>，拒绝在</w:t>
      </w:r>
      <w:r>
        <w:rPr>
          <w:rFonts w:hint="eastAsia" w:ascii="宋体" w:hAnsi="宋体"/>
          <w:color w:val="auto"/>
          <w:szCs w:val="21"/>
          <w:highlight w:val="none"/>
          <w:lang w:eastAsia="zh-CN"/>
        </w:rPr>
        <w:t>磋商文件</w:t>
      </w:r>
      <w:r>
        <w:rPr>
          <w:rFonts w:hint="eastAsia" w:ascii="宋体" w:hAnsi="宋体"/>
          <w:color w:val="auto"/>
          <w:szCs w:val="21"/>
          <w:highlight w:val="none"/>
        </w:rPr>
        <w:t>规定的期限内签订合同。</w:t>
      </w:r>
    </w:p>
    <w:p w14:paraId="278E19A2">
      <w:pPr>
        <w:spacing w:line="360" w:lineRule="auto"/>
        <w:ind w:firstLine="388" w:firstLineChars="200"/>
        <w:rPr>
          <w:rFonts w:ascii="宋体" w:hAnsi="宋体"/>
          <w:color w:val="auto"/>
          <w:szCs w:val="21"/>
          <w:highlight w:val="none"/>
        </w:rPr>
      </w:pPr>
      <w:r>
        <w:rPr>
          <w:rFonts w:hint="eastAsia" w:ascii="宋体" w:hAnsi="宋体"/>
          <w:color w:val="auto"/>
          <w:szCs w:val="21"/>
          <w:highlight w:val="none"/>
        </w:rPr>
        <w:t>本承诺在</w:t>
      </w:r>
      <w:r>
        <w:rPr>
          <w:rFonts w:hint="eastAsia" w:ascii="宋体" w:hAnsi="宋体"/>
          <w:color w:val="auto"/>
          <w:szCs w:val="21"/>
          <w:highlight w:val="none"/>
          <w:lang w:eastAsia="zh-CN"/>
        </w:rPr>
        <w:t>磋商有效期</w:t>
      </w:r>
      <w:r>
        <w:rPr>
          <w:rFonts w:hint="eastAsia" w:ascii="宋体" w:hAnsi="宋体"/>
          <w:color w:val="auto"/>
          <w:szCs w:val="21"/>
          <w:highlight w:val="none"/>
        </w:rPr>
        <w:t>内保持有效。</w:t>
      </w:r>
      <w:bookmarkEnd w:id="727"/>
      <w:r>
        <w:rPr>
          <w:rFonts w:hint="eastAsia" w:ascii="宋体" w:hAnsi="宋体"/>
          <w:color w:val="auto"/>
          <w:szCs w:val="21"/>
          <w:highlight w:val="none"/>
        </w:rPr>
        <w:t xml:space="preserve"> </w:t>
      </w:r>
    </w:p>
    <w:p w14:paraId="608F428A">
      <w:pPr>
        <w:spacing w:line="360" w:lineRule="auto"/>
        <w:rPr>
          <w:rFonts w:ascii="宋体" w:hAnsi="宋体"/>
          <w:color w:val="auto"/>
          <w:szCs w:val="21"/>
          <w:highlight w:val="none"/>
        </w:rPr>
      </w:pPr>
      <w:r>
        <w:rPr>
          <w:color w:val="auto"/>
          <w:highlight w:val="none"/>
        </w:rPr>
        <mc:AlternateContent>
          <mc:Choice Requires="wps">
            <w:drawing>
              <wp:anchor distT="0" distB="0" distL="114300" distR="114300" simplePos="0" relativeHeight="251659264" behindDoc="0" locked="0" layoutInCell="1" allowOverlap="1">
                <wp:simplePos x="0" y="0"/>
                <wp:positionH relativeFrom="column">
                  <wp:posOffset>-577215</wp:posOffset>
                </wp:positionH>
                <wp:positionV relativeFrom="paragraph">
                  <wp:posOffset>42545</wp:posOffset>
                </wp:positionV>
                <wp:extent cx="6448425" cy="1822450"/>
                <wp:effectExtent l="7620" t="7620" r="20955" b="17780"/>
                <wp:wrapNone/>
                <wp:docPr id="3" name="矩形 3"/>
                <wp:cNvGraphicFramePr/>
                <a:graphic xmlns:a="http://schemas.openxmlformats.org/drawingml/2006/main">
                  <a:graphicData uri="http://schemas.microsoft.com/office/word/2010/wordprocessingShape">
                    <wps:wsp>
                      <wps:cNvSpPr>
                        <a:spLocks noChangeArrowheads="1"/>
                      </wps:cNvSpPr>
                      <wps:spPr bwMode="auto">
                        <a:xfrm>
                          <a:off x="0" y="0"/>
                          <a:ext cx="6448425" cy="1822450"/>
                        </a:xfrm>
                        <a:prstGeom prst="rect">
                          <a:avLst/>
                        </a:prstGeom>
                        <a:noFill/>
                        <a:ln w="15875">
                          <a:solidFill>
                            <a:srgbClr val="002060"/>
                          </a:solidFill>
                          <a:miter lim="800000"/>
                        </a:ln>
                        <a:effectLst/>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45.45pt;margin-top:3.35pt;height:143.5pt;width:507.75pt;z-index:251659264;mso-width-relative:page;mso-height-relative:page;" filled="f" stroked="t" coordsize="21600,21600" o:gfxdata="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BjFnj11wAAAAkBAAAPAAAAAAAAAAEAIAAAACIAAABkcnMvZG93&#10;bnJldi54bWxQSwECFAAUAAAACACHTuJAylusLToCAABWBAAADgAAAAAAAAABACAAAAAmAQAAZHJz&#10;L2Uyb0RvYy54bWxQSwUGAAAAAAYABgBZAQAA0gUAAAAA&#10;">
                <v:fill on="f" focussize="0,0"/>
                <v:stroke weight="1.25pt" color="#002060" miterlimit="8" joinstyle="miter"/>
                <v:imagedata o:title=""/>
                <o:lock v:ext="edit" aspectratio="f"/>
              </v:rect>
            </w:pict>
          </mc:Fallback>
        </mc:AlternateContent>
      </w:r>
    </w:p>
    <w:p w14:paraId="59782346">
      <w:pPr>
        <w:spacing w:line="360" w:lineRule="auto"/>
        <w:rPr>
          <w:rFonts w:ascii="宋体" w:hAnsi="宋体"/>
          <w:color w:val="auto"/>
          <w:szCs w:val="21"/>
          <w:highlight w:val="none"/>
        </w:rPr>
      </w:pPr>
      <w:r>
        <w:rPr>
          <w:rFonts w:hint="eastAsia" w:ascii="宋体" w:hAnsi="宋体"/>
          <w:color w:val="auto"/>
          <w:szCs w:val="21"/>
          <w:highlight w:val="none"/>
        </w:rPr>
        <w:t>附：</w:t>
      </w:r>
      <w:r>
        <w:rPr>
          <w:rFonts w:hint="eastAsia" w:ascii="宋体" w:hAnsi="宋体" w:cs="宋体"/>
          <w:color w:val="auto"/>
          <w:szCs w:val="21"/>
          <w:highlight w:val="none"/>
          <w:lang w:val="zh-CN"/>
        </w:rPr>
        <w:t>磋商保证金递交证明复印件</w:t>
      </w:r>
    </w:p>
    <w:p w14:paraId="27D30171">
      <w:pPr>
        <w:spacing w:line="360" w:lineRule="auto"/>
        <w:rPr>
          <w:rFonts w:ascii="宋体" w:hAnsi="宋体"/>
          <w:color w:val="auto"/>
          <w:szCs w:val="21"/>
          <w:highlight w:val="none"/>
        </w:rPr>
      </w:pPr>
    </w:p>
    <w:p w14:paraId="4BD446DB">
      <w:pPr>
        <w:spacing w:line="360" w:lineRule="auto"/>
        <w:ind w:firstLine="1994" w:firstLineChars="1028"/>
        <w:rPr>
          <w:rFonts w:ascii="宋体" w:hAnsi="宋体"/>
          <w:color w:val="auto"/>
          <w:szCs w:val="21"/>
          <w:highlight w:val="none"/>
        </w:rPr>
      </w:pPr>
      <w:bookmarkStart w:id="729" w:name="_Toc221952057"/>
    </w:p>
    <w:p w14:paraId="590EF9E3">
      <w:pPr>
        <w:spacing w:line="360" w:lineRule="auto"/>
        <w:ind w:firstLine="1994" w:firstLineChars="1028"/>
        <w:rPr>
          <w:rFonts w:ascii="宋体" w:hAnsi="宋体"/>
          <w:color w:val="auto"/>
          <w:szCs w:val="21"/>
          <w:highlight w:val="none"/>
        </w:rPr>
      </w:pPr>
    </w:p>
    <w:p w14:paraId="335B67F6">
      <w:pPr>
        <w:spacing w:line="360" w:lineRule="auto"/>
        <w:ind w:firstLine="1994" w:firstLineChars="1028"/>
        <w:rPr>
          <w:rFonts w:ascii="宋体" w:hAnsi="宋体"/>
          <w:color w:val="auto"/>
          <w:szCs w:val="21"/>
          <w:highlight w:val="none"/>
        </w:rPr>
      </w:pPr>
    </w:p>
    <w:p w14:paraId="79E5B1A2">
      <w:pPr>
        <w:spacing w:line="360" w:lineRule="auto"/>
        <w:ind w:firstLine="1994" w:firstLineChars="1028"/>
        <w:rPr>
          <w:rFonts w:ascii="宋体" w:hAnsi="宋体"/>
          <w:color w:val="auto"/>
          <w:szCs w:val="21"/>
          <w:highlight w:val="none"/>
        </w:rPr>
      </w:pPr>
    </w:p>
    <w:p w14:paraId="37B388CD">
      <w:pPr>
        <w:spacing w:line="360" w:lineRule="auto"/>
        <w:ind w:firstLine="1994" w:firstLineChars="1028"/>
        <w:rPr>
          <w:rFonts w:ascii="宋体" w:hAnsi="宋体"/>
          <w:color w:val="auto"/>
          <w:szCs w:val="21"/>
          <w:highlight w:val="none"/>
        </w:rPr>
      </w:pPr>
    </w:p>
    <w:p w14:paraId="16D32955">
      <w:pPr>
        <w:spacing w:line="360" w:lineRule="auto"/>
        <w:ind w:firstLine="1994" w:firstLineChars="1028"/>
        <w:rPr>
          <w:rFonts w:ascii="宋体" w:hAnsi="宋体"/>
          <w:color w:val="auto"/>
          <w:szCs w:val="21"/>
          <w:highlight w:val="none"/>
        </w:rPr>
      </w:pPr>
      <w:r>
        <w:rPr>
          <w:rFonts w:hint="eastAsia" w:ascii="宋体" w:hAnsi="宋体"/>
          <w:color w:val="auto"/>
          <w:szCs w:val="21"/>
          <w:highlight w:val="none"/>
        </w:rPr>
        <w:t>投 标 人：</w:t>
      </w:r>
      <w:r>
        <w:rPr>
          <w:rFonts w:hint="eastAsia" w:ascii="宋体" w:hAnsi="宋体"/>
          <w:color w:val="auto"/>
          <w:szCs w:val="21"/>
          <w:highlight w:val="none"/>
          <w:u w:val="single"/>
        </w:rPr>
        <w:t xml:space="preserve">                                    </w:t>
      </w:r>
      <w:r>
        <w:rPr>
          <w:rFonts w:hint="eastAsia" w:ascii="宋体" w:hAnsi="宋体"/>
          <w:color w:val="auto"/>
          <w:szCs w:val="21"/>
          <w:highlight w:val="none"/>
        </w:rPr>
        <w:t>（盖单位章）</w:t>
      </w:r>
      <w:bookmarkEnd w:id="729"/>
      <w:bookmarkStart w:id="730" w:name="_Toc221952058"/>
    </w:p>
    <w:p w14:paraId="2BA75DCD">
      <w:pPr>
        <w:spacing w:line="360" w:lineRule="auto"/>
        <w:ind w:firstLine="1994" w:firstLineChars="1028"/>
        <w:rPr>
          <w:rFonts w:ascii="宋体" w:hAnsi="宋体"/>
          <w:color w:val="auto"/>
          <w:szCs w:val="21"/>
          <w:highlight w:val="none"/>
        </w:rPr>
      </w:pPr>
      <w:r>
        <w:rPr>
          <w:rFonts w:hint="eastAsia" w:ascii="宋体" w:hAnsi="宋体"/>
          <w:color w:val="auto"/>
          <w:szCs w:val="21"/>
          <w:highlight w:val="none"/>
        </w:rPr>
        <w:t>法定代表人或其委托代理人：</w:t>
      </w:r>
      <w:r>
        <w:rPr>
          <w:rFonts w:hint="eastAsia" w:ascii="宋体" w:hAnsi="宋体"/>
          <w:color w:val="auto"/>
          <w:szCs w:val="21"/>
          <w:highlight w:val="none"/>
          <w:u w:val="single"/>
        </w:rPr>
        <w:t xml:space="preserve">                    </w:t>
      </w:r>
      <w:r>
        <w:rPr>
          <w:rFonts w:hint="eastAsia" w:ascii="宋体" w:hAnsi="宋体"/>
          <w:color w:val="auto"/>
          <w:szCs w:val="21"/>
          <w:highlight w:val="none"/>
        </w:rPr>
        <w:t>（签字或盖章）</w:t>
      </w:r>
      <w:bookmarkEnd w:id="730"/>
    </w:p>
    <w:p w14:paraId="1B7297E1">
      <w:pPr>
        <w:spacing w:line="360" w:lineRule="auto"/>
        <w:ind w:firstLine="1994" w:firstLineChars="1028"/>
        <w:rPr>
          <w:rFonts w:ascii="宋体" w:hAnsi="宋体"/>
          <w:color w:val="auto"/>
          <w:szCs w:val="21"/>
          <w:highlight w:val="none"/>
        </w:rPr>
      </w:pPr>
      <w:bookmarkStart w:id="731" w:name="_Toc221952059"/>
      <w:r>
        <w:rPr>
          <w:rFonts w:hint="eastAsia" w:ascii="宋体" w:hAnsi="宋体"/>
          <w:color w:val="auto"/>
          <w:szCs w:val="21"/>
          <w:highlight w:val="none"/>
        </w:rPr>
        <w:t>地    址：</w:t>
      </w:r>
      <w:bookmarkEnd w:id="731"/>
      <w:r>
        <w:rPr>
          <w:rFonts w:hint="eastAsia" w:ascii="宋体" w:hAnsi="宋体"/>
          <w:color w:val="auto"/>
          <w:szCs w:val="21"/>
          <w:highlight w:val="none"/>
          <w:u w:val="single"/>
        </w:rPr>
        <w:tab/>
      </w:r>
      <w:r>
        <w:rPr>
          <w:rFonts w:hint="eastAsia" w:ascii="宋体" w:hAnsi="宋体"/>
          <w:color w:val="auto"/>
          <w:szCs w:val="21"/>
          <w:highlight w:val="none"/>
          <w:u w:val="single"/>
        </w:rPr>
        <w:tab/>
      </w:r>
      <w:r>
        <w:rPr>
          <w:rFonts w:hint="eastAsia" w:ascii="宋体" w:hAnsi="宋体"/>
          <w:color w:val="auto"/>
          <w:szCs w:val="21"/>
          <w:highlight w:val="none"/>
          <w:u w:val="single"/>
        </w:rPr>
        <w:tab/>
      </w:r>
      <w:r>
        <w:rPr>
          <w:rFonts w:hint="eastAsia" w:ascii="宋体" w:hAnsi="宋体"/>
          <w:color w:val="auto"/>
          <w:szCs w:val="21"/>
          <w:highlight w:val="none"/>
          <w:u w:val="single"/>
        </w:rPr>
        <w:t xml:space="preserve">                               </w:t>
      </w:r>
      <w:r>
        <w:rPr>
          <w:rFonts w:hint="eastAsia" w:ascii="宋体" w:hAnsi="宋体"/>
          <w:color w:val="auto"/>
          <w:szCs w:val="21"/>
          <w:highlight w:val="none"/>
          <w:u w:val="single"/>
        </w:rPr>
        <w:tab/>
      </w:r>
    </w:p>
    <w:p w14:paraId="7B3D0AA8">
      <w:pPr>
        <w:spacing w:line="360" w:lineRule="auto"/>
        <w:ind w:firstLine="1994" w:firstLineChars="1028"/>
        <w:rPr>
          <w:rFonts w:ascii="宋体" w:hAnsi="宋体"/>
          <w:color w:val="auto"/>
          <w:szCs w:val="21"/>
          <w:highlight w:val="none"/>
          <w:u w:val="single"/>
        </w:rPr>
      </w:pPr>
      <w:bookmarkStart w:id="732" w:name="_Toc221952060"/>
      <w:r>
        <w:rPr>
          <w:rFonts w:hint="eastAsia" w:ascii="宋体" w:hAnsi="宋体"/>
          <w:color w:val="auto"/>
          <w:szCs w:val="21"/>
          <w:highlight w:val="none"/>
        </w:rPr>
        <w:t>邮政编码：</w:t>
      </w:r>
      <w:bookmarkEnd w:id="732"/>
      <w:r>
        <w:rPr>
          <w:rFonts w:hint="eastAsia" w:ascii="宋体" w:hAnsi="宋体"/>
          <w:color w:val="auto"/>
          <w:szCs w:val="21"/>
          <w:highlight w:val="none"/>
          <w:u w:val="single"/>
        </w:rPr>
        <w:tab/>
      </w:r>
      <w:r>
        <w:rPr>
          <w:rFonts w:hint="eastAsia" w:ascii="宋体" w:hAnsi="宋体"/>
          <w:color w:val="auto"/>
          <w:szCs w:val="21"/>
          <w:highlight w:val="none"/>
          <w:u w:val="single"/>
        </w:rPr>
        <w:tab/>
      </w:r>
      <w:r>
        <w:rPr>
          <w:rFonts w:hint="eastAsia" w:ascii="宋体" w:hAnsi="宋体"/>
          <w:color w:val="auto"/>
          <w:szCs w:val="21"/>
          <w:highlight w:val="none"/>
          <w:u w:val="single"/>
        </w:rPr>
        <w:tab/>
      </w:r>
      <w:r>
        <w:rPr>
          <w:rFonts w:hint="eastAsia" w:ascii="宋体" w:hAnsi="宋体"/>
          <w:color w:val="auto"/>
          <w:szCs w:val="21"/>
          <w:highlight w:val="none"/>
          <w:u w:val="single"/>
        </w:rPr>
        <w:tab/>
      </w:r>
      <w:r>
        <w:rPr>
          <w:rFonts w:hint="eastAsia" w:ascii="宋体" w:hAnsi="宋体"/>
          <w:color w:val="auto"/>
          <w:szCs w:val="21"/>
          <w:highlight w:val="none"/>
          <w:u w:val="single"/>
        </w:rPr>
        <w:tab/>
      </w:r>
      <w:r>
        <w:rPr>
          <w:rFonts w:hint="eastAsia" w:ascii="宋体" w:hAnsi="宋体"/>
          <w:color w:val="auto"/>
          <w:szCs w:val="21"/>
          <w:highlight w:val="none"/>
          <w:u w:val="single"/>
        </w:rPr>
        <w:tab/>
      </w:r>
      <w:r>
        <w:rPr>
          <w:rFonts w:hint="eastAsia" w:ascii="宋体" w:hAnsi="宋体"/>
          <w:color w:val="auto"/>
          <w:szCs w:val="21"/>
          <w:highlight w:val="none"/>
          <w:u w:val="single"/>
        </w:rPr>
        <w:t xml:space="preserve">                 </w:t>
      </w:r>
      <w:r>
        <w:rPr>
          <w:rFonts w:hint="eastAsia" w:ascii="宋体" w:hAnsi="宋体"/>
          <w:color w:val="auto"/>
          <w:szCs w:val="21"/>
          <w:highlight w:val="none"/>
          <w:u w:val="single"/>
        </w:rPr>
        <w:tab/>
      </w:r>
    </w:p>
    <w:p w14:paraId="58C9D48C">
      <w:pPr>
        <w:spacing w:line="360" w:lineRule="auto"/>
        <w:ind w:firstLine="1994" w:firstLineChars="1028"/>
        <w:rPr>
          <w:rFonts w:ascii="宋体" w:hAnsi="宋体"/>
          <w:color w:val="auto"/>
          <w:szCs w:val="21"/>
          <w:highlight w:val="none"/>
        </w:rPr>
      </w:pPr>
      <w:bookmarkStart w:id="733" w:name="_Toc221952061"/>
      <w:r>
        <w:rPr>
          <w:rFonts w:hint="eastAsia" w:ascii="宋体" w:hAnsi="宋体"/>
          <w:color w:val="auto"/>
          <w:szCs w:val="21"/>
          <w:highlight w:val="none"/>
        </w:rPr>
        <w:t>电    话：</w:t>
      </w:r>
      <w:bookmarkEnd w:id="733"/>
      <w:r>
        <w:rPr>
          <w:rFonts w:hint="eastAsia" w:ascii="宋体" w:hAnsi="宋体"/>
          <w:color w:val="auto"/>
          <w:szCs w:val="21"/>
          <w:highlight w:val="none"/>
          <w:u w:val="single"/>
        </w:rPr>
        <w:t xml:space="preserve">                                          </w:t>
      </w:r>
    </w:p>
    <w:p w14:paraId="245D5859">
      <w:pPr>
        <w:spacing w:line="360" w:lineRule="auto"/>
        <w:ind w:firstLine="3061" w:firstLineChars="1578"/>
        <w:rPr>
          <w:rFonts w:ascii="宋体" w:hAnsi="宋体"/>
          <w:color w:val="auto"/>
          <w:szCs w:val="21"/>
          <w:highlight w:val="none"/>
        </w:rPr>
      </w:pPr>
      <w:r>
        <w:rPr>
          <w:rFonts w:hint="eastAsia" w:ascii="宋体" w:hAnsi="宋体"/>
          <w:color w:val="auto"/>
          <w:szCs w:val="21"/>
          <w:highlight w:val="none"/>
        </w:rPr>
        <w:t xml:space="preserve">  </w:t>
      </w:r>
      <w:r>
        <w:rPr>
          <w:rFonts w:hint="eastAsia" w:ascii="宋体" w:hAnsi="宋体"/>
          <w:color w:val="auto"/>
          <w:szCs w:val="21"/>
          <w:highlight w:val="none"/>
          <w:u w:val="single"/>
        </w:rPr>
        <w:t xml:space="preserve">      </w:t>
      </w:r>
      <w:bookmarkStart w:id="734" w:name="_Toc221952062"/>
      <w:r>
        <w:rPr>
          <w:rFonts w:hint="eastAsia" w:ascii="宋体" w:hAnsi="宋体"/>
          <w:color w:val="auto"/>
          <w:szCs w:val="21"/>
          <w:highlight w:val="none"/>
        </w:rPr>
        <w:t>年</w:t>
      </w:r>
      <w:r>
        <w:rPr>
          <w:rFonts w:hint="eastAsia" w:ascii="宋体" w:hAnsi="宋体"/>
          <w:color w:val="auto"/>
          <w:szCs w:val="21"/>
          <w:highlight w:val="none"/>
          <w:u w:val="single"/>
        </w:rPr>
        <w:t xml:space="preserve">      </w:t>
      </w:r>
      <w:r>
        <w:rPr>
          <w:rFonts w:hint="eastAsia" w:ascii="宋体" w:hAnsi="宋体"/>
          <w:color w:val="auto"/>
          <w:szCs w:val="21"/>
          <w:highlight w:val="none"/>
        </w:rPr>
        <w:t>月</w:t>
      </w:r>
      <w:r>
        <w:rPr>
          <w:rFonts w:hint="eastAsia" w:ascii="宋体" w:hAnsi="宋体"/>
          <w:color w:val="auto"/>
          <w:szCs w:val="21"/>
          <w:highlight w:val="none"/>
          <w:u w:val="single"/>
        </w:rPr>
        <w:t xml:space="preserve">      </w:t>
      </w:r>
      <w:r>
        <w:rPr>
          <w:rFonts w:hint="eastAsia" w:ascii="宋体" w:hAnsi="宋体"/>
          <w:color w:val="auto"/>
          <w:szCs w:val="21"/>
          <w:highlight w:val="none"/>
        </w:rPr>
        <w:t>日</w:t>
      </w:r>
      <w:bookmarkEnd w:id="734"/>
    </w:p>
    <w:p w14:paraId="66A1879D">
      <w:pPr>
        <w:spacing w:line="360" w:lineRule="auto"/>
        <w:rPr>
          <w:rFonts w:ascii="宋体" w:hAnsi="宋体"/>
          <w:color w:val="auto"/>
          <w:szCs w:val="21"/>
          <w:highlight w:val="none"/>
          <w:u w:val="single"/>
        </w:rPr>
        <w:sectPr>
          <w:pgSz w:w="11907" w:h="16840"/>
          <w:pgMar w:top="1440" w:right="1803" w:bottom="1440" w:left="1803" w:header="851" w:footer="850" w:gutter="0"/>
          <w:pgNumType w:fmt="decimal"/>
          <w:cols w:space="720" w:num="1"/>
          <w:titlePg/>
          <w:docGrid w:type="linesAndChars" w:linePitch="312" w:charSpace="-3473"/>
        </w:sectPr>
      </w:pPr>
    </w:p>
    <w:p w14:paraId="53184E94">
      <w:pPr>
        <w:rPr>
          <w:rFonts w:ascii="宋体"/>
          <w:b/>
          <w:color w:val="auto"/>
          <w:sz w:val="24"/>
          <w:highlight w:val="none"/>
        </w:rPr>
      </w:pPr>
      <w:r>
        <w:rPr>
          <w:rFonts w:hint="eastAsia" w:ascii="宋体"/>
          <w:b/>
          <w:color w:val="auto"/>
          <w:sz w:val="24"/>
          <w:highlight w:val="none"/>
        </w:rPr>
        <w:t>格式5</w:t>
      </w:r>
    </w:p>
    <w:p w14:paraId="24E5C0F7">
      <w:pPr>
        <w:spacing w:line="480" w:lineRule="auto"/>
        <w:jc w:val="center"/>
        <w:rPr>
          <w:b/>
          <w:color w:val="auto"/>
          <w:sz w:val="36"/>
          <w:szCs w:val="30"/>
          <w:highlight w:val="none"/>
        </w:rPr>
      </w:pPr>
      <w:r>
        <w:rPr>
          <w:rFonts w:hint="eastAsia"/>
          <w:b/>
          <w:color w:val="auto"/>
          <w:sz w:val="36"/>
          <w:szCs w:val="30"/>
          <w:highlight w:val="none"/>
        </w:rPr>
        <w:t>法定代表人身份证明书</w:t>
      </w:r>
    </w:p>
    <w:p w14:paraId="04C11F8E">
      <w:pPr>
        <w:spacing w:line="480" w:lineRule="auto"/>
        <w:ind w:firstLine="612"/>
        <w:rPr>
          <w:rFonts w:ascii="宋体" w:hAnsi="宋体"/>
          <w:color w:val="auto"/>
          <w:sz w:val="22"/>
          <w:szCs w:val="21"/>
          <w:highlight w:val="none"/>
        </w:rPr>
      </w:pPr>
      <w:bookmarkStart w:id="735" w:name="_Toc201719188"/>
      <w:r>
        <w:rPr>
          <w:rFonts w:hint="eastAsia" w:ascii="宋体" w:hAnsi="宋体"/>
          <w:color w:val="auto"/>
          <w:sz w:val="22"/>
          <w:szCs w:val="21"/>
          <w:highlight w:val="none"/>
        </w:rPr>
        <w:t>单位名称：</w:t>
      </w:r>
      <w:r>
        <w:rPr>
          <w:rFonts w:hint="eastAsia" w:ascii="宋体" w:hAnsi="宋体"/>
          <w:color w:val="auto"/>
          <w:sz w:val="22"/>
          <w:szCs w:val="21"/>
          <w:highlight w:val="none"/>
          <w:u w:val="single"/>
        </w:rPr>
        <w:tab/>
      </w:r>
      <w:r>
        <w:rPr>
          <w:rFonts w:hint="eastAsia" w:ascii="宋体" w:hAnsi="宋体"/>
          <w:color w:val="auto"/>
          <w:sz w:val="22"/>
          <w:szCs w:val="21"/>
          <w:highlight w:val="none"/>
          <w:u w:val="single"/>
        </w:rPr>
        <w:tab/>
      </w:r>
      <w:r>
        <w:rPr>
          <w:rFonts w:hint="eastAsia" w:ascii="宋体" w:hAnsi="宋体"/>
          <w:color w:val="auto"/>
          <w:sz w:val="22"/>
          <w:szCs w:val="21"/>
          <w:highlight w:val="none"/>
          <w:u w:val="single"/>
        </w:rPr>
        <w:tab/>
      </w:r>
      <w:r>
        <w:rPr>
          <w:rFonts w:hint="eastAsia" w:ascii="宋体" w:hAnsi="宋体"/>
          <w:color w:val="auto"/>
          <w:sz w:val="22"/>
          <w:szCs w:val="21"/>
          <w:highlight w:val="none"/>
          <w:u w:val="single"/>
        </w:rPr>
        <w:tab/>
      </w:r>
      <w:r>
        <w:rPr>
          <w:rFonts w:hint="eastAsia" w:ascii="宋体" w:hAnsi="宋体"/>
          <w:color w:val="auto"/>
          <w:sz w:val="22"/>
          <w:szCs w:val="21"/>
          <w:highlight w:val="none"/>
          <w:u w:val="single"/>
        </w:rPr>
        <w:tab/>
      </w:r>
      <w:r>
        <w:rPr>
          <w:rFonts w:hint="eastAsia" w:ascii="宋体" w:hAnsi="宋体"/>
          <w:color w:val="auto"/>
          <w:sz w:val="22"/>
          <w:szCs w:val="21"/>
          <w:highlight w:val="none"/>
          <w:u w:val="single"/>
        </w:rPr>
        <w:tab/>
      </w:r>
      <w:r>
        <w:rPr>
          <w:rFonts w:hint="eastAsia" w:ascii="宋体" w:hAnsi="宋体"/>
          <w:color w:val="auto"/>
          <w:sz w:val="22"/>
          <w:szCs w:val="21"/>
          <w:highlight w:val="none"/>
          <w:u w:val="single"/>
        </w:rPr>
        <w:tab/>
      </w:r>
      <w:r>
        <w:rPr>
          <w:rFonts w:hint="eastAsia" w:ascii="宋体" w:hAnsi="宋体"/>
          <w:color w:val="auto"/>
          <w:sz w:val="22"/>
          <w:szCs w:val="21"/>
          <w:highlight w:val="none"/>
          <w:u w:val="single"/>
        </w:rPr>
        <w:tab/>
      </w:r>
    </w:p>
    <w:p w14:paraId="0D1A6AD0">
      <w:pPr>
        <w:spacing w:line="480" w:lineRule="auto"/>
        <w:ind w:firstLine="610"/>
        <w:rPr>
          <w:rFonts w:ascii="宋体" w:hAnsi="宋体"/>
          <w:color w:val="auto"/>
          <w:sz w:val="22"/>
          <w:szCs w:val="21"/>
          <w:highlight w:val="none"/>
          <w:u w:val="single"/>
        </w:rPr>
      </w:pPr>
      <w:r>
        <w:rPr>
          <w:rFonts w:hint="eastAsia" w:ascii="宋体" w:hAnsi="宋体"/>
          <w:color w:val="auto"/>
          <w:sz w:val="22"/>
          <w:szCs w:val="21"/>
          <w:highlight w:val="none"/>
        </w:rPr>
        <w:t>单位性质：</w:t>
      </w:r>
      <w:r>
        <w:rPr>
          <w:rFonts w:hint="eastAsia" w:ascii="宋体" w:hAnsi="宋体"/>
          <w:color w:val="auto"/>
          <w:sz w:val="22"/>
          <w:szCs w:val="21"/>
          <w:highlight w:val="none"/>
          <w:u w:val="single"/>
        </w:rPr>
        <w:tab/>
      </w:r>
      <w:r>
        <w:rPr>
          <w:rFonts w:hint="eastAsia" w:ascii="宋体" w:hAnsi="宋体"/>
          <w:color w:val="auto"/>
          <w:sz w:val="22"/>
          <w:szCs w:val="21"/>
          <w:highlight w:val="none"/>
          <w:u w:val="single"/>
        </w:rPr>
        <w:tab/>
      </w:r>
      <w:r>
        <w:rPr>
          <w:rFonts w:hint="eastAsia" w:ascii="宋体" w:hAnsi="宋体"/>
          <w:color w:val="auto"/>
          <w:sz w:val="22"/>
          <w:szCs w:val="21"/>
          <w:highlight w:val="none"/>
          <w:u w:val="single"/>
        </w:rPr>
        <w:tab/>
      </w:r>
      <w:r>
        <w:rPr>
          <w:rFonts w:hint="eastAsia" w:ascii="宋体" w:hAnsi="宋体"/>
          <w:color w:val="auto"/>
          <w:sz w:val="22"/>
          <w:szCs w:val="21"/>
          <w:highlight w:val="none"/>
          <w:u w:val="single"/>
        </w:rPr>
        <w:tab/>
      </w:r>
      <w:r>
        <w:rPr>
          <w:rFonts w:hint="eastAsia" w:ascii="宋体" w:hAnsi="宋体"/>
          <w:color w:val="auto"/>
          <w:sz w:val="22"/>
          <w:szCs w:val="21"/>
          <w:highlight w:val="none"/>
          <w:u w:val="single"/>
        </w:rPr>
        <w:tab/>
      </w:r>
      <w:r>
        <w:rPr>
          <w:rFonts w:hint="eastAsia" w:ascii="宋体" w:hAnsi="宋体"/>
          <w:color w:val="auto"/>
          <w:sz w:val="22"/>
          <w:szCs w:val="21"/>
          <w:highlight w:val="none"/>
          <w:u w:val="single"/>
        </w:rPr>
        <w:t xml:space="preserve">           </w:t>
      </w:r>
    </w:p>
    <w:p w14:paraId="5B032A3E">
      <w:pPr>
        <w:spacing w:line="480" w:lineRule="auto"/>
        <w:ind w:firstLine="610"/>
        <w:rPr>
          <w:rFonts w:ascii="宋体" w:hAnsi="宋体"/>
          <w:color w:val="auto"/>
          <w:sz w:val="22"/>
          <w:szCs w:val="21"/>
          <w:highlight w:val="none"/>
          <w:u w:val="single"/>
        </w:rPr>
      </w:pPr>
      <w:r>
        <w:rPr>
          <w:rFonts w:hint="eastAsia" w:ascii="宋体" w:hAnsi="宋体"/>
          <w:color w:val="auto"/>
          <w:sz w:val="22"/>
          <w:szCs w:val="21"/>
          <w:highlight w:val="none"/>
        </w:rPr>
        <w:t>地</w:t>
      </w:r>
      <w:r>
        <w:rPr>
          <w:rFonts w:ascii="宋体" w:hAnsi="宋体"/>
          <w:color w:val="auto"/>
          <w:sz w:val="22"/>
          <w:szCs w:val="21"/>
          <w:highlight w:val="none"/>
        </w:rPr>
        <w:t xml:space="preserve">    址：</w:t>
      </w:r>
      <w:r>
        <w:rPr>
          <w:rFonts w:hint="eastAsia" w:ascii="宋体" w:hAnsi="宋体"/>
          <w:color w:val="auto"/>
          <w:sz w:val="22"/>
          <w:szCs w:val="21"/>
          <w:highlight w:val="none"/>
          <w:u w:val="single"/>
        </w:rPr>
        <w:tab/>
      </w:r>
      <w:r>
        <w:rPr>
          <w:rFonts w:hint="eastAsia" w:ascii="宋体" w:hAnsi="宋体"/>
          <w:color w:val="auto"/>
          <w:sz w:val="22"/>
          <w:szCs w:val="21"/>
          <w:highlight w:val="none"/>
          <w:u w:val="single"/>
        </w:rPr>
        <w:tab/>
      </w:r>
      <w:r>
        <w:rPr>
          <w:rFonts w:hint="eastAsia" w:ascii="宋体" w:hAnsi="宋体"/>
          <w:color w:val="auto"/>
          <w:sz w:val="22"/>
          <w:szCs w:val="21"/>
          <w:highlight w:val="none"/>
          <w:u w:val="single"/>
        </w:rPr>
        <w:t xml:space="preserve">  </w:t>
      </w:r>
      <w:r>
        <w:rPr>
          <w:rFonts w:hint="eastAsia" w:ascii="宋体" w:hAnsi="宋体"/>
          <w:color w:val="auto"/>
          <w:sz w:val="22"/>
          <w:szCs w:val="21"/>
          <w:highlight w:val="none"/>
          <w:u w:val="single"/>
        </w:rPr>
        <w:tab/>
      </w:r>
      <w:r>
        <w:rPr>
          <w:rFonts w:hint="eastAsia" w:ascii="宋体" w:hAnsi="宋体"/>
          <w:color w:val="auto"/>
          <w:sz w:val="22"/>
          <w:szCs w:val="21"/>
          <w:highlight w:val="none"/>
          <w:u w:val="single"/>
        </w:rPr>
        <w:tab/>
      </w:r>
      <w:r>
        <w:rPr>
          <w:rFonts w:hint="eastAsia" w:ascii="宋体" w:hAnsi="宋体"/>
          <w:color w:val="auto"/>
          <w:sz w:val="22"/>
          <w:szCs w:val="21"/>
          <w:highlight w:val="none"/>
          <w:u w:val="single"/>
        </w:rPr>
        <w:tab/>
      </w:r>
      <w:r>
        <w:rPr>
          <w:rFonts w:hint="eastAsia" w:ascii="宋体" w:hAnsi="宋体"/>
          <w:color w:val="auto"/>
          <w:sz w:val="22"/>
          <w:szCs w:val="21"/>
          <w:highlight w:val="none"/>
          <w:u w:val="single"/>
        </w:rPr>
        <w:t xml:space="preserve">           </w:t>
      </w:r>
    </w:p>
    <w:p w14:paraId="709C6E37">
      <w:pPr>
        <w:spacing w:line="480" w:lineRule="auto"/>
        <w:ind w:firstLine="610"/>
        <w:rPr>
          <w:rFonts w:ascii="宋体" w:hAnsi="宋体"/>
          <w:color w:val="auto"/>
          <w:sz w:val="22"/>
          <w:szCs w:val="21"/>
          <w:highlight w:val="none"/>
        </w:rPr>
      </w:pPr>
      <w:r>
        <w:rPr>
          <w:rFonts w:hint="eastAsia" w:ascii="宋体" w:hAnsi="宋体"/>
          <w:color w:val="auto"/>
          <w:sz w:val="22"/>
          <w:szCs w:val="21"/>
          <w:highlight w:val="none"/>
        </w:rPr>
        <w:t>成立时间：</w:t>
      </w:r>
      <w:r>
        <w:rPr>
          <w:rFonts w:ascii="宋体" w:hAnsi="宋体"/>
          <w:color w:val="auto"/>
          <w:sz w:val="22"/>
          <w:szCs w:val="21"/>
          <w:highlight w:val="none"/>
          <w:u w:val="single"/>
        </w:rPr>
        <w:t xml:space="preserve">        </w:t>
      </w:r>
      <w:r>
        <w:rPr>
          <w:rFonts w:hint="eastAsia" w:ascii="宋体" w:hAnsi="宋体"/>
          <w:color w:val="auto"/>
          <w:sz w:val="22"/>
          <w:szCs w:val="21"/>
          <w:highlight w:val="none"/>
          <w:u w:val="single"/>
        </w:rPr>
        <w:t xml:space="preserve">  </w:t>
      </w:r>
      <w:r>
        <w:rPr>
          <w:rFonts w:hint="eastAsia" w:ascii="宋体" w:hAnsi="宋体"/>
          <w:color w:val="auto"/>
          <w:sz w:val="22"/>
          <w:szCs w:val="21"/>
          <w:highlight w:val="none"/>
        </w:rPr>
        <w:t>年</w:t>
      </w:r>
      <w:r>
        <w:rPr>
          <w:rFonts w:ascii="宋体" w:hAnsi="宋体"/>
          <w:color w:val="auto"/>
          <w:sz w:val="22"/>
          <w:szCs w:val="21"/>
          <w:highlight w:val="none"/>
          <w:u w:val="single"/>
        </w:rPr>
        <w:t xml:space="preserve">       </w:t>
      </w:r>
      <w:r>
        <w:rPr>
          <w:rFonts w:hint="eastAsia" w:ascii="宋体" w:hAnsi="宋体"/>
          <w:color w:val="auto"/>
          <w:sz w:val="22"/>
          <w:szCs w:val="21"/>
          <w:highlight w:val="none"/>
          <w:u w:val="single"/>
        </w:rPr>
        <w:t xml:space="preserve"> </w:t>
      </w:r>
      <w:r>
        <w:rPr>
          <w:rFonts w:hint="eastAsia" w:ascii="宋体" w:hAnsi="宋体"/>
          <w:color w:val="auto"/>
          <w:sz w:val="22"/>
          <w:szCs w:val="21"/>
          <w:highlight w:val="none"/>
        </w:rPr>
        <w:t>月</w:t>
      </w:r>
      <w:r>
        <w:rPr>
          <w:rFonts w:ascii="宋体" w:hAnsi="宋体"/>
          <w:color w:val="auto"/>
          <w:sz w:val="22"/>
          <w:szCs w:val="21"/>
          <w:highlight w:val="none"/>
          <w:u w:val="single"/>
        </w:rPr>
        <w:t xml:space="preserve">     </w:t>
      </w:r>
      <w:r>
        <w:rPr>
          <w:rFonts w:hint="eastAsia" w:ascii="宋体" w:hAnsi="宋体"/>
          <w:color w:val="auto"/>
          <w:sz w:val="22"/>
          <w:szCs w:val="21"/>
          <w:highlight w:val="none"/>
          <w:u w:val="single"/>
        </w:rPr>
        <w:t xml:space="preserve">  </w:t>
      </w:r>
      <w:r>
        <w:rPr>
          <w:rFonts w:ascii="宋体" w:hAnsi="宋体"/>
          <w:color w:val="auto"/>
          <w:sz w:val="22"/>
          <w:szCs w:val="21"/>
          <w:highlight w:val="none"/>
          <w:u w:val="single"/>
        </w:rPr>
        <w:t xml:space="preserve"> </w:t>
      </w:r>
      <w:r>
        <w:rPr>
          <w:rFonts w:hint="eastAsia" w:ascii="宋体" w:hAnsi="宋体"/>
          <w:color w:val="auto"/>
          <w:sz w:val="22"/>
          <w:szCs w:val="21"/>
          <w:highlight w:val="none"/>
        </w:rPr>
        <w:t>日</w:t>
      </w:r>
    </w:p>
    <w:p w14:paraId="4563B927">
      <w:pPr>
        <w:spacing w:line="480" w:lineRule="auto"/>
        <w:ind w:firstLine="610"/>
        <w:rPr>
          <w:rFonts w:ascii="宋体" w:hAnsi="宋体"/>
          <w:color w:val="auto"/>
          <w:sz w:val="22"/>
          <w:szCs w:val="21"/>
          <w:highlight w:val="none"/>
          <w:u w:val="single"/>
        </w:rPr>
      </w:pPr>
      <w:r>
        <w:rPr>
          <w:rFonts w:hint="eastAsia" w:ascii="宋体" w:hAnsi="宋体"/>
          <w:color w:val="auto"/>
          <w:sz w:val="22"/>
          <w:szCs w:val="21"/>
          <w:highlight w:val="none"/>
        </w:rPr>
        <w:t>经营期限：</w:t>
      </w:r>
      <w:r>
        <w:rPr>
          <w:rFonts w:hint="eastAsia" w:ascii="宋体" w:hAnsi="宋体"/>
          <w:color w:val="auto"/>
          <w:sz w:val="22"/>
          <w:szCs w:val="21"/>
          <w:highlight w:val="none"/>
          <w:u w:val="single"/>
        </w:rPr>
        <w:tab/>
      </w:r>
      <w:r>
        <w:rPr>
          <w:rFonts w:hint="eastAsia" w:ascii="宋体" w:hAnsi="宋体"/>
          <w:color w:val="auto"/>
          <w:sz w:val="22"/>
          <w:szCs w:val="21"/>
          <w:highlight w:val="none"/>
          <w:u w:val="single"/>
        </w:rPr>
        <w:t xml:space="preserve">                          </w:t>
      </w:r>
    </w:p>
    <w:p w14:paraId="0E95B732">
      <w:pPr>
        <w:spacing w:line="480" w:lineRule="auto"/>
        <w:ind w:firstLine="610"/>
        <w:rPr>
          <w:rFonts w:ascii="宋体" w:hAnsi="宋体"/>
          <w:color w:val="auto"/>
          <w:sz w:val="22"/>
          <w:szCs w:val="21"/>
          <w:highlight w:val="none"/>
        </w:rPr>
      </w:pPr>
      <w:r>
        <w:rPr>
          <w:rFonts w:hint="eastAsia" w:ascii="宋体" w:hAnsi="宋体"/>
          <w:color w:val="auto"/>
          <w:sz w:val="22"/>
          <w:szCs w:val="21"/>
          <w:highlight w:val="none"/>
        </w:rPr>
        <w:t>姓</w:t>
      </w:r>
      <w:r>
        <w:rPr>
          <w:rFonts w:ascii="宋体" w:hAnsi="宋体"/>
          <w:color w:val="auto"/>
          <w:sz w:val="22"/>
          <w:szCs w:val="21"/>
          <w:highlight w:val="none"/>
        </w:rPr>
        <w:t xml:space="preserve">    名：</w:t>
      </w:r>
      <w:r>
        <w:rPr>
          <w:rFonts w:ascii="宋体" w:hAnsi="宋体"/>
          <w:color w:val="auto"/>
          <w:sz w:val="22"/>
          <w:szCs w:val="21"/>
          <w:highlight w:val="none"/>
          <w:u w:val="single"/>
        </w:rPr>
        <w:t xml:space="preserve">        </w:t>
      </w:r>
      <w:r>
        <w:rPr>
          <w:rFonts w:ascii="宋体" w:hAnsi="宋体"/>
          <w:color w:val="auto"/>
          <w:sz w:val="22"/>
          <w:szCs w:val="21"/>
          <w:highlight w:val="none"/>
        </w:rPr>
        <w:t xml:space="preserve"> 性别：</w:t>
      </w:r>
      <w:r>
        <w:rPr>
          <w:rFonts w:ascii="宋体" w:hAnsi="宋体"/>
          <w:color w:val="auto"/>
          <w:sz w:val="22"/>
          <w:szCs w:val="21"/>
          <w:highlight w:val="none"/>
          <w:u w:val="single"/>
        </w:rPr>
        <w:t xml:space="preserve">        </w:t>
      </w:r>
      <w:r>
        <w:rPr>
          <w:rFonts w:ascii="宋体" w:hAnsi="宋体"/>
          <w:color w:val="auto"/>
          <w:sz w:val="22"/>
          <w:szCs w:val="21"/>
          <w:highlight w:val="none"/>
        </w:rPr>
        <w:t>年龄：</w:t>
      </w:r>
      <w:r>
        <w:rPr>
          <w:rFonts w:ascii="宋体" w:hAnsi="宋体"/>
          <w:color w:val="auto"/>
          <w:sz w:val="22"/>
          <w:szCs w:val="21"/>
          <w:highlight w:val="none"/>
          <w:u w:val="single"/>
        </w:rPr>
        <w:t xml:space="preserve">          </w:t>
      </w:r>
      <w:r>
        <w:rPr>
          <w:rFonts w:ascii="宋体" w:hAnsi="宋体"/>
          <w:color w:val="auto"/>
          <w:sz w:val="22"/>
          <w:szCs w:val="21"/>
          <w:highlight w:val="none"/>
        </w:rPr>
        <w:t xml:space="preserve"> 职务：</w:t>
      </w:r>
      <w:r>
        <w:rPr>
          <w:rFonts w:hint="eastAsia" w:ascii="宋体" w:hAnsi="宋体"/>
          <w:color w:val="auto"/>
          <w:sz w:val="22"/>
          <w:szCs w:val="21"/>
          <w:highlight w:val="none"/>
          <w:u w:val="single"/>
        </w:rPr>
        <w:tab/>
      </w:r>
      <w:r>
        <w:rPr>
          <w:rFonts w:hint="eastAsia" w:ascii="宋体" w:hAnsi="宋体"/>
          <w:color w:val="auto"/>
          <w:sz w:val="22"/>
          <w:szCs w:val="21"/>
          <w:highlight w:val="none"/>
          <w:u w:val="single"/>
        </w:rPr>
        <w:tab/>
      </w:r>
      <w:r>
        <w:rPr>
          <w:rFonts w:hint="eastAsia" w:ascii="宋体" w:hAnsi="宋体"/>
          <w:color w:val="auto"/>
          <w:sz w:val="22"/>
          <w:szCs w:val="21"/>
          <w:highlight w:val="none"/>
          <w:u w:val="single"/>
        </w:rPr>
        <w:t xml:space="preserve"> </w:t>
      </w:r>
    </w:p>
    <w:p w14:paraId="3841F853">
      <w:pPr>
        <w:spacing w:line="480" w:lineRule="auto"/>
        <w:ind w:firstLine="610"/>
        <w:rPr>
          <w:rFonts w:ascii="宋体" w:hAnsi="宋体"/>
          <w:color w:val="auto"/>
          <w:sz w:val="22"/>
          <w:szCs w:val="21"/>
          <w:highlight w:val="none"/>
        </w:rPr>
      </w:pPr>
      <w:r>
        <w:rPr>
          <w:rFonts w:hint="eastAsia" w:ascii="宋体" w:hAnsi="宋体"/>
          <w:color w:val="auto"/>
          <w:sz w:val="22"/>
          <w:szCs w:val="21"/>
          <w:highlight w:val="none"/>
        </w:rPr>
        <w:t>系</w:t>
      </w:r>
      <w:r>
        <w:rPr>
          <w:rFonts w:ascii="宋体" w:hAnsi="宋体"/>
          <w:color w:val="auto"/>
          <w:sz w:val="22"/>
          <w:szCs w:val="21"/>
          <w:highlight w:val="none"/>
          <w:u w:val="single"/>
        </w:rPr>
        <w:t xml:space="preserve">          </w:t>
      </w:r>
      <w:r>
        <w:rPr>
          <w:rFonts w:hint="eastAsia" w:ascii="宋体" w:hAnsi="宋体"/>
          <w:color w:val="auto"/>
          <w:sz w:val="22"/>
          <w:szCs w:val="21"/>
          <w:highlight w:val="none"/>
          <w:u w:val="single"/>
        </w:rPr>
        <w:t xml:space="preserve">                        </w:t>
      </w:r>
      <w:r>
        <w:rPr>
          <w:rFonts w:ascii="宋体" w:hAnsi="宋体"/>
          <w:color w:val="auto"/>
          <w:sz w:val="22"/>
          <w:szCs w:val="21"/>
          <w:highlight w:val="none"/>
          <w:u w:val="single"/>
        </w:rPr>
        <w:t xml:space="preserve">       </w:t>
      </w:r>
      <w:r>
        <w:rPr>
          <w:rFonts w:hint="eastAsia" w:ascii="宋体" w:hAnsi="宋体"/>
          <w:color w:val="auto"/>
          <w:sz w:val="22"/>
          <w:szCs w:val="21"/>
          <w:highlight w:val="none"/>
        </w:rPr>
        <w:t>的法定代表人。</w:t>
      </w:r>
    </w:p>
    <w:p w14:paraId="585EA634">
      <w:pPr>
        <w:spacing w:line="480" w:lineRule="auto"/>
        <w:ind w:firstLine="610"/>
        <w:rPr>
          <w:rFonts w:ascii="宋体" w:hAnsi="宋体"/>
          <w:color w:val="auto"/>
          <w:sz w:val="22"/>
          <w:szCs w:val="21"/>
          <w:highlight w:val="none"/>
        </w:rPr>
      </w:pPr>
    </w:p>
    <w:p w14:paraId="7530FEC2">
      <w:pPr>
        <w:spacing w:line="480" w:lineRule="auto"/>
        <w:ind w:firstLine="610"/>
        <w:rPr>
          <w:rFonts w:ascii="宋体" w:hAnsi="宋体"/>
          <w:color w:val="auto"/>
          <w:sz w:val="22"/>
          <w:szCs w:val="21"/>
          <w:highlight w:val="none"/>
        </w:rPr>
      </w:pPr>
      <w:r>
        <w:rPr>
          <w:rFonts w:hint="eastAsia" w:ascii="宋体" w:hAnsi="宋体"/>
          <w:color w:val="auto"/>
          <w:sz w:val="22"/>
          <w:szCs w:val="21"/>
          <w:highlight w:val="none"/>
        </w:rPr>
        <w:t>特此证明</w:t>
      </w:r>
    </w:p>
    <w:p w14:paraId="6851FBBF">
      <w:pPr>
        <w:tabs>
          <w:tab w:val="left" w:pos="720"/>
          <w:tab w:val="left" w:pos="900"/>
        </w:tabs>
        <w:spacing w:line="480" w:lineRule="auto"/>
        <w:ind w:firstLine="3672" w:firstLineChars="1800"/>
        <w:rPr>
          <w:rFonts w:ascii="宋体" w:hAnsi="宋体"/>
          <w:color w:val="auto"/>
          <w:sz w:val="22"/>
          <w:szCs w:val="21"/>
          <w:highlight w:val="none"/>
        </w:rPr>
      </w:pPr>
    </w:p>
    <w:p w14:paraId="139F63A1">
      <w:pPr>
        <w:tabs>
          <w:tab w:val="left" w:pos="720"/>
          <w:tab w:val="left" w:pos="900"/>
        </w:tabs>
        <w:spacing w:line="480" w:lineRule="auto"/>
        <w:ind w:firstLine="3672" w:firstLineChars="1800"/>
        <w:rPr>
          <w:rFonts w:ascii="宋体" w:hAnsi="宋体"/>
          <w:color w:val="auto"/>
          <w:sz w:val="22"/>
          <w:szCs w:val="21"/>
          <w:highlight w:val="none"/>
        </w:rPr>
      </w:pPr>
      <w:r>
        <w:rPr>
          <w:rFonts w:hint="eastAsia" w:ascii="宋体" w:hAnsi="宋体"/>
          <w:color w:val="auto"/>
          <w:sz w:val="22"/>
          <w:szCs w:val="21"/>
          <w:highlight w:val="none"/>
          <w:lang w:eastAsia="zh-CN"/>
        </w:rPr>
        <w:t>供应商</w:t>
      </w:r>
      <w:r>
        <w:rPr>
          <w:rFonts w:hint="eastAsia" w:ascii="宋体" w:hAnsi="宋体"/>
          <w:color w:val="auto"/>
          <w:sz w:val="22"/>
          <w:szCs w:val="21"/>
          <w:highlight w:val="none"/>
        </w:rPr>
        <w:t>：</w:t>
      </w:r>
      <w:r>
        <w:rPr>
          <w:rFonts w:ascii="宋体" w:hAnsi="宋体"/>
          <w:color w:val="auto"/>
          <w:sz w:val="22"/>
          <w:szCs w:val="21"/>
          <w:highlight w:val="none"/>
          <w:u w:val="single"/>
        </w:rPr>
        <w:t xml:space="preserve">             </w:t>
      </w:r>
      <w:r>
        <w:rPr>
          <w:rFonts w:ascii="宋体" w:hAnsi="宋体"/>
          <w:color w:val="auto"/>
          <w:sz w:val="22"/>
          <w:szCs w:val="21"/>
          <w:highlight w:val="none"/>
        </w:rPr>
        <w:t>（盖</w:t>
      </w:r>
      <w:r>
        <w:rPr>
          <w:rFonts w:hint="eastAsia" w:ascii="宋体" w:hAnsi="宋体"/>
          <w:color w:val="auto"/>
          <w:sz w:val="22"/>
          <w:szCs w:val="21"/>
          <w:highlight w:val="none"/>
        </w:rPr>
        <w:t>单位</w:t>
      </w:r>
      <w:r>
        <w:rPr>
          <w:rFonts w:ascii="宋体" w:hAnsi="宋体"/>
          <w:color w:val="auto"/>
          <w:sz w:val="22"/>
          <w:szCs w:val="21"/>
          <w:highlight w:val="none"/>
        </w:rPr>
        <w:t>章）</w:t>
      </w:r>
    </w:p>
    <w:p w14:paraId="1646E2B7">
      <w:pPr>
        <w:spacing w:line="480" w:lineRule="auto"/>
        <w:ind w:firstLine="4998" w:firstLineChars="2450"/>
        <w:jc w:val="left"/>
        <w:rPr>
          <w:rFonts w:ascii="宋体" w:hAnsi="宋体"/>
          <w:bCs/>
          <w:color w:val="auto"/>
          <w:sz w:val="22"/>
          <w:szCs w:val="21"/>
          <w:highlight w:val="none"/>
        </w:rPr>
      </w:pPr>
      <w:r>
        <w:rPr>
          <w:rFonts w:hint="eastAsia" w:ascii="宋体" w:hAnsi="宋体"/>
          <w:bCs/>
          <w:color w:val="auto"/>
          <w:sz w:val="22"/>
          <w:szCs w:val="21"/>
          <w:highlight w:val="none"/>
        </w:rPr>
        <w:t xml:space="preserve">  </w:t>
      </w:r>
      <w:r>
        <w:rPr>
          <w:rFonts w:hint="eastAsia" w:ascii="宋体" w:hAnsi="宋体"/>
          <w:bCs/>
          <w:color w:val="auto"/>
          <w:sz w:val="22"/>
          <w:szCs w:val="21"/>
          <w:highlight w:val="none"/>
          <w:u w:val="single"/>
        </w:rPr>
        <w:t xml:space="preserve">     </w:t>
      </w:r>
      <w:r>
        <w:rPr>
          <w:rFonts w:hint="eastAsia" w:ascii="宋体" w:hAnsi="宋体"/>
          <w:bCs/>
          <w:color w:val="auto"/>
          <w:sz w:val="22"/>
          <w:szCs w:val="21"/>
          <w:highlight w:val="none"/>
        </w:rPr>
        <w:t>年</w:t>
      </w:r>
      <w:r>
        <w:rPr>
          <w:rFonts w:hint="eastAsia" w:ascii="宋体" w:hAnsi="宋体"/>
          <w:bCs/>
          <w:color w:val="auto"/>
          <w:sz w:val="22"/>
          <w:szCs w:val="21"/>
          <w:highlight w:val="none"/>
          <w:u w:val="single"/>
        </w:rPr>
        <w:t xml:space="preserve">   </w:t>
      </w:r>
      <w:r>
        <w:rPr>
          <w:rFonts w:hint="eastAsia" w:ascii="宋体" w:hAnsi="宋体"/>
          <w:bCs/>
          <w:color w:val="auto"/>
          <w:sz w:val="22"/>
          <w:szCs w:val="21"/>
          <w:highlight w:val="none"/>
        </w:rPr>
        <w:t>月</w:t>
      </w:r>
      <w:r>
        <w:rPr>
          <w:rFonts w:hint="eastAsia" w:ascii="宋体" w:hAnsi="宋体"/>
          <w:bCs/>
          <w:color w:val="auto"/>
          <w:sz w:val="22"/>
          <w:szCs w:val="21"/>
          <w:highlight w:val="none"/>
          <w:u w:val="single"/>
        </w:rPr>
        <w:t xml:space="preserve">   </w:t>
      </w:r>
      <w:r>
        <w:rPr>
          <w:rFonts w:hint="eastAsia" w:ascii="宋体" w:hAnsi="宋体"/>
          <w:bCs/>
          <w:color w:val="auto"/>
          <w:sz w:val="22"/>
          <w:szCs w:val="21"/>
          <w:highlight w:val="none"/>
        </w:rPr>
        <w:t>日</w:t>
      </w:r>
    </w:p>
    <w:p w14:paraId="75633D20">
      <w:pPr>
        <w:spacing w:line="480" w:lineRule="auto"/>
        <w:rPr>
          <w:rFonts w:ascii="宋体"/>
          <w:b/>
          <w:color w:val="auto"/>
          <w:sz w:val="24"/>
          <w:highlight w:val="none"/>
        </w:rPr>
      </w:pPr>
      <w:r>
        <w:rPr>
          <w:rFonts w:ascii="黑体" w:hAnsi="黑体" w:eastAsia="黑体"/>
          <w:b/>
          <w:color w:val="auto"/>
          <w:sz w:val="32"/>
          <w:highlight w:val="none"/>
          <w:lang w:val="zh-CN"/>
        </w:rPr>
        <w:br w:type="page"/>
      </w:r>
      <w:bookmarkEnd w:id="735"/>
      <w:r>
        <w:rPr>
          <w:rFonts w:hint="eastAsia" w:ascii="宋体"/>
          <w:b/>
          <w:color w:val="auto"/>
          <w:sz w:val="24"/>
          <w:highlight w:val="none"/>
        </w:rPr>
        <w:t>格式6</w:t>
      </w:r>
    </w:p>
    <w:p w14:paraId="0B65D5DE">
      <w:pPr>
        <w:jc w:val="center"/>
        <w:rPr>
          <w:b/>
          <w:color w:val="auto"/>
          <w:sz w:val="36"/>
          <w:szCs w:val="30"/>
          <w:highlight w:val="none"/>
        </w:rPr>
      </w:pPr>
      <w:r>
        <w:rPr>
          <w:rFonts w:hint="eastAsia"/>
          <w:b/>
          <w:color w:val="auto"/>
          <w:sz w:val="36"/>
          <w:szCs w:val="30"/>
          <w:highlight w:val="none"/>
        </w:rPr>
        <w:t>法定代表人授权委托书</w:t>
      </w:r>
    </w:p>
    <w:p w14:paraId="777BDA4A">
      <w:pPr>
        <w:autoSpaceDE w:val="0"/>
        <w:autoSpaceDN w:val="0"/>
        <w:adjustRightInd w:val="0"/>
        <w:spacing w:line="400" w:lineRule="exact"/>
        <w:jc w:val="left"/>
        <w:rPr>
          <w:rFonts w:ascii="宋体" w:hAnsi="宋体" w:cs="宋体"/>
          <w:bCs/>
          <w:color w:val="auto"/>
          <w:szCs w:val="18"/>
          <w:highlight w:val="none"/>
          <w:lang w:val="zh-CN"/>
        </w:rPr>
      </w:pPr>
    </w:p>
    <w:p w14:paraId="0415B566">
      <w:pPr>
        <w:spacing w:line="360" w:lineRule="auto"/>
        <w:ind w:firstLine="388" w:firstLineChars="200"/>
        <w:jc w:val="left"/>
        <w:rPr>
          <w:rFonts w:ascii="宋体" w:hAnsi="宋体"/>
          <w:color w:val="auto"/>
          <w:szCs w:val="21"/>
          <w:highlight w:val="none"/>
        </w:rPr>
      </w:pPr>
      <w:r>
        <w:rPr>
          <w:rFonts w:hint="eastAsia" w:ascii="宋体" w:hAnsi="宋体"/>
          <w:color w:val="auto"/>
          <w:szCs w:val="21"/>
          <w:highlight w:val="none"/>
        </w:rPr>
        <w:t>本人</w:t>
      </w:r>
      <w:r>
        <w:rPr>
          <w:rFonts w:hint="eastAsia" w:ascii="宋体" w:hAnsi="宋体"/>
          <w:color w:val="auto"/>
          <w:szCs w:val="21"/>
          <w:highlight w:val="none"/>
          <w:u w:val="single"/>
        </w:rPr>
        <w:t xml:space="preserve">         </w:t>
      </w:r>
      <w:r>
        <w:rPr>
          <w:rFonts w:hint="eastAsia" w:ascii="宋体" w:hAnsi="宋体"/>
          <w:color w:val="auto"/>
          <w:szCs w:val="21"/>
          <w:highlight w:val="none"/>
        </w:rPr>
        <w:t>（姓名）系</w:t>
      </w:r>
      <w:r>
        <w:rPr>
          <w:rFonts w:hint="eastAsia" w:ascii="宋体" w:hAnsi="宋体"/>
          <w:color w:val="auto"/>
          <w:szCs w:val="21"/>
          <w:highlight w:val="none"/>
          <w:u w:val="single"/>
        </w:rPr>
        <w:t xml:space="preserve">                             </w:t>
      </w:r>
      <w:r>
        <w:rPr>
          <w:rFonts w:hint="eastAsia" w:ascii="宋体" w:hAnsi="宋体"/>
          <w:color w:val="auto"/>
          <w:szCs w:val="21"/>
          <w:highlight w:val="none"/>
        </w:rPr>
        <w:t>（投 标 人 名 称）的法定代表人，现授权委托</w:t>
      </w:r>
      <w:r>
        <w:rPr>
          <w:rFonts w:hint="eastAsia" w:ascii="宋体" w:hAnsi="宋体"/>
          <w:color w:val="auto"/>
          <w:szCs w:val="21"/>
          <w:highlight w:val="none"/>
          <w:u w:val="single"/>
        </w:rPr>
        <w:t xml:space="preserve">        </w:t>
      </w:r>
      <w:r>
        <w:rPr>
          <w:rFonts w:hint="eastAsia" w:ascii="宋体" w:hAnsi="宋体"/>
          <w:color w:val="auto"/>
          <w:szCs w:val="21"/>
          <w:highlight w:val="none"/>
        </w:rPr>
        <w:t>（姓名）为我方代理人，代理人根据授权，以我方名义签署、澄清、说明、补正、递交、撤回、修改</w:t>
      </w:r>
      <w:r>
        <w:rPr>
          <w:rFonts w:hint="eastAsia" w:ascii="宋体" w:hAnsi="宋体"/>
          <w:color w:val="auto"/>
          <w:szCs w:val="21"/>
          <w:highlight w:val="none"/>
          <w:u w:val="single"/>
        </w:rPr>
        <w:t xml:space="preserve">                 </w:t>
      </w:r>
      <w:r>
        <w:rPr>
          <w:rFonts w:hint="eastAsia" w:ascii="宋体" w:hAnsi="宋体"/>
          <w:color w:val="auto"/>
          <w:szCs w:val="21"/>
          <w:highlight w:val="none"/>
        </w:rPr>
        <w:t>（项目名称）</w:t>
      </w:r>
      <w:r>
        <w:rPr>
          <w:rFonts w:hint="eastAsia" w:ascii="宋体" w:hAnsi="宋体"/>
          <w:color w:val="auto"/>
          <w:szCs w:val="21"/>
          <w:highlight w:val="none"/>
          <w:lang w:eastAsia="zh-CN"/>
        </w:rPr>
        <w:t>响应文件</w:t>
      </w:r>
      <w:r>
        <w:rPr>
          <w:rFonts w:hint="eastAsia" w:ascii="宋体" w:hAnsi="宋体"/>
          <w:color w:val="auto"/>
          <w:szCs w:val="21"/>
          <w:highlight w:val="none"/>
        </w:rPr>
        <w:t>、</w:t>
      </w:r>
      <w:r>
        <w:rPr>
          <w:rFonts w:hint="eastAsia" w:ascii="宋体" w:hAnsi="宋体"/>
          <w:color w:val="auto"/>
          <w:szCs w:val="21"/>
          <w:highlight w:val="none"/>
          <w:lang w:eastAsia="zh-CN"/>
        </w:rPr>
        <w:t>签订合同</w:t>
      </w:r>
      <w:r>
        <w:rPr>
          <w:rFonts w:hint="eastAsia" w:ascii="宋体" w:hAnsi="宋体"/>
          <w:color w:val="auto"/>
          <w:szCs w:val="21"/>
          <w:highlight w:val="none"/>
        </w:rPr>
        <w:t>和处理有关事宜，其法律后果由我方承担。</w:t>
      </w:r>
    </w:p>
    <w:p w14:paraId="5024890B">
      <w:pPr>
        <w:spacing w:line="360" w:lineRule="auto"/>
        <w:ind w:firstLine="388" w:firstLineChars="200"/>
        <w:jc w:val="left"/>
        <w:rPr>
          <w:rFonts w:ascii="宋体" w:hAnsi="宋体"/>
          <w:color w:val="auto"/>
          <w:szCs w:val="21"/>
          <w:highlight w:val="none"/>
          <w:u w:val="single"/>
        </w:rPr>
      </w:pPr>
      <w:r>
        <w:rPr>
          <w:rFonts w:hint="eastAsia" w:ascii="宋体" w:hAnsi="宋体"/>
          <w:color w:val="auto"/>
          <w:szCs w:val="21"/>
          <w:highlight w:val="none"/>
        </w:rPr>
        <w:t>委托期限：</w:t>
      </w:r>
      <w:r>
        <w:rPr>
          <w:rFonts w:hint="eastAsia" w:ascii="宋体" w:hAnsi="宋体"/>
          <w:color w:val="auto"/>
          <w:szCs w:val="21"/>
          <w:highlight w:val="none"/>
          <w:u w:val="single"/>
        </w:rPr>
        <w:t xml:space="preserve">                      </w:t>
      </w:r>
    </w:p>
    <w:p w14:paraId="7E7F825C">
      <w:pPr>
        <w:spacing w:line="360" w:lineRule="auto"/>
        <w:ind w:firstLine="388" w:firstLineChars="200"/>
        <w:rPr>
          <w:rFonts w:ascii="宋体" w:hAnsi="宋体"/>
          <w:color w:val="auto"/>
          <w:szCs w:val="21"/>
          <w:highlight w:val="none"/>
        </w:rPr>
      </w:pPr>
      <w:r>
        <w:rPr>
          <w:rFonts w:hint="eastAsia" w:ascii="宋体" w:hAnsi="宋体"/>
          <w:color w:val="auto"/>
          <w:szCs w:val="21"/>
          <w:highlight w:val="none"/>
        </w:rPr>
        <w:t>代理人无转委托权，特此委托。</w:t>
      </w:r>
    </w:p>
    <w:p w14:paraId="0F567362">
      <w:pPr>
        <w:jc w:val="left"/>
        <w:rPr>
          <w:rFonts w:ascii="宋体" w:hAnsi="宋体"/>
          <w:color w:val="auto"/>
          <w:szCs w:val="21"/>
          <w:highlight w:val="none"/>
        </w:rPr>
      </w:pPr>
      <w:r>
        <w:rPr>
          <w:rFonts w:hint="eastAsia" w:ascii="宋体" w:hAnsi="宋体"/>
          <w:color w:val="auto"/>
          <w:szCs w:val="21"/>
          <w:highlight w:val="none"/>
        </w:rPr>
        <w:t xml:space="preserve">    附：法定代表人身份证明</w:t>
      </w:r>
    </w:p>
    <w:p w14:paraId="4BAC30A1">
      <w:pPr>
        <w:ind w:left="1260"/>
        <w:rPr>
          <w:rFonts w:ascii="宋体" w:hAnsi="宋体"/>
          <w:color w:val="auto"/>
          <w:szCs w:val="21"/>
          <w:highlight w:val="none"/>
        </w:rPr>
      </w:pPr>
    </w:p>
    <w:p w14:paraId="4011DB41">
      <w:pPr>
        <w:ind w:left="1260"/>
        <w:rPr>
          <w:rFonts w:ascii="宋体" w:hAnsi="宋体"/>
          <w:color w:val="auto"/>
          <w:szCs w:val="21"/>
          <w:highlight w:val="none"/>
        </w:rPr>
      </w:pPr>
    </w:p>
    <w:p w14:paraId="09478B85">
      <w:pPr>
        <w:rPr>
          <w:rFonts w:ascii="宋体" w:hAnsi="宋体"/>
          <w:color w:val="auto"/>
          <w:szCs w:val="21"/>
          <w:highlight w:val="none"/>
        </w:rPr>
      </w:pPr>
    </w:p>
    <w:p w14:paraId="479E59F0">
      <w:pPr>
        <w:ind w:left="1260"/>
        <w:rPr>
          <w:rFonts w:ascii="宋体" w:hAnsi="宋体"/>
          <w:color w:val="auto"/>
          <w:szCs w:val="21"/>
          <w:highlight w:val="none"/>
        </w:rPr>
      </w:pPr>
    </w:p>
    <w:p w14:paraId="28568606">
      <w:pPr>
        <w:ind w:left="1260"/>
        <w:rPr>
          <w:rFonts w:ascii="宋体" w:hAnsi="宋体"/>
          <w:color w:val="auto"/>
          <w:szCs w:val="21"/>
          <w:highlight w:val="none"/>
        </w:rPr>
      </w:pPr>
    </w:p>
    <w:p w14:paraId="3BCDA0BD">
      <w:pPr>
        <w:spacing w:line="480" w:lineRule="auto"/>
        <w:ind w:firstLine="2134" w:firstLineChars="1100"/>
        <w:rPr>
          <w:rFonts w:ascii="宋体" w:hAnsi="宋体"/>
          <w:color w:val="auto"/>
          <w:szCs w:val="21"/>
          <w:highlight w:val="none"/>
        </w:rPr>
      </w:pPr>
      <w:r>
        <w:rPr>
          <w:rFonts w:hint="eastAsia" w:ascii="宋体" w:hAnsi="宋体"/>
          <w:color w:val="auto"/>
          <w:szCs w:val="21"/>
          <w:highlight w:val="none"/>
        </w:rPr>
        <w:t>投  标  人：</w:t>
      </w:r>
      <w:r>
        <w:rPr>
          <w:rFonts w:hint="eastAsia" w:ascii="宋体" w:hAnsi="宋体"/>
          <w:color w:val="auto"/>
          <w:szCs w:val="21"/>
          <w:highlight w:val="none"/>
          <w:u w:val="single"/>
        </w:rPr>
        <w:t xml:space="preserve">                        </w:t>
      </w:r>
      <w:r>
        <w:rPr>
          <w:rFonts w:hint="eastAsia" w:ascii="宋体" w:hAnsi="宋体"/>
          <w:color w:val="auto"/>
          <w:szCs w:val="21"/>
          <w:highlight w:val="none"/>
        </w:rPr>
        <w:t>（盖章）</w:t>
      </w:r>
    </w:p>
    <w:p w14:paraId="5EC6E5E6">
      <w:pPr>
        <w:spacing w:line="480" w:lineRule="auto"/>
        <w:ind w:firstLine="2134" w:firstLineChars="1100"/>
        <w:rPr>
          <w:rFonts w:ascii="宋体" w:hAnsi="宋体"/>
          <w:color w:val="auto"/>
          <w:szCs w:val="21"/>
          <w:highlight w:val="none"/>
        </w:rPr>
      </w:pPr>
      <w:r>
        <w:rPr>
          <w:rFonts w:hint="eastAsia" w:ascii="宋体" w:hAnsi="宋体"/>
          <w:color w:val="auto"/>
          <w:szCs w:val="21"/>
          <w:highlight w:val="none"/>
        </w:rPr>
        <w:t>法定代表人：</w:t>
      </w:r>
      <w:r>
        <w:rPr>
          <w:rFonts w:hint="eastAsia" w:ascii="宋体" w:hAnsi="宋体"/>
          <w:color w:val="auto"/>
          <w:szCs w:val="21"/>
          <w:highlight w:val="none"/>
          <w:u w:val="single"/>
        </w:rPr>
        <w:t xml:space="preserve">                        </w:t>
      </w:r>
      <w:r>
        <w:rPr>
          <w:rFonts w:hint="eastAsia" w:ascii="宋体" w:hAnsi="宋体"/>
          <w:color w:val="auto"/>
          <w:szCs w:val="21"/>
          <w:highlight w:val="none"/>
        </w:rPr>
        <w:t>（签字或盖章）</w:t>
      </w:r>
    </w:p>
    <w:p w14:paraId="5B89D69A">
      <w:pPr>
        <w:spacing w:line="480" w:lineRule="auto"/>
        <w:ind w:firstLine="2134" w:firstLineChars="1100"/>
        <w:rPr>
          <w:rFonts w:ascii="宋体" w:hAnsi="宋体"/>
          <w:color w:val="auto"/>
          <w:szCs w:val="21"/>
          <w:highlight w:val="none"/>
          <w:u w:val="single"/>
        </w:rPr>
      </w:pPr>
      <w:r>
        <w:rPr>
          <w:rFonts w:hint="eastAsia" w:ascii="宋体" w:hAnsi="宋体"/>
          <w:color w:val="auto"/>
          <w:szCs w:val="21"/>
          <w:highlight w:val="none"/>
        </w:rPr>
        <w:t>身份证号码：</w:t>
      </w:r>
      <w:r>
        <w:rPr>
          <w:rFonts w:hint="eastAsia" w:ascii="宋体" w:hAnsi="宋体"/>
          <w:color w:val="auto"/>
          <w:szCs w:val="21"/>
          <w:highlight w:val="none"/>
          <w:u w:val="single"/>
        </w:rPr>
        <w:t xml:space="preserve">                         </w:t>
      </w:r>
    </w:p>
    <w:p w14:paraId="092C2C6A">
      <w:pPr>
        <w:spacing w:line="480" w:lineRule="auto"/>
        <w:ind w:firstLine="2134" w:firstLineChars="1100"/>
        <w:rPr>
          <w:rFonts w:ascii="宋体" w:hAnsi="宋体"/>
          <w:color w:val="auto"/>
          <w:szCs w:val="21"/>
          <w:highlight w:val="none"/>
        </w:rPr>
      </w:pPr>
      <w:r>
        <w:rPr>
          <w:rFonts w:hint="eastAsia" w:ascii="宋体" w:hAnsi="宋体"/>
          <w:color w:val="auto"/>
          <w:szCs w:val="21"/>
          <w:highlight w:val="none"/>
        </w:rPr>
        <w:t>委托代理人：</w:t>
      </w:r>
      <w:r>
        <w:rPr>
          <w:rFonts w:hint="eastAsia" w:ascii="宋体" w:hAnsi="宋体"/>
          <w:color w:val="auto"/>
          <w:szCs w:val="21"/>
          <w:highlight w:val="none"/>
          <w:u w:val="single"/>
        </w:rPr>
        <w:t xml:space="preserve">                        </w:t>
      </w:r>
      <w:r>
        <w:rPr>
          <w:rFonts w:hint="eastAsia" w:ascii="宋体" w:hAnsi="宋体"/>
          <w:color w:val="auto"/>
          <w:szCs w:val="21"/>
          <w:highlight w:val="none"/>
        </w:rPr>
        <w:t>（签字或盖章）</w:t>
      </w:r>
    </w:p>
    <w:p w14:paraId="7961A807">
      <w:pPr>
        <w:spacing w:line="480" w:lineRule="auto"/>
        <w:ind w:firstLine="2134" w:firstLineChars="1100"/>
        <w:rPr>
          <w:rFonts w:ascii="宋体" w:hAnsi="宋体"/>
          <w:color w:val="auto"/>
          <w:szCs w:val="21"/>
          <w:highlight w:val="none"/>
          <w:u w:val="single"/>
        </w:rPr>
      </w:pPr>
      <w:r>
        <w:rPr>
          <w:rFonts w:hint="eastAsia" w:ascii="宋体" w:hAnsi="宋体"/>
          <w:color w:val="auto"/>
          <w:szCs w:val="21"/>
          <w:highlight w:val="none"/>
        </w:rPr>
        <w:t>身份证号码：</w:t>
      </w:r>
      <w:r>
        <w:rPr>
          <w:rFonts w:hint="eastAsia" w:ascii="宋体" w:hAnsi="宋体"/>
          <w:color w:val="auto"/>
          <w:szCs w:val="21"/>
          <w:highlight w:val="none"/>
          <w:u w:val="single"/>
        </w:rPr>
        <w:t xml:space="preserve">                         </w:t>
      </w:r>
    </w:p>
    <w:p w14:paraId="0B3B1153">
      <w:pPr>
        <w:rPr>
          <w:rFonts w:ascii="宋体" w:hAnsi="宋体"/>
          <w:color w:val="auto"/>
          <w:szCs w:val="21"/>
          <w:highlight w:val="none"/>
        </w:rPr>
      </w:pPr>
      <w:r>
        <w:rPr>
          <w:rFonts w:hint="eastAsia" w:ascii="宋体" w:hAnsi="宋体"/>
          <w:color w:val="auto"/>
          <w:szCs w:val="21"/>
          <w:highlight w:val="none"/>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年 </w:t>
      </w:r>
      <w:r>
        <w:rPr>
          <w:rFonts w:hint="eastAsia" w:ascii="宋体" w:hAnsi="宋体"/>
          <w:color w:val="auto"/>
          <w:szCs w:val="21"/>
          <w:highlight w:val="none"/>
          <w:u w:val="single"/>
        </w:rPr>
        <w:t xml:space="preserve">    </w:t>
      </w:r>
      <w:r>
        <w:rPr>
          <w:rFonts w:hint="eastAsia" w:ascii="宋体" w:hAnsi="宋体"/>
          <w:color w:val="auto"/>
          <w:szCs w:val="21"/>
          <w:highlight w:val="none"/>
        </w:rPr>
        <w:t>月</w:t>
      </w:r>
      <w:r>
        <w:rPr>
          <w:rFonts w:hint="eastAsia" w:ascii="宋体" w:hAnsi="宋体"/>
          <w:color w:val="auto"/>
          <w:szCs w:val="21"/>
          <w:highlight w:val="none"/>
          <w:u w:val="single"/>
        </w:rPr>
        <w:t xml:space="preserve">     </w:t>
      </w:r>
      <w:r>
        <w:rPr>
          <w:rFonts w:hint="eastAsia" w:ascii="宋体" w:hAnsi="宋体"/>
          <w:color w:val="auto"/>
          <w:szCs w:val="21"/>
          <w:highlight w:val="none"/>
        </w:rPr>
        <w:t>日</w:t>
      </w:r>
    </w:p>
    <w:p w14:paraId="2502A613">
      <w:pPr>
        <w:rPr>
          <w:rFonts w:ascii="宋体" w:hAnsi="宋体"/>
          <w:color w:val="auto"/>
          <w:szCs w:val="21"/>
          <w:highlight w:val="none"/>
        </w:rPr>
      </w:pPr>
    </w:p>
    <w:p w14:paraId="239E5BDF">
      <w:pPr>
        <w:rPr>
          <w:rFonts w:ascii="宋体" w:hAnsi="宋体"/>
          <w:color w:val="auto"/>
          <w:szCs w:val="21"/>
          <w:highlight w:val="none"/>
        </w:rPr>
      </w:pPr>
    </w:p>
    <w:p w14:paraId="3D1E193D">
      <w:pPr>
        <w:rPr>
          <w:rFonts w:ascii="宋体" w:hAnsi="宋体"/>
          <w:color w:val="auto"/>
          <w:szCs w:val="21"/>
          <w:highlight w:val="none"/>
        </w:rPr>
      </w:pPr>
    </w:p>
    <w:p w14:paraId="1F6BF626">
      <w:pPr>
        <w:jc w:val="left"/>
        <w:rPr>
          <w:b/>
          <w:color w:val="auto"/>
          <w:sz w:val="30"/>
          <w:szCs w:val="30"/>
          <w:highlight w:val="none"/>
        </w:rPr>
      </w:pPr>
    </w:p>
    <w:p w14:paraId="22A1D34A">
      <w:pPr>
        <w:spacing w:line="480" w:lineRule="auto"/>
        <w:jc w:val="center"/>
        <w:rPr>
          <w:b/>
          <w:color w:val="auto"/>
          <w:sz w:val="30"/>
          <w:szCs w:val="30"/>
          <w:highlight w:val="none"/>
        </w:rPr>
      </w:pPr>
    </w:p>
    <w:p w14:paraId="5DE97AE4">
      <w:pPr>
        <w:spacing w:line="480" w:lineRule="auto"/>
        <w:rPr>
          <w:color w:val="auto"/>
          <w:sz w:val="24"/>
          <w:highlight w:val="none"/>
        </w:rPr>
        <w:sectPr>
          <w:pgSz w:w="11907" w:h="16840"/>
          <w:pgMar w:top="1440" w:right="1803" w:bottom="1440" w:left="1803" w:header="851" w:footer="850" w:gutter="0"/>
          <w:pgNumType w:fmt="decimal"/>
          <w:cols w:space="720" w:num="1"/>
          <w:titlePg/>
          <w:docGrid w:type="linesAndChars" w:linePitch="312" w:charSpace="-3473"/>
        </w:sectPr>
      </w:pPr>
    </w:p>
    <w:p w14:paraId="4F7FBDAE">
      <w:pPr>
        <w:spacing w:line="480" w:lineRule="auto"/>
        <w:rPr>
          <w:color w:val="auto"/>
          <w:sz w:val="24"/>
          <w:highlight w:val="none"/>
        </w:rPr>
      </w:pPr>
      <w:r>
        <w:rPr>
          <w:rFonts w:hint="eastAsia"/>
          <w:b/>
          <w:color w:val="auto"/>
          <w:sz w:val="24"/>
          <w:highlight w:val="none"/>
        </w:rPr>
        <w:t>格式7</w:t>
      </w:r>
    </w:p>
    <w:p w14:paraId="054352DA">
      <w:pPr>
        <w:jc w:val="center"/>
        <w:rPr>
          <w:b/>
          <w:color w:val="auto"/>
          <w:sz w:val="36"/>
          <w:szCs w:val="30"/>
          <w:highlight w:val="none"/>
        </w:rPr>
      </w:pPr>
      <w:r>
        <w:rPr>
          <w:rFonts w:hint="eastAsia"/>
          <w:b/>
          <w:color w:val="auto"/>
          <w:sz w:val="36"/>
          <w:szCs w:val="30"/>
          <w:highlight w:val="none"/>
        </w:rPr>
        <w:t>项目管理机构</w:t>
      </w:r>
    </w:p>
    <w:p w14:paraId="07666CCB">
      <w:pPr>
        <w:jc w:val="center"/>
        <w:rPr>
          <w:rFonts w:ascii="宋体" w:hAnsi="宋体"/>
          <w:b/>
          <w:color w:val="auto"/>
          <w:sz w:val="28"/>
          <w:highlight w:val="none"/>
        </w:rPr>
      </w:pPr>
      <w:bookmarkStart w:id="736" w:name="_Toc247079406"/>
      <w:bookmarkStart w:id="737" w:name="_Toc211162743"/>
      <w:r>
        <w:rPr>
          <w:rFonts w:hint="eastAsia" w:ascii="宋体" w:hAnsi="宋体"/>
          <w:b/>
          <w:color w:val="auto"/>
          <w:sz w:val="28"/>
          <w:highlight w:val="none"/>
        </w:rPr>
        <w:t>（一）项目管理机构组成表</w:t>
      </w:r>
      <w:bookmarkEnd w:id="736"/>
      <w:bookmarkEnd w:id="737"/>
    </w:p>
    <w:p w14:paraId="2CA721D0">
      <w:pPr>
        <w:spacing w:line="360" w:lineRule="auto"/>
        <w:rPr>
          <w:rFonts w:ascii="宋体" w:hAnsi="宋体"/>
          <w:color w:val="auto"/>
          <w:szCs w:val="21"/>
          <w:highlight w:val="none"/>
        </w:rPr>
      </w:pPr>
    </w:p>
    <w:tbl>
      <w:tblPr>
        <w:tblStyle w:val="49"/>
        <w:tblW w:w="9098" w:type="dxa"/>
        <w:tblInd w:w="10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88"/>
        <w:gridCol w:w="951"/>
        <w:gridCol w:w="957"/>
        <w:gridCol w:w="1368"/>
        <w:gridCol w:w="1368"/>
        <w:gridCol w:w="1368"/>
        <w:gridCol w:w="1368"/>
        <w:gridCol w:w="1030"/>
      </w:tblGrid>
      <w:tr w14:paraId="420E03F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19" w:hRule="atLeast"/>
        </w:trPr>
        <w:tc>
          <w:tcPr>
            <w:tcW w:w="688" w:type="dxa"/>
            <w:vMerge w:val="restart"/>
            <w:noWrap w:val="0"/>
            <w:vAlign w:val="center"/>
          </w:tcPr>
          <w:p w14:paraId="711E72E4">
            <w:pPr>
              <w:spacing w:line="340" w:lineRule="exact"/>
              <w:jc w:val="center"/>
              <w:rPr>
                <w:rFonts w:ascii="宋体" w:hAnsi="宋体"/>
                <w:b/>
                <w:color w:val="auto"/>
                <w:szCs w:val="21"/>
                <w:highlight w:val="none"/>
              </w:rPr>
            </w:pPr>
            <w:r>
              <w:rPr>
                <w:rFonts w:hint="eastAsia" w:ascii="宋体" w:hAnsi="宋体"/>
                <w:b/>
                <w:color w:val="auto"/>
                <w:szCs w:val="21"/>
                <w:highlight w:val="none"/>
              </w:rPr>
              <w:t>职务</w:t>
            </w:r>
          </w:p>
        </w:tc>
        <w:tc>
          <w:tcPr>
            <w:tcW w:w="951" w:type="dxa"/>
            <w:vMerge w:val="restart"/>
            <w:noWrap w:val="0"/>
            <w:vAlign w:val="center"/>
          </w:tcPr>
          <w:p w14:paraId="27533EFB">
            <w:pPr>
              <w:spacing w:line="340" w:lineRule="exact"/>
              <w:jc w:val="center"/>
              <w:rPr>
                <w:rFonts w:ascii="宋体" w:hAnsi="宋体"/>
                <w:b/>
                <w:color w:val="auto"/>
                <w:szCs w:val="21"/>
                <w:highlight w:val="none"/>
              </w:rPr>
            </w:pPr>
            <w:r>
              <w:rPr>
                <w:rFonts w:hint="eastAsia" w:ascii="宋体" w:hAnsi="宋体"/>
                <w:b/>
                <w:color w:val="auto"/>
                <w:szCs w:val="21"/>
                <w:highlight w:val="none"/>
              </w:rPr>
              <w:t>姓名</w:t>
            </w:r>
          </w:p>
        </w:tc>
        <w:tc>
          <w:tcPr>
            <w:tcW w:w="957" w:type="dxa"/>
            <w:vMerge w:val="restart"/>
            <w:noWrap w:val="0"/>
            <w:vAlign w:val="center"/>
          </w:tcPr>
          <w:p w14:paraId="73144E08">
            <w:pPr>
              <w:spacing w:line="340" w:lineRule="exact"/>
              <w:jc w:val="center"/>
              <w:rPr>
                <w:rFonts w:ascii="宋体" w:hAnsi="宋体"/>
                <w:b/>
                <w:color w:val="auto"/>
                <w:szCs w:val="21"/>
                <w:highlight w:val="none"/>
              </w:rPr>
            </w:pPr>
            <w:r>
              <w:rPr>
                <w:rFonts w:hint="eastAsia" w:ascii="宋体" w:hAnsi="宋体"/>
                <w:b/>
                <w:color w:val="auto"/>
                <w:szCs w:val="21"/>
                <w:highlight w:val="none"/>
              </w:rPr>
              <w:t>职称</w:t>
            </w:r>
          </w:p>
        </w:tc>
        <w:tc>
          <w:tcPr>
            <w:tcW w:w="5472" w:type="dxa"/>
            <w:gridSpan w:val="4"/>
            <w:noWrap w:val="0"/>
            <w:vAlign w:val="center"/>
          </w:tcPr>
          <w:p w14:paraId="0AFE81D4">
            <w:pPr>
              <w:spacing w:line="340" w:lineRule="exact"/>
              <w:jc w:val="center"/>
              <w:rPr>
                <w:rFonts w:ascii="宋体" w:hAnsi="宋体"/>
                <w:b/>
                <w:color w:val="auto"/>
                <w:szCs w:val="21"/>
                <w:highlight w:val="none"/>
              </w:rPr>
            </w:pPr>
            <w:r>
              <w:rPr>
                <w:rFonts w:hint="eastAsia" w:ascii="宋体" w:hAnsi="宋体"/>
                <w:b/>
                <w:color w:val="auto"/>
                <w:szCs w:val="21"/>
                <w:highlight w:val="none"/>
              </w:rPr>
              <w:t>执业或职业资格证明</w:t>
            </w:r>
          </w:p>
        </w:tc>
        <w:tc>
          <w:tcPr>
            <w:tcW w:w="1030" w:type="dxa"/>
            <w:vMerge w:val="restart"/>
            <w:noWrap w:val="0"/>
            <w:vAlign w:val="center"/>
          </w:tcPr>
          <w:p w14:paraId="2C46B4F4">
            <w:pPr>
              <w:spacing w:line="340" w:lineRule="exact"/>
              <w:jc w:val="center"/>
              <w:rPr>
                <w:rFonts w:ascii="宋体" w:hAnsi="宋体"/>
                <w:b/>
                <w:color w:val="auto"/>
                <w:szCs w:val="21"/>
                <w:highlight w:val="none"/>
              </w:rPr>
            </w:pPr>
            <w:r>
              <w:rPr>
                <w:rFonts w:hint="eastAsia" w:ascii="宋体" w:hAnsi="宋体"/>
                <w:b/>
                <w:color w:val="auto"/>
                <w:szCs w:val="21"/>
                <w:highlight w:val="none"/>
              </w:rPr>
              <w:t>备注</w:t>
            </w:r>
          </w:p>
        </w:tc>
      </w:tr>
      <w:tr w14:paraId="7F535A7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20" w:hRule="atLeast"/>
        </w:trPr>
        <w:tc>
          <w:tcPr>
            <w:tcW w:w="688" w:type="dxa"/>
            <w:vMerge w:val="continue"/>
            <w:noWrap w:val="0"/>
            <w:vAlign w:val="center"/>
          </w:tcPr>
          <w:p w14:paraId="61FD5C52">
            <w:pPr>
              <w:spacing w:line="340" w:lineRule="exact"/>
              <w:jc w:val="center"/>
              <w:rPr>
                <w:rFonts w:ascii="宋体" w:hAnsi="宋体"/>
                <w:color w:val="auto"/>
                <w:szCs w:val="21"/>
                <w:highlight w:val="none"/>
              </w:rPr>
            </w:pPr>
          </w:p>
        </w:tc>
        <w:tc>
          <w:tcPr>
            <w:tcW w:w="951" w:type="dxa"/>
            <w:vMerge w:val="continue"/>
            <w:noWrap w:val="0"/>
            <w:vAlign w:val="center"/>
          </w:tcPr>
          <w:p w14:paraId="17BA79C4">
            <w:pPr>
              <w:spacing w:line="340" w:lineRule="exact"/>
              <w:jc w:val="center"/>
              <w:rPr>
                <w:rFonts w:ascii="宋体" w:hAnsi="宋体"/>
                <w:color w:val="auto"/>
                <w:szCs w:val="21"/>
                <w:highlight w:val="none"/>
              </w:rPr>
            </w:pPr>
          </w:p>
        </w:tc>
        <w:tc>
          <w:tcPr>
            <w:tcW w:w="957" w:type="dxa"/>
            <w:vMerge w:val="continue"/>
            <w:noWrap w:val="0"/>
            <w:vAlign w:val="center"/>
          </w:tcPr>
          <w:p w14:paraId="6F127BEA">
            <w:pPr>
              <w:spacing w:line="340" w:lineRule="exact"/>
              <w:jc w:val="center"/>
              <w:rPr>
                <w:rFonts w:ascii="宋体" w:hAnsi="宋体"/>
                <w:color w:val="auto"/>
                <w:szCs w:val="21"/>
                <w:highlight w:val="none"/>
              </w:rPr>
            </w:pPr>
          </w:p>
        </w:tc>
        <w:tc>
          <w:tcPr>
            <w:tcW w:w="1368" w:type="dxa"/>
            <w:noWrap w:val="0"/>
            <w:vAlign w:val="center"/>
          </w:tcPr>
          <w:p w14:paraId="49D5AFFF">
            <w:pPr>
              <w:spacing w:line="340" w:lineRule="exact"/>
              <w:jc w:val="center"/>
              <w:rPr>
                <w:rFonts w:ascii="宋体" w:hAnsi="宋体"/>
                <w:b/>
                <w:color w:val="auto"/>
                <w:szCs w:val="21"/>
                <w:highlight w:val="none"/>
              </w:rPr>
            </w:pPr>
            <w:r>
              <w:rPr>
                <w:rFonts w:hint="eastAsia" w:ascii="宋体" w:hAnsi="宋体"/>
                <w:b/>
                <w:color w:val="auto"/>
                <w:szCs w:val="21"/>
                <w:highlight w:val="none"/>
              </w:rPr>
              <w:t>证书名称</w:t>
            </w:r>
          </w:p>
        </w:tc>
        <w:tc>
          <w:tcPr>
            <w:tcW w:w="1368" w:type="dxa"/>
            <w:noWrap w:val="0"/>
            <w:vAlign w:val="center"/>
          </w:tcPr>
          <w:p w14:paraId="01A28206">
            <w:pPr>
              <w:spacing w:line="340" w:lineRule="exact"/>
              <w:jc w:val="center"/>
              <w:rPr>
                <w:rFonts w:ascii="宋体" w:hAnsi="宋体"/>
                <w:b/>
                <w:color w:val="auto"/>
                <w:szCs w:val="21"/>
                <w:highlight w:val="none"/>
              </w:rPr>
            </w:pPr>
            <w:r>
              <w:rPr>
                <w:rFonts w:hint="eastAsia" w:ascii="宋体" w:hAnsi="宋体"/>
                <w:b/>
                <w:color w:val="auto"/>
                <w:szCs w:val="21"/>
                <w:highlight w:val="none"/>
              </w:rPr>
              <w:t>级别</w:t>
            </w:r>
          </w:p>
        </w:tc>
        <w:tc>
          <w:tcPr>
            <w:tcW w:w="1368" w:type="dxa"/>
            <w:tcBorders>
              <w:right w:val="single" w:color="auto" w:sz="8" w:space="0"/>
            </w:tcBorders>
            <w:noWrap w:val="0"/>
            <w:vAlign w:val="center"/>
          </w:tcPr>
          <w:p w14:paraId="6EFF5791">
            <w:pPr>
              <w:spacing w:line="340" w:lineRule="exact"/>
              <w:jc w:val="center"/>
              <w:rPr>
                <w:rFonts w:ascii="宋体" w:hAnsi="宋体"/>
                <w:b/>
                <w:color w:val="auto"/>
                <w:szCs w:val="21"/>
                <w:highlight w:val="none"/>
              </w:rPr>
            </w:pPr>
            <w:r>
              <w:rPr>
                <w:rFonts w:hint="eastAsia" w:ascii="宋体" w:hAnsi="宋体"/>
                <w:b/>
                <w:color w:val="auto"/>
                <w:szCs w:val="21"/>
                <w:highlight w:val="none"/>
              </w:rPr>
              <w:t>证号</w:t>
            </w:r>
          </w:p>
        </w:tc>
        <w:tc>
          <w:tcPr>
            <w:tcW w:w="1368" w:type="dxa"/>
            <w:tcBorders>
              <w:left w:val="single" w:color="auto" w:sz="8" w:space="0"/>
            </w:tcBorders>
            <w:noWrap w:val="0"/>
            <w:vAlign w:val="center"/>
          </w:tcPr>
          <w:p w14:paraId="57954FE0">
            <w:pPr>
              <w:spacing w:line="340" w:lineRule="exact"/>
              <w:jc w:val="center"/>
              <w:rPr>
                <w:rFonts w:ascii="宋体" w:hAnsi="宋体"/>
                <w:b/>
                <w:color w:val="auto"/>
                <w:szCs w:val="21"/>
                <w:highlight w:val="none"/>
              </w:rPr>
            </w:pPr>
            <w:r>
              <w:rPr>
                <w:rFonts w:hint="eastAsia" w:ascii="宋体" w:hAnsi="宋体"/>
                <w:b/>
                <w:color w:val="auto"/>
                <w:szCs w:val="21"/>
                <w:highlight w:val="none"/>
              </w:rPr>
              <w:t>专业</w:t>
            </w:r>
          </w:p>
        </w:tc>
        <w:tc>
          <w:tcPr>
            <w:tcW w:w="1030" w:type="dxa"/>
            <w:vMerge w:val="continue"/>
            <w:noWrap w:val="0"/>
            <w:vAlign w:val="center"/>
          </w:tcPr>
          <w:p w14:paraId="4A569F37">
            <w:pPr>
              <w:spacing w:line="340" w:lineRule="exact"/>
              <w:jc w:val="center"/>
              <w:rPr>
                <w:rFonts w:ascii="宋体" w:hAnsi="宋体"/>
                <w:color w:val="auto"/>
                <w:szCs w:val="21"/>
                <w:highlight w:val="none"/>
              </w:rPr>
            </w:pPr>
          </w:p>
        </w:tc>
      </w:tr>
      <w:tr w14:paraId="5F03E6F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93" w:hRule="atLeast"/>
        </w:trPr>
        <w:tc>
          <w:tcPr>
            <w:tcW w:w="688" w:type="dxa"/>
            <w:noWrap w:val="0"/>
            <w:vAlign w:val="center"/>
          </w:tcPr>
          <w:p w14:paraId="5B972730">
            <w:pPr>
              <w:spacing w:line="340" w:lineRule="exact"/>
              <w:jc w:val="center"/>
              <w:rPr>
                <w:rFonts w:ascii="宋体" w:hAnsi="宋体"/>
                <w:color w:val="auto"/>
                <w:szCs w:val="21"/>
                <w:highlight w:val="none"/>
              </w:rPr>
            </w:pPr>
          </w:p>
        </w:tc>
        <w:tc>
          <w:tcPr>
            <w:tcW w:w="951" w:type="dxa"/>
            <w:noWrap w:val="0"/>
            <w:vAlign w:val="center"/>
          </w:tcPr>
          <w:p w14:paraId="05799940">
            <w:pPr>
              <w:spacing w:line="340" w:lineRule="exact"/>
              <w:jc w:val="center"/>
              <w:rPr>
                <w:rFonts w:ascii="宋体" w:hAnsi="宋体"/>
                <w:color w:val="auto"/>
                <w:szCs w:val="21"/>
                <w:highlight w:val="none"/>
              </w:rPr>
            </w:pPr>
          </w:p>
        </w:tc>
        <w:tc>
          <w:tcPr>
            <w:tcW w:w="957" w:type="dxa"/>
            <w:noWrap w:val="0"/>
            <w:vAlign w:val="center"/>
          </w:tcPr>
          <w:p w14:paraId="79A9C867">
            <w:pPr>
              <w:spacing w:line="340" w:lineRule="exact"/>
              <w:jc w:val="center"/>
              <w:rPr>
                <w:rFonts w:ascii="宋体" w:hAnsi="宋体"/>
                <w:color w:val="auto"/>
                <w:szCs w:val="21"/>
                <w:highlight w:val="none"/>
              </w:rPr>
            </w:pPr>
          </w:p>
        </w:tc>
        <w:tc>
          <w:tcPr>
            <w:tcW w:w="1368" w:type="dxa"/>
            <w:noWrap w:val="0"/>
            <w:vAlign w:val="center"/>
          </w:tcPr>
          <w:p w14:paraId="0D2B34AE">
            <w:pPr>
              <w:spacing w:line="340" w:lineRule="exact"/>
              <w:jc w:val="center"/>
              <w:rPr>
                <w:rFonts w:ascii="宋体" w:hAnsi="宋体"/>
                <w:color w:val="auto"/>
                <w:szCs w:val="21"/>
                <w:highlight w:val="none"/>
              </w:rPr>
            </w:pPr>
          </w:p>
        </w:tc>
        <w:tc>
          <w:tcPr>
            <w:tcW w:w="1368" w:type="dxa"/>
            <w:noWrap w:val="0"/>
            <w:vAlign w:val="center"/>
          </w:tcPr>
          <w:p w14:paraId="76191C5E">
            <w:pPr>
              <w:spacing w:line="340" w:lineRule="exact"/>
              <w:jc w:val="center"/>
              <w:rPr>
                <w:rFonts w:ascii="宋体" w:hAnsi="宋体"/>
                <w:color w:val="auto"/>
                <w:szCs w:val="21"/>
                <w:highlight w:val="none"/>
              </w:rPr>
            </w:pPr>
          </w:p>
        </w:tc>
        <w:tc>
          <w:tcPr>
            <w:tcW w:w="1368" w:type="dxa"/>
            <w:tcBorders>
              <w:right w:val="single" w:color="auto" w:sz="8" w:space="0"/>
            </w:tcBorders>
            <w:noWrap w:val="0"/>
            <w:vAlign w:val="center"/>
          </w:tcPr>
          <w:p w14:paraId="43AC1EF3">
            <w:pPr>
              <w:spacing w:line="340" w:lineRule="exact"/>
              <w:jc w:val="center"/>
              <w:rPr>
                <w:rFonts w:ascii="宋体" w:hAnsi="宋体"/>
                <w:color w:val="auto"/>
                <w:szCs w:val="21"/>
                <w:highlight w:val="none"/>
              </w:rPr>
            </w:pPr>
          </w:p>
        </w:tc>
        <w:tc>
          <w:tcPr>
            <w:tcW w:w="1368" w:type="dxa"/>
            <w:tcBorders>
              <w:left w:val="single" w:color="auto" w:sz="8" w:space="0"/>
            </w:tcBorders>
            <w:noWrap w:val="0"/>
            <w:vAlign w:val="center"/>
          </w:tcPr>
          <w:p w14:paraId="0B21CF31">
            <w:pPr>
              <w:spacing w:line="340" w:lineRule="exact"/>
              <w:ind w:firstLine="388" w:firstLineChars="200"/>
              <w:jc w:val="center"/>
              <w:rPr>
                <w:rFonts w:ascii="宋体" w:hAnsi="宋体"/>
                <w:color w:val="auto"/>
                <w:szCs w:val="21"/>
                <w:highlight w:val="none"/>
              </w:rPr>
            </w:pPr>
          </w:p>
        </w:tc>
        <w:tc>
          <w:tcPr>
            <w:tcW w:w="1030" w:type="dxa"/>
            <w:noWrap w:val="0"/>
            <w:vAlign w:val="center"/>
          </w:tcPr>
          <w:p w14:paraId="2DD7036A">
            <w:pPr>
              <w:spacing w:line="340" w:lineRule="exact"/>
              <w:jc w:val="center"/>
              <w:rPr>
                <w:rFonts w:ascii="宋体" w:hAnsi="宋体"/>
                <w:color w:val="auto"/>
                <w:szCs w:val="21"/>
                <w:highlight w:val="none"/>
              </w:rPr>
            </w:pPr>
          </w:p>
        </w:tc>
      </w:tr>
      <w:tr w14:paraId="047001B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94" w:hRule="atLeast"/>
        </w:trPr>
        <w:tc>
          <w:tcPr>
            <w:tcW w:w="688" w:type="dxa"/>
            <w:noWrap w:val="0"/>
            <w:vAlign w:val="center"/>
          </w:tcPr>
          <w:p w14:paraId="49ECE47E">
            <w:pPr>
              <w:spacing w:line="300" w:lineRule="exact"/>
              <w:jc w:val="center"/>
              <w:rPr>
                <w:rFonts w:ascii="宋体" w:hAnsi="宋体"/>
                <w:color w:val="auto"/>
                <w:szCs w:val="21"/>
                <w:highlight w:val="none"/>
              </w:rPr>
            </w:pPr>
          </w:p>
        </w:tc>
        <w:tc>
          <w:tcPr>
            <w:tcW w:w="951" w:type="dxa"/>
            <w:noWrap w:val="0"/>
            <w:vAlign w:val="center"/>
          </w:tcPr>
          <w:p w14:paraId="1130EB60">
            <w:pPr>
              <w:spacing w:line="300" w:lineRule="exact"/>
              <w:jc w:val="center"/>
              <w:rPr>
                <w:rFonts w:ascii="宋体" w:hAnsi="宋体"/>
                <w:color w:val="auto"/>
                <w:szCs w:val="21"/>
                <w:highlight w:val="none"/>
              </w:rPr>
            </w:pPr>
          </w:p>
        </w:tc>
        <w:tc>
          <w:tcPr>
            <w:tcW w:w="957" w:type="dxa"/>
            <w:noWrap w:val="0"/>
            <w:vAlign w:val="center"/>
          </w:tcPr>
          <w:p w14:paraId="64CFD8AC">
            <w:pPr>
              <w:spacing w:line="300" w:lineRule="exact"/>
              <w:jc w:val="center"/>
              <w:rPr>
                <w:rFonts w:ascii="宋体" w:hAnsi="宋体"/>
                <w:color w:val="auto"/>
                <w:szCs w:val="21"/>
                <w:highlight w:val="none"/>
              </w:rPr>
            </w:pPr>
          </w:p>
        </w:tc>
        <w:tc>
          <w:tcPr>
            <w:tcW w:w="1368" w:type="dxa"/>
            <w:noWrap w:val="0"/>
            <w:vAlign w:val="center"/>
          </w:tcPr>
          <w:p w14:paraId="4B5DA05C">
            <w:pPr>
              <w:spacing w:line="300" w:lineRule="exact"/>
              <w:jc w:val="center"/>
              <w:rPr>
                <w:rFonts w:ascii="宋体" w:hAnsi="宋体"/>
                <w:color w:val="auto"/>
                <w:szCs w:val="21"/>
                <w:highlight w:val="none"/>
              </w:rPr>
            </w:pPr>
          </w:p>
        </w:tc>
        <w:tc>
          <w:tcPr>
            <w:tcW w:w="1368" w:type="dxa"/>
            <w:noWrap w:val="0"/>
            <w:vAlign w:val="center"/>
          </w:tcPr>
          <w:p w14:paraId="3AA292C0">
            <w:pPr>
              <w:spacing w:line="300" w:lineRule="exact"/>
              <w:jc w:val="center"/>
              <w:rPr>
                <w:rFonts w:ascii="宋体" w:hAnsi="宋体"/>
                <w:color w:val="auto"/>
                <w:szCs w:val="21"/>
                <w:highlight w:val="none"/>
              </w:rPr>
            </w:pPr>
          </w:p>
        </w:tc>
        <w:tc>
          <w:tcPr>
            <w:tcW w:w="1368" w:type="dxa"/>
            <w:tcBorders>
              <w:right w:val="single" w:color="auto" w:sz="8" w:space="0"/>
            </w:tcBorders>
            <w:noWrap w:val="0"/>
            <w:vAlign w:val="center"/>
          </w:tcPr>
          <w:p w14:paraId="7AF46947">
            <w:pPr>
              <w:spacing w:line="300" w:lineRule="exact"/>
              <w:jc w:val="center"/>
              <w:rPr>
                <w:rFonts w:ascii="宋体" w:hAnsi="宋体"/>
                <w:color w:val="auto"/>
                <w:szCs w:val="21"/>
                <w:highlight w:val="none"/>
              </w:rPr>
            </w:pPr>
          </w:p>
        </w:tc>
        <w:tc>
          <w:tcPr>
            <w:tcW w:w="1368" w:type="dxa"/>
            <w:tcBorders>
              <w:left w:val="single" w:color="auto" w:sz="8" w:space="0"/>
            </w:tcBorders>
            <w:noWrap w:val="0"/>
            <w:vAlign w:val="center"/>
          </w:tcPr>
          <w:p w14:paraId="72F911B0">
            <w:pPr>
              <w:spacing w:line="300" w:lineRule="exact"/>
              <w:jc w:val="center"/>
              <w:rPr>
                <w:rFonts w:ascii="宋体" w:hAnsi="宋体"/>
                <w:color w:val="auto"/>
                <w:szCs w:val="21"/>
                <w:highlight w:val="none"/>
              </w:rPr>
            </w:pPr>
          </w:p>
        </w:tc>
        <w:tc>
          <w:tcPr>
            <w:tcW w:w="1030" w:type="dxa"/>
            <w:noWrap w:val="0"/>
            <w:vAlign w:val="center"/>
          </w:tcPr>
          <w:p w14:paraId="4CC86D32">
            <w:pPr>
              <w:spacing w:line="300" w:lineRule="exact"/>
              <w:jc w:val="center"/>
              <w:rPr>
                <w:rFonts w:ascii="宋体" w:hAnsi="宋体"/>
                <w:color w:val="auto"/>
                <w:szCs w:val="21"/>
                <w:highlight w:val="none"/>
              </w:rPr>
            </w:pPr>
          </w:p>
        </w:tc>
      </w:tr>
      <w:tr w14:paraId="5D66810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93" w:hRule="atLeast"/>
        </w:trPr>
        <w:tc>
          <w:tcPr>
            <w:tcW w:w="688" w:type="dxa"/>
            <w:noWrap w:val="0"/>
            <w:vAlign w:val="center"/>
          </w:tcPr>
          <w:p w14:paraId="37EBAA6B">
            <w:pPr>
              <w:spacing w:line="300" w:lineRule="exact"/>
              <w:jc w:val="center"/>
              <w:rPr>
                <w:rFonts w:ascii="宋体" w:hAnsi="宋体"/>
                <w:color w:val="auto"/>
                <w:szCs w:val="21"/>
                <w:highlight w:val="none"/>
              </w:rPr>
            </w:pPr>
          </w:p>
        </w:tc>
        <w:tc>
          <w:tcPr>
            <w:tcW w:w="951" w:type="dxa"/>
            <w:noWrap w:val="0"/>
            <w:vAlign w:val="center"/>
          </w:tcPr>
          <w:p w14:paraId="06E50BED">
            <w:pPr>
              <w:spacing w:line="300" w:lineRule="exact"/>
              <w:jc w:val="center"/>
              <w:rPr>
                <w:rFonts w:ascii="宋体" w:hAnsi="宋体"/>
                <w:color w:val="auto"/>
                <w:szCs w:val="21"/>
                <w:highlight w:val="none"/>
              </w:rPr>
            </w:pPr>
          </w:p>
        </w:tc>
        <w:tc>
          <w:tcPr>
            <w:tcW w:w="957" w:type="dxa"/>
            <w:noWrap w:val="0"/>
            <w:vAlign w:val="center"/>
          </w:tcPr>
          <w:p w14:paraId="27581E18">
            <w:pPr>
              <w:spacing w:line="300" w:lineRule="exact"/>
              <w:jc w:val="center"/>
              <w:rPr>
                <w:rFonts w:ascii="宋体" w:hAnsi="宋体"/>
                <w:color w:val="auto"/>
                <w:szCs w:val="21"/>
                <w:highlight w:val="none"/>
              </w:rPr>
            </w:pPr>
          </w:p>
        </w:tc>
        <w:tc>
          <w:tcPr>
            <w:tcW w:w="1368" w:type="dxa"/>
            <w:noWrap w:val="0"/>
            <w:vAlign w:val="center"/>
          </w:tcPr>
          <w:p w14:paraId="3B80621C">
            <w:pPr>
              <w:spacing w:line="300" w:lineRule="exact"/>
              <w:jc w:val="center"/>
              <w:rPr>
                <w:rFonts w:ascii="宋体" w:hAnsi="宋体"/>
                <w:color w:val="auto"/>
                <w:szCs w:val="21"/>
                <w:highlight w:val="none"/>
              </w:rPr>
            </w:pPr>
          </w:p>
        </w:tc>
        <w:tc>
          <w:tcPr>
            <w:tcW w:w="1368" w:type="dxa"/>
            <w:noWrap w:val="0"/>
            <w:vAlign w:val="center"/>
          </w:tcPr>
          <w:p w14:paraId="66D58F56">
            <w:pPr>
              <w:spacing w:line="300" w:lineRule="exact"/>
              <w:jc w:val="center"/>
              <w:rPr>
                <w:rFonts w:ascii="宋体" w:hAnsi="宋体"/>
                <w:color w:val="auto"/>
                <w:szCs w:val="21"/>
                <w:highlight w:val="none"/>
              </w:rPr>
            </w:pPr>
          </w:p>
        </w:tc>
        <w:tc>
          <w:tcPr>
            <w:tcW w:w="1368" w:type="dxa"/>
            <w:tcBorders>
              <w:right w:val="single" w:color="auto" w:sz="8" w:space="0"/>
            </w:tcBorders>
            <w:noWrap w:val="0"/>
            <w:vAlign w:val="center"/>
          </w:tcPr>
          <w:p w14:paraId="6586445A">
            <w:pPr>
              <w:spacing w:line="300" w:lineRule="exact"/>
              <w:jc w:val="center"/>
              <w:rPr>
                <w:rFonts w:ascii="宋体" w:hAnsi="宋体"/>
                <w:color w:val="auto"/>
                <w:szCs w:val="21"/>
                <w:highlight w:val="none"/>
              </w:rPr>
            </w:pPr>
          </w:p>
        </w:tc>
        <w:tc>
          <w:tcPr>
            <w:tcW w:w="1368" w:type="dxa"/>
            <w:tcBorders>
              <w:left w:val="single" w:color="auto" w:sz="8" w:space="0"/>
            </w:tcBorders>
            <w:noWrap w:val="0"/>
            <w:vAlign w:val="center"/>
          </w:tcPr>
          <w:p w14:paraId="39712C8B">
            <w:pPr>
              <w:spacing w:line="300" w:lineRule="exact"/>
              <w:jc w:val="center"/>
              <w:rPr>
                <w:rFonts w:ascii="宋体" w:hAnsi="宋体"/>
                <w:color w:val="auto"/>
                <w:szCs w:val="21"/>
                <w:highlight w:val="none"/>
              </w:rPr>
            </w:pPr>
          </w:p>
        </w:tc>
        <w:tc>
          <w:tcPr>
            <w:tcW w:w="1030" w:type="dxa"/>
            <w:noWrap w:val="0"/>
            <w:vAlign w:val="center"/>
          </w:tcPr>
          <w:p w14:paraId="42388CAC">
            <w:pPr>
              <w:spacing w:line="300" w:lineRule="exact"/>
              <w:jc w:val="center"/>
              <w:rPr>
                <w:rFonts w:ascii="宋体" w:hAnsi="宋体"/>
                <w:color w:val="auto"/>
                <w:szCs w:val="21"/>
                <w:highlight w:val="none"/>
              </w:rPr>
            </w:pPr>
          </w:p>
        </w:tc>
      </w:tr>
      <w:tr w14:paraId="09C6AA2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94" w:hRule="atLeast"/>
        </w:trPr>
        <w:tc>
          <w:tcPr>
            <w:tcW w:w="688" w:type="dxa"/>
            <w:noWrap w:val="0"/>
            <w:vAlign w:val="center"/>
          </w:tcPr>
          <w:p w14:paraId="4BA5E1C9">
            <w:pPr>
              <w:spacing w:line="300" w:lineRule="exact"/>
              <w:jc w:val="center"/>
              <w:rPr>
                <w:rFonts w:ascii="宋体" w:hAnsi="宋体"/>
                <w:color w:val="auto"/>
                <w:szCs w:val="21"/>
                <w:highlight w:val="none"/>
              </w:rPr>
            </w:pPr>
          </w:p>
        </w:tc>
        <w:tc>
          <w:tcPr>
            <w:tcW w:w="951" w:type="dxa"/>
            <w:noWrap w:val="0"/>
            <w:vAlign w:val="center"/>
          </w:tcPr>
          <w:p w14:paraId="27D20BB0">
            <w:pPr>
              <w:spacing w:line="300" w:lineRule="exact"/>
              <w:jc w:val="center"/>
              <w:rPr>
                <w:rFonts w:ascii="宋体" w:hAnsi="宋体"/>
                <w:color w:val="auto"/>
                <w:szCs w:val="21"/>
                <w:highlight w:val="none"/>
              </w:rPr>
            </w:pPr>
          </w:p>
        </w:tc>
        <w:tc>
          <w:tcPr>
            <w:tcW w:w="957" w:type="dxa"/>
            <w:noWrap w:val="0"/>
            <w:vAlign w:val="center"/>
          </w:tcPr>
          <w:p w14:paraId="51E4FDD9">
            <w:pPr>
              <w:spacing w:line="300" w:lineRule="exact"/>
              <w:jc w:val="center"/>
              <w:rPr>
                <w:rFonts w:ascii="宋体" w:hAnsi="宋体"/>
                <w:color w:val="auto"/>
                <w:szCs w:val="21"/>
                <w:highlight w:val="none"/>
              </w:rPr>
            </w:pPr>
          </w:p>
        </w:tc>
        <w:tc>
          <w:tcPr>
            <w:tcW w:w="1368" w:type="dxa"/>
            <w:noWrap w:val="0"/>
            <w:vAlign w:val="center"/>
          </w:tcPr>
          <w:p w14:paraId="55EC63B3">
            <w:pPr>
              <w:spacing w:line="300" w:lineRule="exact"/>
              <w:jc w:val="center"/>
              <w:rPr>
                <w:rFonts w:ascii="宋体" w:hAnsi="宋体"/>
                <w:color w:val="auto"/>
                <w:szCs w:val="21"/>
                <w:highlight w:val="none"/>
              </w:rPr>
            </w:pPr>
          </w:p>
        </w:tc>
        <w:tc>
          <w:tcPr>
            <w:tcW w:w="1368" w:type="dxa"/>
            <w:noWrap w:val="0"/>
            <w:vAlign w:val="center"/>
          </w:tcPr>
          <w:p w14:paraId="56E3406B">
            <w:pPr>
              <w:spacing w:line="300" w:lineRule="exact"/>
              <w:jc w:val="center"/>
              <w:rPr>
                <w:rFonts w:ascii="宋体" w:hAnsi="宋体"/>
                <w:color w:val="auto"/>
                <w:szCs w:val="21"/>
                <w:highlight w:val="none"/>
              </w:rPr>
            </w:pPr>
          </w:p>
        </w:tc>
        <w:tc>
          <w:tcPr>
            <w:tcW w:w="1368" w:type="dxa"/>
            <w:tcBorders>
              <w:right w:val="single" w:color="auto" w:sz="8" w:space="0"/>
            </w:tcBorders>
            <w:noWrap w:val="0"/>
            <w:vAlign w:val="center"/>
          </w:tcPr>
          <w:p w14:paraId="1D56F5A1">
            <w:pPr>
              <w:spacing w:line="300" w:lineRule="exact"/>
              <w:jc w:val="center"/>
              <w:rPr>
                <w:rFonts w:ascii="宋体" w:hAnsi="宋体"/>
                <w:color w:val="auto"/>
                <w:szCs w:val="21"/>
                <w:highlight w:val="none"/>
              </w:rPr>
            </w:pPr>
          </w:p>
        </w:tc>
        <w:tc>
          <w:tcPr>
            <w:tcW w:w="1368" w:type="dxa"/>
            <w:tcBorders>
              <w:left w:val="single" w:color="auto" w:sz="8" w:space="0"/>
            </w:tcBorders>
            <w:noWrap w:val="0"/>
            <w:vAlign w:val="center"/>
          </w:tcPr>
          <w:p w14:paraId="5156824C">
            <w:pPr>
              <w:spacing w:line="300" w:lineRule="exact"/>
              <w:jc w:val="center"/>
              <w:rPr>
                <w:rFonts w:ascii="宋体" w:hAnsi="宋体"/>
                <w:color w:val="auto"/>
                <w:szCs w:val="21"/>
                <w:highlight w:val="none"/>
              </w:rPr>
            </w:pPr>
          </w:p>
        </w:tc>
        <w:tc>
          <w:tcPr>
            <w:tcW w:w="1030" w:type="dxa"/>
            <w:noWrap w:val="0"/>
            <w:vAlign w:val="center"/>
          </w:tcPr>
          <w:p w14:paraId="43857149">
            <w:pPr>
              <w:spacing w:line="300" w:lineRule="exact"/>
              <w:jc w:val="center"/>
              <w:rPr>
                <w:rFonts w:ascii="宋体" w:hAnsi="宋体"/>
                <w:color w:val="auto"/>
                <w:szCs w:val="21"/>
                <w:highlight w:val="none"/>
              </w:rPr>
            </w:pPr>
          </w:p>
        </w:tc>
      </w:tr>
      <w:tr w14:paraId="214C8B4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93" w:hRule="atLeast"/>
        </w:trPr>
        <w:tc>
          <w:tcPr>
            <w:tcW w:w="688" w:type="dxa"/>
            <w:noWrap w:val="0"/>
            <w:vAlign w:val="center"/>
          </w:tcPr>
          <w:p w14:paraId="53521303">
            <w:pPr>
              <w:spacing w:line="300" w:lineRule="exact"/>
              <w:jc w:val="center"/>
              <w:rPr>
                <w:rFonts w:ascii="宋体" w:hAnsi="宋体"/>
                <w:color w:val="auto"/>
                <w:szCs w:val="21"/>
                <w:highlight w:val="none"/>
              </w:rPr>
            </w:pPr>
          </w:p>
        </w:tc>
        <w:tc>
          <w:tcPr>
            <w:tcW w:w="951" w:type="dxa"/>
            <w:noWrap w:val="0"/>
            <w:vAlign w:val="center"/>
          </w:tcPr>
          <w:p w14:paraId="2A8E9374">
            <w:pPr>
              <w:spacing w:line="300" w:lineRule="exact"/>
              <w:jc w:val="center"/>
              <w:rPr>
                <w:rFonts w:ascii="宋体" w:hAnsi="宋体"/>
                <w:color w:val="auto"/>
                <w:szCs w:val="21"/>
                <w:highlight w:val="none"/>
              </w:rPr>
            </w:pPr>
          </w:p>
        </w:tc>
        <w:tc>
          <w:tcPr>
            <w:tcW w:w="957" w:type="dxa"/>
            <w:noWrap w:val="0"/>
            <w:vAlign w:val="center"/>
          </w:tcPr>
          <w:p w14:paraId="439F72AB">
            <w:pPr>
              <w:spacing w:line="300" w:lineRule="exact"/>
              <w:jc w:val="center"/>
              <w:rPr>
                <w:rFonts w:ascii="宋体" w:hAnsi="宋体"/>
                <w:color w:val="auto"/>
                <w:szCs w:val="21"/>
                <w:highlight w:val="none"/>
              </w:rPr>
            </w:pPr>
          </w:p>
        </w:tc>
        <w:tc>
          <w:tcPr>
            <w:tcW w:w="1368" w:type="dxa"/>
            <w:noWrap w:val="0"/>
            <w:vAlign w:val="center"/>
          </w:tcPr>
          <w:p w14:paraId="5FA9557A">
            <w:pPr>
              <w:spacing w:line="300" w:lineRule="exact"/>
              <w:jc w:val="center"/>
              <w:rPr>
                <w:rFonts w:ascii="宋体" w:hAnsi="宋体"/>
                <w:color w:val="auto"/>
                <w:szCs w:val="21"/>
                <w:highlight w:val="none"/>
              </w:rPr>
            </w:pPr>
          </w:p>
        </w:tc>
        <w:tc>
          <w:tcPr>
            <w:tcW w:w="1368" w:type="dxa"/>
            <w:noWrap w:val="0"/>
            <w:vAlign w:val="center"/>
          </w:tcPr>
          <w:p w14:paraId="29352530">
            <w:pPr>
              <w:spacing w:line="300" w:lineRule="exact"/>
              <w:jc w:val="center"/>
              <w:rPr>
                <w:rFonts w:ascii="宋体" w:hAnsi="宋体"/>
                <w:color w:val="auto"/>
                <w:szCs w:val="21"/>
                <w:highlight w:val="none"/>
              </w:rPr>
            </w:pPr>
          </w:p>
        </w:tc>
        <w:tc>
          <w:tcPr>
            <w:tcW w:w="1368" w:type="dxa"/>
            <w:tcBorders>
              <w:right w:val="single" w:color="auto" w:sz="8" w:space="0"/>
            </w:tcBorders>
            <w:noWrap w:val="0"/>
            <w:vAlign w:val="center"/>
          </w:tcPr>
          <w:p w14:paraId="5A751515">
            <w:pPr>
              <w:spacing w:line="300" w:lineRule="exact"/>
              <w:jc w:val="center"/>
              <w:rPr>
                <w:rFonts w:ascii="宋体" w:hAnsi="宋体"/>
                <w:color w:val="auto"/>
                <w:szCs w:val="21"/>
                <w:highlight w:val="none"/>
              </w:rPr>
            </w:pPr>
          </w:p>
        </w:tc>
        <w:tc>
          <w:tcPr>
            <w:tcW w:w="1368" w:type="dxa"/>
            <w:tcBorders>
              <w:left w:val="single" w:color="auto" w:sz="8" w:space="0"/>
            </w:tcBorders>
            <w:noWrap w:val="0"/>
            <w:vAlign w:val="center"/>
          </w:tcPr>
          <w:p w14:paraId="0835DD9F">
            <w:pPr>
              <w:spacing w:line="300" w:lineRule="exact"/>
              <w:jc w:val="center"/>
              <w:rPr>
                <w:rFonts w:ascii="宋体" w:hAnsi="宋体"/>
                <w:color w:val="auto"/>
                <w:szCs w:val="21"/>
                <w:highlight w:val="none"/>
              </w:rPr>
            </w:pPr>
          </w:p>
        </w:tc>
        <w:tc>
          <w:tcPr>
            <w:tcW w:w="1030" w:type="dxa"/>
            <w:noWrap w:val="0"/>
            <w:vAlign w:val="center"/>
          </w:tcPr>
          <w:p w14:paraId="55952DFC">
            <w:pPr>
              <w:spacing w:line="300" w:lineRule="exact"/>
              <w:jc w:val="center"/>
              <w:rPr>
                <w:rFonts w:ascii="宋体" w:hAnsi="宋体"/>
                <w:color w:val="auto"/>
                <w:szCs w:val="21"/>
                <w:highlight w:val="none"/>
              </w:rPr>
            </w:pPr>
          </w:p>
        </w:tc>
      </w:tr>
      <w:tr w14:paraId="038105C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94" w:hRule="atLeast"/>
        </w:trPr>
        <w:tc>
          <w:tcPr>
            <w:tcW w:w="688" w:type="dxa"/>
            <w:noWrap w:val="0"/>
            <w:vAlign w:val="center"/>
          </w:tcPr>
          <w:p w14:paraId="2E5D1F09">
            <w:pPr>
              <w:spacing w:line="300" w:lineRule="exact"/>
              <w:jc w:val="center"/>
              <w:rPr>
                <w:rFonts w:ascii="宋体" w:hAnsi="宋体"/>
                <w:color w:val="auto"/>
                <w:szCs w:val="21"/>
                <w:highlight w:val="none"/>
              </w:rPr>
            </w:pPr>
          </w:p>
        </w:tc>
        <w:tc>
          <w:tcPr>
            <w:tcW w:w="951" w:type="dxa"/>
            <w:noWrap w:val="0"/>
            <w:vAlign w:val="center"/>
          </w:tcPr>
          <w:p w14:paraId="131DAB55">
            <w:pPr>
              <w:spacing w:line="300" w:lineRule="exact"/>
              <w:jc w:val="center"/>
              <w:rPr>
                <w:rFonts w:ascii="宋体" w:hAnsi="宋体"/>
                <w:color w:val="auto"/>
                <w:szCs w:val="21"/>
                <w:highlight w:val="none"/>
              </w:rPr>
            </w:pPr>
          </w:p>
        </w:tc>
        <w:tc>
          <w:tcPr>
            <w:tcW w:w="957" w:type="dxa"/>
            <w:noWrap w:val="0"/>
            <w:vAlign w:val="center"/>
          </w:tcPr>
          <w:p w14:paraId="06031D29">
            <w:pPr>
              <w:spacing w:line="300" w:lineRule="exact"/>
              <w:jc w:val="center"/>
              <w:rPr>
                <w:rFonts w:ascii="宋体" w:hAnsi="宋体"/>
                <w:color w:val="auto"/>
                <w:szCs w:val="21"/>
                <w:highlight w:val="none"/>
              </w:rPr>
            </w:pPr>
          </w:p>
        </w:tc>
        <w:tc>
          <w:tcPr>
            <w:tcW w:w="1368" w:type="dxa"/>
            <w:noWrap w:val="0"/>
            <w:vAlign w:val="center"/>
          </w:tcPr>
          <w:p w14:paraId="47CE6089">
            <w:pPr>
              <w:spacing w:line="300" w:lineRule="exact"/>
              <w:jc w:val="center"/>
              <w:rPr>
                <w:rFonts w:ascii="宋体" w:hAnsi="宋体"/>
                <w:color w:val="auto"/>
                <w:szCs w:val="21"/>
                <w:highlight w:val="none"/>
              </w:rPr>
            </w:pPr>
          </w:p>
        </w:tc>
        <w:tc>
          <w:tcPr>
            <w:tcW w:w="1368" w:type="dxa"/>
            <w:noWrap w:val="0"/>
            <w:vAlign w:val="center"/>
          </w:tcPr>
          <w:p w14:paraId="72C478B2">
            <w:pPr>
              <w:spacing w:line="300" w:lineRule="exact"/>
              <w:jc w:val="center"/>
              <w:rPr>
                <w:rFonts w:ascii="宋体" w:hAnsi="宋体"/>
                <w:color w:val="auto"/>
                <w:szCs w:val="21"/>
                <w:highlight w:val="none"/>
              </w:rPr>
            </w:pPr>
          </w:p>
        </w:tc>
        <w:tc>
          <w:tcPr>
            <w:tcW w:w="1368" w:type="dxa"/>
            <w:tcBorders>
              <w:right w:val="single" w:color="auto" w:sz="8" w:space="0"/>
            </w:tcBorders>
            <w:noWrap w:val="0"/>
            <w:vAlign w:val="center"/>
          </w:tcPr>
          <w:p w14:paraId="43169E21">
            <w:pPr>
              <w:spacing w:line="300" w:lineRule="exact"/>
              <w:jc w:val="center"/>
              <w:rPr>
                <w:rFonts w:ascii="宋体" w:hAnsi="宋体"/>
                <w:color w:val="auto"/>
                <w:szCs w:val="21"/>
                <w:highlight w:val="none"/>
              </w:rPr>
            </w:pPr>
          </w:p>
        </w:tc>
        <w:tc>
          <w:tcPr>
            <w:tcW w:w="1368" w:type="dxa"/>
            <w:tcBorders>
              <w:left w:val="single" w:color="auto" w:sz="8" w:space="0"/>
            </w:tcBorders>
            <w:noWrap w:val="0"/>
            <w:vAlign w:val="center"/>
          </w:tcPr>
          <w:p w14:paraId="43174E18">
            <w:pPr>
              <w:spacing w:line="300" w:lineRule="exact"/>
              <w:jc w:val="center"/>
              <w:rPr>
                <w:rFonts w:ascii="宋体" w:hAnsi="宋体"/>
                <w:color w:val="auto"/>
                <w:szCs w:val="21"/>
                <w:highlight w:val="none"/>
              </w:rPr>
            </w:pPr>
          </w:p>
        </w:tc>
        <w:tc>
          <w:tcPr>
            <w:tcW w:w="1030" w:type="dxa"/>
            <w:noWrap w:val="0"/>
            <w:vAlign w:val="center"/>
          </w:tcPr>
          <w:p w14:paraId="2D6E5126">
            <w:pPr>
              <w:spacing w:line="300" w:lineRule="exact"/>
              <w:jc w:val="center"/>
              <w:rPr>
                <w:rFonts w:ascii="宋体" w:hAnsi="宋体"/>
                <w:color w:val="auto"/>
                <w:szCs w:val="21"/>
                <w:highlight w:val="none"/>
              </w:rPr>
            </w:pPr>
          </w:p>
        </w:tc>
      </w:tr>
      <w:tr w14:paraId="1AE98ED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93" w:hRule="atLeast"/>
        </w:trPr>
        <w:tc>
          <w:tcPr>
            <w:tcW w:w="688" w:type="dxa"/>
            <w:noWrap w:val="0"/>
            <w:vAlign w:val="center"/>
          </w:tcPr>
          <w:p w14:paraId="2E8ED082">
            <w:pPr>
              <w:spacing w:line="300" w:lineRule="exact"/>
              <w:jc w:val="center"/>
              <w:rPr>
                <w:rFonts w:ascii="宋体" w:hAnsi="宋体"/>
                <w:color w:val="auto"/>
                <w:szCs w:val="21"/>
                <w:highlight w:val="none"/>
              </w:rPr>
            </w:pPr>
          </w:p>
        </w:tc>
        <w:tc>
          <w:tcPr>
            <w:tcW w:w="951" w:type="dxa"/>
            <w:noWrap w:val="0"/>
            <w:vAlign w:val="center"/>
          </w:tcPr>
          <w:p w14:paraId="7B1BF1EF">
            <w:pPr>
              <w:spacing w:line="300" w:lineRule="exact"/>
              <w:jc w:val="center"/>
              <w:rPr>
                <w:rFonts w:ascii="宋体" w:hAnsi="宋体"/>
                <w:color w:val="auto"/>
                <w:szCs w:val="21"/>
                <w:highlight w:val="none"/>
              </w:rPr>
            </w:pPr>
          </w:p>
        </w:tc>
        <w:tc>
          <w:tcPr>
            <w:tcW w:w="957" w:type="dxa"/>
            <w:noWrap w:val="0"/>
            <w:vAlign w:val="center"/>
          </w:tcPr>
          <w:p w14:paraId="22A53F4D">
            <w:pPr>
              <w:spacing w:line="300" w:lineRule="exact"/>
              <w:jc w:val="center"/>
              <w:rPr>
                <w:rFonts w:ascii="宋体" w:hAnsi="宋体"/>
                <w:color w:val="auto"/>
                <w:szCs w:val="21"/>
                <w:highlight w:val="none"/>
              </w:rPr>
            </w:pPr>
          </w:p>
        </w:tc>
        <w:tc>
          <w:tcPr>
            <w:tcW w:w="1368" w:type="dxa"/>
            <w:noWrap w:val="0"/>
            <w:vAlign w:val="center"/>
          </w:tcPr>
          <w:p w14:paraId="141ADFDA">
            <w:pPr>
              <w:spacing w:line="300" w:lineRule="exact"/>
              <w:jc w:val="center"/>
              <w:rPr>
                <w:rFonts w:ascii="宋体" w:hAnsi="宋体"/>
                <w:color w:val="auto"/>
                <w:szCs w:val="21"/>
                <w:highlight w:val="none"/>
              </w:rPr>
            </w:pPr>
          </w:p>
        </w:tc>
        <w:tc>
          <w:tcPr>
            <w:tcW w:w="1368" w:type="dxa"/>
            <w:noWrap w:val="0"/>
            <w:vAlign w:val="center"/>
          </w:tcPr>
          <w:p w14:paraId="4BB64406">
            <w:pPr>
              <w:spacing w:line="300" w:lineRule="exact"/>
              <w:jc w:val="center"/>
              <w:rPr>
                <w:rFonts w:ascii="宋体" w:hAnsi="宋体"/>
                <w:color w:val="auto"/>
                <w:szCs w:val="21"/>
                <w:highlight w:val="none"/>
              </w:rPr>
            </w:pPr>
          </w:p>
        </w:tc>
        <w:tc>
          <w:tcPr>
            <w:tcW w:w="1368" w:type="dxa"/>
            <w:tcBorders>
              <w:right w:val="single" w:color="auto" w:sz="8" w:space="0"/>
            </w:tcBorders>
            <w:noWrap w:val="0"/>
            <w:vAlign w:val="center"/>
          </w:tcPr>
          <w:p w14:paraId="58220FF1">
            <w:pPr>
              <w:spacing w:line="300" w:lineRule="exact"/>
              <w:jc w:val="center"/>
              <w:rPr>
                <w:rFonts w:ascii="宋体" w:hAnsi="宋体"/>
                <w:color w:val="auto"/>
                <w:szCs w:val="21"/>
                <w:highlight w:val="none"/>
              </w:rPr>
            </w:pPr>
          </w:p>
        </w:tc>
        <w:tc>
          <w:tcPr>
            <w:tcW w:w="1368" w:type="dxa"/>
            <w:tcBorders>
              <w:left w:val="single" w:color="auto" w:sz="8" w:space="0"/>
            </w:tcBorders>
            <w:noWrap w:val="0"/>
            <w:vAlign w:val="center"/>
          </w:tcPr>
          <w:p w14:paraId="4C5BE3FC">
            <w:pPr>
              <w:spacing w:line="300" w:lineRule="exact"/>
              <w:jc w:val="center"/>
              <w:rPr>
                <w:rFonts w:ascii="宋体" w:hAnsi="宋体"/>
                <w:color w:val="auto"/>
                <w:szCs w:val="21"/>
                <w:highlight w:val="none"/>
              </w:rPr>
            </w:pPr>
          </w:p>
        </w:tc>
        <w:tc>
          <w:tcPr>
            <w:tcW w:w="1030" w:type="dxa"/>
            <w:noWrap w:val="0"/>
            <w:vAlign w:val="center"/>
          </w:tcPr>
          <w:p w14:paraId="5BE3D389">
            <w:pPr>
              <w:spacing w:line="300" w:lineRule="exact"/>
              <w:jc w:val="center"/>
              <w:rPr>
                <w:rFonts w:ascii="宋体" w:hAnsi="宋体"/>
                <w:color w:val="auto"/>
                <w:szCs w:val="21"/>
                <w:highlight w:val="none"/>
              </w:rPr>
            </w:pPr>
          </w:p>
        </w:tc>
      </w:tr>
      <w:tr w14:paraId="5D5EDED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94" w:hRule="atLeast"/>
        </w:trPr>
        <w:tc>
          <w:tcPr>
            <w:tcW w:w="688" w:type="dxa"/>
            <w:noWrap w:val="0"/>
            <w:vAlign w:val="center"/>
          </w:tcPr>
          <w:p w14:paraId="5F5C37B4">
            <w:pPr>
              <w:spacing w:line="300" w:lineRule="exact"/>
              <w:jc w:val="center"/>
              <w:rPr>
                <w:rFonts w:ascii="宋体" w:hAnsi="宋体"/>
                <w:color w:val="auto"/>
                <w:szCs w:val="21"/>
                <w:highlight w:val="none"/>
              </w:rPr>
            </w:pPr>
          </w:p>
        </w:tc>
        <w:tc>
          <w:tcPr>
            <w:tcW w:w="951" w:type="dxa"/>
            <w:noWrap w:val="0"/>
            <w:vAlign w:val="center"/>
          </w:tcPr>
          <w:p w14:paraId="28793086">
            <w:pPr>
              <w:spacing w:line="300" w:lineRule="exact"/>
              <w:jc w:val="center"/>
              <w:rPr>
                <w:rFonts w:ascii="宋体" w:hAnsi="宋体"/>
                <w:color w:val="auto"/>
                <w:szCs w:val="21"/>
                <w:highlight w:val="none"/>
              </w:rPr>
            </w:pPr>
          </w:p>
        </w:tc>
        <w:tc>
          <w:tcPr>
            <w:tcW w:w="957" w:type="dxa"/>
            <w:noWrap w:val="0"/>
            <w:vAlign w:val="center"/>
          </w:tcPr>
          <w:p w14:paraId="1F8DC29B">
            <w:pPr>
              <w:spacing w:line="300" w:lineRule="exact"/>
              <w:jc w:val="center"/>
              <w:rPr>
                <w:rFonts w:ascii="宋体" w:hAnsi="宋体"/>
                <w:color w:val="auto"/>
                <w:szCs w:val="21"/>
                <w:highlight w:val="none"/>
              </w:rPr>
            </w:pPr>
          </w:p>
        </w:tc>
        <w:tc>
          <w:tcPr>
            <w:tcW w:w="1368" w:type="dxa"/>
            <w:noWrap w:val="0"/>
            <w:vAlign w:val="center"/>
          </w:tcPr>
          <w:p w14:paraId="064250A2">
            <w:pPr>
              <w:spacing w:line="300" w:lineRule="exact"/>
              <w:jc w:val="center"/>
              <w:rPr>
                <w:rFonts w:ascii="宋体" w:hAnsi="宋体"/>
                <w:color w:val="auto"/>
                <w:szCs w:val="21"/>
                <w:highlight w:val="none"/>
              </w:rPr>
            </w:pPr>
          </w:p>
        </w:tc>
        <w:tc>
          <w:tcPr>
            <w:tcW w:w="1368" w:type="dxa"/>
            <w:noWrap w:val="0"/>
            <w:vAlign w:val="center"/>
          </w:tcPr>
          <w:p w14:paraId="42DE5E8C">
            <w:pPr>
              <w:spacing w:line="300" w:lineRule="exact"/>
              <w:jc w:val="center"/>
              <w:rPr>
                <w:rFonts w:ascii="宋体" w:hAnsi="宋体"/>
                <w:color w:val="auto"/>
                <w:szCs w:val="21"/>
                <w:highlight w:val="none"/>
              </w:rPr>
            </w:pPr>
          </w:p>
        </w:tc>
        <w:tc>
          <w:tcPr>
            <w:tcW w:w="1368" w:type="dxa"/>
            <w:tcBorders>
              <w:right w:val="single" w:color="auto" w:sz="8" w:space="0"/>
            </w:tcBorders>
            <w:noWrap w:val="0"/>
            <w:vAlign w:val="center"/>
          </w:tcPr>
          <w:p w14:paraId="40A04B32">
            <w:pPr>
              <w:spacing w:line="300" w:lineRule="exact"/>
              <w:jc w:val="center"/>
              <w:rPr>
                <w:rFonts w:ascii="宋体" w:hAnsi="宋体"/>
                <w:color w:val="auto"/>
                <w:szCs w:val="21"/>
                <w:highlight w:val="none"/>
              </w:rPr>
            </w:pPr>
          </w:p>
        </w:tc>
        <w:tc>
          <w:tcPr>
            <w:tcW w:w="1368" w:type="dxa"/>
            <w:tcBorders>
              <w:left w:val="single" w:color="auto" w:sz="8" w:space="0"/>
            </w:tcBorders>
            <w:noWrap w:val="0"/>
            <w:vAlign w:val="center"/>
          </w:tcPr>
          <w:p w14:paraId="2A146253">
            <w:pPr>
              <w:spacing w:line="300" w:lineRule="exact"/>
              <w:jc w:val="center"/>
              <w:rPr>
                <w:rFonts w:ascii="宋体" w:hAnsi="宋体"/>
                <w:color w:val="auto"/>
                <w:szCs w:val="21"/>
                <w:highlight w:val="none"/>
              </w:rPr>
            </w:pPr>
          </w:p>
        </w:tc>
        <w:tc>
          <w:tcPr>
            <w:tcW w:w="1030" w:type="dxa"/>
            <w:noWrap w:val="0"/>
            <w:vAlign w:val="center"/>
          </w:tcPr>
          <w:p w14:paraId="7DECBFCF">
            <w:pPr>
              <w:spacing w:line="300" w:lineRule="exact"/>
              <w:jc w:val="center"/>
              <w:rPr>
                <w:rFonts w:ascii="宋体" w:hAnsi="宋体"/>
                <w:color w:val="auto"/>
                <w:szCs w:val="21"/>
                <w:highlight w:val="none"/>
              </w:rPr>
            </w:pPr>
          </w:p>
        </w:tc>
      </w:tr>
      <w:tr w14:paraId="2A33A78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93" w:hRule="atLeast"/>
        </w:trPr>
        <w:tc>
          <w:tcPr>
            <w:tcW w:w="688" w:type="dxa"/>
            <w:noWrap w:val="0"/>
            <w:vAlign w:val="center"/>
          </w:tcPr>
          <w:p w14:paraId="2BEE8BEA">
            <w:pPr>
              <w:spacing w:line="300" w:lineRule="exact"/>
              <w:jc w:val="center"/>
              <w:rPr>
                <w:rFonts w:ascii="宋体" w:hAnsi="宋体"/>
                <w:color w:val="auto"/>
                <w:szCs w:val="21"/>
                <w:highlight w:val="none"/>
              </w:rPr>
            </w:pPr>
          </w:p>
        </w:tc>
        <w:tc>
          <w:tcPr>
            <w:tcW w:w="951" w:type="dxa"/>
            <w:noWrap w:val="0"/>
            <w:vAlign w:val="center"/>
          </w:tcPr>
          <w:p w14:paraId="33F48FF5">
            <w:pPr>
              <w:spacing w:line="300" w:lineRule="exact"/>
              <w:jc w:val="center"/>
              <w:rPr>
                <w:rFonts w:ascii="宋体" w:hAnsi="宋体"/>
                <w:color w:val="auto"/>
                <w:szCs w:val="21"/>
                <w:highlight w:val="none"/>
              </w:rPr>
            </w:pPr>
          </w:p>
        </w:tc>
        <w:tc>
          <w:tcPr>
            <w:tcW w:w="957" w:type="dxa"/>
            <w:noWrap w:val="0"/>
            <w:vAlign w:val="center"/>
          </w:tcPr>
          <w:p w14:paraId="083E3F9E">
            <w:pPr>
              <w:spacing w:line="300" w:lineRule="exact"/>
              <w:jc w:val="center"/>
              <w:rPr>
                <w:rFonts w:ascii="宋体" w:hAnsi="宋体"/>
                <w:color w:val="auto"/>
                <w:szCs w:val="21"/>
                <w:highlight w:val="none"/>
              </w:rPr>
            </w:pPr>
          </w:p>
        </w:tc>
        <w:tc>
          <w:tcPr>
            <w:tcW w:w="1368" w:type="dxa"/>
            <w:noWrap w:val="0"/>
            <w:vAlign w:val="center"/>
          </w:tcPr>
          <w:p w14:paraId="1E95A719">
            <w:pPr>
              <w:spacing w:line="300" w:lineRule="exact"/>
              <w:jc w:val="center"/>
              <w:rPr>
                <w:rFonts w:ascii="宋体" w:hAnsi="宋体"/>
                <w:color w:val="auto"/>
                <w:szCs w:val="21"/>
                <w:highlight w:val="none"/>
              </w:rPr>
            </w:pPr>
          </w:p>
        </w:tc>
        <w:tc>
          <w:tcPr>
            <w:tcW w:w="1368" w:type="dxa"/>
            <w:noWrap w:val="0"/>
            <w:vAlign w:val="center"/>
          </w:tcPr>
          <w:p w14:paraId="79E1450C">
            <w:pPr>
              <w:spacing w:line="300" w:lineRule="exact"/>
              <w:jc w:val="center"/>
              <w:rPr>
                <w:rFonts w:ascii="宋体" w:hAnsi="宋体"/>
                <w:color w:val="auto"/>
                <w:szCs w:val="21"/>
                <w:highlight w:val="none"/>
              </w:rPr>
            </w:pPr>
          </w:p>
        </w:tc>
        <w:tc>
          <w:tcPr>
            <w:tcW w:w="1368" w:type="dxa"/>
            <w:tcBorders>
              <w:right w:val="single" w:color="auto" w:sz="8" w:space="0"/>
            </w:tcBorders>
            <w:noWrap w:val="0"/>
            <w:vAlign w:val="center"/>
          </w:tcPr>
          <w:p w14:paraId="0C6FB69E">
            <w:pPr>
              <w:spacing w:line="300" w:lineRule="exact"/>
              <w:jc w:val="center"/>
              <w:rPr>
                <w:rFonts w:ascii="宋体" w:hAnsi="宋体"/>
                <w:color w:val="auto"/>
                <w:szCs w:val="21"/>
                <w:highlight w:val="none"/>
              </w:rPr>
            </w:pPr>
          </w:p>
        </w:tc>
        <w:tc>
          <w:tcPr>
            <w:tcW w:w="1368" w:type="dxa"/>
            <w:tcBorders>
              <w:left w:val="single" w:color="auto" w:sz="8" w:space="0"/>
            </w:tcBorders>
            <w:noWrap w:val="0"/>
            <w:vAlign w:val="center"/>
          </w:tcPr>
          <w:p w14:paraId="42504EED">
            <w:pPr>
              <w:spacing w:line="300" w:lineRule="exact"/>
              <w:jc w:val="center"/>
              <w:rPr>
                <w:rFonts w:ascii="宋体" w:hAnsi="宋体"/>
                <w:color w:val="auto"/>
                <w:szCs w:val="21"/>
                <w:highlight w:val="none"/>
              </w:rPr>
            </w:pPr>
          </w:p>
        </w:tc>
        <w:tc>
          <w:tcPr>
            <w:tcW w:w="1030" w:type="dxa"/>
            <w:noWrap w:val="0"/>
            <w:vAlign w:val="center"/>
          </w:tcPr>
          <w:p w14:paraId="06821456">
            <w:pPr>
              <w:spacing w:line="300" w:lineRule="exact"/>
              <w:jc w:val="center"/>
              <w:rPr>
                <w:rFonts w:ascii="宋体" w:hAnsi="宋体"/>
                <w:color w:val="auto"/>
                <w:szCs w:val="21"/>
                <w:highlight w:val="none"/>
              </w:rPr>
            </w:pPr>
          </w:p>
        </w:tc>
      </w:tr>
      <w:tr w14:paraId="33C601E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94" w:hRule="atLeast"/>
        </w:trPr>
        <w:tc>
          <w:tcPr>
            <w:tcW w:w="688" w:type="dxa"/>
            <w:noWrap w:val="0"/>
            <w:vAlign w:val="center"/>
          </w:tcPr>
          <w:p w14:paraId="561FD759">
            <w:pPr>
              <w:spacing w:line="300" w:lineRule="exact"/>
              <w:jc w:val="center"/>
              <w:rPr>
                <w:rFonts w:ascii="宋体" w:hAnsi="宋体"/>
                <w:color w:val="auto"/>
                <w:szCs w:val="21"/>
                <w:highlight w:val="none"/>
              </w:rPr>
            </w:pPr>
          </w:p>
        </w:tc>
        <w:tc>
          <w:tcPr>
            <w:tcW w:w="951" w:type="dxa"/>
            <w:noWrap w:val="0"/>
            <w:vAlign w:val="center"/>
          </w:tcPr>
          <w:p w14:paraId="6BB952C5">
            <w:pPr>
              <w:spacing w:line="300" w:lineRule="exact"/>
              <w:jc w:val="center"/>
              <w:rPr>
                <w:rFonts w:ascii="宋体" w:hAnsi="宋体"/>
                <w:color w:val="auto"/>
                <w:szCs w:val="21"/>
                <w:highlight w:val="none"/>
              </w:rPr>
            </w:pPr>
          </w:p>
        </w:tc>
        <w:tc>
          <w:tcPr>
            <w:tcW w:w="957" w:type="dxa"/>
            <w:noWrap w:val="0"/>
            <w:vAlign w:val="center"/>
          </w:tcPr>
          <w:p w14:paraId="66AB1839">
            <w:pPr>
              <w:spacing w:line="300" w:lineRule="exact"/>
              <w:jc w:val="center"/>
              <w:rPr>
                <w:rFonts w:ascii="宋体" w:hAnsi="宋体"/>
                <w:color w:val="auto"/>
                <w:szCs w:val="21"/>
                <w:highlight w:val="none"/>
              </w:rPr>
            </w:pPr>
          </w:p>
        </w:tc>
        <w:tc>
          <w:tcPr>
            <w:tcW w:w="1368" w:type="dxa"/>
            <w:noWrap w:val="0"/>
            <w:vAlign w:val="center"/>
          </w:tcPr>
          <w:p w14:paraId="1A67A3DF">
            <w:pPr>
              <w:spacing w:line="300" w:lineRule="exact"/>
              <w:jc w:val="center"/>
              <w:rPr>
                <w:rFonts w:ascii="宋体" w:hAnsi="宋体"/>
                <w:color w:val="auto"/>
                <w:szCs w:val="21"/>
                <w:highlight w:val="none"/>
              </w:rPr>
            </w:pPr>
          </w:p>
        </w:tc>
        <w:tc>
          <w:tcPr>
            <w:tcW w:w="1368" w:type="dxa"/>
            <w:noWrap w:val="0"/>
            <w:vAlign w:val="center"/>
          </w:tcPr>
          <w:p w14:paraId="064A0169">
            <w:pPr>
              <w:spacing w:line="300" w:lineRule="exact"/>
              <w:jc w:val="center"/>
              <w:rPr>
                <w:rFonts w:ascii="宋体" w:hAnsi="宋体"/>
                <w:color w:val="auto"/>
                <w:szCs w:val="21"/>
                <w:highlight w:val="none"/>
              </w:rPr>
            </w:pPr>
          </w:p>
        </w:tc>
        <w:tc>
          <w:tcPr>
            <w:tcW w:w="1368" w:type="dxa"/>
            <w:tcBorders>
              <w:right w:val="single" w:color="auto" w:sz="8" w:space="0"/>
            </w:tcBorders>
            <w:noWrap w:val="0"/>
            <w:vAlign w:val="center"/>
          </w:tcPr>
          <w:p w14:paraId="5C70D1BB">
            <w:pPr>
              <w:spacing w:line="300" w:lineRule="exact"/>
              <w:jc w:val="center"/>
              <w:rPr>
                <w:rFonts w:ascii="宋体" w:hAnsi="宋体"/>
                <w:color w:val="auto"/>
                <w:szCs w:val="21"/>
                <w:highlight w:val="none"/>
              </w:rPr>
            </w:pPr>
          </w:p>
        </w:tc>
        <w:tc>
          <w:tcPr>
            <w:tcW w:w="1368" w:type="dxa"/>
            <w:tcBorders>
              <w:left w:val="single" w:color="auto" w:sz="8" w:space="0"/>
            </w:tcBorders>
            <w:noWrap w:val="0"/>
            <w:vAlign w:val="center"/>
          </w:tcPr>
          <w:p w14:paraId="22311BBC">
            <w:pPr>
              <w:spacing w:line="300" w:lineRule="exact"/>
              <w:jc w:val="center"/>
              <w:rPr>
                <w:rFonts w:ascii="宋体" w:hAnsi="宋体"/>
                <w:color w:val="auto"/>
                <w:szCs w:val="21"/>
                <w:highlight w:val="none"/>
              </w:rPr>
            </w:pPr>
          </w:p>
        </w:tc>
        <w:tc>
          <w:tcPr>
            <w:tcW w:w="1030" w:type="dxa"/>
            <w:noWrap w:val="0"/>
            <w:vAlign w:val="center"/>
          </w:tcPr>
          <w:p w14:paraId="49BD658B">
            <w:pPr>
              <w:spacing w:line="300" w:lineRule="exact"/>
              <w:jc w:val="center"/>
              <w:rPr>
                <w:rFonts w:ascii="宋体" w:hAnsi="宋体"/>
                <w:color w:val="auto"/>
                <w:szCs w:val="21"/>
                <w:highlight w:val="none"/>
              </w:rPr>
            </w:pPr>
          </w:p>
        </w:tc>
      </w:tr>
      <w:tr w14:paraId="2738D8B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93" w:hRule="atLeast"/>
        </w:trPr>
        <w:tc>
          <w:tcPr>
            <w:tcW w:w="688" w:type="dxa"/>
            <w:noWrap w:val="0"/>
            <w:vAlign w:val="center"/>
          </w:tcPr>
          <w:p w14:paraId="7A13DBA2">
            <w:pPr>
              <w:spacing w:line="300" w:lineRule="exact"/>
              <w:jc w:val="center"/>
              <w:rPr>
                <w:rFonts w:ascii="宋体" w:hAnsi="宋体"/>
                <w:color w:val="auto"/>
                <w:szCs w:val="21"/>
                <w:highlight w:val="none"/>
              </w:rPr>
            </w:pPr>
          </w:p>
        </w:tc>
        <w:tc>
          <w:tcPr>
            <w:tcW w:w="951" w:type="dxa"/>
            <w:noWrap w:val="0"/>
            <w:vAlign w:val="center"/>
          </w:tcPr>
          <w:p w14:paraId="587BF663">
            <w:pPr>
              <w:spacing w:line="300" w:lineRule="exact"/>
              <w:jc w:val="center"/>
              <w:rPr>
                <w:rFonts w:ascii="宋体" w:hAnsi="宋体"/>
                <w:color w:val="auto"/>
                <w:szCs w:val="21"/>
                <w:highlight w:val="none"/>
              </w:rPr>
            </w:pPr>
          </w:p>
        </w:tc>
        <w:tc>
          <w:tcPr>
            <w:tcW w:w="957" w:type="dxa"/>
            <w:noWrap w:val="0"/>
            <w:vAlign w:val="center"/>
          </w:tcPr>
          <w:p w14:paraId="32A4F75C">
            <w:pPr>
              <w:spacing w:line="300" w:lineRule="exact"/>
              <w:jc w:val="center"/>
              <w:rPr>
                <w:rFonts w:ascii="宋体" w:hAnsi="宋体"/>
                <w:color w:val="auto"/>
                <w:szCs w:val="21"/>
                <w:highlight w:val="none"/>
              </w:rPr>
            </w:pPr>
          </w:p>
        </w:tc>
        <w:tc>
          <w:tcPr>
            <w:tcW w:w="1368" w:type="dxa"/>
            <w:noWrap w:val="0"/>
            <w:vAlign w:val="center"/>
          </w:tcPr>
          <w:p w14:paraId="6B5987FF">
            <w:pPr>
              <w:spacing w:line="300" w:lineRule="exact"/>
              <w:jc w:val="center"/>
              <w:rPr>
                <w:rFonts w:ascii="宋体" w:hAnsi="宋体"/>
                <w:color w:val="auto"/>
                <w:szCs w:val="21"/>
                <w:highlight w:val="none"/>
              </w:rPr>
            </w:pPr>
          </w:p>
        </w:tc>
        <w:tc>
          <w:tcPr>
            <w:tcW w:w="1368" w:type="dxa"/>
            <w:noWrap w:val="0"/>
            <w:vAlign w:val="center"/>
          </w:tcPr>
          <w:p w14:paraId="208A627A">
            <w:pPr>
              <w:spacing w:line="300" w:lineRule="exact"/>
              <w:jc w:val="center"/>
              <w:rPr>
                <w:rFonts w:ascii="宋体" w:hAnsi="宋体"/>
                <w:color w:val="auto"/>
                <w:szCs w:val="21"/>
                <w:highlight w:val="none"/>
              </w:rPr>
            </w:pPr>
          </w:p>
        </w:tc>
        <w:tc>
          <w:tcPr>
            <w:tcW w:w="1368" w:type="dxa"/>
            <w:tcBorders>
              <w:right w:val="single" w:color="auto" w:sz="8" w:space="0"/>
            </w:tcBorders>
            <w:noWrap w:val="0"/>
            <w:vAlign w:val="center"/>
          </w:tcPr>
          <w:p w14:paraId="223C2C89">
            <w:pPr>
              <w:spacing w:line="300" w:lineRule="exact"/>
              <w:jc w:val="center"/>
              <w:rPr>
                <w:rFonts w:ascii="宋体" w:hAnsi="宋体"/>
                <w:color w:val="auto"/>
                <w:szCs w:val="21"/>
                <w:highlight w:val="none"/>
              </w:rPr>
            </w:pPr>
          </w:p>
        </w:tc>
        <w:tc>
          <w:tcPr>
            <w:tcW w:w="1368" w:type="dxa"/>
            <w:tcBorders>
              <w:left w:val="single" w:color="auto" w:sz="8" w:space="0"/>
            </w:tcBorders>
            <w:noWrap w:val="0"/>
            <w:vAlign w:val="center"/>
          </w:tcPr>
          <w:p w14:paraId="2F083C22">
            <w:pPr>
              <w:spacing w:line="300" w:lineRule="exact"/>
              <w:jc w:val="center"/>
              <w:rPr>
                <w:rFonts w:ascii="宋体" w:hAnsi="宋体"/>
                <w:color w:val="auto"/>
                <w:szCs w:val="21"/>
                <w:highlight w:val="none"/>
              </w:rPr>
            </w:pPr>
          </w:p>
        </w:tc>
        <w:tc>
          <w:tcPr>
            <w:tcW w:w="1030" w:type="dxa"/>
            <w:noWrap w:val="0"/>
            <w:vAlign w:val="center"/>
          </w:tcPr>
          <w:p w14:paraId="3204F4C7">
            <w:pPr>
              <w:spacing w:line="300" w:lineRule="exact"/>
              <w:jc w:val="center"/>
              <w:rPr>
                <w:rFonts w:ascii="宋体" w:hAnsi="宋体"/>
                <w:color w:val="auto"/>
                <w:szCs w:val="21"/>
                <w:highlight w:val="none"/>
              </w:rPr>
            </w:pPr>
          </w:p>
        </w:tc>
      </w:tr>
    </w:tbl>
    <w:p w14:paraId="532A2404">
      <w:pPr>
        <w:spacing w:line="360" w:lineRule="auto"/>
        <w:rPr>
          <w:rFonts w:ascii="宋体" w:hAnsi="宋体"/>
          <w:color w:val="auto"/>
          <w:szCs w:val="21"/>
          <w:highlight w:val="none"/>
        </w:rPr>
      </w:pPr>
    </w:p>
    <w:p w14:paraId="57CABC18">
      <w:pPr>
        <w:spacing w:line="360" w:lineRule="auto"/>
        <w:rPr>
          <w:rFonts w:ascii="宋体" w:hAnsi="宋体"/>
          <w:color w:val="auto"/>
          <w:szCs w:val="21"/>
          <w:highlight w:val="none"/>
        </w:rPr>
      </w:pPr>
    </w:p>
    <w:p w14:paraId="7E566990">
      <w:pPr>
        <w:spacing w:line="360" w:lineRule="auto"/>
        <w:rPr>
          <w:rFonts w:ascii="宋体" w:hAnsi="宋体"/>
          <w:color w:val="auto"/>
          <w:szCs w:val="21"/>
          <w:highlight w:val="none"/>
        </w:rPr>
        <w:sectPr>
          <w:pgSz w:w="11907" w:h="16840"/>
          <w:pgMar w:top="1440" w:right="1803" w:bottom="1440" w:left="1803" w:header="851" w:footer="850" w:gutter="0"/>
          <w:pgNumType w:fmt="decimal"/>
          <w:cols w:space="720" w:num="1"/>
          <w:titlePg/>
          <w:docGrid w:type="linesAndChars" w:linePitch="312" w:charSpace="-3473"/>
        </w:sectPr>
      </w:pPr>
    </w:p>
    <w:p w14:paraId="74E1D8EE">
      <w:pPr>
        <w:jc w:val="center"/>
        <w:rPr>
          <w:rFonts w:ascii="宋体" w:hAnsi="宋体"/>
          <w:b/>
          <w:color w:val="auto"/>
          <w:sz w:val="28"/>
          <w:szCs w:val="28"/>
          <w:highlight w:val="none"/>
        </w:rPr>
      </w:pPr>
      <w:bookmarkStart w:id="738" w:name="_Toc211162744"/>
      <w:bookmarkStart w:id="739" w:name="_Toc247079407"/>
      <w:r>
        <w:rPr>
          <w:rFonts w:hint="eastAsia" w:ascii="宋体" w:hAnsi="宋体"/>
          <w:b/>
          <w:color w:val="auto"/>
          <w:sz w:val="28"/>
          <w:szCs w:val="28"/>
          <w:highlight w:val="none"/>
        </w:rPr>
        <w:t>（二）主要人员简历表</w:t>
      </w:r>
      <w:bookmarkEnd w:id="738"/>
      <w:bookmarkEnd w:id="739"/>
    </w:p>
    <w:p w14:paraId="740BC7A9">
      <w:pPr>
        <w:jc w:val="center"/>
        <w:rPr>
          <w:rFonts w:ascii="宋体" w:hAnsi="宋体"/>
          <w:b/>
          <w:color w:val="auto"/>
          <w:sz w:val="28"/>
          <w:szCs w:val="28"/>
          <w:highlight w:val="none"/>
        </w:rPr>
      </w:pPr>
    </w:p>
    <w:tbl>
      <w:tblPr>
        <w:tblStyle w:val="49"/>
        <w:tblW w:w="8944" w:type="dxa"/>
        <w:tblInd w:w="10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183"/>
        <w:gridCol w:w="333"/>
        <w:gridCol w:w="1525"/>
        <w:gridCol w:w="1014"/>
        <w:gridCol w:w="845"/>
        <w:gridCol w:w="507"/>
        <w:gridCol w:w="1175"/>
        <w:gridCol w:w="683"/>
        <w:gridCol w:w="1679"/>
      </w:tblGrid>
      <w:tr w14:paraId="5896D9D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9" w:hRule="atLeast"/>
        </w:trPr>
        <w:tc>
          <w:tcPr>
            <w:tcW w:w="1516" w:type="dxa"/>
            <w:gridSpan w:val="2"/>
            <w:noWrap w:val="0"/>
            <w:vAlign w:val="center"/>
          </w:tcPr>
          <w:p w14:paraId="7A6E01CA">
            <w:pPr>
              <w:spacing w:line="300" w:lineRule="exact"/>
              <w:jc w:val="center"/>
              <w:rPr>
                <w:rFonts w:ascii="宋体" w:hAnsi="宋体"/>
                <w:b/>
                <w:color w:val="auto"/>
                <w:szCs w:val="21"/>
                <w:highlight w:val="none"/>
              </w:rPr>
            </w:pPr>
            <w:r>
              <w:rPr>
                <w:rFonts w:hint="eastAsia" w:ascii="宋体" w:hAnsi="宋体"/>
                <w:b/>
                <w:color w:val="auto"/>
                <w:szCs w:val="21"/>
                <w:highlight w:val="none"/>
              </w:rPr>
              <w:t>姓 名</w:t>
            </w:r>
          </w:p>
        </w:tc>
        <w:tc>
          <w:tcPr>
            <w:tcW w:w="1525" w:type="dxa"/>
            <w:noWrap w:val="0"/>
            <w:vAlign w:val="center"/>
          </w:tcPr>
          <w:p w14:paraId="5D020A2A">
            <w:pPr>
              <w:spacing w:line="300" w:lineRule="exact"/>
              <w:jc w:val="center"/>
              <w:rPr>
                <w:rFonts w:ascii="宋体" w:hAnsi="宋体"/>
                <w:b/>
                <w:color w:val="auto"/>
                <w:szCs w:val="21"/>
                <w:highlight w:val="none"/>
              </w:rPr>
            </w:pPr>
          </w:p>
        </w:tc>
        <w:tc>
          <w:tcPr>
            <w:tcW w:w="1014" w:type="dxa"/>
            <w:noWrap w:val="0"/>
            <w:vAlign w:val="center"/>
          </w:tcPr>
          <w:p w14:paraId="2C5BF668">
            <w:pPr>
              <w:spacing w:line="300" w:lineRule="exact"/>
              <w:jc w:val="center"/>
              <w:rPr>
                <w:rFonts w:ascii="宋体" w:hAnsi="宋体"/>
                <w:b/>
                <w:color w:val="auto"/>
                <w:szCs w:val="21"/>
                <w:highlight w:val="none"/>
              </w:rPr>
            </w:pPr>
            <w:r>
              <w:rPr>
                <w:rFonts w:hint="eastAsia" w:ascii="宋体" w:hAnsi="宋体"/>
                <w:b/>
                <w:color w:val="auto"/>
                <w:szCs w:val="21"/>
                <w:highlight w:val="none"/>
              </w:rPr>
              <w:t>年 龄</w:t>
            </w:r>
          </w:p>
        </w:tc>
        <w:tc>
          <w:tcPr>
            <w:tcW w:w="1352" w:type="dxa"/>
            <w:gridSpan w:val="2"/>
            <w:noWrap w:val="0"/>
            <w:vAlign w:val="center"/>
          </w:tcPr>
          <w:p w14:paraId="3E2291C4">
            <w:pPr>
              <w:spacing w:line="300" w:lineRule="exact"/>
              <w:jc w:val="center"/>
              <w:rPr>
                <w:rFonts w:ascii="宋体" w:hAnsi="宋体"/>
                <w:b/>
                <w:color w:val="auto"/>
                <w:szCs w:val="21"/>
                <w:highlight w:val="none"/>
              </w:rPr>
            </w:pPr>
          </w:p>
        </w:tc>
        <w:tc>
          <w:tcPr>
            <w:tcW w:w="1858" w:type="dxa"/>
            <w:gridSpan w:val="2"/>
            <w:noWrap w:val="0"/>
            <w:vAlign w:val="center"/>
          </w:tcPr>
          <w:p w14:paraId="09A033BC">
            <w:pPr>
              <w:spacing w:line="300" w:lineRule="exact"/>
              <w:jc w:val="center"/>
              <w:rPr>
                <w:rFonts w:ascii="宋体" w:hAnsi="宋体"/>
                <w:b/>
                <w:color w:val="auto"/>
                <w:szCs w:val="21"/>
                <w:highlight w:val="none"/>
              </w:rPr>
            </w:pPr>
            <w:r>
              <w:rPr>
                <w:rFonts w:hint="eastAsia" w:ascii="宋体" w:hAnsi="宋体"/>
                <w:b/>
                <w:color w:val="auto"/>
                <w:szCs w:val="21"/>
                <w:highlight w:val="none"/>
              </w:rPr>
              <w:t>学          历</w:t>
            </w:r>
          </w:p>
        </w:tc>
        <w:tc>
          <w:tcPr>
            <w:tcW w:w="1679" w:type="dxa"/>
            <w:noWrap w:val="0"/>
            <w:vAlign w:val="center"/>
          </w:tcPr>
          <w:p w14:paraId="2CB2BA0B">
            <w:pPr>
              <w:spacing w:line="300" w:lineRule="exact"/>
              <w:jc w:val="center"/>
              <w:rPr>
                <w:rFonts w:ascii="宋体" w:hAnsi="宋体"/>
                <w:b/>
                <w:color w:val="auto"/>
                <w:szCs w:val="21"/>
                <w:highlight w:val="none"/>
              </w:rPr>
            </w:pPr>
          </w:p>
        </w:tc>
      </w:tr>
      <w:tr w14:paraId="6D4D84D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7" w:hRule="atLeast"/>
        </w:trPr>
        <w:tc>
          <w:tcPr>
            <w:tcW w:w="1516" w:type="dxa"/>
            <w:gridSpan w:val="2"/>
            <w:noWrap w:val="0"/>
            <w:vAlign w:val="center"/>
          </w:tcPr>
          <w:p w14:paraId="5C776A32">
            <w:pPr>
              <w:spacing w:line="300" w:lineRule="exact"/>
              <w:jc w:val="center"/>
              <w:rPr>
                <w:rFonts w:ascii="宋体" w:hAnsi="宋体"/>
                <w:b/>
                <w:color w:val="auto"/>
                <w:szCs w:val="21"/>
                <w:highlight w:val="none"/>
              </w:rPr>
            </w:pPr>
            <w:r>
              <w:rPr>
                <w:rFonts w:hint="eastAsia" w:ascii="宋体" w:hAnsi="宋体"/>
                <w:b/>
                <w:color w:val="auto"/>
                <w:szCs w:val="21"/>
                <w:highlight w:val="none"/>
              </w:rPr>
              <w:t>执业资格</w:t>
            </w:r>
          </w:p>
        </w:tc>
        <w:tc>
          <w:tcPr>
            <w:tcW w:w="3891" w:type="dxa"/>
            <w:gridSpan w:val="4"/>
            <w:noWrap w:val="0"/>
            <w:vAlign w:val="center"/>
          </w:tcPr>
          <w:p w14:paraId="1B743355">
            <w:pPr>
              <w:spacing w:line="300" w:lineRule="exact"/>
              <w:jc w:val="center"/>
              <w:rPr>
                <w:rFonts w:ascii="宋体" w:hAnsi="宋体"/>
                <w:b/>
                <w:color w:val="auto"/>
                <w:szCs w:val="21"/>
                <w:highlight w:val="none"/>
              </w:rPr>
            </w:pPr>
          </w:p>
        </w:tc>
        <w:tc>
          <w:tcPr>
            <w:tcW w:w="1858" w:type="dxa"/>
            <w:gridSpan w:val="2"/>
            <w:noWrap w:val="0"/>
            <w:vAlign w:val="center"/>
          </w:tcPr>
          <w:p w14:paraId="6BE55A5B">
            <w:pPr>
              <w:spacing w:line="300" w:lineRule="exact"/>
              <w:jc w:val="center"/>
              <w:rPr>
                <w:rFonts w:ascii="宋体" w:hAnsi="宋体"/>
                <w:b/>
                <w:color w:val="auto"/>
                <w:szCs w:val="21"/>
                <w:highlight w:val="none"/>
              </w:rPr>
            </w:pPr>
            <w:r>
              <w:rPr>
                <w:rFonts w:hint="eastAsia" w:ascii="宋体" w:hAnsi="宋体"/>
                <w:b/>
                <w:color w:val="auto"/>
                <w:szCs w:val="21"/>
                <w:highlight w:val="none"/>
              </w:rPr>
              <w:t>安全生产考核合格证书</w:t>
            </w:r>
          </w:p>
        </w:tc>
        <w:tc>
          <w:tcPr>
            <w:tcW w:w="1679" w:type="dxa"/>
            <w:noWrap w:val="0"/>
            <w:vAlign w:val="center"/>
          </w:tcPr>
          <w:p w14:paraId="457BC11D">
            <w:pPr>
              <w:spacing w:line="300" w:lineRule="exact"/>
              <w:jc w:val="center"/>
              <w:rPr>
                <w:rFonts w:ascii="宋体" w:hAnsi="宋体"/>
                <w:b/>
                <w:color w:val="auto"/>
                <w:szCs w:val="21"/>
                <w:highlight w:val="none"/>
              </w:rPr>
            </w:pPr>
          </w:p>
        </w:tc>
      </w:tr>
      <w:tr w14:paraId="46A759F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7" w:hRule="atLeast"/>
        </w:trPr>
        <w:tc>
          <w:tcPr>
            <w:tcW w:w="1516" w:type="dxa"/>
            <w:gridSpan w:val="2"/>
            <w:noWrap w:val="0"/>
            <w:vAlign w:val="center"/>
          </w:tcPr>
          <w:p w14:paraId="0B67017F">
            <w:pPr>
              <w:spacing w:line="300" w:lineRule="exact"/>
              <w:jc w:val="center"/>
              <w:rPr>
                <w:rFonts w:ascii="宋体" w:hAnsi="宋体"/>
                <w:b/>
                <w:color w:val="auto"/>
                <w:szCs w:val="21"/>
                <w:highlight w:val="none"/>
              </w:rPr>
            </w:pPr>
            <w:r>
              <w:rPr>
                <w:rFonts w:hint="eastAsia" w:ascii="宋体" w:hAnsi="宋体"/>
                <w:b/>
                <w:color w:val="auto"/>
                <w:szCs w:val="21"/>
                <w:highlight w:val="none"/>
              </w:rPr>
              <w:t>职 称</w:t>
            </w:r>
          </w:p>
        </w:tc>
        <w:tc>
          <w:tcPr>
            <w:tcW w:w="1525" w:type="dxa"/>
            <w:noWrap w:val="0"/>
            <w:vAlign w:val="center"/>
          </w:tcPr>
          <w:p w14:paraId="3887A534">
            <w:pPr>
              <w:spacing w:line="300" w:lineRule="exact"/>
              <w:jc w:val="center"/>
              <w:rPr>
                <w:rFonts w:ascii="宋体" w:hAnsi="宋体"/>
                <w:b/>
                <w:color w:val="auto"/>
                <w:szCs w:val="21"/>
                <w:highlight w:val="none"/>
              </w:rPr>
            </w:pPr>
          </w:p>
        </w:tc>
        <w:tc>
          <w:tcPr>
            <w:tcW w:w="1014" w:type="dxa"/>
            <w:noWrap w:val="0"/>
            <w:vAlign w:val="center"/>
          </w:tcPr>
          <w:p w14:paraId="19F8CF53">
            <w:pPr>
              <w:spacing w:line="300" w:lineRule="exact"/>
              <w:jc w:val="center"/>
              <w:rPr>
                <w:rFonts w:ascii="宋体" w:hAnsi="宋体"/>
                <w:b/>
                <w:color w:val="auto"/>
                <w:szCs w:val="21"/>
                <w:highlight w:val="none"/>
              </w:rPr>
            </w:pPr>
            <w:r>
              <w:rPr>
                <w:rFonts w:hint="eastAsia" w:ascii="宋体" w:hAnsi="宋体"/>
                <w:b/>
                <w:color w:val="auto"/>
                <w:szCs w:val="21"/>
                <w:highlight w:val="none"/>
              </w:rPr>
              <w:t>职 务</w:t>
            </w:r>
          </w:p>
        </w:tc>
        <w:tc>
          <w:tcPr>
            <w:tcW w:w="1352" w:type="dxa"/>
            <w:gridSpan w:val="2"/>
            <w:noWrap w:val="0"/>
            <w:vAlign w:val="center"/>
          </w:tcPr>
          <w:p w14:paraId="77572C13">
            <w:pPr>
              <w:spacing w:line="300" w:lineRule="exact"/>
              <w:jc w:val="center"/>
              <w:rPr>
                <w:rFonts w:ascii="宋体" w:hAnsi="宋体"/>
                <w:b/>
                <w:color w:val="auto"/>
                <w:szCs w:val="21"/>
                <w:highlight w:val="none"/>
              </w:rPr>
            </w:pPr>
          </w:p>
        </w:tc>
        <w:tc>
          <w:tcPr>
            <w:tcW w:w="1858" w:type="dxa"/>
            <w:gridSpan w:val="2"/>
            <w:noWrap w:val="0"/>
            <w:vAlign w:val="center"/>
          </w:tcPr>
          <w:p w14:paraId="4D97D985">
            <w:pPr>
              <w:spacing w:line="300" w:lineRule="exact"/>
              <w:jc w:val="center"/>
              <w:rPr>
                <w:rFonts w:ascii="宋体" w:hAnsi="宋体"/>
                <w:b/>
                <w:color w:val="auto"/>
                <w:szCs w:val="21"/>
                <w:highlight w:val="none"/>
              </w:rPr>
            </w:pPr>
            <w:r>
              <w:rPr>
                <w:rFonts w:hint="eastAsia" w:ascii="宋体" w:hAnsi="宋体"/>
                <w:b/>
                <w:color w:val="auto"/>
                <w:szCs w:val="21"/>
                <w:highlight w:val="none"/>
              </w:rPr>
              <w:t>拟在本合同任职</w:t>
            </w:r>
          </w:p>
        </w:tc>
        <w:tc>
          <w:tcPr>
            <w:tcW w:w="1679" w:type="dxa"/>
            <w:noWrap w:val="0"/>
            <w:vAlign w:val="center"/>
          </w:tcPr>
          <w:p w14:paraId="68636149">
            <w:pPr>
              <w:spacing w:line="300" w:lineRule="exact"/>
              <w:jc w:val="center"/>
              <w:rPr>
                <w:rFonts w:ascii="宋体" w:hAnsi="宋体"/>
                <w:b/>
                <w:color w:val="auto"/>
                <w:szCs w:val="21"/>
                <w:highlight w:val="none"/>
              </w:rPr>
            </w:pPr>
          </w:p>
        </w:tc>
      </w:tr>
      <w:tr w14:paraId="2F6C009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08" w:hRule="atLeast"/>
        </w:trPr>
        <w:tc>
          <w:tcPr>
            <w:tcW w:w="1516" w:type="dxa"/>
            <w:gridSpan w:val="2"/>
            <w:noWrap w:val="0"/>
            <w:vAlign w:val="center"/>
          </w:tcPr>
          <w:p w14:paraId="4B921A3D">
            <w:pPr>
              <w:spacing w:line="300" w:lineRule="exact"/>
              <w:jc w:val="center"/>
              <w:rPr>
                <w:rFonts w:ascii="宋体" w:hAnsi="宋体"/>
                <w:b/>
                <w:color w:val="auto"/>
                <w:szCs w:val="21"/>
                <w:highlight w:val="none"/>
              </w:rPr>
            </w:pPr>
            <w:r>
              <w:rPr>
                <w:rFonts w:hint="eastAsia" w:ascii="宋体" w:hAnsi="宋体"/>
                <w:b/>
                <w:color w:val="auto"/>
                <w:szCs w:val="21"/>
                <w:highlight w:val="none"/>
              </w:rPr>
              <w:t>毕业学校</w:t>
            </w:r>
          </w:p>
        </w:tc>
        <w:tc>
          <w:tcPr>
            <w:tcW w:w="7428" w:type="dxa"/>
            <w:gridSpan w:val="7"/>
            <w:noWrap w:val="0"/>
            <w:vAlign w:val="center"/>
          </w:tcPr>
          <w:p w14:paraId="738EE21E">
            <w:pPr>
              <w:spacing w:line="300" w:lineRule="exact"/>
              <w:ind w:firstLine="485" w:firstLineChars="250"/>
              <w:jc w:val="center"/>
              <w:rPr>
                <w:rFonts w:ascii="宋体" w:hAnsi="宋体"/>
                <w:b/>
                <w:color w:val="auto"/>
                <w:szCs w:val="21"/>
                <w:highlight w:val="none"/>
              </w:rPr>
            </w:pPr>
            <w:r>
              <w:rPr>
                <w:rFonts w:hint="eastAsia" w:ascii="宋体" w:hAnsi="宋体"/>
                <w:b/>
                <w:color w:val="auto"/>
                <w:szCs w:val="21"/>
                <w:highlight w:val="none"/>
              </w:rPr>
              <w:t>年毕业于                 学校         专业</w:t>
            </w:r>
          </w:p>
        </w:tc>
      </w:tr>
      <w:tr w14:paraId="24D4C12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22" w:hRule="atLeast"/>
        </w:trPr>
        <w:tc>
          <w:tcPr>
            <w:tcW w:w="8944" w:type="dxa"/>
            <w:gridSpan w:val="9"/>
            <w:noWrap w:val="0"/>
            <w:vAlign w:val="center"/>
          </w:tcPr>
          <w:p w14:paraId="44720F17">
            <w:pPr>
              <w:jc w:val="center"/>
              <w:rPr>
                <w:rFonts w:ascii="宋体" w:hAnsi="宋体"/>
                <w:b/>
                <w:color w:val="auto"/>
                <w:szCs w:val="21"/>
                <w:highlight w:val="none"/>
              </w:rPr>
            </w:pPr>
            <w:r>
              <w:rPr>
                <w:rFonts w:hint="eastAsia" w:ascii="宋体" w:hAnsi="宋体"/>
                <w:b/>
                <w:color w:val="auto"/>
                <w:szCs w:val="21"/>
                <w:highlight w:val="none"/>
              </w:rPr>
              <w:t>主要施工管理经历</w:t>
            </w:r>
          </w:p>
        </w:tc>
      </w:tr>
      <w:tr w14:paraId="09FE82A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22" w:hRule="atLeast"/>
        </w:trPr>
        <w:tc>
          <w:tcPr>
            <w:tcW w:w="1183" w:type="dxa"/>
            <w:noWrap w:val="0"/>
            <w:vAlign w:val="center"/>
          </w:tcPr>
          <w:p w14:paraId="7F59E44D">
            <w:pPr>
              <w:jc w:val="center"/>
              <w:rPr>
                <w:rFonts w:ascii="宋体" w:hAnsi="宋体"/>
                <w:b/>
                <w:color w:val="auto"/>
                <w:szCs w:val="21"/>
                <w:highlight w:val="none"/>
              </w:rPr>
            </w:pPr>
            <w:r>
              <w:rPr>
                <w:rFonts w:hint="eastAsia" w:ascii="宋体" w:hAnsi="宋体"/>
                <w:b/>
                <w:color w:val="auto"/>
                <w:szCs w:val="21"/>
                <w:highlight w:val="none"/>
              </w:rPr>
              <w:t>时 间</w:t>
            </w:r>
          </w:p>
        </w:tc>
        <w:tc>
          <w:tcPr>
            <w:tcW w:w="3717" w:type="dxa"/>
            <w:gridSpan w:val="4"/>
            <w:noWrap w:val="0"/>
            <w:vAlign w:val="center"/>
          </w:tcPr>
          <w:p w14:paraId="5E4D8E87">
            <w:pPr>
              <w:jc w:val="center"/>
              <w:rPr>
                <w:rFonts w:ascii="宋体" w:hAnsi="宋体"/>
                <w:b/>
                <w:color w:val="auto"/>
                <w:szCs w:val="21"/>
                <w:highlight w:val="none"/>
              </w:rPr>
            </w:pPr>
            <w:r>
              <w:rPr>
                <w:rFonts w:hint="eastAsia" w:ascii="宋体" w:hAnsi="宋体"/>
                <w:b/>
                <w:color w:val="auto"/>
                <w:szCs w:val="21"/>
                <w:highlight w:val="none"/>
              </w:rPr>
              <w:t>参加过的类似项目</w:t>
            </w:r>
          </w:p>
        </w:tc>
        <w:tc>
          <w:tcPr>
            <w:tcW w:w="1682" w:type="dxa"/>
            <w:gridSpan w:val="2"/>
            <w:noWrap w:val="0"/>
            <w:vAlign w:val="center"/>
          </w:tcPr>
          <w:p w14:paraId="78BF6B44">
            <w:pPr>
              <w:jc w:val="center"/>
              <w:rPr>
                <w:rFonts w:ascii="宋体" w:hAnsi="宋体"/>
                <w:b/>
                <w:color w:val="auto"/>
                <w:szCs w:val="21"/>
                <w:highlight w:val="none"/>
              </w:rPr>
            </w:pPr>
            <w:r>
              <w:rPr>
                <w:rFonts w:hint="eastAsia" w:ascii="宋体" w:hAnsi="宋体"/>
                <w:b/>
                <w:color w:val="auto"/>
                <w:szCs w:val="21"/>
                <w:highlight w:val="none"/>
              </w:rPr>
              <w:t>担任职务</w:t>
            </w:r>
          </w:p>
        </w:tc>
        <w:tc>
          <w:tcPr>
            <w:tcW w:w="2362" w:type="dxa"/>
            <w:gridSpan w:val="2"/>
            <w:noWrap w:val="0"/>
            <w:vAlign w:val="center"/>
          </w:tcPr>
          <w:p w14:paraId="2461E113">
            <w:pPr>
              <w:jc w:val="center"/>
              <w:rPr>
                <w:rFonts w:ascii="宋体" w:hAnsi="宋体"/>
                <w:b/>
                <w:color w:val="auto"/>
                <w:szCs w:val="21"/>
                <w:highlight w:val="none"/>
              </w:rPr>
            </w:pPr>
            <w:r>
              <w:rPr>
                <w:rFonts w:hint="eastAsia" w:ascii="宋体" w:hAnsi="宋体"/>
                <w:b/>
                <w:color w:val="auto"/>
                <w:szCs w:val="21"/>
                <w:highlight w:val="none"/>
              </w:rPr>
              <w:t>发包人及联系电话</w:t>
            </w:r>
          </w:p>
        </w:tc>
      </w:tr>
      <w:tr w14:paraId="4E8CD76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5" w:hRule="exact"/>
        </w:trPr>
        <w:tc>
          <w:tcPr>
            <w:tcW w:w="1183" w:type="dxa"/>
            <w:noWrap w:val="0"/>
            <w:vAlign w:val="center"/>
          </w:tcPr>
          <w:p w14:paraId="1FD526C9">
            <w:pPr>
              <w:spacing w:line="300" w:lineRule="exact"/>
              <w:jc w:val="center"/>
              <w:rPr>
                <w:rFonts w:ascii="宋体" w:hAnsi="宋体"/>
                <w:color w:val="auto"/>
                <w:szCs w:val="21"/>
                <w:highlight w:val="none"/>
              </w:rPr>
            </w:pPr>
          </w:p>
        </w:tc>
        <w:tc>
          <w:tcPr>
            <w:tcW w:w="3717" w:type="dxa"/>
            <w:gridSpan w:val="4"/>
            <w:noWrap w:val="0"/>
            <w:vAlign w:val="center"/>
          </w:tcPr>
          <w:p w14:paraId="53E2E4E2">
            <w:pPr>
              <w:spacing w:line="300" w:lineRule="exact"/>
              <w:jc w:val="center"/>
              <w:rPr>
                <w:rFonts w:ascii="宋体" w:hAnsi="宋体"/>
                <w:color w:val="auto"/>
                <w:szCs w:val="21"/>
                <w:highlight w:val="none"/>
              </w:rPr>
            </w:pPr>
          </w:p>
        </w:tc>
        <w:tc>
          <w:tcPr>
            <w:tcW w:w="1682" w:type="dxa"/>
            <w:gridSpan w:val="2"/>
            <w:noWrap w:val="0"/>
            <w:vAlign w:val="center"/>
          </w:tcPr>
          <w:p w14:paraId="522FBA2C">
            <w:pPr>
              <w:spacing w:line="300" w:lineRule="exact"/>
              <w:jc w:val="center"/>
              <w:rPr>
                <w:rFonts w:ascii="宋体" w:hAnsi="宋体"/>
                <w:color w:val="auto"/>
                <w:szCs w:val="21"/>
                <w:highlight w:val="none"/>
              </w:rPr>
            </w:pPr>
          </w:p>
        </w:tc>
        <w:tc>
          <w:tcPr>
            <w:tcW w:w="2362" w:type="dxa"/>
            <w:gridSpan w:val="2"/>
            <w:noWrap w:val="0"/>
            <w:vAlign w:val="center"/>
          </w:tcPr>
          <w:p w14:paraId="654103B3">
            <w:pPr>
              <w:spacing w:line="300" w:lineRule="exact"/>
              <w:jc w:val="center"/>
              <w:rPr>
                <w:rFonts w:ascii="宋体" w:hAnsi="宋体"/>
                <w:color w:val="auto"/>
                <w:szCs w:val="21"/>
                <w:highlight w:val="none"/>
              </w:rPr>
            </w:pPr>
          </w:p>
        </w:tc>
      </w:tr>
      <w:tr w14:paraId="408483B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5" w:hRule="exact"/>
        </w:trPr>
        <w:tc>
          <w:tcPr>
            <w:tcW w:w="1183" w:type="dxa"/>
            <w:noWrap w:val="0"/>
            <w:vAlign w:val="center"/>
          </w:tcPr>
          <w:p w14:paraId="1A92E4DD">
            <w:pPr>
              <w:spacing w:line="300" w:lineRule="exact"/>
              <w:jc w:val="center"/>
              <w:rPr>
                <w:rFonts w:ascii="宋体" w:hAnsi="宋体"/>
                <w:color w:val="auto"/>
                <w:szCs w:val="21"/>
                <w:highlight w:val="none"/>
              </w:rPr>
            </w:pPr>
          </w:p>
        </w:tc>
        <w:tc>
          <w:tcPr>
            <w:tcW w:w="3717" w:type="dxa"/>
            <w:gridSpan w:val="4"/>
            <w:noWrap w:val="0"/>
            <w:vAlign w:val="center"/>
          </w:tcPr>
          <w:p w14:paraId="5F54E4E4">
            <w:pPr>
              <w:spacing w:line="300" w:lineRule="exact"/>
              <w:jc w:val="center"/>
              <w:rPr>
                <w:rFonts w:ascii="宋体" w:hAnsi="宋体"/>
                <w:color w:val="auto"/>
                <w:szCs w:val="21"/>
                <w:highlight w:val="none"/>
              </w:rPr>
            </w:pPr>
          </w:p>
        </w:tc>
        <w:tc>
          <w:tcPr>
            <w:tcW w:w="1682" w:type="dxa"/>
            <w:gridSpan w:val="2"/>
            <w:noWrap w:val="0"/>
            <w:vAlign w:val="center"/>
          </w:tcPr>
          <w:p w14:paraId="4A35B55A">
            <w:pPr>
              <w:spacing w:line="300" w:lineRule="exact"/>
              <w:jc w:val="center"/>
              <w:rPr>
                <w:rFonts w:ascii="宋体" w:hAnsi="宋体"/>
                <w:color w:val="auto"/>
                <w:szCs w:val="21"/>
                <w:highlight w:val="none"/>
              </w:rPr>
            </w:pPr>
          </w:p>
        </w:tc>
        <w:tc>
          <w:tcPr>
            <w:tcW w:w="2362" w:type="dxa"/>
            <w:gridSpan w:val="2"/>
            <w:noWrap w:val="0"/>
            <w:vAlign w:val="center"/>
          </w:tcPr>
          <w:p w14:paraId="48AEAF5E">
            <w:pPr>
              <w:spacing w:line="300" w:lineRule="exact"/>
              <w:jc w:val="center"/>
              <w:rPr>
                <w:rFonts w:ascii="宋体" w:hAnsi="宋体"/>
                <w:color w:val="auto"/>
                <w:szCs w:val="21"/>
                <w:highlight w:val="none"/>
              </w:rPr>
            </w:pPr>
          </w:p>
        </w:tc>
      </w:tr>
      <w:tr w14:paraId="535D466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5" w:hRule="exact"/>
        </w:trPr>
        <w:tc>
          <w:tcPr>
            <w:tcW w:w="1183" w:type="dxa"/>
            <w:noWrap w:val="0"/>
            <w:vAlign w:val="center"/>
          </w:tcPr>
          <w:p w14:paraId="710EAF34">
            <w:pPr>
              <w:spacing w:line="300" w:lineRule="exact"/>
              <w:jc w:val="center"/>
              <w:rPr>
                <w:rFonts w:ascii="宋体" w:hAnsi="宋体"/>
                <w:color w:val="auto"/>
                <w:szCs w:val="21"/>
                <w:highlight w:val="none"/>
              </w:rPr>
            </w:pPr>
          </w:p>
        </w:tc>
        <w:tc>
          <w:tcPr>
            <w:tcW w:w="3717" w:type="dxa"/>
            <w:gridSpan w:val="4"/>
            <w:noWrap w:val="0"/>
            <w:vAlign w:val="center"/>
          </w:tcPr>
          <w:p w14:paraId="63BCA2AE">
            <w:pPr>
              <w:spacing w:line="300" w:lineRule="exact"/>
              <w:jc w:val="center"/>
              <w:rPr>
                <w:rFonts w:ascii="宋体" w:hAnsi="宋体"/>
                <w:color w:val="auto"/>
                <w:szCs w:val="21"/>
                <w:highlight w:val="none"/>
              </w:rPr>
            </w:pPr>
          </w:p>
        </w:tc>
        <w:tc>
          <w:tcPr>
            <w:tcW w:w="1682" w:type="dxa"/>
            <w:gridSpan w:val="2"/>
            <w:noWrap w:val="0"/>
            <w:vAlign w:val="center"/>
          </w:tcPr>
          <w:p w14:paraId="0E6A7E38">
            <w:pPr>
              <w:spacing w:line="300" w:lineRule="exact"/>
              <w:jc w:val="center"/>
              <w:rPr>
                <w:rFonts w:ascii="宋体" w:hAnsi="宋体"/>
                <w:color w:val="auto"/>
                <w:szCs w:val="21"/>
                <w:highlight w:val="none"/>
              </w:rPr>
            </w:pPr>
          </w:p>
        </w:tc>
        <w:tc>
          <w:tcPr>
            <w:tcW w:w="2362" w:type="dxa"/>
            <w:gridSpan w:val="2"/>
            <w:noWrap w:val="0"/>
            <w:vAlign w:val="center"/>
          </w:tcPr>
          <w:p w14:paraId="637CC760">
            <w:pPr>
              <w:spacing w:line="300" w:lineRule="exact"/>
              <w:jc w:val="center"/>
              <w:rPr>
                <w:rFonts w:ascii="宋体" w:hAnsi="宋体"/>
                <w:color w:val="auto"/>
                <w:szCs w:val="21"/>
                <w:highlight w:val="none"/>
              </w:rPr>
            </w:pPr>
          </w:p>
        </w:tc>
      </w:tr>
      <w:tr w14:paraId="3ECA56D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5" w:hRule="exact"/>
        </w:trPr>
        <w:tc>
          <w:tcPr>
            <w:tcW w:w="1183" w:type="dxa"/>
            <w:noWrap w:val="0"/>
            <w:vAlign w:val="center"/>
          </w:tcPr>
          <w:p w14:paraId="26346A51">
            <w:pPr>
              <w:spacing w:line="300" w:lineRule="exact"/>
              <w:jc w:val="center"/>
              <w:rPr>
                <w:rFonts w:ascii="宋体" w:hAnsi="宋体"/>
                <w:color w:val="auto"/>
                <w:szCs w:val="21"/>
                <w:highlight w:val="none"/>
              </w:rPr>
            </w:pPr>
          </w:p>
        </w:tc>
        <w:tc>
          <w:tcPr>
            <w:tcW w:w="3717" w:type="dxa"/>
            <w:gridSpan w:val="4"/>
            <w:noWrap w:val="0"/>
            <w:vAlign w:val="center"/>
          </w:tcPr>
          <w:p w14:paraId="3068A5C5">
            <w:pPr>
              <w:spacing w:line="300" w:lineRule="exact"/>
              <w:jc w:val="center"/>
              <w:rPr>
                <w:rFonts w:ascii="宋体" w:hAnsi="宋体"/>
                <w:color w:val="auto"/>
                <w:szCs w:val="21"/>
                <w:highlight w:val="none"/>
              </w:rPr>
            </w:pPr>
          </w:p>
        </w:tc>
        <w:tc>
          <w:tcPr>
            <w:tcW w:w="1682" w:type="dxa"/>
            <w:gridSpan w:val="2"/>
            <w:noWrap w:val="0"/>
            <w:vAlign w:val="center"/>
          </w:tcPr>
          <w:p w14:paraId="10777AB3">
            <w:pPr>
              <w:spacing w:line="300" w:lineRule="exact"/>
              <w:jc w:val="center"/>
              <w:rPr>
                <w:rFonts w:ascii="宋体" w:hAnsi="宋体"/>
                <w:color w:val="auto"/>
                <w:szCs w:val="21"/>
                <w:highlight w:val="none"/>
              </w:rPr>
            </w:pPr>
          </w:p>
        </w:tc>
        <w:tc>
          <w:tcPr>
            <w:tcW w:w="2362" w:type="dxa"/>
            <w:gridSpan w:val="2"/>
            <w:noWrap w:val="0"/>
            <w:vAlign w:val="center"/>
          </w:tcPr>
          <w:p w14:paraId="0E539A76">
            <w:pPr>
              <w:spacing w:line="300" w:lineRule="exact"/>
              <w:jc w:val="center"/>
              <w:rPr>
                <w:rFonts w:ascii="宋体" w:hAnsi="宋体"/>
                <w:color w:val="auto"/>
                <w:szCs w:val="21"/>
                <w:highlight w:val="none"/>
              </w:rPr>
            </w:pPr>
          </w:p>
        </w:tc>
      </w:tr>
      <w:tr w14:paraId="41664CF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5" w:hRule="exact"/>
        </w:trPr>
        <w:tc>
          <w:tcPr>
            <w:tcW w:w="1183" w:type="dxa"/>
            <w:noWrap w:val="0"/>
            <w:vAlign w:val="center"/>
          </w:tcPr>
          <w:p w14:paraId="3EB9C461">
            <w:pPr>
              <w:spacing w:line="300" w:lineRule="exact"/>
              <w:jc w:val="center"/>
              <w:rPr>
                <w:rFonts w:ascii="宋体" w:hAnsi="宋体"/>
                <w:color w:val="auto"/>
                <w:szCs w:val="21"/>
                <w:highlight w:val="none"/>
              </w:rPr>
            </w:pPr>
          </w:p>
        </w:tc>
        <w:tc>
          <w:tcPr>
            <w:tcW w:w="3717" w:type="dxa"/>
            <w:gridSpan w:val="4"/>
            <w:noWrap w:val="0"/>
            <w:vAlign w:val="center"/>
          </w:tcPr>
          <w:p w14:paraId="7B3FF8C5">
            <w:pPr>
              <w:spacing w:line="300" w:lineRule="exact"/>
              <w:jc w:val="center"/>
              <w:rPr>
                <w:rFonts w:ascii="宋体" w:hAnsi="宋体"/>
                <w:color w:val="auto"/>
                <w:szCs w:val="21"/>
                <w:highlight w:val="none"/>
              </w:rPr>
            </w:pPr>
          </w:p>
        </w:tc>
        <w:tc>
          <w:tcPr>
            <w:tcW w:w="1682" w:type="dxa"/>
            <w:gridSpan w:val="2"/>
            <w:noWrap w:val="0"/>
            <w:vAlign w:val="center"/>
          </w:tcPr>
          <w:p w14:paraId="28CAF632">
            <w:pPr>
              <w:spacing w:line="300" w:lineRule="exact"/>
              <w:jc w:val="center"/>
              <w:rPr>
                <w:rFonts w:ascii="宋体" w:hAnsi="宋体"/>
                <w:color w:val="auto"/>
                <w:szCs w:val="21"/>
                <w:highlight w:val="none"/>
              </w:rPr>
            </w:pPr>
          </w:p>
        </w:tc>
        <w:tc>
          <w:tcPr>
            <w:tcW w:w="2362" w:type="dxa"/>
            <w:gridSpan w:val="2"/>
            <w:noWrap w:val="0"/>
            <w:vAlign w:val="center"/>
          </w:tcPr>
          <w:p w14:paraId="05274914">
            <w:pPr>
              <w:spacing w:line="300" w:lineRule="exact"/>
              <w:jc w:val="center"/>
              <w:rPr>
                <w:rFonts w:ascii="宋体" w:hAnsi="宋体"/>
                <w:color w:val="auto"/>
                <w:szCs w:val="21"/>
                <w:highlight w:val="none"/>
              </w:rPr>
            </w:pPr>
          </w:p>
        </w:tc>
      </w:tr>
    </w:tbl>
    <w:p w14:paraId="613FF0EA">
      <w:pPr>
        <w:spacing w:line="360" w:lineRule="auto"/>
        <w:rPr>
          <w:rFonts w:ascii="宋体" w:hAnsi="宋体"/>
          <w:color w:val="auto"/>
          <w:szCs w:val="21"/>
          <w:highlight w:val="none"/>
        </w:rPr>
      </w:pPr>
    </w:p>
    <w:p w14:paraId="2B48AFAB">
      <w:pPr>
        <w:spacing w:line="360" w:lineRule="auto"/>
        <w:rPr>
          <w:rFonts w:ascii="宋体" w:hAnsi="宋体"/>
          <w:color w:val="auto"/>
          <w:szCs w:val="21"/>
          <w:highlight w:val="none"/>
        </w:rPr>
      </w:pPr>
      <w:r>
        <w:rPr>
          <w:rFonts w:hint="eastAsia" w:ascii="宋体" w:hAnsi="宋体"/>
          <w:color w:val="auto"/>
          <w:szCs w:val="21"/>
          <w:highlight w:val="none"/>
        </w:rPr>
        <w:t>注：1、主要人员是指项目经理、技术负责人、质量管理人员、安全管理</w:t>
      </w:r>
      <w:r>
        <w:rPr>
          <w:rFonts w:hint="eastAsia" w:ascii="宋体" w:hAnsi="宋体"/>
          <w:color w:val="auto"/>
          <w:szCs w:val="21"/>
          <w:highlight w:val="none"/>
          <w:lang w:eastAsia="zh-CN"/>
        </w:rPr>
        <w:t>人员</w:t>
      </w:r>
      <w:r>
        <w:rPr>
          <w:rFonts w:hint="eastAsia" w:ascii="宋体" w:hAnsi="宋体"/>
          <w:color w:val="auto"/>
          <w:szCs w:val="21"/>
          <w:highlight w:val="none"/>
        </w:rPr>
        <w:t>（专职安全生产管理人员）、财务负责人等；</w:t>
      </w:r>
    </w:p>
    <w:p w14:paraId="4002D3F2">
      <w:pPr>
        <w:autoSpaceDE w:val="0"/>
        <w:autoSpaceDN w:val="0"/>
        <w:adjustRightInd w:val="0"/>
        <w:spacing w:line="360" w:lineRule="auto"/>
        <w:ind w:firstLine="388" w:firstLineChars="200"/>
        <w:jc w:val="left"/>
        <w:rPr>
          <w:rFonts w:ascii="宋体" w:hAnsi="宋体" w:cs="宋体"/>
          <w:bCs/>
          <w:color w:val="auto"/>
          <w:szCs w:val="21"/>
          <w:highlight w:val="none"/>
        </w:rPr>
      </w:pPr>
      <w:r>
        <w:rPr>
          <w:rFonts w:hint="eastAsia" w:ascii="宋体" w:hAnsi="宋体"/>
          <w:color w:val="auto"/>
          <w:szCs w:val="21"/>
          <w:highlight w:val="none"/>
        </w:rPr>
        <w:t>2、</w:t>
      </w:r>
      <w:r>
        <w:rPr>
          <w:rFonts w:hint="eastAsia" w:ascii="宋体" w:hAnsi="宋体" w:cs="宋体"/>
          <w:bCs/>
          <w:color w:val="auto"/>
          <w:szCs w:val="21"/>
          <w:highlight w:val="none"/>
          <w:lang w:val="zh-CN"/>
        </w:rPr>
        <w:t>项目经理应附建造师注册证书、安全生产考核合格证书、身份证、劳动合同、工资关系证明、养老保险等材料的复印件，管理过的项目业绩应提供</w:t>
      </w:r>
      <w:r>
        <w:rPr>
          <w:rFonts w:hint="eastAsia" w:ascii="宋体" w:hAnsi="宋体" w:cs="宋体"/>
          <w:bCs/>
          <w:color w:val="auto"/>
          <w:szCs w:val="21"/>
          <w:highlight w:val="none"/>
        </w:rPr>
        <w:t>中标通知书、合同协议书以及</w:t>
      </w:r>
      <w:r>
        <w:rPr>
          <w:rFonts w:hint="eastAsia" w:ascii="宋体" w:hAnsi="宋体" w:cs="宋体"/>
          <w:bCs/>
          <w:color w:val="auto"/>
          <w:szCs w:val="21"/>
          <w:highlight w:val="none"/>
          <w:lang w:val="zh-CN"/>
        </w:rPr>
        <w:t>竣工验收、投入使用验收或合同工程完工验收等材料</w:t>
      </w:r>
      <w:r>
        <w:rPr>
          <w:rFonts w:hint="eastAsia" w:ascii="宋体" w:hAnsi="宋体" w:cs="宋体"/>
          <w:bCs/>
          <w:color w:val="auto"/>
          <w:szCs w:val="21"/>
          <w:highlight w:val="none"/>
        </w:rPr>
        <w:t>的复印件；</w:t>
      </w:r>
    </w:p>
    <w:p w14:paraId="5D78B392">
      <w:pPr>
        <w:autoSpaceDE w:val="0"/>
        <w:autoSpaceDN w:val="0"/>
        <w:adjustRightInd w:val="0"/>
        <w:spacing w:line="360" w:lineRule="auto"/>
        <w:ind w:firstLine="388" w:firstLineChars="200"/>
        <w:jc w:val="left"/>
        <w:rPr>
          <w:rFonts w:ascii="宋体" w:hAnsi="宋体" w:cs="宋体"/>
          <w:bCs/>
          <w:color w:val="auto"/>
          <w:szCs w:val="21"/>
          <w:highlight w:val="none"/>
          <w:lang w:val="zh-CN"/>
        </w:rPr>
      </w:pPr>
      <w:r>
        <w:rPr>
          <w:rFonts w:hint="eastAsia" w:ascii="宋体" w:hAnsi="宋体" w:cs="宋体"/>
          <w:bCs/>
          <w:color w:val="auto"/>
          <w:szCs w:val="21"/>
          <w:highlight w:val="none"/>
          <w:lang w:val="zh-CN"/>
        </w:rPr>
        <w:t>3、技术负责人应附职称证书、身份证、劳动合同、工资关系证明、养老保险等材料的复印件；专职安全生产管理人员应附身份证、安全生产考核合格证书、劳动合同、工资关系证明、养老保险等材料的复印件；其他人员应附岗位（资格）证书、身份证、劳动合同、工资关系证明、养老保险等材料的复印件；</w:t>
      </w:r>
    </w:p>
    <w:p w14:paraId="54D17351">
      <w:pPr>
        <w:pStyle w:val="14"/>
        <w:ind w:firstLine="0"/>
        <w:rPr>
          <w:rFonts w:hAnsi="宋体" w:cs="宋体"/>
          <w:bCs/>
          <w:color w:val="auto"/>
          <w:sz w:val="21"/>
          <w:szCs w:val="21"/>
          <w:highlight w:val="none"/>
          <w:lang w:val="zh-CN"/>
        </w:rPr>
      </w:pPr>
      <w:r>
        <w:rPr>
          <w:rFonts w:hint="eastAsia" w:hAnsi="宋体" w:cs="宋体"/>
          <w:bCs/>
          <w:color w:val="auto"/>
          <w:sz w:val="21"/>
          <w:szCs w:val="21"/>
          <w:highlight w:val="none"/>
          <w:lang w:val="zh-CN"/>
        </w:rPr>
        <w:t>4、所有复印件必须清晰、字迹清楚。</w:t>
      </w:r>
    </w:p>
    <w:p w14:paraId="0E7BE219">
      <w:pPr>
        <w:pStyle w:val="14"/>
        <w:ind w:firstLine="0"/>
        <w:rPr>
          <w:color w:val="auto"/>
          <w:sz w:val="24"/>
          <w:highlight w:val="none"/>
        </w:rPr>
        <w:sectPr>
          <w:pgSz w:w="11907" w:h="16840"/>
          <w:pgMar w:top="1440" w:right="1803" w:bottom="1440" w:left="1803" w:header="851" w:footer="850" w:gutter="0"/>
          <w:pgNumType w:fmt="decimal"/>
          <w:cols w:space="720" w:num="1"/>
          <w:titlePg/>
          <w:docGrid w:type="linesAndChars" w:linePitch="312" w:charSpace="-3473"/>
        </w:sectPr>
      </w:pPr>
    </w:p>
    <w:p w14:paraId="434B2A84">
      <w:pPr>
        <w:spacing w:line="360" w:lineRule="auto"/>
        <w:outlineLvl w:val="2"/>
        <w:rPr>
          <w:rFonts w:ascii="宋体"/>
          <w:b/>
          <w:color w:val="auto"/>
          <w:sz w:val="24"/>
          <w:highlight w:val="none"/>
        </w:rPr>
      </w:pPr>
      <w:bookmarkStart w:id="740" w:name="_Toc875"/>
      <w:r>
        <w:rPr>
          <w:rFonts w:hint="eastAsia" w:ascii="宋体"/>
          <w:b/>
          <w:color w:val="auto"/>
          <w:sz w:val="24"/>
          <w:highlight w:val="none"/>
        </w:rPr>
        <w:t>格式8</w:t>
      </w:r>
      <w:bookmarkEnd w:id="740"/>
    </w:p>
    <w:p w14:paraId="0A069190">
      <w:pPr>
        <w:jc w:val="center"/>
        <w:rPr>
          <w:b/>
          <w:color w:val="auto"/>
          <w:sz w:val="36"/>
          <w:szCs w:val="30"/>
          <w:highlight w:val="none"/>
        </w:rPr>
      </w:pPr>
      <w:r>
        <w:rPr>
          <w:rFonts w:hint="eastAsia"/>
          <w:b/>
          <w:color w:val="auto"/>
          <w:sz w:val="36"/>
          <w:szCs w:val="30"/>
          <w:highlight w:val="none"/>
        </w:rPr>
        <w:t>拟分包项目情况表</w:t>
      </w:r>
    </w:p>
    <w:tbl>
      <w:tblPr>
        <w:tblStyle w:val="49"/>
        <w:tblW w:w="9434"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111"/>
        <w:gridCol w:w="2606"/>
        <w:gridCol w:w="2172"/>
        <w:gridCol w:w="2545"/>
      </w:tblGrid>
      <w:tr w14:paraId="26E5C93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1" w:hRule="exact"/>
        </w:trPr>
        <w:tc>
          <w:tcPr>
            <w:tcW w:w="2111" w:type="dxa"/>
            <w:noWrap w:val="0"/>
            <w:vAlign w:val="center"/>
          </w:tcPr>
          <w:p w14:paraId="54A06716">
            <w:pPr>
              <w:spacing w:line="300" w:lineRule="exact"/>
              <w:jc w:val="center"/>
              <w:rPr>
                <w:rFonts w:ascii="宋体" w:hAnsi="宋体"/>
                <w:b/>
                <w:color w:val="auto"/>
                <w:szCs w:val="21"/>
                <w:highlight w:val="none"/>
              </w:rPr>
            </w:pPr>
            <w:bookmarkStart w:id="741" w:name="_Toc221952143"/>
            <w:r>
              <w:rPr>
                <w:rFonts w:ascii="宋体" w:hAnsi="宋体"/>
                <w:b/>
                <w:color w:val="auto"/>
                <w:szCs w:val="21"/>
                <w:highlight w:val="none"/>
              </w:rPr>
              <w:t>分包人名称</w:t>
            </w:r>
            <w:bookmarkEnd w:id="741"/>
          </w:p>
        </w:tc>
        <w:tc>
          <w:tcPr>
            <w:tcW w:w="2606" w:type="dxa"/>
            <w:noWrap w:val="0"/>
            <w:vAlign w:val="center"/>
          </w:tcPr>
          <w:p w14:paraId="2F9D94EA">
            <w:pPr>
              <w:spacing w:line="300" w:lineRule="exact"/>
              <w:jc w:val="center"/>
              <w:rPr>
                <w:rFonts w:ascii="宋体" w:hAnsi="宋体"/>
                <w:b/>
                <w:color w:val="auto"/>
                <w:szCs w:val="21"/>
                <w:highlight w:val="none"/>
              </w:rPr>
            </w:pPr>
          </w:p>
        </w:tc>
        <w:tc>
          <w:tcPr>
            <w:tcW w:w="2172" w:type="dxa"/>
            <w:noWrap w:val="0"/>
            <w:vAlign w:val="center"/>
          </w:tcPr>
          <w:p w14:paraId="4DAFC347">
            <w:pPr>
              <w:spacing w:line="300" w:lineRule="exact"/>
              <w:jc w:val="center"/>
              <w:rPr>
                <w:rFonts w:ascii="宋体" w:hAnsi="宋体"/>
                <w:b/>
                <w:color w:val="auto"/>
                <w:szCs w:val="21"/>
                <w:highlight w:val="none"/>
              </w:rPr>
            </w:pPr>
            <w:bookmarkStart w:id="742" w:name="_Toc221952144"/>
            <w:r>
              <w:rPr>
                <w:rFonts w:ascii="宋体" w:hAnsi="宋体"/>
                <w:b/>
                <w:color w:val="auto"/>
                <w:szCs w:val="21"/>
                <w:highlight w:val="none"/>
              </w:rPr>
              <w:t>地 址</w:t>
            </w:r>
            <w:bookmarkEnd w:id="742"/>
          </w:p>
        </w:tc>
        <w:tc>
          <w:tcPr>
            <w:tcW w:w="2545" w:type="dxa"/>
            <w:noWrap w:val="0"/>
            <w:vAlign w:val="top"/>
          </w:tcPr>
          <w:p w14:paraId="3489DA78">
            <w:pPr>
              <w:spacing w:line="300" w:lineRule="exact"/>
              <w:rPr>
                <w:rFonts w:ascii="宋体" w:hAnsi="宋体"/>
                <w:b/>
                <w:color w:val="auto"/>
                <w:szCs w:val="21"/>
                <w:highlight w:val="none"/>
              </w:rPr>
            </w:pPr>
          </w:p>
        </w:tc>
      </w:tr>
      <w:tr w14:paraId="4516A88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1" w:hRule="exact"/>
        </w:trPr>
        <w:tc>
          <w:tcPr>
            <w:tcW w:w="2111" w:type="dxa"/>
            <w:noWrap w:val="0"/>
            <w:vAlign w:val="center"/>
          </w:tcPr>
          <w:p w14:paraId="3289BC01">
            <w:pPr>
              <w:spacing w:line="300" w:lineRule="exact"/>
              <w:jc w:val="center"/>
              <w:rPr>
                <w:rFonts w:ascii="宋体" w:hAnsi="宋体"/>
                <w:b/>
                <w:color w:val="auto"/>
                <w:szCs w:val="21"/>
                <w:highlight w:val="none"/>
              </w:rPr>
            </w:pPr>
            <w:bookmarkStart w:id="743" w:name="_Toc221952145"/>
            <w:r>
              <w:rPr>
                <w:rFonts w:ascii="宋体" w:hAnsi="宋体"/>
                <w:b/>
                <w:color w:val="auto"/>
                <w:szCs w:val="21"/>
                <w:highlight w:val="none"/>
              </w:rPr>
              <w:t>法定代表人</w:t>
            </w:r>
            <w:bookmarkEnd w:id="743"/>
          </w:p>
        </w:tc>
        <w:tc>
          <w:tcPr>
            <w:tcW w:w="2606" w:type="dxa"/>
            <w:noWrap w:val="0"/>
            <w:vAlign w:val="center"/>
          </w:tcPr>
          <w:p w14:paraId="39998C80">
            <w:pPr>
              <w:spacing w:line="300" w:lineRule="exact"/>
              <w:jc w:val="center"/>
              <w:rPr>
                <w:rFonts w:ascii="宋体" w:hAnsi="宋体"/>
                <w:b/>
                <w:color w:val="auto"/>
                <w:szCs w:val="21"/>
                <w:highlight w:val="none"/>
              </w:rPr>
            </w:pPr>
          </w:p>
        </w:tc>
        <w:tc>
          <w:tcPr>
            <w:tcW w:w="2172" w:type="dxa"/>
            <w:noWrap w:val="0"/>
            <w:vAlign w:val="center"/>
          </w:tcPr>
          <w:p w14:paraId="316EB799">
            <w:pPr>
              <w:spacing w:line="300" w:lineRule="exact"/>
              <w:jc w:val="center"/>
              <w:rPr>
                <w:rFonts w:ascii="宋体" w:hAnsi="宋体"/>
                <w:b/>
                <w:color w:val="auto"/>
                <w:szCs w:val="21"/>
                <w:highlight w:val="none"/>
              </w:rPr>
            </w:pPr>
            <w:bookmarkStart w:id="744" w:name="_Toc221952146"/>
            <w:r>
              <w:rPr>
                <w:rFonts w:ascii="宋体" w:hAnsi="宋体"/>
                <w:b/>
                <w:color w:val="auto"/>
                <w:szCs w:val="21"/>
                <w:highlight w:val="none"/>
              </w:rPr>
              <w:t>电话</w:t>
            </w:r>
            <w:bookmarkEnd w:id="744"/>
          </w:p>
        </w:tc>
        <w:tc>
          <w:tcPr>
            <w:tcW w:w="2545" w:type="dxa"/>
            <w:noWrap w:val="0"/>
            <w:vAlign w:val="top"/>
          </w:tcPr>
          <w:p w14:paraId="60665F7E">
            <w:pPr>
              <w:spacing w:line="300" w:lineRule="exact"/>
              <w:rPr>
                <w:rFonts w:ascii="宋体" w:hAnsi="宋体"/>
                <w:b/>
                <w:color w:val="auto"/>
                <w:szCs w:val="21"/>
                <w:highlight w:val="none"/>
              </w:rPr>
            </w:pPr>
          </w:p>
        </w:tc>
      </w:tr>
      <w:tr w14:paraId="2684F93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1" w:hRule="exact"/>
        </w:trPr>
        <w:tc>
          <w:tcPr>
            <w:tcW w:w="2111" w:type="dxa"/>
            <w:noWrap w:val="0"/>
            <w:vAlign w:val="center"/>
          </w:tcPr>
          <w:p w14:paraId="21E2102B">
            <w:pPr>
              <w:spacing w:line="300" w:lineRule="exact"/>
              <w:jc w:val="center"/>
              <w:rPr>
                <w:rFonts w:ascii="宋体" w:hAnsi="宋体"/>
                <w:b/>
                <w:color w:val="auto"/>
                <w:szCs w:val="21"/>
                <w:highlight w:val="none"/>
              </w:rPr>
            </w:pPr>
            <w:bookmarkStart w:id="745" w:name="_Toc221952147"/>
            <w:r>
              <w:rPr>
                <w:rFonts w:ascii="宋体" w:hAnsi="宋体"/>
                <w:b/>
                <w:color w:val="auto"/>
                <w:szCs w:val="21"/>
                <w:highlight w:val="none"/>
              </w:rPr>
              <w:t>营业执照号码</w:t>
            </w:r>
            <w:bookmarkEnd w:id="745"/>
          </w:p>
        </w:tc>
        <w:tc>
          <w:tcPr>
            <w:tcW w:w="2606" w:type="dxa"/>
            <w:noWrap w:val="0"/>
            <w:vAlign w:val="center"/>
          </w:tcPr>
          <w:p w14:paraId="1A73026F">
            <w:pPr>
              <w:spacing w:line="300" w:lineRule="exact"/>
              <w:jc w:val="center"/>
              <w:rPr>
                <w:rFonts w:ascii="宋体" w:hAnsi="宋体"/>
                <w:b/>
                <w:color w:val="auto"/>
                <w:szCs w:val="21"/>
                <w:highlight w:val="none"/>
              </w:rPr>
            </w:pPr>
          </w:p>
        </w:tc>
        <w:tc>
          <w:tcPr>
            <w:tcW w:w="2172" w:type="dxa"/>
            <w:noWrap w:val="0"/>
            <w:vAlign w:val="center"/>
          </w:tcPr>
          <w:p w14:paraId="225298CB">
            <w:pPr>
              <w:spacing w:line="300" w:lineRule="exact"/>
              <w:jc w:val="center"/>
              <w:rPr>
                <w:rFonts w:ascii="宋体" w:hAnsi="宋体"/>
                <w:b/>
                <w:color w:val="auto"/>
                <w:szCs w:val="21"/>
                <w:highlight w:val="none"/>
              </w:rPr>
            </w:pPr>
            <w:bookmarkStart w:id="746" w:name="_Toc221952148"/>
            <w:r>
              <w:rPr>
                <w:rFonts w:ascii="宋体" w:hAnsi="宋体"/>
                <w:b/>
                <w:color w:val="auto"/>
                <w:szCs w:val="21"/>
                <w:highlight w:val="none"/>
              </w:rPr>
              <w:t>资质等级</w:t>
            </w:r>
            <w:bookmarkEnd w:id="746"/>
          </w:p>
        </w:tc>
        <w:tc>
          <w:tcPr>
            <w:tcW w:w="2545" w:type="dxa"/>
            <w:noWrap w:val="0"/>
            <w:vAlign w:val="top"/>
          </w:tcPr>
          <w:p w14:paraId="6FB08F82">
            <w:pPr>
              <w:spacing w:line="300" w:lineRule="exact"/>
              <w:rPr>
                <w:rFonts w:ascii="宋体" w:hAnsi="宋体"/>
                <w:b/>
                <w:color w:val="auto"/>
                <w:szCs w:val="21"/>
                <w:highlight w:val="none"/>
              </w:rPr>
            </w:pPr>
          </w:p>
        </w:tc>
      </w:tr>
      <w:tr w14:paraId="4C03314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1" w:hRule="exact"/>
        </w:trPr>
        <w:tc>
          <w:tcPr>
            <w:tcW w:w="2111" w:type="dxa"/>
            <w:noWrap w:val="0"/>
            <w:vAlign w:val="center"/>
          </w:tcPr>
          <w:p w14:paraId="5C9610D8">
            <w:pPr>
              <w:spacing w:line="300" w:lineRule="exact"/>
              <w:jc w:val="center"/>
              <w:rPr>
                <w:rFonts w:ascii="宋体" w:hAnsi="宋体"/>
                <w:b/>
                <w:color w:val="auto"/>
                <w:szCs w:val="21"/>
                <w:highlight w:val="none"/>
              </w:rPr>
            </w:pPr>
            <w:bookmarkStart w:id="747" w:name="_Toc221952149"/>
            <w:r>
              <w:rPr>
                <w:rFonts w:ascii="宋体" w:hAnsi="宋体"/>
                <w:b/>
                <w:color w:val="auto"/>
                <w:szCs w:val="21"/>
                <w:highlight w:val="none"/>
              </w:rPr>
              <w:t>拟分包的工程项目</w:t>
            </w:r>
            <w:bookmarkEnd w:id="747"/>
          </w:p>
        </w:tc>
        <w:tc>
          <w:tcPr>
            <w:tcW w:w="2606" w:type="dxa"/>
            <w:noWrap w:val="0"/>
            <w:vAlign w:val="center"/>
          </w:tcPr>
          <w:p w14:paraId="3E7AAB9A">
            <w:pPr>
              <w:spacing w:line="300" w:lineRule="exact"/>
              <w:jc w:val="center"/>
              <w:rPr>
                <w:rFonts w:ascii="宋体" w:hAnsi="宋体"/>
                <w:b/>
                <w:color w:val="auto"/>
                <w:szCs w:val="21"/>
                <w:highlight w:val="none"/>
              </w:rPr>
            </w:pPr>
            <w:bookmarkStart w:id="748" w:name="_Toc221952150"/>
            <w:r>
              <w:rPr>
                <w:rFonts w:ascii="宋体" w:hAnsi="宋体"/>
                <w:b/>
                <w:color w:val="auto"/>
                <w:szCs w:val="21"/>
                <w:highlight w:val="none"/>
              </w:rPr>
              <w:t>主 要 内 容</w:t>
            </w:r>
            <w:bookmarkEnd w:id="748"/>
          </w:p>
        </w:tc>
        <w:tc>
          <w:tcPr>
            <w:tcW w:w="2172" w:type="dxa"/>
            <w:noWrap w:val="0"/>
            <w:vAlign w:val="center"/>
          </w:tcPr>
          <w:p w14:paraId="6CF7118B">
            <w:pPr>
              <w:spacing w:line="300" w:lineRule="exact"/>
              <w:jc w:val="center"/>
              <w:rPr>
                <w:rFonts w:ascii="宋体" w:hAnsi="宋体"/>
                <w:b/>
                <w:color w:val="auto"/>
                <w:szCs w:val="21"/>
                <w:highlight w:val="none"/>
              </w:rPr>
            </w:pPr>
            <w:bookmarkStart w:id="749" w:name="_Toc221952151"/>
            <w:r>
              <w:rPr>
                <w:rFonts w:ascii="宋体" w:hAnsi="宋体"/>
                <w:b/>
                <w:color w:val="auto"/>
                <w:szCs w:val="21"/>
                <w:highlight w:val="none"/>
              </w:rPr>
              <w:t>预计造价（万元）</w:t>
            </w:r>
            <w:bookmarkEnd w:id="749"/>
          </w:p>
        </w:tc>
        <w:tc>
          <w:tcPr>
            <w:tcW w:w="2545" w:type="dxa"/>
            <w:noWrap w:val="0"/>
            <w:vAlign w:val="center"/>
          </w:tcPr>
          <w:p w14:paraId="7E37CD2C">
            <w:pPr>
              <w:spacing w:line="300" w:lineRule="exact"/>
              <w:jc w:val="center"/>
              <w:rPr>
                <w:rFonts w:ascii="宋体" w:hAnsi="宋体"/>
                <w:b/>
                <w:color w:val="auto"/>
                <w:szCs w:val="21"/>
                <w:highlight w:val="none"/>
              </w:rPr>
            </w:pPr>
            <w:bookmarkStart w:id="750" w:name="_Toc221952152"/>
            <w:r>
              <w:rPr>
                <w:rFonts w:hint="eastAsia" w:ascii="宋体" w:hAnsi="宋体"/>
                <w:b/>
                <w:color w:val="auto"/>
                <w:szCs w:val="21"/>
                <w:highlight w:val="none"/>
                <w:lang w:val="en-US" w:eastAsia="zh-CN"/>
              </w:rPr>
              <w:t>已</w:t>
            </w:r>
            <w:r>
              <w:rPr>
                <w:rFonts w:ascii="宋体" w:hAnsi="宋体"/>
                <w:b/>
                <w:color w:val="auto"/>
                <w:szCs w:val="21"/>
                <w:highlight w:val="none"/>
              </w:rPr>
              <w:t>经做过的类似工程</w:t>
            </w:r>
            <w:bookmarkEnd w:id="750"/>
          </w:p>
        </w:tc>
      </w:tr>
      <w:tr w14:paraId="2011C59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1" w:hRule="exact"/>
        </w:trPr>
        <w:tc>
          <w:tcPr>
            <w:tcW w:w="2111" w:type="dxa"/>
            <w:noWrap w:val="0"/>
            <w:vAlign w:val="center"/>
          </w:tcPr>
          <w:p w14:paraId="5BADC429">
            <w:pPr>
              <w:spacing w:line="300" w:lineRule="exact"/>
              <w:jc w:val="center"/>
              <w:rPr>
                <w:rFonts w:ascii="宋体" w:hAnsi="宋体"/>
                <w:color w:val="auto"/>
                <w:szCs w:val="21"/>
                <w:highlight w:val="none"/>
              </w:rPr>
            </w:pPr>
          </w:p>
        </w:tc>
        <w:tc>
          <w:tcPr>
            <w:tcW w:w="2606" w:type="dxa"/>
            <w:noWrap w:val="0"/>
            <w:vAlign w:val="center"/>
          </w:tcPr>
          <w:p w14:paraId="4551203A">
            <w:pPr>
              <w:spacing w:line="300" w:lineRule="exact"/>
              <w:jc w:val="center"/>
              <w:rPr>
                <w:rFonts w:ascii="宋体" w:hAnsi="宋体"/>
                <w:color w:val="auto"/>
                <w:szCs w:val="21"/>
                <w:highlight w:val="none"/>
              </w:rPr>
            </w:pPr>
          </w:p>
        </w:tc>
        <w:tc>
          <w:tcPr>
            <w:tcW w:w="2172" w:type="dxa"/>
            <w:noWrap w:val="0"/>
            <w:vAlign w:val="center"/>
          </w:tcPr>
          <w:p w14:paraId="6C3391DB">
            <w:pPr>
              <w:spacing w:line="300" w:lineRule="exact"/>
              <w:jc w:val="center"/>
              <w:rPr>
                <w:rFonts w:ascii="宋体" w:hAnsi="宋体"/>
                <w:color w:val="auto"/>
                <w:szCs w:val="21"/>
                <w:highlight w:val="none"/>
              </w:rPr>
            </w:pPr>
          </w:p>
        </w:tc>
        <w:tc>
          <w:tcPr>
            <w:tcW w:w="2545" w:type="dxa"/>
            <w:vMerge w:val="restart"/>
            <w:noWrap w:val="0"/>
            <w:vAlign w:val="top"/>
          </w:tcPr>
          <w:p w14:paraId="1705B894">
            <w:pPr>
              <w:spacing w:line="360" w:lineRule="auto"/>
              <w:rPr>
                <w:rFonts w:ascii="宋体" w:hAnsi="宋体"/>
                <w:color w:val="auto"/>
                <w:szCs w:val="21"/>
                <w:highlight w:val="none"/>
              </w:rPr>
            </w:pPr>
          </w:p>
          <w:p w14:paraId="49F906C4">
            <w:pPr>
              <w:spacing w:line="360" w:lineRule="auto"/>
              <w:rPr>
                <w:rFonts w:ascii="宋体" w:hAnsi="宋体"/>
                <w:color w:val="auto"/>
                <w:szCs w:val="21"/>
                <w:highlight w:val="none"/>
              </w:rPr>
            </w:pPr>
          </w:p>
          <w:p w14:paraId="0F0843FD">
            <w:pPr>
              <w:spacing w:line="360" w:lineRule="auto"/>
              <w:rPr>
                <w:rFonts w:ascii="宋体" w:hAnsi="宋体"/>
                <w:color w:val="auto"/>
                <w:szCs w:val="21"/>
                <w:highlight w:val="none"/>
              </w:rPr>
            </w:pPr>
          </w:p>
          <w:p w14:paraId="77D386F4">
            <w:pPr>
              <w:spacing w:line="360" w:lineRule="auto"/>
              <w:rPr>
                <w:rFonts w:ascii="宋体" w:hAnsi="宋体"/>
                <w:color w:val="auto"/>
                <w:szCs w:val="21"/>
                <w:highlight w:val="none"/>
              </w:rPr>
            </w:pPr>
          </w:p>
          <w:p w14:paraId="00FAD0A3">
            <w:pPr>
              <w:spacing w:line="360" w:lineRule="auto"/>
              <w:rPr>
                <w:rFonts w:ascii="宋体" w:hAnsi="宋体"/>
                <w:color w:val="auto"/>
                <w:szCs w:val="21"/>
                <w:highlight w:val="none"/>
              </w:rPr>
            </w:pPr>
          </w:p>
          <w:p w14:paraId="63719B79">
            <w:pPr>
              <w:spacing w:line="360" w:lineRule="auto"/>
              <w:rPr>
                <w:rFonts w:ascii="宋体" w:hAnsi="宋体"/>
                <w:color w:val="auto"/>
                <w:szCs w:val="21"/>
                <w:highlight w:val="none"/>
              </w:rPr>
            </w:pPr>
          </w:p>
        </w:tc>
      </w:tr>
      <w:tr w14:paraId="6484D9E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1" w:hRule="exact"/>
        </w:trPr>
        <w:tc>
          <w:tcPr>
            <w:tcW w:w="2111" w:type="dxa"/>
            <w:noWrap w:val="0"/>
            <w:vAlign w:val="center"/>
          </w:tcPr>
          <w:p w14:paraId="6DE13CC0">
            <w:pPr>
              <w:spacing w:line="300" w:lineRule="exact"/>
              <w:jc w:val="center"/>
              <w:rPr>
                <w:rFonts w:ascii="宋体" w:hAnsi="宋体"/>
                <w:color w:val="auto"/>
                <w:szCs w:val="21"/>
                <w:highlight w:val="none"/>
              </w:rPr>
            </w:pPr>
          </w:p>
        </w:tc>
        <w:tc>
          <w:tcPr>
            <w:tcW w:w="2606" w:type="dxa"/>
            <w:noWrap w:val="0"/>
            <w:vAlign w:val="center"/>
          </w:tcPr>
          <w:p w14:paraId="2C271660">
            <w:pPr>
              <w:spacing w:line="300" w:lineRule="exact"/>
              <w:jc w:val="center"/>
              <w:rPr>
                <w:rFonts w:ascii="宋体" w:hAnsi="宋体"/>
                <w:color w:val="auto"/>
                <w:szCs w:val="21"/>
                <w:highlight w:val="none"/>
              </w:rPr>
            </w:pPr>
          </w:p>
        </w:tc>
        <w:tc>
          <w:tcPr>
            <w:tcW w:w="2172" w:type="dxa"/>
            <w:noWrap w:val="0"/>
            <w:vAlign w:val="center"/>
          </w:tcPr>
          <w:p w14:paraId="3E36839F">
            <w:pPr>
              <w:spacing w:line="300" w:lineRule="exact"/>
              <w:jc w:val="center"/>
              <w:rPr>
                <w:rFonts w:ascii="宋体" w:hAnsi="宋体"/>
                <w:color w:val="auto"/>
                <w:szCs w:val="21"/>
                <w:highlight w:val="none"/>
              </w:rPr>
            </w:pPr>
          </w:p>
        </w:tc>
        <w:tc>
          <w:tcPr>
            <w:tcW w:w="2545" w:type="dxa"/>
            <w:vMerge w:val="continue"/>
            <w:noWrap w:val="0"/>
            <w:vAlign w:val="top"/>
          </w:tcPr>
          <w:p w14:paraId="1940F05E">
            <w:pPr>
              <w:spacing w:line="360" w:lineRule="auto"/>
              <w:rPr>
                <w:rFonts w:ascii="宋体" w:hAnsi="宋体"/>
                <w:color w:val="auto"/>
                <w:szCs w:val="21"/>
                <w:highlight w:val="none"/>
              </w:rPr>
            </w:pPr>
          </w:p>
        </w:tc>
      </w:tr>
      <w:tr w14:paraId="57308A9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1" w:hRule="exact"/>
        </w:trPr>
        <w:tc>
          <w:tcPr>
            <w:tcW w:w="2111" w:type="dxa"/>
            <w:noWrap w:val="0"/>
            <w:vAlign w:val="center"/>
          </w:tcPr>
          <w:p w14:paraId="617B2668">
            <w:pPr>
              <w:spacing w:line="300" w:lineRule="exact"/>
              <w:jc w:val="center"/>
              <w:rPr>
                <w:rFonts w:ascii="宋体" w:hAnsi="宋体"/>
                <w:color w:val="auto"/>
                <w:szCs w:val="21"/>
                <w:highlight w:val="none"/>
              </w:rPr>
            </w:pPr>
          </w:p>
        </w:tc>
        <w:tc>
          <w:tcPr>
            <w:tcW w:w="2606" w:type="dxa"/>
            <w:noWrap w:val="0"/>
            <w:vAlign w:val="center"/>
          </w:tcPr>
          <w:p w14:paraId="1D0D3DE6">
            <w:pPr>
              <w:spacing w:line="300" w:lineRule="exact"/>
              <w:jc w:val="center"/>
              <w:rPr>
                <w:rFonts w:ascii="宋体" w:hAnsi="宋体"/>
                <w:color w:val="auto"/>
                <w:szCs w:val="21"/>
                <w:highlight w:val="none"/>
              </w:rPr>
            </w:pPr>
          </w:p>
        </w:tc>
        <w:tc>
          <w:tcPr>
            <w:tcW w:w="2172" w:type="dxa"/>
            <w:noWrap w:val="0"/>
            <w:vAlign w:val="center"/>
          </w:tcPr>
          <w:p w14:paraId="5C7EE019">
            <w:pPr>
              <w:spacing w:line="300" w:lineRule="exact"/>
              <w:jc w:val="center"/>
              <w:rPr>
                <w:rFonts w:ascii="宋体" w:hAnsi="宋体"/>
                <w:color w:val="auto"/>
                <w:szCs w:val="21"/>
                <w:highlight w:val="none"/>
              </w:rPr>
            </w:pPr>
          </w:p>
        </w:tc>
        <w:tc>
          <w:tcPr>
            <w:tcW w:w="2545" w:type="dxa"/>
            <w:vMerge w:val="continue"/>
            <w:noWrap w:val="0"/>
            <w:vAlign w:val="top"/>
          </w:tcPr>
          <w:p w14:paraId="4C21D446">
            <w:pPr>
              <w:spacing w:line="360" w:lineRule="auto"/>
              <w:rPr>
                <w:rFonts w:ascii="宋体" w:hAnsi="宋体"/>
                <w:color w:val="auto"/>
                <w:szCs w:val="21"/>
                <w:highlight w:val="none"/>
              </w:rPr>
            </w:pPr>
          </w:p>
        </w:tc>
      </w:tr>
      <w:tr w14:paraId="4A30A5A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1" w:hRule="exact"/>
        </w:trPr>
        <w:tc>
          <w:tcPr>
            <w:tcW w:w="2111" w:type="dxa"/>
            <w:noWrap w:val="0"/>
            <w:vAlign w:val="center"/>
          </w:tcPr>
          <w:p w14:paraId="4A5C2B82">
            <w:pPr>
              <w:spacing w:line="300" w:lineRule="exact"/>
              <w:jc w:val="center"/>
              <w:rPr>
                <w:rFonts w:ascii="宋体" w:hAnsi="宋体"/>
                <w:color w:val="auto"/>
                <w:szCs w:val="21"/>
                <w:highlight w:val="none"/>
              </w:rPr>
            </w:pPr>
          </w:p>
        </w:tc>
        <w:tc>
          <w:tcPr>
            <w:tcW w:w="2606" w:type="dxa"/>
            <w:noWrap w:val="0"/>
            <w:vAlign w:val="center"/>
          </w:tcPr>
          <w:p w14:paraId="47715332">
            <w:pPr>
              <w:spacing w:line="300" w:lineRule="exact"/>
              <w:jc w:val="center"/>
              <w:rPr>
                <w:rFonts w:ascii="宋体" w:hAnsi="宋体"/>
                <w:color w:val="auto"/>
                <w:szCs w:val="21"/>
                <w:highlight w:val="none"/>
              </w:rPr>
            </w:pPr>
          </w:p>
        </w:tc>
        <w:tc>
          <w:tcPr>
            <w:tcW w:w="2172" w:type="dxa"/>
            <w:noWrap w:val="0"/>
            <w:vAlign w:val="center"/>
          </w:tcPr>
          <w:p w14:paraId="6A999BD0">
            <w:pPr>
              <w:spacing w:line="300" w:lineRule="exact"/>
              <w:jc w:val="center"/>
              <w:rPr>
                <w:rFonts w:ascii="宋体" w:hAnsi="宋体"/>
                <w:color w:val="auto"/>
                <w:szCs w:val="21"/>
                <w:highlight w:val="none"/>
              </w:rPr>
            </w:pPr>
          </w:p>
        </w:tc>
        <w:tc>
          <w:tcPr>
            <w:tcW w:w="2545" w:type="dxa"/>
            <w:vMerge w:val="continue"/>
            <w:noWrap w:val="0"/>
            <w:vAlign w:val="top"/>
          </w:tcPr>
          <w:p w14:paraId="274974DB">
            <w:pPr>
              <w:spacing w:line="360" w:lineRule="auto"/>
              <w:rPr>
                <w:rFonts w:ascii="宋体" w:hAnsi="宋体"/>
                <w:color w:val="auto"/>
                <w:szCs w:val="21"/>
                <w:highlight w:val="none"/>
              </w:rPr>
            </w:pPr>
          </w:p>
        </w:tc>
      </w:tr>
      <w:tr w14:paraId="588F8F2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1" w:hRule="exact"/>
        </w:trPr>
        <w:tc>
          <w:tcPr>
            <w:tcW w:w="2111" w:type="dxa"/>
            <w:noWrap w:val="0"/>
            <w:vAlign w:val="center"/>
          </w:tcPr>
          <w:p w14:paraId="1481A11D">
            <w:pPr>
              <w:spacing w:line="300" w:lineRule="exact"/>
              <w:jc w:val="center"/>
              <w:rPr>
                <w:rFonts w:ascii="宋体" w:hAnsi="宋体"/>
                <w:color w:val="auto"/>
                <w:szCs w:val="21"/>
                <w:highlight w:val="none"/>
              </w:rPr>
            </w:pPr>
          </w:p>
        </w:tc>
        <w:tc>
          <w:tcPr>
            <w:tcW w:w="2606" w:type="dxa"/>
            <w:noWrap w:val="0"/>
            <w:vAlign w:val="center"/>
          </w:tcPr>
          <w:p w14:paraId="272E791D">
            <w:pPr>
              <w:spacing w:line="300" w:lineRule="exact"/>
              <w:jc w:val="center"/>
              <w:rPr>
                <w:rFonts w:ascii="宋体" w:hAnsi="宋体"/>
                <w:color w:val="auto"/>
                <w:szCs w:val="21"/>
                <w:highlight w:val="none"/>
              </w:rPr>
            </w:pPr>
          </w:p>
        </w:tc>
        <w:tc>
          <w:tcPr>
            <w:tcW w:w="2172" w:type="dxa"/>
            <w:noWrap w:val="0"/>
            <w:vAlign w:val="center"/>
          </w:tcPr>
          <w:p w14:paraId="652840E0">
            <w:pPr>
              <w:spacing w:line="300" w:lineRule="exact"/>
              <w:jc w:val="center"/>
              <w:rPr>
                <w:rFonts w:ascii="宋体" w:hAnsi="宋体"/>
                <w:color w:val="auto"/>
                <w:szCs w:val="21"/>
                <w:highlight w:val="none"/>
              </w:rPr>
            </w:pPr>
          </w:p>
        </w:tc>
        <w:tc>
          <w:tcPr>
            <w:tcW w:w="2545" w:type="dxa"/>
            <w:vMerge w:val="continue"/>
            <w:noWrap w:val="0"/>
            <w:vAlign w:val="top"/>
          </w:tcPr>
          <w:p w14:paraId="3B1569B7">
            <w:pPr>
              <w:spacing w:line="360" w:lineRule="auto"/>
              <w:rPr>
                <w:rFonts w:ascii="宋体" w:hAnsi="宋体"/>
                <w:color w:val="auto"/>
                <w:szCs w:val="21"/>
                <w:highlight w:val="none"/>
              </w:rPr>
            </w:pPr>
          </w:p>
        </w:tc>
      </w:tr>
      <w:tr w14:paraId="4107ED6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1" w:hRule="exact"/>
        </w:trPr>
        <w:tc>
          <w:tcPr>
            <w:tcW w:w="2111" w:type="dxa"/>
            <w:noWrap w:val="0"/>
            <w:vAlign w:val="center"/>
          </w:tcPr>
          <w:p w14:paraId="15E7A450">
            <w:pPr>
              <w:spacing w:line="300" w:lineRule="exact"/>
              <w:jc w:val="center"/>
              <w:rPr>
                <w:rFonts w:ascii="宋体" w:hAnsi="宋体"/>
                <w:color w:val="auto"/>
                <w:szCs w:val="21"/>
                <w:highlight w:val="none"/>
              </w:rPr>
            </w:pPr>
          </w:p>
        </w:tc>
        <w:tc>
          <w:tcPr>
            <w:tcW w:w="2606" w:type="dxa"/>
            <w:noWrap w:val="0"/>
            <w:vAlign w:val="center"/>
          </w:tcPr>
          <w:p w14:paraId="4703223B">
            <w:pPr>
              <w:spacing w:line="300" w:lineRule="exact"/>
              <w:jc w:val="center"/>
              <w:rPr>
                <w:rFonts w:ascii="宋体" w:hAnsi="宋体"/>
                <w:color w:val="auto"/>
                <w:szCs w:val="21"/>
                <w:highlight w:val="none"/>
              </w:rPr>
            </w:pPr>
          </w:p>
        </w:tc>
        <w:tc>
          <w:tcPr>
            <w:tcW w:w="2172" w:type="dxa"/>
            <w:noWrap w:val="0"/>
            <w:vAlign w:val="center"/>
          </w:tcPr>
          <w:p w14:paraId="6283B0F3">
            <w:pPr>
              <w:spacing w:line="300" w:lineRule="exact"/>
              <w:jc w:val="center"/>
              <w:rPr>
                <w:rFonts w:ascii="宋体" w:hAnsi="宋体"/>
                <w:color w:val="auto"/>
                <w:szCs w:val="21"/>
                <w:highlight w:val="none"/>
              </w:rPr>
            </w:pPr>
          </w:p>
        </w:tc>
        <w:tc>
          <w:tcPr>
            <w:tcW w:w="2545" w:type="dxa"/>
            <w:vMerge w:val="continue"/>
            <w:noWrap w:val="0"/>
            <w:vAlign w:val="top"/>
          </w:tcPr>
          <w:p w14:paraId="0E2C025D">
            <w:pPr>
              <w:spacing w:line="360" w:lineRule="auto"/>
              <w:rPr>
                <w:rFonts w:ascii="宋体" w:hAnsi="宋体"/>
                <w:color w:val="auto"/>
                <w:szCs w:val="21"/>
                <w:highlight w:val="none"/>
              </w:rPr>
            </w:pPr>
          </w:p>
        </w:tc>
      </w:tr>
      <w:tr w14:paraId="3AA45F4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1" w:hRule="exact"/>
        </w:trPr>
        <w:tc>
          <w:tcPr>
            <w:tcW w:w="2111" w:type="dxa"/>
            <w:noWrap w:val="0"/>
            <w:vAlign w:val="center"/>
          </w:tcPr>
          <w:p w14:paraId="7EAC2B00">
            <w:pPr>
              <w:spacing w:line="300" w:lineRule="exact"/>
              <w:jc w:val="center"/>
              <w:rPr>
                <w:rFonts w:ascii="宋体" w:hAnsi="宋体"/>
                <w:color w:val="auto"/>
                <w:szCs w:val="21"/>
                <w:highlight w:val="none"/>
              </w:rPr>
            </w:pPr>
          </w:p>
        </w:tc>
        <w:tc>
          <w:tcPr>
            <w:tcW w:w="2606" w:type="dxa"/>
            <w:noWrap w:val="0"/>
            <w:vAlign w:val="center"/>
          </w:tcPr>
          <w:p w14:paraId="58FE1D19">
            <w:pPr>
              <w:spacing w:line="300" w:lineRule="exact"/>
              <w:jc w:val="center"/>
              <w:rPr>
                <w:rFonts w:ascii="宋体" w:hAnsi="宋体"/>
                <w:color w:val="auto"/>
                <w:szCs w:val="21"/>
                <w:highlight w:val="none"/>
              </w:rPr>
            </w:pPr>
          </w:p>
        </w:tc>
        <w:tc>
          <w:tcPr>
            <w:tcW w:w="2172" w:type="dxa"/>
            <w:noWrap w:val="0"/>
            <w:vAlign w:val="center"/>
          </w:tcPr>
          <w:p w14:paraId="7C1B0E6F">
            <w:pPr>
              <w:spacing w:line="300" w:lineRule="exact"/>
              <w:jc w:val="center"/>
              <w:rPr>
                <w:rFonts w:ascii="宋体" w:hAnsi="宋体"/>
                <w:color w:val="auto"/>
                <w:szCs w:val="21"/>
                <w:highlight w:val="none"/>
              </w:rPr>
            </w:pPr>
          </w:p>
        </w:tc>
        <w:tc>
          <w:tcPr>
            <w:tcW w:w="2545" w:type="dxa"/>
            <w:vMerge w:val="continue"/>
            <w:noWrap w:val="0"/>
            <w:vAlign w:val="top"/>
          </w:tcPr>
          <w:p w14:paraId="4877F0AA">
            <w:pPr>
              <w:spacing w:line="360" w:lineRule="auto"/>
              <w:rPr>
                <w:rFonts w:ascii="宋体" w:hAnsi="宋体"/>
                <w:color w:val="auto"/>
                <w:szCs w:val="21"/>
                <w:highlight w:val="none"/>
              </w:rPr>
            </w:pPr>
          </w:p>
        </w:tc>
      </w:tr>
      <w:tr w14:paraId="415C844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1" w:hRule="exact"/>
        </w:trPr>
        <w:tc>
          <w:tcPr>
            <w:tcW w:w="2111" w:type="dxa"/>
            <w:noWrap w:val="0"/>
            <w:vAlign w:val="center"/>
          </w:tcPr>
          <w:p w14:paraId="2120B21F">
            <w:pPr>
              <w:spacing w:line="300" w:lineRule="exact"/>
              <w:jc w:val="center"/>
              <w:rPr>
                <w:rFonts w:ascii="宋体" w:hAnsi="宋体"/>
                <w:color w:val="auto"/>
                <w:szCs w:val="21"/>
                <w:highlight w:val="none"/>
              </w:rPr>
            </w:pPr>
          </w:p>
        </w:tc>
        <w:tc>
          <w:tcPr>
            <w:tcW w:w="2606" w:type="dxa"/>
            <w:noWrap w:val="0"/>
            <w:vAlign w:val="center"/>
          </w:tcPr>
          <w:p w14:paraId="7721A745">
            <w:pPr>
              <w:spacing w:line="300" w:lineRule="exact"/>
              <w:jc w:val="center"/>
              <w:rPr>
                <w:rFonts w:ascii="宋体" w:hAnsi="宋体"/>
                <w:color w:val="auto"/>
                <w:szCs w:val="21"/>
                <w:highlight w:val="none"/>
              </w:rPr>
            </w:pPr>
          </w:p>
        </w:tc>
        <w:tc>
          <w:tcPr>
            <w:tcW w:w="2172" w:type="dxa"/>
            <w:noWrap w:val="0"/>
            <w:vAlign w:val="center"/>
          </w:tcPr>
          <w:p w14:paraId="3EA7780E">
            <w:pPr>
              <w:spacing w:line="300" w:lineRule="exact"/>
              <w:jc w:val="center"/>
              <w:rPr>
                <w:rFonts w:ascii="宋体" w:hAnsi="宋体"/>
                <w:color w:val="auto"/>
                <w:szCs w:val="21"/>
                <w:highlight w:val="none"/>
              </w:rPr>
            </w:pPr>
          </w:p>
        </w:tc>
        <w:tc>
          <w:tcPr>
            <w:tcW w:w="2545" w:type="dxa"/>
            <w:vMerge w:val="continue"/>
            <w:noWrap w:val="0"/>
            <w:vAlign w:val="top"/>
          </w:tcPr>
          <w:p w14:paraId="35EA02BC">
            <w:pPr>
              <w:spacing w:line="360" w:lineRule="auto"/>
              <w:rPr>
                <w:rFonts w:ascii="宋体" w:hAnsi="宋体"/>
                <w:color w:val="auto"/>
                <w:szCs w:val="21"/>
                <w:highlight w:val="none"/>
              </w:rPr>
            </w:pPr>
          </w:p>
        </w:tc>
      </w:tr>
      <w:tr w14:paraId="3687FFD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1" w:hRule="exact"/>
        </w:trPr>
        <w:tc>
          <w:tcPr>
            <w:tcW w:w="2111" w:type="dxa"/>
            <w:noWrap w:val="0"/>
            <w:vAlign w:val="center"/>
          </w:tcPr>
          <w:p w14:paraId="4F50017B">
            <w:pPr>
              <w:spacing w:line="300" w:lineRule="exact"/>
              <w:jc w:val="center"/>
              <w:rPr>
                <w:rFonts w:ascii="宋体" w:hAnsi="宋体"/>
                <w:color w:val="auto"/>
                <w:szCs w:val="21"/>
                <w:highlight w:val="none"/>
              </w:rPr>
            </w:pPr>
          </w:p>
        </w:tc>
        <w:tc>
          <w:tcPr>
            <w:tcW w:w="2606" w:type="dxa"/>
            <w:noWrap w:val="0"/>
            <w:vAlign w:val="center"/>
          </w:tcPr>
          <w:p w14:paraId="462CBD3A">
            <w:pPr>
              <w:spacing w:line="300" w:lineRule="exact"/>
              <w:jc w:val="center"/>
              <w:rPr>
                <w:rFonts w:ascii="宋体" w:hAnsi="宋体"/>
                <w:color w:val="auto"/>
                <w:szCs w:val="21"/>
                <w:highlight w:val="none"/>
              </w:rPr>
            </w:pPr>
          </w:p>
        </w:tc>
        <w:tc>
          <w:tcPr>
            <w:tcW w:w="2172" w:type="dxa"/>
            <w:noWrap w:val="0"/>
            <w:vAlign w:val="center"/>
          </w:tcPr>
          <w:p w14:paraId="0451DE28">
            <w:pPr>
              <w:spacing w:line="300" w:lineRule="exact"/>
              <w:jc w:val="center"/>
              <w:rPr>
                <w:rFonts w:ascii="宋体" w:hAnsi="宋体"/>
                <w:color w:val="auto"/>
                <w:szCs w:val="21"/>
                <w:highlight w:val="none"/>
              </w:rPr>
            </w:pPr>
          </w:p>
        </w:tc>
        <w:tc>
          <w:tcPr>
            <w:tcW w:w="2545" w:type="dxa"/>
            <w:vMerge w:val="continue"/>
            <w:noWrap w:val="0"/>
            <w:vAlign w:val="top"/>
          </w:tcPr>
          <w:p w14:paraId="2D974D0E">
            <w:pPr>
              <w:spacing w:line="360" w:lineRule="auto"/>
              <w:rPr>
                <w:rFonts w:ascii="宋体" w:hAnsi="宋体"/>
                <w:color w:val="auto"/>
                <w:szCs w:val="21"/>
                <w:highlight w:val="none"/>
              </w:rPr>
            </w:pPr>
          </w:p>
        </w:tc>
      </w:tr>
      <w:tr w14:paraId="3F643D8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1" w:hRule="exact"/>
        </w:trPr>
        <w:tc>
          <w:tcPr>
            <w:tcW w:w="2111" w:type="dxa"/>
            <w:noWrap w:val="0"/>
            <w:vAlign w:val="center"/>
          </w:tcPr>
          <w:p w14:paraId="37F39D10">
            <w:pPr>
              <w:spacing w:line="300" w:lineRule="exact"/>
              <w:jc w:val="center"/>
              <w:rPr>
                <w:rFonts w:ascii="宋体" w:hAnsi="宋体"/>
                <w:color w:val="auto"/>
                <w:szCs w:val="21"/>
                <w:highlight w:val="none"/>
              </w:rPr>
            </w:pPr>
          </w:p>
        </w:tc>
        <w:tc>
          <w:tcPr>
            <w:tcW w:w="2606" w:type="dxa"/>
            <w:noWrap w:val="0"/>
            <w:vAlign w:val="center"/>
          </w:tcPr>
          <w:p w14:paraId="46EEEEFC">
            <w:pPr>
              <w:spacing w:line="300" w:lineRule="exact"/>
              <w:jc w:val="center"/>
              <w:rPr>
                <w:rFonts w:ascii="宋体" w:hAnsi="宋体"/>
                <w:color w:val="auto"/>
                <w:szCs w:val="21"/>
                <w:highlight w:val="none"/>
              </w:rPr>
            </w:pPr>
          </w:p>
        </w:tc>
        <w:tc>
          <w:tcPr>
            <w:tcW w:w="2172" w:type="dxa"/>
            <w:noWrap w:val="0"/>
            <w:vAlign w:val="center"/>
          </w:tcPr>
          <w:p w14:paraId="7D26C1FC">
            <w:pPr>
              <w:spacing w:line="300" w:lineRule="exact"/>
              <w:jc w:val="center"/>
              <w:rPr>
                <w:rFonts w:ascii="宋体" w:hAnsi="宋体"/>
                <w:color w:val="auto"/>
                <w:szCs w:val="21"/>
                <w:highlight w:val="none"/>
              </w:rPr>
            </w:pPr>
          </w:p>
        </w:tc>
        <w:tc>
          <w:tcPr>
            <w:tcW w:w="2545" w:type="dxa"/>
            <w:vMerge w:val="continue"/>
            <w:noWrap w:val="0"/>
            <w:vAlign w:val="top"/>
          </w:tcPr>
          <w:p w14:paraId="46E86A30">
            <w:pPr>
              <w:spacing w:line="360" w:lineRule="auto"/>
              <w:rPr>
                <w:rFonts w:ascii="宋体" w:hAnsi="宋体"/>
                <w:color w:val="auto"/>
                <w:szCs w:val="21"/>
                <w:highlight w:val="none"/>
              </w:rPr>
            </w:pPr>
          </w:p>
        </w:tc>
      </w:tr>
      <w:tr w14:paraId="00C42E5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1" w:hRule="exact"/>
        </w:trPr>
        <w:tc>
          <w:tcPr>
            <w:tcW w:w="2111" w:type="dxa"/>
            <w:noWrap w:val="0"/>
            <w:vAlign w:val="center"/>
          </w:tcPr>
          <w:p w14:paraId="00F60D09">
            <w:pPr>
              <w:spacing w:line="300" w:lineRule="exact"/>
              <w:jc w:val="center"/>
              <w:rPr>
                <w:rFonts w:ascii="宋体" w:hAnsi="宋体"/>
                <w:color w:val="auto"/>
                <w:szCs w:val="21"/>
                <w:highlight w:val="none"/>
              </w:rPr>
            </w:pPr>
          </w:p>
        </w:tc>
        <w:tc>
          <w:tcPr>
            <w:tcW w:w="2606" w:type="dxa"/>
            <w:noWrap w:val="0"/>
            <w:vAlign w:val="center"/>
          </w:tcPr>
          <w:p w14:paraId="08CB85C3">
            <w:pPr>
              <w:spacing w:line="300" w:lineRule="exact"/>
              <w:jc w:val="center"/>
              <w:rPr>
                <w:rFonts w:ascii="宋体" w:hAnsi="宋体"/>
                <w:color w:val="auto"/>
                <w:szCs w:val="21"/>
                <w:highlight w:val="none"/>
              </w:rPr>
            </w:pPr>
          </w:p>
        </w:tc>
        <w:tc>
          <w:tcPr>
            <w:tcW w:w="2172" w:type="dxa"/>
            <w:noWrap w:val="0"/>
            <w:vAlign w:val="center"/>
          </w:tcPr>
          <w:p w14:paraId="1E79B835">
            <w:pPr>
              <w:spacing w:line="300" w:lineRule="exact"/>
              <w:jc w:val="center"/>
              <w:rPr>
                <w:rFonts w:ascii="宋体" w:hAnsi="宋体"/>
                <w:color w:val="auto"/>
                <w:szCs w:val="21"/>
                <w:highlight w:val="none"/>
              </w:rPr>
            </w:pPr>
          </w:p>
        </w:tc>
        <w:tc>
          <w:tcPr>
            <w:tcW w:w="2545" w:type="dxa"/>
            <w:vMerge w:val="continue"/>
            <w:noWrap w:val="0"/>
            <w:vAlign w:val="top"/>
          </w:tcPr>
          <w:p w14:paraId="33618E60">
            <w:pPr>
              <w:spacing w:line="360" w:lineRule="auto"/>
              <w:rPr>
                <w:rFonts w:ascii="宋体" w:hAnsi="宋体"/>
                <w:color w:val="auto"/>
                <w:szCs w:val="21"/>
                <w:highlight w:val="none"/>
              </w:rPr>
            </w:pPr>
          </w:p>
        </w:tc>
      </w:tr>
      <w:tr w14:paraId="5A7A636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1" w:hRule="exact"/>
        </w:trPr>
        <w:tc>
          <w:tcPr>
            <w:tcW w:w="2111" w:type="dxa"/>
            <w:noWrap w:val="0"/>
            <w:vAlign w:val="center"/>
          </w:tcPr>
          <w:p w14:paraId="22E91F03">
            <w:pPr>
              <w:spacing w:line="300" w:lineRule="exact"/>
              <w:jc w:val="center"/>
              <w:rPr>
                <w:rFonts w:ascii="宋体" w:hAnsi="宋体"/>
                <w:color w:val="auto"/>
                <w:szCs w:val="21"/>
                <w:highlight w:val="none"/>
              </w:rPr>
            </w:pPr>
          </w:p>
        </w:tc>
        <w:tc>
          <w:tcPr>
            <w:tcW w:w="2606" w:type="dxa"/>
            <w:noWrap w:val="0"/>
            <w:vAlign w:val="center"/>
          </w:tcPr>
          <w:p w14:paraId="3204361A">
            <w:pPr>
              <w:spacing w:line="300" w:lineRule="exact"/>
              <w:jc w:val="center"/>
              <w:rPr>
                <w:rFonts w:ascii="宋体" w:hAnsi="宋体"/>
                <w:color w:val="auto"/>
                <w:szCs w:val="21"/>
                <w:highlight w:val="none"/>
              </w:rPr>
            </w:pPr>
          </w:p>
        </w:tc>
        <w:tc>
          <w:tcPr>
            <w:tcW w:w="2172" w:type="dxa"/>
            <w:noWrap w:val="0"/>
            <w:vAlign w:val="center"/>
          </w:tcPr>
          <w:p w14:paraId="21D98117">
            <w:pPr>
              <w:spacing w:line="300" w:lineRule="exact"/>
              <w:jc w:val="center"/>
              <w:rPr>
                <w:rFonts w:ascii="宋体" w:hAnsi="宋体"/>
                <w:color w:val="auto"/>
                <w:szCs w:val="21"/>
                <w:highlight w:val="none"/>
              </w:rPr>
            </w:pPr>
          </w:p>
        </w:tc>
        <w:tc>
          <w:tcPr>
            <w:tcW w:w="2545" w:type="dxa"/>
            <w:vMerge w:val="continue"/>
            <w:noWrap w:val="0"/>
            <w:vAlign w:val="top"/>
          </w:tcPr>
          <w:p w14:paraId="7A27A1A9">
            <w:pPr>
              <w:spacing w:line="360" w:lineRule="auto"/>
              <w:rPr>
                <w:rFonts w:ascii="宋体" w:hAnsi="宋体"/>
                <w:color w:val="auto"/>
                <w:szCs w:val="21"/>
                <w:highlight w:val="none"/>
              </w:rPr>
            </w:pPr>
          </w:p>
        </w:tc>
      </w:tr>
      <w:tr w14:paraId="32EECC8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1" w:hRule="exact"/>
        </w:trPr>
        <w:tc>
          <w:tcPr>
            <w:tcW w:w="2111" w:type="dxa"/>
            <w:noWrap w:val="0"/>
            <w:vAlign w:val="center"/>
          </w:tcPr>
          <w:p w14:paraId="6B261695">
            <w:pPr>
              <w:spacing w:line="300" w:lineRule="exact"/>
              <w:jc w:val="center"/>
              <w:rPr>
                <w:rFonts w:ascii="宋体" w:hAnsi="宋体"/>
                <w:color w:val="auto"/>
                <w:szCs w:val="21"/>
                <w:highlight w:val="none"/>
              </w:rPr>
            </w:pPr>
          </w:p>
        </w:tc>
        <w:tc>
          <w:tcPr>
            <w:tcW w:w="2606" w:type="dxa"/>
            <w:noWrap w:val="0"/>
            <w:vAlign w:val="center"/>
          </w:tcPr>
          <w:p w14:paraId="442F62E0">
            <w:pPr>
              <w:spacing w:line="300" w:lineRule="exact"/>
              <w:jc w:val="center"/>
              <w:rPr>
                <w:rFonts w:ascii="宋体" w:hAnsi="宋体"/>
                <w:color w:val="auto"/>
                <w:szCs w:val="21"/>
                <w:highlight w:val="none"/>
              </w:rPr>
            </w:pPr>
          </w:p>
        </w:tc>
        <w:tc>
          <w:tcPr>
            <w:tcW w:w="2172" w:type="dxa"/>
            <w:noWrap w:val="0"/>
            <w:vAlign w:val="center"/>
          </w:tcPr>
          <w:p w14:paraId="78F09FC3">
            <w:pPr>
              <w:spacing w:line="300" w:lineRule="exact"/>
              <w:jc w:val="center"/>
              <w:rPr>
                <w:rFonts w:ascii="宋体" w:hAnsi="宋体"/>
                <w:color w:val="auto"/>
                <w:szCs w:val="21"/>
                <w:highlight w:val="none"/>
              </w:rPr>
            </w:pPr>
          </w:p>
        </w:tc>
        <w:tc>
          <w:tcPr>
            <w:tcW w:w="2545" w:type="dxa"/>
            <w:vMerge w:val="continue"/>
            <w:noWrap w:val="0"/>
            <w:vAlign w:val="top"/>
          </w:tcPr>
          <w:p w14:paraId="46D7D554">
            <w:pPr>
              <w:spacing w:line="360" w:lineRule="auto"/>
              <w:rPr>
                <w:rFonts w:ascii="宋体" w:hAnsi="宋体"/>
                <w:color w:val="auto"/>
                <w:szCs w:val="21"/>
                <w:highlight w:val="none"/>
              </w:rPr>
            </w:pPr>
          </w:p>
        </w:tc>
      </w:tr>
    </w:tbl>
    <w:p w14:paraId="5DF62AAA">
      <w:pPr>
        <w:spacing w:line="360" w:lineRule="auto"/>
        <w:rPr>
          <w:rFonts w:ascii="宋体"/>
          <w:color w:val="auto"/>
          <w:sz w:val="24"/>
          <w:highlight w:val="none"/>
        </w:rPr>
        <w:sectPr>
          <w:pgSz w:w="11907" w:h="16840"/>
          <w:pgMar w:top="1440" w:right="1803" w:bottom="1440" w:left="1803" w:header="851" w:footer="850" w:gutter="0"/>
          <w:pgNumType w:fmt="decimal"/>
          <w:cols w:space="720" w:num="1"/>
          <w:titlePg/>
          <w:docGrid w:type="linesAndChars" w:linePitch="312" w:charSpace="-3473"/>
        </w:sectPr>
      </w:pPr>
    </w:p>
    <w:p w14:paraId="7A0A2972">
      <w:pPr>
        <w:spacing w:line="360" w:lineRule="auto"/>
        <w:rPr>
          <w:rFonts w:ascii="宋体" w:cs="宋体"/>
          <w:b/>
          <w:bCs/>
          <w:color w:val="auto"/>
          <w:sz w:val="24"/>
          <w:highlight w:val="none"/>
        </w:rPr>
      </w:pPr>
      <w:r>
        <w:rPr>
          <w:rFonts w:hint="eastAsia" w:ascii="宋体" w:cs="宋体"/>
          <w:b/>
          <w:bCs/>
          <w:color w:val="auto"/>
          <w:sz w:val="24"/>
          <w:highlight w:val="none"/>
        </w:rPr>
        <w:t>格式9</w:t>
      </w:r>
    </w:p>
    <w:p w14:paraId="13CEF4F0">
      <w:pPr>
        <w:spacing w:line="360" w:lineRule="auto"/>
        <w:jc w:val="center"/>
        <w:rPr>
          <w:rFonts w:ascii="宋体" w:cs="宋体"/>
          <w:b/>
          <w:bCs/>
          <w:color w:val="auto"/>
          <w:sz w:val="24"/>
          <w:highlight w:val="none"/>
        </w:rPr>
      </w:pPr>
      <w:r>
        <w:rPr>
          <w:rFonts w:hint="eastAsia" w:ascii="宋体" w:hAnsi="宋体"/>
          <w:b/>
          <w:color w:val="auto"/>
          <w:sz w:val="32"/>
          <w:highlight w:val="none"/>
        </w:rPr>
        <w:t>资格审查资料</w:t>
      </w:r>
    </w:p>
    <w:p w14:paraId="20F98C18">
      <w:pPr>
        <w:pStyle w:val="5"/>
        <w:jc w:val="center"/>
        <w:outlineLvl w:val="2"/>
        <w:rPr>
          <w:rFonts w:ascii="宋体" w:hAnsi="宋体"/>
          <w:color w:val="auto"/>
          <w:szCs w:val="21"/>
          <w:highlight w:val="none"/>
        </w:rPr>
      </w:pPr>
      <w:bookmarkStart w:id="751" w:name="_Toc247079409"/>
      <w:bookmarkStart w:id="752" w:name="_Toc211162746"/>
      <w:bookmarkStart w:id="753" w:name="_Toc11557"/>
      <w:r>
        <w:rPr>
          <w:rFonts w:hint="eastAsia" w:ascii="宋体" w:hAnsi="宋体"/>
          <w:color w:val="auto"/>
          <w:highlight w:val="none"/>
        </w:rPr>
        <w:t>（一）</w:t>
      </w:r>
      <w:r>
        <w:rPr>
          <w:rFonts w:hint="eastAsia" w:ascii="宋体" w:hAnsi="宋体"/>
          <w:color w:val="auto"/>
          <w:highlight w:val="none"/>
          <w:lang w:eastAsia="zh-CN"/>
        </w:rPr>
        <w:t>供应商</w:t>
      </w:r>
      <w:r>
        <w:rPr>
          <w:rFonts w:hint="eastAsia" w:ascii="宋体" w:hAnsi="宋体"/>
          <w:color w:val="auto"/>
          <w:highlight w:val="none"/>
        </w:rPr>
        <w:t>基本情况表</w:t>
      </w:r>
      <w:bookmarkEnd w:id="751"/>
      <w:bookmarkEnd w:id="752"/>
      <w:bookmarkEnd w:id="753"/>
    </w:p>
    <w:tbl>
      <w:tblPr>
        <w:tblStyle w:val="49"/>
        <w:tblW w:w="900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560"/>
        <w:gridCol w:w="1002"/>
        <w:gridCol w:w="1469"/>
        <w:gridCol w:w="633"/>
        <w:gridCol w:w="429"/>
        <w:gridCol w:w="1492"/>
        <w:gridCol w:w="1209"/>
        <w:gridCol w:w="1211"/>
      </w:tblGrid>
      <w:tr w14:paraId="1087A74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0" w:hRule="atLeast"/>
          <w:jc w:val="center"/>
        </w:trPr>
        <w:tc>
          <w:tcPr>
            <w:tcW w:w="1560" w:type="dxa"/>
            <w:noWrap w:val="0"/>
            <w:vAlign w:val="center"/>
          </w:tcPr>
          <w:p w14:paraId="73BF3A9E">
            <w:pPr>
              <w:jc w:val="center"/>
              <w:rPr>
                <w:rFonts w:ascii="宋体" w:hAnsi="宋体"/>
                <w:color w:val="auto"/>
                <w:szCs w:val="21"/>
                <w:highlight w:val="none"/>
              </w:rPr>
            </w:pPr>
            <w:r>
              <w:rPr>
                <w:rFonts w:hint="eastAsia" w:ascii="宋体" w:hAnsi="宋体"/>
                <w:color w:val="auto"/>
                <w:szCs w:val="21"/>
                <w:highlight w:val="none"/>
                <w:lang w:eastAsia="zh-CN"/>
              </w:rPr>
              <w:t>供应商</w:t>
            </w:r>
            <w:r>
              <w:rPr>
                <w:rFonts w:hint="eastAsia" w:ascii="宋体" w:hAnsi="宋体"/>
                <w:color w:val="auto"/>
                <w:szCs w:val="21"/>
                <w:highlight w:val="none"/>
              </w:rPr>
              <w:t>名称</w:t>
            </w:r>
          </w:p>
        </w:tc>
        <w:tc>
          <w:tcPr>
            <w:tcW w:w="7445" w:type="dxa"/>
            <w:gridSpan w:val="7"/>
            <w:noWrap w:val="0"/>
            <w:vAlign w:val="center"/>
          </w:tcPr>
          <w:p w14:paraId="1D2A58AC">
            <w:pPr>
              <w:jc w:val="center"/>
              <w:rPr>
                <w:rFonts w:ascii="宋体" w:hAnsi="宋体"/>
                <w:color w:val="auto"/>
                <w:szCs w:val="21"/>
                <w:highlight w:val="none"/>
              </w:rPr>
            </w:pPr>
          </w:p>
        </w:tc>
      </w:tr>
      <w:tr w14:paraId="1C8418E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25" w:hRule="atLeast"/>
          <w:jc w:val="center"/>
        </w:trPr>
        <w:tc>
          <w:tcPr>
            <w:tcW w:w="1560" w:type="dxa"/>
            <w:noWrap w:val="0"/>
            <w:vAlign w:val="center"/>
          </w:tcPr>
          <w:p w14:paraId="789FC031">
            <w:pPr>
              <w:jc w:val="center"/>
              <w:rPr>
                <w:rFonts w:ascii="宋体" w:hAnsi="宋体"/>
                <w:color w:val="auto"/>
                <w:szCs w:val="21"/>
                <w:highlight w:val="none"/>
              </w:rPr>
            </w:pPr>
            <w:r>
              <w:rPr>
                <w:rFonts w:hint="eastAsia" w:ascii="宋体" w:hAnsi="宋体"/>
                <w:color w:val="auto"/>
                <w:szCs w:val="21"/>
                <w:highlight w:val="none"/>
              </w:rPr>
              <w:t>注册地址</w:t>
            </w:r>
          </w:p>
        </w:tc>
        <w:tc>
          <w:tcPr>
            <w:tcW w:w="3533" w:type="dxa"/>
            <w:gridSpan w:val="4"/>
            <w:noWrap w:val="0"/>
            <w:vAlign w:val="center"/>
          </w:tcPr>
          <w:p w14:paraId="37225F91">
            <w:pPr>
              <w:jc w:val="center"/>
              <w:rPr>
                <w:rFonts w:ascii="宋体" w:hAnsi="宋体"/>
                <w:color w:val="auto"/>
                <w:szCs w:val="21"/>
                <w:highlight w:val="none"/>
              </w:rPr>
            </w:pPr>
          </w:p>
        </w:tc>
        <w:tc>
          <w:tcPr>
            <w:tcW w:w="1492" w:type="dxa"/>
            <w:noWrap w:val="0"/>
            <w:vAlign w:val="center"/>
          </w:tcPr>
          <w:p w14:paraId="576BBC01">
            <w:pPr>
              <w:jc w:val="center"/>
              <w:rPr>
                <w:rFonts w:ascii="宋体" w:hAnsi="宋体"/>
                <w:color w:val="auto"/>
                <w:szCs w:val="21"/>
                <w:highlight w:val="none"/>
              </w:rPr>
            </w:pPr>
            <w:r>
              <w:rPr>
                <w:rFonts w:hint="eastAsia" w:ascii="宋体" w:hAnsi="宋体"/>
                <w:color w:val="auto"/>
                <w:szCs w:val="21"/>
                <w:highlight w:val="none"/>
              </w:rPr>
              <w:t>邮政编码</w:t>
            </w:r>
          </w:p>
        </w:tc>
        <w:tc>
          <w:tcPr>
            <w:tcW w:w="2420" w:type="dxa"/>
            <w:gridSpan w:val="2"/>
            <w:noWrap w:val="0"/>
            <w:vAlign w:val="center"/>
          </w:tcPr>
          <w:p w14:paraId="14E8085A">
            <w:pPr>
              <w:jc w:val="center"/>
              <w:rPr>
                <w:rFonts w:ascii="宋体" w:hAnsi="宋体"/>
                <w:color w:val="auto"/>
                <w:szCs w:val="21"/>
                <w:highlight w:val="none"/>
              </w:rPr>
            </w:pPr>
          </w:p>
        </w:tc>
      </w:tr>
      <w:tr w14:paraId="32E0259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2" w:hRule="atLeast"/>
          <w:jc w:val="center"/>
        </w:trPr>
        <w:tc>
          <w:tcPr>
            <w:tcW w:w="1560" w:type="dxa"/>
            <w:vMerge w:val="restart"/>
            <w:noWrap w:val="0"/>
            <w:vAlign w:val="center"/>
          </w:tcPr>
          <w:p w14:paraId="199018F9">
            <w:pPr>
              <w:jc w:val="center"/>
              <w:rPr>
                <w:rFonts w:ascii="宋体" w:hAnsi="宋体"/>
                <w:color w:val="auto"/>
                <w:szCs w:val="21"/>
                <w:highlight w:val="none"/>
              </w:rPr>
            </w:pPr>
            <w:r>
              <w:rPr>
                <w:rFonts w:hint="eastAsia" w:ascii="宋体" w:hAnsi="宋体"/>
                <w:color w:val="auto"/>
                <w:szCs w:val="21"/>
                <w:highlight w:val="none"/>
              </w:rPr>
              <w:t>联系方式</w:t>
            </w:r>
          </w:p>
        </w:tc>
        <w:tc>
          <w:tcPr>
            <w:tcW w:w="1002" w:type="dxa"/>
            <w:noWrap w:val="0"/>
            <w:vAlign w:val="center"/>
          </w:tcPr>
          <w:p w14:paraId="609623C9">
            <w:pPr>
              <w:jc w:val="center"/>
              <w:rPr>
                <w:rFonts w:ascii="宋体" w:hAnsi="宋体"/>
                <w:color w:val="auto"/>
                <w:szCs w:val="21"/>
                <w:highlight w:val="none"/>
              </w:rPr>
            </w:pPr>
            <w:r>
              <w:rPr>
                <w:rFonts w:hint="eastAsia" w:ascii="宋体" w:hAnsi="宋体"/>
                <w:color w:val="auto"/>
                <w:szCs w:val="21"/>
                <w:highlight w:val="none"/>
              </w:rPr>
              <w:t>联系人</w:t>
            </w:r>
          </w:p>
        </w:tc>
        <w:tc>
          <w:tcPr>
            <w:tcW w:w="2531" w:type="dxa"/>
            <w:gridSpan w:val="3"/>
            <w:noWrap w:val="0"/>
            <w:vAlign w:val="center"/>
          </w:tcPr>
          <w:p w14:paraId="75035CAE">
            <w:pPr>
              <w:jc w:val="center"/>
              <w:rPr>
                <w:rFonts w:ascii="宋体" w:hAnsi="宋体"/>
                <w:color w:val="auto"/>
                <w:szCs w:val="21"/>
                <w:highlight w:val="none"/>
              </w:rPr>
            </w:pPr>
          </w:p>
        </w:tc>
        <w:tc>
          <w:tcPr>
            <w:tcW w:w="1492" w:type="dxa"/>
            <w:noWrap w:val="0"/>
            <w:vAlign w:val="center"/>
          </w:tcPr>
          <w:p w14:paraId="3E5D71E3">
            <w:pPr>
              <w:jc w:val="center"/>
              <w:rPr>
                <w:rFonts w:ascii="宋体" w:hAnsi="宋体"/>
                <w:color w:val="auto"/>
                <w:szCs w:val="21"/>
                <w:highlight w:val="none"/>
              </w:rPr>
            </w:pPr>
            <w:r>
              <w:rPr>
                <w:rFonts w:hint="eastAsia" w:ascii="宋体" w:hAnsi="宋体"/>
                <w:color w:val="auto"/>
                <w:szCs w:val="21"/>
                <w:highlight w:val="none"/>
              </w:rPr>
              <w:t>电    话</w:t>
            </w:r>
          </w:p>
        </w:tc>
        <w:tc>
          <w:tcPr>
            <w:tcW w:w="2420" w:type="dxa"/>
            <w:gridSpan w:val="2"/>
            <w:noWrap w:val="0"/>
            <w:vAlign w:val="center"/>
          </w:tcPr>
          <w:p w14:paraId="7BD4D919">
            <w:pPr>
              <w:jc w:val="center"/>
              <w:rPr>
                <w:rFonts w:ascii="宋体" w:hAnsi="宋体"/>
                <w:color w:val="auto"/>
                <w:szCs w:val="21"/>
                <w:highlight w:val="none"/>
              </w:rPr>
            </w:pPr>
          </w:p>
        </w:tc>
      </w:tr>
      <w:tr w14:paraId="3A5DC9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4" w:hRule="atLeast"/>
          <w:jc w:val="center"/>
        </w:trPr>
        <w:tc>
          <w:tcPr>
            <w:tcW w:w="1560" w:type="dxa"/>
            <w:vMerge w:val="continue"/>
            <w:noWrap w:val="0"/>
            <w:vAlign w:val="center"/>
          </w:tcPr>
          <w:p w14:paraId="035F7402">
            <w:pPr>
              <w:jc w:val="center"/>
              <w:rPr>
                <w:rFonts w:ascii="宋体" w:hAnsi="宋体"/>
                <w:color w:val="auto"/>
                <w:szCs w:val="21"/>
                <w:highlight w:val="none"/>
              </w:rPr>
            </w:pPr>
          </w:p>
        </w:tc>
        <w:tc>
          <w:tcPr>
            <w:tcW w:w="1002" w:type="dxa"/>
            <w:noWrap w:val="0"/>
            <w:vAlign w:val="center"/>
          </w:tcPr>
          <w:p w14:paraId="4095B9DF">
            <w:pPr>
              <w:jc w:val="center"/>
              <w:rPr>
                <w:rFonts w:ascii="宋体" w:hAnsi="宋体"/>
                <w:color w:val="auto"/>
                <w:szCs w:val="21"/>
                <w:highlight w:val="none"/>
              </w:rPr>
            </w:pPr>
            <w:r>
              <w:rPr>
                <w:rFonts w:hint="eastAsia" w:ascii="宋体" w:hAnsi="宋体"/>
                <w:color w:val="auto"/>
                <w:szCs w:val="21"/>
                <w:highlight w:val="none"/>
              </w:rPr>
              <w:t>传真</w:t>
            </w:r>
          </w:p>
        </w:tc>
        <w:tc>
          <w:tcPr>
            <w:tcW w:w="2531" w:type="dxa"/>
            <w:gridSpan w:val="3"/>
            <w:noWrap w:val="0"/>
            <w:vAlign w:val="center"/>
          </w:tcPr>
          <w:p w14:paraId="777D5413">
            <w:pPr>
              <w:jc w:val="center"/>
              <w:rPr>
                <w:rFonts w:ascii="宋体" w:hAnsi="宋体"/>
                <w:color w:val="auto"/>
                <w:szCs w:val="21"/>
                <w:highlight w:val="none"/>
              </w:rPr>
            </w:pPr>
          </w:p>
        </w:tc>
        <w:tc>
          <w:tcPr>
            <w:tcW w:w="1492" w:type="dxa"/>
            <w:noWrap w:val="0"/>
            <w:vAlign w:val="center"/>
          </w:tcPr>
          <w:p w14:paraId="36506C9B">
            <w:pPr>
              <w:jc w:val="center"/>
              <w:rPr>
                <w:rFonts w:ascii="宋体" w:hAnsi="宋体"/>
                <w:color w:val="auto"/>
                <w:szCs w:val="21"/>
                <w:highlight w:val="none"/>
              </w:rPr>
            </w:pPr>
            <w:r>
              <w:rPr>
                <w:rFonts w:hint="eastAsia" w:ascii="宋体" w:hAnsi="宋体"/>
                <w:color w:val="auto"/>
                <w:szCs w:val="21"/>
                <w:highlight w:val="none"/>
              </w:rPr>
              <w:t>网    址</w:t>
            </w:r>
          </w:p>
        </w:tc>
        <w:tc>
          <w:tcPr>
            <w:tcW w:w="2420" w:type="dxa"/>
            <w:gridSpan w:val="2"/>
            <w:noWrap w:val="0"/>
            <w:vAlign w:val="center"/>
          </w:tcPr>
          <w:p w14:paraId="02E27485">
            <w:pPr>
              <w:jc w:val="center"/>
              <w:rPr>
                <w:rFonts w:ascii="宋体" w:hAnsi="宋体"/>
                <w:color w:val="auto"/>
                <w:szCs w:val="21"/>
                <w:highlight w:val="none"/>
              </w:rPr>
            </w:pPr>
          </w:p>
        </w:tc>
      </w:tr>
      <w:tr w14:paraId="68BBCCA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3" w:hRule="atLeast"/>
          <w:jc w:val="center"/>
        </w:trPr>
        <w:tc>
          <w:tcPr>
            <w:tcW w:w="1560" w:type="dxa"/>
            <w:noWrap w:val="0"/>
            <w:vAlign w:val="center"/>
          </w:tcPr>
          <w:p w14:paraId="58D2482D">
            <w:pPr>
              <w:jc w:val="center"/>
              <w:rPr>
                <w:rFonts w:ascii="宋体" w:hAnsi="宋体"/>
                <w:color w:val="auto"/>
                <w:szCs w:val="21"/>
                <w:highlight w:val="none"/>
              </w:rPr>
            </w:pPr>
            <w:r>
              <w:rPr>
                <w:rFonts w:hint="eastAsia" w:ascii="宋体" w:hAnsi="宋体"/>
                <w:color w:val="auto"/>
                <w:szCs w:val="21"/>
                <w:highlight w:val="none"/>
              </w:rPr>
              <w:t>组织结构</w:t>
            </w:r>
          </w:p>
        </w:tc>
        <w:tc>
          <w:tcPr>
            <w:tcW w:w="7445" w:type="dxa"/>
            <w:gridSpan w:val="7"/>
            <w:noWrap w:val="0"/>
            <w:vAlign w:val="center"/>
          </w:tcPr>
          <w:p w14:paraId="07AD33ED">
            <w:pPr>
              <w:jc w:val="center"/>
              <w:rPr>
                <w:rFonts w:ascii="宋体" w:hAnsi="宋体"/>
                <w:color w:val="auto"/>
                <w:szCs w:val="21"/>
                <w:highlight w:val="none"/>
              </w:rPr>
            </w:pPr>
          </w:p>
        </w:tc>
      </w:tr>
      <w:tr w14:paraId="0DA31E1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3" w:hRule="atLeast"/>
          <w:jc w:val="center"/>
        </w:trPr>
        <w:tc>
          <w:tcPr>
            <w:tcW w:w="1560" w:type="dxa"/>
            <w:noWrap w:val="0"/>
            <w:vAlign w:val="center"/>
          </w:tcPr>
          <w:p w14:paraId="7149AEF9">
            <w:pPr>
              <w:jc w:val="center"/>
              <w:rPr>
                <w:rFonts w:ascii="宋体" w:hAnsi="宋体"/>
                <w:color w:val="auto"/>
                <w:szCs w:val="21"/>
                <w:highlight w:val="none"/>
              </w:rPr>
            </w:pPr>
            <w:r>
              <w:rPr>
                <w:rFonts w:hint="eastAsia" w:ascii="宋体" w:hAnsi="宋体"/>
                <w:color w:val="auto"/>
                <w:szCs w:val="21"/>
                <w:highlight w:val="none"/>
              </w:rPr>
              <w:t>法定代表人</w:t>
            </w:r>
          </w:p>
        </w:tc>
        <w:tc>
          <w:tcPr>
            <w:tcW w:w="1002" w:type="dxa"/>
            <w:noWrap w:val="0"/>
            <w:vAlign w:val="center"/>
          </w:tcPr>
          <w:p w14:paraId="32651718">
            <w:pPr>
              <w:jc w:val="center"/>
              <w:rPr>
                <w:rFonts w:ascii="宋体" w:hAnsi="宋体"/>
                <w:color w:val="auto"/>
                <w:szCs w:val="21"/>
                <w:highlight w:val="none"/>
              </w:rPr>
            </w:pPr>
            <w:r>
              <w:rPr>
                <w:rFonts w:hint="eastAsia" w:ascii="宋体" w:hAnsi="宋体"/>
                <w:color w:val="auto"/>
                <w:szCs w:val="21"/>
                <w:highlight w:val="none"/>
              </w:rPr>
              <w:t>姓  名</w:t>
            </w:r>
          </w:p>
        </w:tc>
        <w:tc>
          <w:tcPr>
            <w:tcW w:w="1469" w:type="dxa"/>
            <w:noWrap w:val="0"/>
            <w:vAlign w:val="center"/>
          </w:tcPr>
          <w:p w14:paraId="58895412">
            <w:pPr>
              <w:jc w:val="center"/>
              <w:rPr>
                <w:rFonts w:ascii="宋体" w:hAnsi="宋体"/>
                <w:color w:val="auto"/>
                <w:szCs w:val="21"/>
                <w:highlight w:val="none"/>
              </w:rPr>
            </w:pPr>
          </w:p>
        </w:tc>
        <w:tc>
          <w:tcPr>
            <w:tcW w:w="1062" w:type="dxa"/>
            <w:gridSpan w:val="2"/>
            <w:noWrap w:val="0"/>
            <w:vAlign w:val="center"/>
          </w:tcPr>
          <w:p w14:paraId="5493A124">
            <w:pPr>
              <w:jc w:val="center"/>
              <w:rPr>
                <w:rFonts w:ascii="宋体" w:hAnsi="宋体"/>
                <w:color w:val="auto"/>
                <w:szCs w:val="21"/>
                <w:highlight w:val="none"/>
              </w:rPr>
            </w:pPr>
            <w:r>
              <w:rPr>
                <w:rFonts w:hint="eastAsia" w:ascii="宋体" w:hAnsi="宋体"/>
                <w:color w:val="auto"/>
                <w:szCs w:val="21"/>
                <w:highlight w:val="none"/>
              </w:rPr>
              <w:t>技术职称</w:t>
            </w:r>
          </w:p>
        </w:tc>
        <w:tc>
          <w:tcPr>
            <w:tcW w:w="1492" w:type="dxa"/>
            <w:noWrap w:val="0"/>
            <w:vAlign w:val="center"/>
          </w:tcPr>
          <w:p w14:paraId="7F4AD80E">
            <w:pPr>
              <w:jc w:val="center"/>
              <w:rPr>
                <w:rFonts w:ascii="宋体" w:hAnsi="宋体"/>
                <w:color w:val="auto"/>
                <w:szCs w:val="21"/>
                <w:highlight w:val="none"/>
              </w:rPr>
            </w:pPr>
          </w:p>
        </w:tc>
        <w:tc>
          <w:tcPr>
            <w:tcW w:w="1209" w:type="dxa"/>
            <w:noWrap w:val="0"/>
            <w:vAlign w:val="center"/>
          </w:tcPr>
          <w:p w14:paraId="01871686">
            <w:pPr>
              <w:jc w:val="center"/>
              <w:rPr>
                <w:rFonts w:ascii="宋体" w:hAnsi="宋体"/>
                <w:color w:val="auto"/>
                <w:szCs w:val="21"/>
                <w:highlight w:val="none"/>
              </w:rPr>
            </w:pPr>
            <w:r>
              <w:rPr>
                <w:rFonts w:hint="eastAsia" w:ascii="宋体" w:hAnsi="宋体"/>
                <w:color w:val="auto"/>
                <w:szCs w:val="21"/>
                <w:highlight w:val="none"/>
              </w:rPr>
              <w:t>电   话</w:t>
            </w:r>
          </w:p>
        </w:tc>
        <w:tc>
          <w:tcPr>
            <w:tcW w:w="1211" w:type="dxa"/>
            <w:noWrap w:val="0"/>
            <w:vAlign w:val="center"/>
          </w:tcPr>
          <w:p w14:paraId="34FC6FD8">
            <w:pPr>
              <w:jc w:val="center"/>
              <w:rPr>
                <w:rFonts w:ascii="宋体" w:hAnsi="宋体"/>
                <w:color w:val="auto"/>
                <w:szCs w:val="21"/>
                <w:highlight w:val="none"/>
              </w:rPr>
            </w:pPr>
          </w:p>
        </w:tc>
      </w:tr>
      <w:tr w14:paraId="0B716F8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85" w:hRule="atLeast"/>
          <w:jc w:val="center"/>
        </w:trPr>
        <w:tc>
          <w:tcPr>
            <w:tcW w:w="1560" w:type="dxa"/>
            <w:noWrap w:val="0"/>
            <w:vAlign w:val="center"/>
          </w:tcPr>
          <w:p w14:paraId="0A83311E">
            <w:pPr>
              <w:jc w:val="center"/>
              <w:rPr>
                <w:rFonts w:ascii="宋体" w:hAnsi="宋体"/>
                <w:color w:val="auto"/>
                <w:szCs w:val="21"/>
                <w:highlight w:val="none"/>
              </w:rPr>
            </w:pPr>
            <w:r>
              <w:rPr>
                <w:rFonts w:hint="eastAsia" w:ascii="宋体" w:hAnsi="宋体"/>
                <w:color w:val="auto"/>
                <w:szCs w:val="21"/>
                <w:highlight w:val="none"/>
              </w:rPr>
              <w:t>技术负责人</w:t>
            </w:r>
          </w:p>
        </w:tc>
        <w:tc>
          <w:tcPr>
            <w:tcW w:w="1002" w:type="dxa"/>
            <w:noWrap w:val="0"/>
            <w:vAlign w:val="center"/>
          </w:tcPr>
          <w:p w14:paraId="60A921C5">
            <w:pPr>
              <w:jc w:val="center"/>
              <w:rPr>
                <w:rFonts w:ascii="宋体" w:hAnsi="宋体"/>
                <w:color w:val="auto"/>
                <w:szCs w:val="21"/>
                <w:highlight w:val="none"/>
              </w:rPr>
            </w:pPr>
            <w:r>
              <w:rPr>
                <w:rFonts w:hint="eastAsia" w:ascii="宋体" w:hAnsi="宋体"/>
                <w:color w:val="auto"/>
                <w:szCs w:val="21"/>
                <w:highlight w:val="none"/>
              </w:rPr>
              <w:t>姓  名</w:t>
            </w:r>
          </w:p>
        </w:tc>
        <w:tc>
          <w:tcPr>
            <w:tcW w:w="1469" w:type="dxa"/>
            <w:noWrap w:val="0"/>
            <w:vAlign w:val="center"/>
          </w:tcPr>
          <w:p w14:paraId="3BEA3A74">
            <w:pPr>
              <w:jc w:val="center"/>
              <w:rPr>
                <w:rFonts w:ascii="宋体" w:hAnsi="宋体"/>
                <w:color w:val="auto"/>
                <w:szCs w:val="21"/>
                <w:highlight w:val="none"/>
              </w:rPr>
            </w:pPr>
          </w:p>
        </w:tc>
        <w:tc>
          <w:tcPr>
            <w:tcW w:w="1062" w:type="dxa"/>
            <w:gridSpan w:val="2"/>
            <w:noWrap w:val="0"/>
            <w:vAlign w:val="center"/>
          </w:tcPr>
          <w:p w14:paraId="31B54162">
            <w:pPr>
              <w:jc w:val="center"/>
              <w:rPr>
                <w:rFonts w:ascii="宋体" w:hAnsi="宋体"/>
                <w:color w:val="auto"/>
                <w:szCs w:val="21"/>
                <w:highlight w:val="none"/>
              </w:rPr>
            </w:pPr>
            <w:r>
              <w:rPr>
                <w:rFonts w:hint="eastAsia" w:ascii="宋体" w:hAnsi="宋体"/>
                <w:color w:val="auto"/>
                <w:szCs w:val="21"/>
                <w:highlight w:val="none"/>
              </w:rPr>
              <w:t>技术职称</w:t>
            </w:r>
          </w:p>
        </w:tc>
        <w:tc>
          <w:tcPr>
            <w:tcW w:w="1492" w:type="dxa"/>
            <w:noWrap w:val="0"/>
            <w:vAlign w:val="center"/>
          </w:tcPr>
          <w:p w14:paraId="6B0816EC">
            <w:pPr>
              <w:jc w:val="center"/>
              <w:rPr>
                <w:rFonts w:ascii="宋体" w:hAnsi="宋体"/>
                <w:color w:val="auto"/>
                <w:szCs w:val="21"/>
                <w:highlight w:val="none"/>
              </w:rPr>
            </w:pPr>
          </w:p>
        </w:tc>
        <w:tc>
          <w:tcPr>
            <w:tcW w:w="1209" w:type="dxa"/>
            <w:noWrap w:val="0"/>
            <w:vAlign w:val="center"/>
          </w:tcPr>
          <w:p w14:paraId="09A295A0">
            <w:pPr>
              <w:jc w:val="center"/>
              <w:rPr>
                <w:rFonts w:ascii="宋体" w:hAnsi="宋体"/>
                <w:color w:val="auto"/>
                <w:szCs w:val="21"/>
                <w:highlight w:val="none"/>
              </w:rPr>
            </w:pPr>
            <w:r>
              <w:rPr>
                <w:rFonts w:hint="eastAsia" w:ascii="宋体" w:hAnsi="宋体"/>
                <w:color w:val="auto"/>
                <w:szCs w:val="21"/>
                <w:highlight w:val="none"/>
              </w:rPr>
              <w:t>电   话</w:t>
            </w:r>
          </w:p>
        </w:tc>
        <w:tc>
          <w:tcPr>
            <w:tcW w:w="1211" w:type="dxa"/>
            <w:noWrap w:val="0"/>
            <w:vAlign w:val="center"/>
          </w:tcPr>
          <w:p w14:paraId="22A66A10">
            <w:pPr>
              <w:jc w:val="center"/>
              <w:rPr>
                <w:rFonts w:ascii="宋体" w:hAnsi="宋体"/>
                <w:color w:val="auto"/>
                <w:szCs w:val="21"/>
                <w:highlight w:val="none"/>
              </w:rPr>
            </w:pPr>
          </w:p>
        </w:tc>
      </w:tr>
      <w:tr w14:paraId="32B5AF6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3" w:hRule="atLeast"/>
          <w:jc w:val="center"/>
        </w:trPr>
        <w:tc>
          <w:tcPr>
            <w:tcW w:w="1560" w:type="dxa"/>
            <w:noWrap w:val="0"/>
            <w:vAlign w:val="center"/>
          </w:tcPr>
          <w:p w14:paraId="73A34690">
            <w:pPr>
              <w:jc w:val="center"/>
              <w:rPr>
                <w:rFonts w:ascii="宋体" w:hAnsi="宋体"/>
                <w:color w:val="auto"/>
                <w:szCs w:val="21"/>
                <w:highlight w:val="none"/>
              </w:rPr>
            </w:pPr>
            <w:r>
              <w:rPr>
                <w:rFonts w:hint="eastAsia" w:ascii="宋体" w:hAnsi="宋体"/>
                <w:color w:val="auto"/>
                <w:szCs w:val="21"/>
                <w:highlight w:val="none"/>
              </w:rPr>
              <w:t>成立时间</w:t>
            </w:r>
          </w:p>
        </w:tc>
        <w:tc>
          <w:tcPr>
            <w:tcW w:w="2471" w:type="dxa"/>
            <w:gridSpan w:val="2"/>
            <w:noWrap w:val="0"/>
            <w:vAlign w:val="center"/>
          </w:tcPr>
          <w:p w14:paraId="6807EA02">
            <w:pPr>
              <w:jc w:val="center"/>
              <w:rPr>
                <w:rFonts w:ascii="宋体" w:hAnsi="宋体"/>
                <w:color w:val="auto"/>
                <w:szCs w:val="21"/>
                <w:highlight w:val="none"/>
              </w:rPr>
            </w:pPr>
          </w:p>
        </w:tc>
        <w:tc>
          <w:tcPr>
            <w:tcW w:w="4974" w:type="dxa"/>
            <w:gridSpan w:val="5"/>
            <w:noWrap w:val="0"/>
            <w:vAlign w:val="center"/>
          </w:tcPr>
          <w:p w14:paraId="52446426">
            <w:pPr>
              <w:jc w:val="center"/>
              <w:rPr>
                <w:rFonts w:ascii="宋体" w:hAnsi="宋体"/>
                <w:color w:val="auto"/>
                <w:szCs w:val="21"/>
                <w:highlight w:val="none"/>
              </w:rPr>
            </w:pPr>
            <w:r>
              <w:rPr>
                <w:rFonts w:hint="eastAsia" w:ascii="宋体" w:hAnsi="宋体"/>
                <w:color w:val="auto"/>
                <w:szCs w:val="21"/>
                <w:highlight w:val="none"/>
              </w:rPr>
              <w:t>员工总人数：</w:t>
            </w:r>
          </w:p>
        </w:tc>
      </w:tr>
      <w:tr w14:paraId="72B25F8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3" w:hRule="atLeast"/>
          <w:jc w:val="center"/>
        </w:trPr>
        <w:tc>
          <w:tcPr>
            <w:tcW w:w="1560" w:type="dxa"/>
            <w:noWrap w:val="0"/>
            <w:vAlign w:val="center"/>
          </w:tcPr>
          <w:p w14:paraId="5FF97BB7">
            <w:pPr>
              <w:jc w:val="center"/>
              <w:rPr>
                <w:rFonts w:ascii="宋体" w:hAnsi="宋体"/>
                <w:color w:val="auto"/>
                <w:szCs w:val="21"/>
                <w:highlight w:val="none"/>
              </w:rPr>
            </w:pPr>
            <w:r>
              <w:rPr>
                <w:rFonts w:hint="eastAsia" w:ascii="宋体" w:hAnsi="宋体"/>
                <w:color w:val="auto"/>
                <w:szCs w:val="21"/>
                <w:highlight w:val="none"/>
              </w:rPr>
              <w:t>企业资质等级</w:t>
            </w:r>
          </w:p>
        </w:tc>
        <w:tc>
          <w:tcPr>
            <w:tcW w:w="2471" w:type="dxa"/>
            <w:gridSpan w:val="2"/>
            <w:noWrap w:val="0"/>
            <w:vAlign w:val="center"/>
          </w:tcPr>
          <w:p w14:paraId="7CA5B409">
            <w:pPr>
              <w:jc w:val="center"/>
              <w:rPr>
                <w:rFonts w:ascii="宋体" w:hAnsi="宋体"/>
                <w:color w:val="auto"/>
                <w:szCs w:val="21"/>
                <w:highlight w:val="none"/>
              </w:rPr>
            </w:pPr>
          </w:p>
        </w:tc>
        <w:tc>
          <w:tcPr>
            <w:tcW w:w="633" w:type="dxa"/>
            <w:vMerge w:val="restart"/>
            <w:noWrap w:val="0"/>
            <w:vAlign w:val="center"/>
          </w:tcPr>
          <w:p w14:paraId="382865E1">
            <w:pPr>
              <w:jc w:val="center"/>
              <w:rPr>
                <w:rFonts w:ascii="宋体" w:hAnsi="宋体"/>
                <w:color w:val="auto"/>
                <w:szCs w:val="21"/>
                <w:highlight w:val="none"/>
              </w:rPr>
            </w:pPr>
            <w:r>
              <w:rPr>
                <w:rFonts w:hint="eastAsia" w:ascii="宋体" w:hAnsi="宋体"/>
                <w:color w:val="auto"/>
                <w:szCs w:val="21"/>
                <w:highlight w:val="none"/>
              </w:rPr>
              <w:t>其中</w:t>
            </w:r>
          </w:p>
        </w:tc>
        <w:tc>
          <w:tcPr>
            <w:tcW w:w="1921" w:type="dxa"/>
            <w:gridSpan w:val="2"/>
            <w:noWrap w:val="0"/>
            <w:vAlign w:val="center"/>
          </w:tcPr>
          <w:p w14:paraId="42C3272A">
            <w:pPr>
              <w:jc w:val="center"/>
              <w:rPr>
                <w:rFonts w:ascii="宋体" w:hAnsi="宋体"/>
                <w:color w:val="auto"/>
                <w:szCs w:val="21"/>
                <w:highlight w:val="none"/>
              </w:rPr>
            </w:pPr>
            <w:r>
              <w:rPr>
                <w:rFonts w:hint="eastAsia" w:ascii="宋体" w:hAnsi="宋体"/>
                <w:color w:val="auto"/>
                <w:szCs w:val="21"/>
                <w:highlight w:val="none"/>
              </w:rPr>
              <w:t>项目经理</w:t>
            </w:r>
          </w:p>
        </w:tc>
        <w:tc>
          <w:tcPr>
            <w:tcW w:w="2420" w:type="dxa"/>
            <w:gridSpan w:val="2"/>
            <w:noWrap w:val="0"/>
            <w:vAlign w:val="center"/>
          </w:tcPr>
          <w:p w14:paraId="55712E6D">
            <w:pPr>
              <w:jc w:val="center"/>
              <w:rPr>
                <w:rFonts w:ascii="宋体" w:hAnsi="宋体"/>
                <w:color w:val="auto"/>
                <w:szCs w:val="21"/>
                <w:highlight w:val="none"/>
              </w:rPr>
            </w:pPr>
          </w:p>
        </w:tc>
      </w:tr>
      <w:tr w14:paraId="78F12B0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10" w:hRule="atLeast"/>
          <w:jc w:val="center"/>
        </w:trPr>
        <w:tc>
          <w:tcPr>
            <w:tcW w:w="1560" w:type="dxa"/>
            <w:noWrap w:val="0"/>
            <w:vAlign w:val="center"/>
          </w:tcPr>
          <w:p w14:paraId="1099AD27">
            <w:pPr>
              <w:jc w:val="center"/>
              <w:rPr>
                <w:rFonts w:ascii="宋体" w:hAnsi="宋体"/>
                <w:color w:val="auto"/>
                <w:szCs w:val="21"/>
                <w:highlight w:val="none"/>
              </w:rPr>
            </w:pPr>
            <w:r>
              <w:rPr>
                <w:rFonts w:hint="eastAsia" w:ascii="宋体" w:hAnsi="宋体"/>
                <w:color w:val="auto"/>
                <w:szCs w:val="21"/>
                <w:highlight w:val="none"/>
              </w:rPr>
              <w:t>营业执照号</w:t>
            </w:r>
          </w:p>
        </w:tc>
        <w:tc>
          <w:tcPr>
            <w:tcW w:w="2471" w:type="dxa"/>
            <w:gridSpan w:val="2"/>
            <w:noWrap w:val="0"/>
            <w:vAlign w:val="center"/>
          </w:tcPr>
          <w:p w14:paraId="1DA09A60">
            <w:pPr>
              <w:jc w:val="center"/>
              <w:rPr>
                <w:rFonts w:ascii="宋体" w:hAnsi="宋体"/>
                <w:color w:val="auto"/>
                <w:szCs w:val="21"/>
                <w:highlight w:val="none"/>
              </w:rPr>
            </w:pPr>
          </w:p>
        </w:tc>
        <w:tc>
          <w:tcPr>
            <w:tcW w:w="633" w:type="dxa"/>
            <w:vMerge w:val="continue"/>
            <w:noWrap w:val="0"/>
            <w:vAlign w:val="center"/>
          </w:tcPr>
          <w:p w14:paraId="063FCACD">
            <w:pPr>
              <w:jc w:val="center"/>
              <w:rPr>
                <w:rFonts w:ascii="宋体" w:hAnsi="宋体"/>
                <w:color w:val="auto"/>
                <w:szCs w:val="21"/>
                <w:highlight w:val="none"/>
              </w:rPr>
            </w:pPr>
          </w:p>
        </w:tc>
        <w:tc>
          <w:tcPr>
            <w:tcW w:w="1921" w:type="dxa"/>
            <w:gridSpan w:val="2"/>
            <w:noWrap w:val="0"/>
            <w:vAlign w:val="center"/>
          </w:tcPr>
          <w:p w14:paraId="3ED57BFC">
            <w:pPr>
              <w:jc w:val="center"/>
              <w:rPr>
                <w:rFonts w:ascii="宋体" w:hAnsi="宋体"/>
                <w:color w:val="auto"/>
                <w:szCs w:val="21"/>
                <w:highlight w:val="none"/>
              </w:rPr>
            </w:pPr>
            <w:r>
              <w:rPr>
                <w:rFonts w:hint="eastAsia" w:ascii="宋体" w:hAnsi="宋体"/>
                <w:color w:val="auto"/>
                <w:szCs w:val="21"/>
                <w:highlight w:val="none"/>
              </w:rPr>
              <w:t>高级职称人员</w:t>
            </w:r>
          </w:p>
        </w:tc>
        <w:tc>
          <w:tcPr>
            <w:tcW w:w="2420" w:type="dxa"/>
            <w:gridSpan w:val="2"/>
            <w:noWrap w:val="0"/>
            <w:vAlign w:val="center"/>
          </w:tcPr>
          <w:p w14:paraId="6C6A3B1D">
            <w:pPr>
              <w:jc w:val="center"/>
              <w:rPr>
                <w:rFonts w:ascii="宋体" w:hAnsi="宋体"/>
                <w:color w:val="auto"/>
                <w:szCs w:val="21"/>
                <w:highlight w:val="none"/>
              </w:rPr>
            </w:pPr>
          </w:p>
        </w:tc>
      </w:tr>
      <w:tr w14:paraId="3C0DF55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85" w:hRule="atLeast"/>
          <w:jc w:val="center"/>
        </w:trPr>
        <w:tc>
          <w:tcPr>
            <w:tcW w:w="1560" w:type="dxa"/>
            <w:noWrap w:val="0"/>
            <w:vAlign w:val="center"/>
          </w:tcPr>
          <w:p w14:paraId="358E1268">
            <w:pPr>
              <w:jc w:val="center"/>
              <w:rPr>
                <w:rFonts w:ascii="宋体" w:hAnsi="宋体"/>
                <w:color w:val="auto"/>
                <w:szCs w:val="21"/>
                <w:highlight w:val="none"/>
              </w:rPr>
            </w:pPr>
            <w:r>
              <w:rPr>
                <w:rFonts w:hint="eastAsia" w:ascii="宋体" w:hAnsi="宋体"/>
                <w:color w:val="auto"/>
                <w:szCs w:val="21"/>
                <w:highlight w:val="none"/>
              </w:rPr>
              <w:t>注册资金</w:t>
            </w:r>
          </w:p>
        </w:tc>
        <w:tc>
          <w:tcPr>
            <w:tcW w:w="2471" w:type="dxa"/>
            <w:gridSpan w:val="2"/>
            <w:noWrap w:val="0"/>
            <w:vAlign w:val="center"/>
          </w:tcPr>
          <w:p w14:paraId="043C4789">
            <w:pPr>
              <w:jc w:val="center"/>
              <w:rPr>
                <w:rFonts w:ascii="宋体" w:hAnsi="宋体"/>
                <w:color w:val="auto"/>
                <w:szCs w:val="21"/>
                <w:highlight w:val="none"/>
              </w:rPr>
            </w:pPr>
          </w:p>
        </w:tc>
        <w:tc>
          <w:tcPr>
            <w:tcW w:w="633" w:type="dxa"/>
            <w:vMerge w:val="continue"/>
            <w:noWrap w:val="0"/>
            <w:vAlign w:val="center"/>
          </w:tcPr>
          <w:p w14:paraId="1AF80860">
            <w:pPr>
              <w:jc w:val="center"/>
              <w:rPr>
                <w:rFonts w:ascii="宋体" w:hAnsi="宋体"/>
                <w:color w:val="auto"/>
                <w:szCs w:val="21"/>
                <w:highlight w:val="none"/>
              </w:rPr>
            </w:pPr>
          </w:p>
        </w:tc>
        <w:tc>
          <w:tcPr>
            <w:tcW w:w="1921" w:type="dxa"/>
            <w:gridSpan w:val="2"/>
            <w:noWrap w:val="0"/>
            <w:vAlign w:val="center"/>
          </w:tcPr>
          <w:p w14:paraId="12491500">
            <w:pPr>
              <w:jc w:val="center"/>
              <w:rPr>
                <w:rFonts w:ascii="宋体" w:hAnsi="宋体"/>
                <w:color w:val="auto"/>
                <w:szCs w:val="21"/>
                <w:highlight w:val="none"/>
              </w:rPr>
            </w:pPr>
            <w:r>
              <w:rPr>
                <w:rFonts w:hint="eastAsia" w:ascii="宋体" w:hAnsi="宋体"/>
                <w:color w:val="auto"/>
                <w:szCs w:val="21"/>
                <w:highlight w:val="none"/>
              </w:rPr>
              <w:t>中级职称人员</w:t>
            </w:r>
          </w:p>
        </w:tc>
        <w:tc>
          <w:tcPr>
            <w:tcW w:w="2420" w:type="dxa"/>
            <w:gridSpan w:val="2"/>
            <w:noWrap w:val="0"/>
            <w:vAlign w:val="center"/>
          </w:tcPr>
          <w:p w14:paraId="6B5F6923">
            <w:pPr>
              <w:jc w:val="center"/>
              <w:rPr>
                <w:rFonts w:ascii="宋体" w:hAnsi="宋体"/>
                <w:color w:val="auto"/>
                <w:szCs w:val="21"/>
                <w:highlight w:val="none"/>
              </w:rPr>
            </w:pPr>
          </w:p>
        </w:tc>
      </w:tr>
      <w:tr w14:paraId="79A5893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10" w:hRule="atLeast"/>
          <w:jc w:val="center"/>
        </w:trPr>
        <w:tc>
          <w:tcPr>
            <w:tcW w:w="1560" w:type="dxa"/>
            <w:noWrap w:val="0"/>
            <w:vAlign w:val="center"/>
          </w:tcPr>
          <w:p w14:paraId="6B74E098">
            <w:pPr>
              <w:jc w:val="center"/>
              <w:rPr>
                <w:rFonts w:ascii="宋体" w:hAnsi="宋体"/>
                <w:color w:val="auto"/>
                <w:szCs w:val="21"/>
                <w:highlight w:val="none"/>
              </w:rPr>
            </w:pPr>
            <w:r>
              <w:rPr>
                <w:rFonts w:hint="eastAsia" w:ascii="宋体" w:hAnsi="宋体"/>
                <w:color w:val="auto"/>
                <w:szCs w:val="21"/>
                <w:highlight w:val="none"/>
              </w:rPr>
              <w:t>开户银行</w:t>
            </w:r>
          </w:p>
        </w:tc>
        <w:tc>
          <w:tcPr>
            <w:tcW w:w="2471" w:type="dxa"/>
            <w:gridSpan w:val="2"/>
            <w:noWrap w:val="0"/>
            <w:vAlign w:val="center"/>
          </w:tcPr>
          <w:p w14:paraId="7CA31288">
            <w:pPr>
              <w:jc w:val="center"/>
              <w:rPr>
                <w:rFonts w:ascii="宋体" w:hAnsi="宋体"/>
                <w:color w:val="auto"/>
                <w:szCs w:val="21"/>
                <w:highlight w:val="none"/>
              </w:rPr>
            </w:pPr>
          </w:p>
        </w:tc>
        <w:tc>
          <w:tcPr>
            <w:tcW w:w="633" w:type="dxa"/>
            <w:vMerge w:val="continue"/>
            <w:noWrap w:val="0"/>
            <w:vAlign w:val="center"/>
          </w:tcPr>
          <w:p w14:paraId="6A7CA205">
            <w:pPr>
              <w:jc w:val="center"/>
              <w:rPr>
                <w:rFonts w:ascii="宋体" w:hAnsi="宋体"/>
                <w:color w:val="auto"/>
                <w:szCs w:val="21"/>
                <w:highlight w:val="none"/>
              </w:rPr>
            </w:pPr>
          </w:p>
        </w:tc>
        <w:tc>
          <w:tcPr>
            <w:tcW w:w="1921" w:type="dxa"/>
            <w:gridSpan w:val="2"/>
            <w:noWrap w:val="0"/>
            <w:vAlign w:val="center"/>
          </w:tcPr>
          <w:p w14:paraId="1C5A5A2B">
            <w:pPr>
              <w:jc w:val="center"/>
              <w:rPr>
                <w:rFonts w:ascii="宋体" w:hAnsi="宋体"/>
                <w:color w:val="auto"/>
                <w:szCs w:val="21"/>
                <w:highlight w:val="none"/>
              </w:rPr>
            </w:pPr>
            <w:r>
              <w:rPr>
                <w:rFonts w:hint="eastAsia" w:ascii="宋体" w:hAnsi="宋体"/>
                <w:color w:val="auto"/>
                <w:szCs w:val="21"/>
                <w:highlight w:val="none"/>
              </w:rPr>
              <w:t>初级职称人员</w:t>
            </w:r>
          </w:p>
        </w:tc>
        <w:tc>
          <w:tcPr>
            <w:tcW w:w="2420" w:type="dxa"/>
            <w:gridSpan w:val="2"/>
            <w:noWrap w:val="0"/>
            <w:vAlign w:val="center"/>
          </w:tcPr>
          <w:p w14:paraId="70C39B2E">
            <w:pPr>
              <w:jc w:val="center"/>
              <w:rPr>
                <w:rFonts w:ascii="宋体" w:hAnsi="宋体"/>
                <w:color w:val="auto"/>
                <w:szCs w:val="21"/>
                <w:highlight w:val="none"/>
              </w:rPr>
            </w:pPr>
          </w:p>
        </w:tc>
      </w:tr>
      <w:tr w14:paraId="0E387AC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4" w:hRule="atLeast"/>
          <w:jc w:val="center"/>
        </w:trPr>
        <w:tc>
          <w:tcPr>
            <w:tcW w:w="1560" w:type="dxa"/>
            <w:noWrap w:val="0"/>
            <w:vAlign w:val="center"/>
          </w:tcPr>
          <w:p w14:paraId="3CE8E3A3">
            <w:pPr>
              <w:jc w:val="center"/>
              <w:rPr>
                <w:rFonts w:ascii="宋体" w:hAnsi="宋体"/>
                <w:color w:val="auto"/>
                <w:szCs w:val="21"/>
                <w:highlight w:val="none"/>
              </w:rPr>
            </w:pPr>
            <w:r>
              <w:rPr>
                <w:rFonts w:hint="eastAsia" w:ascii="宋体" w:hAnsi="宋体"/>
                <w:color w:val="auto"/>
                <w:szCs w:val="21"/>
                <w:highlight w:val="none"/>
              </w:rPr>
              <w:t>账    号</w:t>
            </w:r>
          </w:p>
        </w:tc>
        <w:tc>
          <w:tcPr>
            <w:tcW w:w="2471" w:type="dxa"/>
            <w:gridSpan w:val="2"/>
            <w:noWrap w:val="0"/>
            <w:vAlign w:val="center"/>
          </w:tcPr>
          <w:p w14:paraId="10706A96">
            <w:pPr>
              <w:jc w:val="center"/>
              <w:rPr>
                <w:rFonts w:ascii="宋体" w:hAnsi="宋体"/>
                <w:color w:val="auto"/>
                <w:szCs w:val="21"/>
                <w:highlight w:val="none"/>
              </w:rPr>
            </w:pPr>
          </w:p>
        </w:tc>
        <w:tc>
          <w:tcPr>
            <w:tcW w:w="633" w:type="dxa"/>
            <w:vMerge w:val="continue"/>
            <w:noWrap w:val="0"/>
            <w:vAlign w:val="center"/>
          </w:tcPr>
          <w:p w14:paraId="4A2A3284">
            <w:pPr>
              <w:jc w:val="center"/>
              <w:rPr>
                <w:rFonts w:ascii="宋体" w:hAnsi="宋体"/>
                <w:color w:val="auto"/>
                <w:szCs w:val="21"/>
                <w:highlight w:val="none"/>
              </w:rPr>
            </w:pPr>
          </w:p>
        </w:tc>
        <w:tc>
          <w:tcPr>
            <w:tcW w:w="1921" w:type="dxa"/>
            <w:gridSpan w:val="2"/>
            <w:noWrap w:val="0"/>
            <w:vAlign w:val="center"/>
          </w:tcPr>
          <w:p w14:paraId="58943E13">
            <w:pPr>
              <w:jc w:val="center"/>
              <w:rPr>
                <w:rFonts w:ascii="宋体" w:hAnsi="宋体"/>
                <w:color w:val="auto"/>
                <w:szCs w:val="21"/>
                <w:highlight w:val="none"/>
              </w:rPr>
            </w:pPr>
            <w:r>
              <w:rPr>
                <w:rFonts w:hint="eastAsia" w:ascii="宋体" w:hAnsi="宋体"/>
                <w:color w:val="auto"/>
                <w:szCs w:val="21"/>
                <w:highlight w:val="none"/>
              </w:rPr>
              <w:t>技     工</w:t>
            </w:r>
          </w:p>
        </w:tc>
        <w:tc>
          <w:tcPr>
            <w:tcW w:w="2420" w:type="dxa"/>
            <w:gridSpan w:val="2"/>
            <w:noWrap w:val="0"/>
            <w:vAlign w:val="center"/>
          </w:tcPr>
          <w:p w14:paraId="4AB7A16B">
            <w:pPr>
              <w:jc w:val="center"/>
              <w:rPr>
                <w:rFonts w:ascii="宋体" w:hAnsi="宋体"/>
                <w:color w:val="auto"/>
                <w:szCs w:val="21"/>
                <w:highlight w:val="none"/>
              </w:rPr>
            </w:pPr>
          </w:p>
        </w:tc>
      </w:tr>
      <w:tr w14:paraId="1CAA02F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0" w:hRule="atLeast"/>
          <w:jc w:val="center"/>
        </w:trPr>
        <w:tc>
          <w:tcPr>
            <w:tcW w:w="1560" w:type="dxa"/>
            <w:noWrap w:val="0"/>
            <w:vAlign w:val="center"/>
          </w:tcPr>
          <w:p w14:paraId="08C326D1">
            <w:pPr>
              <w:jc w:val="center"/>
              <w:rPr>
                <w:rFonts w:ascii="宋体" w:hAnsi="宋体"/>
                <w:color w:val="auto"/>
                <w:szCs w:val="21"/>
                <w:highlight w:val="none"/>
              </w:rPr>
            </w:pPr>
            <w:r>
              <w:rPr>
                <w:rFonts w:hint="eastAsia" w:ascii="宋体" w:hAnsi="宋体"/>
                <w:color w:val="auto"/>
                <w:szCs w:val="21"/>
                <w:highlight w:val="none"/>
              </w:rPr>
              <w:t>经营范围</w:t>
            </w:r>
          </w:p>
        </w:tc>
        <w:tc>
          <w:tcPr>
            <w:tcW w:w="7445" w:type="dxa"/>
            <w:gridSpan w:val="7"/>
            <w:noWrap w:val="0"/>
            <w:vAlign w:val="center"/>
          </w:tcPr>
          <w:p w14:paraId="26A7B63B">
            <w:pPr>
              <w:ind w:firstLine="388" w:firstLineChars="200"/>
              <w:jc w:val="center"/>
              <w:rPr>
                <w:rFonts w:ascii="宋体" w:hAnsi="宋体"/>
                <w:color w:val="auto"/>
                <w:szCs w:val="21"/>
                <w:highlight w:val="none"/>
              </w:rPr>
            </w:pPr>
          </w:p>
        </w:tc>
      </w:tr>
      <w:tr w14:paraId="47255DB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40" w:hRule="atLeast"/>
          <w:jc w:val="center"/>
        </w:trPr>
        <w:tc>
          <w:tcPr>
            <w:tcW w:w="1560" w:type="dxa"/>
            <w:noWrap w:val="0"/>
            <w:vAlign w:val="center"/>
          </w:tcPr>
          <w:p w14:paraId="3F9629A0">
            <w:pPr>
              <w:jc w:val="center"/>
              <w:rPr>
                <w:rFonts w:ascii="宋体" w:hAnsi="宋体"/>
                <w:color w:val="auto"/>
                <w:szCs w:val="21"/>
                <w:highlight w:val="none"/>
              </w:rPr>
            </w:pPr>
            <w:r>
              <w:rPr>
                <w:rFonts w:hint="eastAsia" w:ascii="宋体" w:hAnsi="宋体"/>
                <w:color w:val="auto"/>
                <w:szCs w:val="21"/>
                <w:highlight w:val="none"/>
              </w:rPr>
              <w:t>备注</w:t>
            </w:r>
          </w:p>
        </w:tc>
        <w:tc>
          <w:tcPr>
            <w:tcW w:w="7445" w:type="dxa"/>
            <w:gridSpan w:val="7"/>
            <w:noWrap w:val="0"/>
            <w:vAlign w:val="center"/>
          </w:tcPr>
          <w:p w14:paraId="11EB6D37">
            <w:pPr>
              <w:ind w:firstLine="388" w:firstLineChars="200"/>
              <w:jc w:val="center"/>
              <w:rPr>
                <w:rFonts w:ascii="宋体" w:hAnsi="宋体"/>
                <w:color w:val="auto"/>
                <w:szCs w:val="21"/>
                <w:highlight w:val="none"/>
              </w:rPr>
            </w:pPr>
          </w:p>
        </w:tc>
      </w:tr>
    </w:tbl>
    <w:p w14:paraId="45B00EB4">
      <w:pPr>
        <w:autoSpaceDE w:val="0"/>
        <w:autoSpaceDN w:val="0"/>
        <w:adjustRightInd w:val="0"/>
        <w:spacing w:line="360" w:lineRule="auto"/>
        <w:ind w:firstLine="388" w:firstLineChars="200"/>
        <w:jc w:val="left"/>
        <w:rPr>
          <w:rFonts w:ascii="宋体" w:hAnsi="宋体" w:cs="宋体"/>
          <w:bCs/>
          <w:color w:val="auto"/>
          <w:szCs w:val="18"/>
          <w:highlight w:val="none"/>
          <w:lang w:val="zh-CN"/>
        </w:rPr>
      </w:pPr>
      <w:bookmarkStart w:id="754" w:name="_Toc211162747"/>
      <w:bookmarkStart w:id="755" w:name="_Toc247079410"/>
      <w:r>
        <w:rPr>
          <w:rFonts w:hint="eastAsia" w:ascii="宋体" w:hAnsi="宋体"/>
          <w:b/>
          <w:color w:val="auto"/>
          <w:szCs w:val="21"/>
          <w:highlight w:val="none"/>
        </w:rPr>
        <w:t>附：</w:t>
      </w:r>
      <w:r>
        <w:rPr>
          <w:rFonts w:hint="eastAsia" w:ascii="宋体" w:hAnsi="宋体"/>
          <w:color w:val="auto"/>
          <w:szCs w:val="21"/>
          <w:highlight w:val="none"/>
        </w:rPr>
        <w:t>1、</w:t>
      </w:r>
      <w:r>
        <w:rPr>
          <w:rFonts w:hint="eastAsia" w:ascii="宋体" w:hAnsi="宋体" w:cs="宋体"/>
          <w:bCs/>
          <w:color w:val="auto"/>
          <w:szCs w:val="18"/>
          <w:highlight w:val="none"/>
          <w:lang w:val="zh-CN"/>
        </w:rPr>
        <w:t>附营业执照、资质证书、安全生产许可证、ISO质量管理体系认证证书（如有）、职业健康安全管理体系认证证书（如有）、环境管理体系认证证书（如有）、开户许可证复印件，上述内容中如某一证件正在年检或换证，需年检部门及换证部门出具有效证明方可确认；</w:t>
      </w:r>
    </w:p>
    <w:p w14:paraId="61B90197">
      <w:pPr>
        <w:numPr>
          <w:ilvl w:val="0"/>
          <w:numId w:val="4"/>
        </w:numPr>
        <w:autoSpaceDE w:val="0"/>
        <w:autoSpaceDN w:val="0"/>
        <w:adjustRightInd w:val="0"/>
        <w:spacing w:line="360" w:lineRule="auto"/>
        <w:ind w:left="720" w:leftChars="0" w:hanging="720" w:firstLineChars="0"/>
        <w:jc w:val="left"/>
        <w:rPr>
          <w:rFonts w:hint="eastAsia" w:ascii="宋体" w:hAnsi="宋体" w:cs="宋体"/>
          <w:bCs/>
          <w:color w:val="auto"/>
          <w:szCs w:val="18"/>
          <w:highlight w:val="none"/>
          <w:lang w:val="zh-CN"/>
        </w:rPr>
      </w:pPr>
      <w:r>
        <w:rPr>
          <w:rFonts w:hint="eastAsia" w:ascii="宋体" w:hAnsi="宋体" w:cs="宋体"/>
          <w:bCs/>
          <w:color w:val="auto"/>
          <w:szCs w:val="18"/>
          <w:highlight w:val="none"/>
          <w:lang w:val="zh-CN"/>
        </w:rPr>
        <w:t>所有复印件必须清晰、字迹清楚。</w:t>
      </w:r>
    </w:p>
    <w:p w14:paraId="78EF0712">
      <w:pPr>
        <w:pStyle w:val="20"/>
        <w:numPr>
          <w:ilvl w:val="0"/>
          <w:numId w:val="0"/>
        </w:numPr>
        <w:ind w:leftChars="0"/>
        <w:rPr>
          <w:color w:val="auto"/>
          <w:highlight w:val="none"/>
          <w:lang w:val="zh-CN"/>
        </w:rPr>
        <w:sectPr>
          <w:pgSz w:w="11907" w:h="16840"/>
          <w:pgMar w:top="1440" w:right="1803" w:bottom="1440" w:left="1803" w:header="851" w:footer="850" w:gutter="0"/>
          <w:pgNumType w:fmt="decimal"/>
          <w:cols w:space="720" w:num="1"/>
          <w:titlePg/>
          <w:docGrid w:type="linesAndChars" w:linePitch="312" w:charSpace="-3473"/>
        </w:sectPr>
      </w:pPr>
    </w:p>
    <w:p w14:paraId="63277E58">
      <w:pPr>
        <w:spacing w:before="120" w:beforeLines="50" w:after="240" w:afterLines="100" w:line="360" w:lineRule="auto"/>
        <w:jc w:val="center"/>
        <w:rPr>
          <w:rFonts w:hint="eastAsia" w:ascii="宋体" w:hAnsi="宋体" w:eastAsia="宋体" w:cs="Times New Roman"/>
          <w:b/>
          <w:bCs/>
          <w:color w:val="auto"/>
          <w:kern w:val="0"/>
          <w:sz w:val="28"/>
          <w:szCs w:val="28"/>
          <w:highlight w:val="none"/>
          <w:lang w:val="en-US" w:eastAsia="zh-CN" w:bidi="ar-SA"/>
        </w:rPr>
      </w:pPr>
      <w:bookmarkStart w:id="756" w:name="_Toc18385"/>
      <w:r>
        <w:rPr>
          <w:rFonts w:hint="eastAsia" w:ascii="宋体" w:hAnsi="宋体" w:eastAsia="宋体" w:cs="Times New Roman"/>
          <w:b/>
          <w:bCs/>
          <w:color w:val="auto"/>
          <w:kern w:val="0"/>
          <w:sz w:val="28"/>
          <w:szCs w:val="28"/>
          <w:highlight w:val="none"/>
          <w:lang w:val="en-US" w:eastAsia="zh-CN" w:bidi="ar-SA"/>
        </w:rPr>
        <w:t>（二）</w:t>
      </w:r>
      <w:bookmarkEnd w:id="754"/>
      <w:bookmarkEnd w:id="755"/>
      <w:bookmarkEnd w:id="756"/>
      <w:r>
        <w:rPr>
          <w:rFonts w:hint="eastAsia" w:ascii="宋体" w:hAnsi="宋体" w:eastAsia="宋体" w:cs="Times New Roman"/>
          <w:b/>
          <w:bCs/>
          <w:color w:val="auto"/>
          <w:kern w:val="0"/>
          <w:sz w:val="28"/>
          <w:szCs w:val="28"/>
          <w:highlight w:val="none"/>
          <w:lang w:val="en-US" w:eastAsia="zh-CN" w:bidi="ar-SA"/>
        </w:rPr>
        <w:t>资格条件承诺函</w:t>
      </w:r>
    </w:p>
    <w:p w14:paraId="3E3C19FD">
      <w:pPr>
        <w:spacing w:line="360" w:lineRule="auto"/>
        <w:ind w:firstLine="408" w:firstLineChars="200"/>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根据长财采购【2022】2066号文件要求提交反映其财务状况、依法缴纳税收和社保保障资金情况的《资格条件承诺函》（具体格式见相关文件附件）；</w:t>
      </w:r>
    </w:p>
    <w:p w14:paraId="7280B191">
      <w:pPr>
        <w:spacing w:line="360" w:lineRule="auto"/>
        <w:ind w:firstLine="408" w:firstLineChars="200"/>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如不适用信用承诺的</w:t>
      </w:r>
      <w:r>
        <w:rPr>
          <w:rFonts w:hint="eastAsia" w:ascii="宋体" w:hAnsi="宋体" w:cs="宋体"/>
          <w:bCs/>
          <w:color w:val="auto"/>
          <w:sz w:val="22"/>
          <w:szCs w:val="22"/>
          <w:highlight w:val="none"/>
          <w:lang w:eastAsia="zh-CN"/>
        </w:rPr>
        <w:t>供应商</w:t>
      </w:r>
      <w:r>
        <w:rPr>
          <w:rFonts w:hint="eastAsia" w:ascii="宋体" w:hAnsi="宋体" w:cs="宋体"/>
          <w:bCs/>
          <w:color w:val="auto"/>
          <w:sz w:val="22"/>
          <w:szCs w:val="22"/>
          <w:highlight w:val="none"/>
        </w:rPr>
        <w:t>（详见长财采购【2022】2066号文件要求）</w:t>
      </w:r>
    </w:p>
    <w:p w14:paraId="355CA028">
      <w:pPr>
        <w:spacing w:line="360" w:lineRule="auto"/>
        <w:ind w:firstLine="408" w:firstLineChars="200"/>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“四、不适用信用承诺的情形</w:t>
      </w:r>
    </w:p>
    <w:p w14:paraId="0E3E3910">
      <w:pPr>
        <w:spacing w:line="360" w:lineRule="auto"/>
        <w:ind w:firstLine="408" w:firstLineChars="200"/>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1.被列入政府采购不良行为记录名单的，被禁止参加政府采购活动且尚在处罚有效期内的；</w:t>
      </w:r>
    </w:p>
    <w:p w14:paraId="31AA83E5">
      <w:pPr>
        <w:spacing w:line="360" w:lineRule="auto"/>
        <w:ind w:firstLine="408" w:firstLineChars="200"/>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2.被有关部门列入失信被执行人、联合惩戒对象、严重违法失信行为记录等情形的；</w:t>
      </w:r>
    </w:p>
    <w:p w14:paraId="666D3C9A">
      <w:pPr>
        <w:spacing w:line="360" w:lineRule="auto"/>
        <w:ind w:firstLine="408" w:firstLineChars="200"/>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3.其他法律法规规定的不适用于资格条件信用承诺的情形。”</w:t>
      </w:r>
    </w:p>
    <w:p w14:paraId="19260122">
      <w:pPr>
        <w:spacing w:line="360" w:lineRule="auto"/>
        <w:ind w:firstLine="408" w:firstLineChars="200"/>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响应文件内附《资格条件承诺函》。</w:t>
      </w:r>
    </w:p>
    <w:p w14:paraId="1E4AA60B">
      <w:pPr>
        <w:spacing w:line="360" w:lineRule="auto"/>
        <w:jc w:val="center"/>
        <w:rPr>
          <w:rFonts w:hint="eastAsia" w:ascii="宋体" w:hAnsi="宋体" w:cs="宋体"/>
          <w:b/>
          <w:bCs/>
          <w:color w:val="auto"/>
          <w:sz w:val="24"/>
          <w:highlight w:val="none"/>
        </w:rPr>
      </w:pPr>
    </w:p>
    <w:p w14:paraId="30FF420A">
      <w:pPr>
        <w:spacing w:line="360" w:lineRule="auto"/>
        <w:jc w:val="center"/>
        <w:rPr>
          <w:rFonts w:hint="eastAsia" w:ascii="宋体" w:hAnsi="宋体" w:cs="宋体"/>
          <w:b/>
          <w:bCs/>
          <w:color w:val="auto"/>
          <w:sz w:val="24"/>
          <w:highlight w:val="none"/>
        </w:rPr>
      </w:pPr>
    </w:p>
    <w:p w14:paraId="0991A7E1">
      <w:pPr>
        <w:spacing w:line="360" w:lineRule="auto"/>
        <w:jc w:val="center"/>
        <w:rPr>
          <w:rFonts w:hint="eastAsia" w:ascii="宋体" w:hAnsi="宋体" w:cs="宋体"/>
          <w:b/>
          <w:bCs/>
          <w:color w:val="auto"/>
          <w:sz w:val="24"/>
          <w:highlight w:val="none"/>
        </w:rPr>
      </w:pPr>
    </w:p>
    <w:p w14:paraId="2793E673">
      <w:pPr>
        <w:spacing w:line="360" w:lineRule="auto"/>
        <w:jc w:val="center"/>
        <w:rPr>
          <w:rFonts w:hint="eastAsia" w:ascii="宋体" w:hAnsi="宋体" w:cs="宋体"/>
          <w:b/>
          <w:bCs/>
          <w:color w:val="auto"/>
          <w:sz w:val="24"/>
          <w:highlight w:val="none"/>
        </w:rPr>
      </w:pPr>
    </w:p>
    <w:p w14:paraId="55A9954A">
      <w:pPr>
        <w:spacing w:line="360" w:lineRule="auto"/>
        <w:jc w:val="center"/>
        <w:rPr>
          <w:rFonts w:hint="eastAsia" w:ascii="宋体" w:hAnsi="宋体" w:cs="宋体"/>
          <w:b/>
          <w:bCs/>
          <w:color w:val="auto"/>
          <w:sz w:val="24"/>
          <w:highlight w:val="none"/>
        </w:rPr>
      </w:pPr>
    </w:p>
    <w:p w14:paraId="314F7F01">
      <w:pPr>
        <w:spacing w:line="360" w:lineRule="auto"/>
        <w:jc w:val="center"/>
        <w:rPr>
          <w:rFonts w:hint="eastAsia" w:ascii="宋体" w:hAnsi="宋体" w:cs="宋体"/>
          <w:b/>
          <w:bCs/>
          <w:color w:val="auto"/>
          <w:sz w:val="24"/>
          <w:highlight w:val="none"/>
        </w:rPr>
      </w:pPr>
    </w:p>
    <w:p w14:paraId="757F841C">
      <w:pPr>
        <w:spacing w:line="360" w:lineRule="auto"/>
        <w:jc w:val="center"/>
        <w:rPr>
          <w:rFonts w:hint="eastAsia" w:ascii="宋体" w:hAnsi="宋体" w:cs="宋体"/>
          <w:b/>
          <w:bCs/>
          <w:color w:val="auto"/>
          <w:sz w:val="24"/>
          <w:highlight w:val="none"/>
        </w:rPr>
      </w:pPr>
    </w:p>
    <w:p w14:paraId="39DB257D">
      <w:pPr>
        <w:spacing w:line="360" w:lineRule="auto"/>
        <w:jc w:val="center"/>
        <w:rPr>
          <w:rFonts w:hint="eastAsia" w:ascii="宋体" w:hAnsi="宋体" w:cs="宋体"/>
          <w:b/>
          <w:bCs/>
          <w:color w:val="auto"/>
          <w:sz w:val="24"/>
          <w:highlight w:val="none"/>
        </w:rPr>
      </w:pPr>
    </w:p>
    <w:p w14:paraId="1370EB4B">
      <w:pPr>
        <w:spacing w:line="360" w:lineRule="auto"/>
        <w:jc w:val="center"/>
        <w:rPr>
          <w:rFonts w:hint="eastAsia" w:ascii="宋体" w:hAnsi="宋体" w:cs="宋体"/>
          <w:b/>
          <w:bCs/>
          <w:color w:val="auto"/>
          <w:sz w:val="24"/>
          <w:highlight w:val="none"/>
        </w:rPr>
      </w:pPr>
    </w:p>
    <w:p w14:paraId="5B3E07C0">
      <w:pPr>
        <w:spacing w:line="360" w:lineRule="auto"/>
        <w:jc w:val="center"/>
        <w:rPr>
          <w:rFonts w:hint="eastAsia" w:ascii="宋体" w:hAnsi="宋体" w:cs="宋体"/>
          <w:b/>
          <w:bCs/>
          <w:color w:val="auto"/>
          <w:sz w:val="24"/>
          <w:highlight w:val="none"/>
        </w:rPr>
      </w:pPr>
    </w:p>
    <w:p w14:paraId="63488279">
      <w:pPr>
        <w:spacing w:line="360" w:lineRule="auto"/>
        <w:jc w:val="center"/>
        <w:rPr>
          <w:rFonts w:hint="eastAsia" w:ascii="宋体" w:hAnsi="宋体" w:cs="宋体"/>
          <w:b/>
          <w:bCs/>
          <w:color w:val="auto"/>
          <w:sz w:val="24"/>
          <w:highlight w:val="none"/>
        </w:rPr>
      </w:pPr>
    </w:p>
    <w:p w14:paraId="6497FE23">
      <w:pPr>
        <w:spacing w:line="360" w:lineRule="auto"/>
        <w:jc w:val="center"/>
        <w:rPr>
          <w:rFonts w:hint="eastAsia" w:ascii="宋体" w:hAnsi="宋体" w:cs="宋体"/>
          <w:b/>
          <w:bCs/>
          <w:color w:val="auto"/>
          <w:sz w:val="24"/>
          <w:highlight w:val="none"/>
        </w:rPr>
      </w:pPr>
    </w:p>
    <w:p w14:paraId="6A389435">
      <w:pPr>
        <w:spacing w:line="360" w:lineRule="auto"/>
        <w:jc w:val="center"/>
        <w:rPr>
          <w:rFonts w:hint="eastAsia" w:ascii="宋体" w:hAnsi="宋体" w:cs="宋体"/>
          <w:b/>
          <w:bCs/>
          <w:color w:val="auto"/>
          <w:sz w:val="24"/>
          <w:highlight w:val="none"/>
        </w:rPr>
      </w:pPr>
    </w:p>
    <w:p w14:paraId="6F8F5DED">
      <w:pPr>
        <w:spacing w:line="360" w:lineRule="auto"/>
        <w:jc w:val="center"/>
        <w:rPr>
          <w:rFonts w:hint="eastAsia" w:ascii="宋体" w:hAnsi="宋体" w:cs="宋体"/>
          <w:b/>
          <w:bCs/>
          <w:color w:val="auto"/>
          <w:sz w:val="24"/>
          <w:highlight w:val="none"/>
        </w:rPr>
      </w:pPr>
    </w:p>
    <w:p w14:paraId="79F0BD53">
      <w:pPr>
        <w:spacing w:line="360" w:lineRule="auto"/>
        <w:jc w:val="center"/>
        <w:rPr>
          <w:rFonts w:hint="eastAsia" w:ascii="宋体" w:hAnsi="宋体" w:cs="宋体"/>
          <w:b/>
          <w:bCs/>
          <w:color w:val="auto"/>
          <w:sz w:val="24"/>
          <w:highlight w:val="none"/>
        </w:rPr>
      </w:pPr>
    </w:p>
    <w:p w14:paraId="276052AB">
      <w:pPr>
        <w:spacing w:line="360" w:lineRule="auto"/>
        <w:jc w:val="center"/>
        <w:rPr>
          <w:rFonts w:hint="eastAsia" w:ascii="宋体" w:hAnsi="宋体" w:cs="宋体"/>
          <w:b/>
          <w:bCs/>
          <w:color w:val="auto"/>
          <w:sz w:val="24"/>
          <w:highlight w:val="none"/>
        </w:rPr>
      </w:pPr>
    </w:p>
    <w:p w14:paraId="23D7C955">
      <w:pPr>
        <w:spacing w:line="360" w:lineRule="auto"/>
        <w:jc w:val="center"/>
        <w:rPr>
          <w:rFonts w:hint="eastAsia" w:ascii="宋体" w:hAnsi="宋体" w:cs="宋体"/>
          <w:b/>
          <w:bCs/>
          <w:color w:val="auto"/>
          <w:sz w:val="24"/>
          <w:highlight w:val="none"/>
        </w:rPr>
      </w:pPr>
    </w:p>
    <w:p w14:paraId="79FC7651">
      <w:pPr>
        <w:spacing w:line="360" w:lineRule="auto"/>
        <w:jc w:val="center"/>
        <w:rPr>
          <w:rFonts w:hint="eastAsia" w:ascii="宋体" w:hAnsi="宋体" w:cs="宋体"/>
          <w:b/>
          <w:bCs/>
          <w:color w:val="auto"/>
          <w:sz w:val="24"/>
          <w:highlight w:val="none"/>
        </w:rPr>
      </w:pPr>
    </w:p>
    <w:p w14:paraId="0DA5524D">
      <w:pPr>
        <w:spacing w:line="360" w:lineRule="auto"/>
        <w:jc w:val="center"/>
        <w:rPr>
          <w:rFonts w:hint="eastAsia" w:ascii="宋体" w:hAnsi="宋体" w:cs="宋体"/>
          <w:b/>
          <w:bCs/>
          <w:color w:val="auto"/>
          <w:sz w:val="24"/>
          <w:highlight w:val="none"/>
        </w:rPr>
      </w:pPr>
    </w:p>
    <w:p w14:paraId="529B3B77">
      <w:pPr>
        <w:spacing w:line="360" w:lineRule="auto"/>
        <w:jc w:val="center"/>
        <w:rPr>
          <w:rFonts w:hint="eastAsia" w:ascii="宋体" w:hAnsi="宋体" w:cs="宋体"/>
          <w:b/>
          <w:bCs/>
          <w:color w:val="auto"/>
          <w:sz w:val="24"/>
          <w:highlight w:val="none"/>
        </w:rPr>
      </w:pPr>
    </w:p>
    <w:p w14:paraId="4D341A76">
      <w:pPr>
        <w:spacing w:line="360" w:lineRule="auto"/>
        <w:jc w:val="center"/>
        <w:rPr>
          <w:rFonts w:hint="eastAsia" w:ascii="宋体" w:hAnsi="宋体" w:cs="宋体"/>
          <w:b/>
          <w:bCs/>
          <w:color w:val="auto"/>
          <w:sz w:val="24"/>
          <w:highlight w:val="none"/>
        </w:rPr>
      </w:pPr>
      <w:r>
        <w:rPr>
          <w:rFonts w:hint="eastAsia" w:ascii="宋体" w:hAnsi="宋体" w:cs="宋体"/>
          <w:b/>
          <w:bCs/>
          <w:color w:val="auto"/>
          <w:sz w:val="24"/>
          <w:highlight w:val="none"/>
        </w:rPr>
        <w:t>资格条件承诺函</w:t>
      </w:r>
    </w:p>
    <w:p w14:paraId="68A7BE49">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致：</w:t>
      </w:r>
      <w:r>
        <w:rPr>
          <w:rFonts w:hint="eastAsia" w:ascii="宋体" w:hAnsi="宋体" w:cs="宋体"/>
          <w:color w:val="auto"/>
          <w:sz w:val="24"/>
          <w:highlight w:val="none"/>
          <w:u w:val="single"/>
        </w:rPr>
        <w:t xml:space="preserve">   （采购人、采购代理机构）   </w:t>
      </w:r>
    </w:p>
    <w:p w14:paraId="775659A7">
      <w:pPr>
        <w:spacing w:line="360" w:lineRule="auto"/>
        <w:ind w:firstLine="448" w:firstLineChars="200"/>
        <w:rPr>
          <w:rFonts w:hint="eastAsia" w:ascii="宋体" w:hAnsi="宋体" w:cs="宋体"/>
          <w:color w:val="auto"/>
          <w:sz w:val="24"/>
          <w:highlight w:val="none"/>
        </w:rPr>
      </w:pPr>
      <w:r>
        <w:rPr>
          <w:rFonts w:hint="eastAsia" w:ascii="宋体" w:hAnsi="宋体" w:cs="宋体"/>
          <w:color w:val="auto"/>
          <w:sz w:val="24"/>
          <w:highlight w:val="none"/>
        </w:rPr>
        <w:t>我单位（公司）参与</w:t>
      </w:r>
      <w:r>
        <w:rPr>
          <w:rFonts w:hint="eastAsia" w:ascii="宋体" w:hAnsi="宋体" w:cs="宋体"/>
          <w:color w:val="auto"/>
          <w:sz w:val="24"/>
          <w:highlight w:val="none"/>
          <w:u w:val="single"/>
        </w:rPr>
        <w:t xml:space="preserve">    （采购项目名称、项目编号）   </w:t>
      </w:r>
      <w:r>
        <w:rPr>
          <w:rFonts w:hint="eastAsia" w:ascii="宋体" w:hAnsi="宋体" w:cs="宋体"/>
          <w:color w:val="auto"/>
          <w:sz w:val="24"/>
          <w:highlight w:val="none"/>
        </w:rPr>
        <w:t>采购项目的政府采购活动，现承诺如下：</w:t>
      </w:r>
    </w:p>
    <w:p w14:paraId="585D1E38">
      <w:pPr>
        <w:numPr>
          <w:ilvl w:val="0"/>
          <w:numId w:val="5"/>
        </w:numPr>
        <w:spacing w:line="360" w:lineRule="auto"/>
        <w:ind w:firstLine="448" w:firstLineChars="200"/>
        <w:rPr>
          <w:rFonts w:hint="eastAsia" w:ascii="宋体" w:hAnsi="宋体" w:cs="宋体"/>
          <w:color w:val="auto"/>
          <w:sz w:val="24"/>
          <w:highlight w:val="none"/>
        </w:rPr>
      </w:pPr>
      <w:r>
        <w:rPr>
          <w:rFonts w:hint="eastAsia" w:ascii="宋体" w:hAnsi="宋体" w:cs="宋体"/>
          <w:color w:val="auto"/>
          <w:sz w:val="24"/>
          <w:highlight w:val="none"/>
        </w:rPr>
        <w:t>具有良好的商业信誉和健全的财务会计制度；</w:t>
      </w:r>
    </w:p>
    <w:p w14:paraId="6C9CF3BD">
      <w:pPr>
        <w:numPr>
          <w:ilvl w:val="0"/>
          <w:numId w:val="5"/>
        </w:numPr>
        <w:spacing w:line="360" w:lineRule="auto"/>
        <w:ind w:firstLine="448" w:firstLineChars="200"/>
        <w:rPr>
          <w:rFonts w:hint="eastAsia" w:ascii="宋体" w:hAnsi="宋体" w:cs="宋体"/>
          <w:color w:val="auto"/>
          <w:sz w:val="24"/>
          <w:highlight w:val="none"/>
        </w:rPr>
      </w:pPr>
      <w:r>
        <w:rPr>
          <w:rFonts w:hint="eastAsia" w:ascii="宋体" w:hAnsi="宋体" w:cs="宋体"/>
          <w:color w:val="auto"/>
          <w:sz w:val="24"/>
          <w:highlight w:val="none"/>
        </w:rPr>
        <w:t>具有依法缴纳税收的良好记录；</w:t>
      </w:r>
    </w:p>
    <w:p w14:paraId="2ED07EC8">
      <w:pPr>
        <w:numPr>
          <w:ilvl w:val="0"/>
          <w:numId w:val="5"/>
        </w:numPr>
        <w:spacing w:line="360" w:lineRule="auto"/>
        <w:ind w:firstLine="448" w:firstLineChars="200"/>
        <w:rPr>
          <w:rFonts w:hint="eastAsia" w:ascii="宋体" w:hAnsi="宋体" w:cs="宋体"/>
          <w:color w:val="auto"/>
          <w:sz w:val="24"/>
          <w:highlight w:val="none"/>
        </w:rPr>
      </w:pPr>
      <w:r>
        <w:rPr>
          <w:rFonts w:hint="eastAsia" w:ascii="宋体" w:hAnsi="宋体" w:cs="宋体"/>
          <w:color w:val="auto"/>
          <w:sz w:val="24"/>
          <w:highlight w:val="none"/>
        </w:rPr>
        <w:t>具有依法缴纳社会保障金的良好记录。</w:t>
      </w:r>
    </w:p>
    <w:p w14:paraId="040DB5CB">
      <w:pPr>
        <w:spacing w:line="360" w:lineRule="auto"/>
        <w:ind w:firstLine="448" w:firstLineChars="200"/>
        <w:rPr>
          <w:rFonts w:hint="eastAsia" w:ascii="宋体" w:hAnsi="宋体" w:cs="宋体"/>
          <w:color w:val="auto"/>
          <w:sz w:val="24"/>
          <w:highlight w:val="none"/>
        </w:rPr>
      </w:pPr>
      <w:r>
        <w:rPr>
          <w:rFonts w:hint="eastAsia" w:ascii="宋体" w:hAnsi="宋体" w:cs="宋体"/>
          <w:color w:val="auto"/>
          <w:sz w:val="24"/>
          <w:highlight w:val="none"/>
        </w:rPr>
        <w:t>我方在采购项目评审（评标）环节结束后，随时接受采购人、采购代理机构的检查验证，配合提供相关证明材料，证明符合《中华人民共和国政府采购法》规定的供应商基本资格条件。</w:t>
      </w:r>
    </w:p>
    <w:p w14:paraId="7FB7FC6D">
      <w:pPr>
        <w:spacing w:line="360" w:lineRule="auto"/>
        <w:ind w:firstLine="448" w:firstLineChars="200"/>
        <w:rPr>
          <w:rFonts w:hint="eastAsia" w:ascii="宋体" w:hAnsi="宋体" w:cs="宋体"/>
          <w:color w:val="auto"/>
          <w:sz w:val="24"/>
          <w:highlight w:val="none"/>
        </w:rPr>
      </w:pPr>
      <w:r>
        <w:rPr>
          <w:rFonts w:hint="eastAsia" w:ascii="宋体" w:hAnsi="宋体" w:cs="宋体"/>
          <w:color w:val="auto"/>
          <w:sz w:val="24"/>
          <w:highlight w:val="none"/>
        </w:rPr>
        <w:t>我单位（公司）对上述承诺的真实性负责。如有虚假，将依法承担相应责任。</w:t>
      </w:r>
    </w:p>
    <w:p w14:paraId="597F264B">
      <w:pPr>
        <w:spacing w:line="360" w:lineRule="auto"/>
        <w:ind w:firstLine="448" w:firstLineChars="200"/>
        <w:rPr>
          <w:rFonts w:hint="eastAsia" w:ascii="宋体" w:hAnsi="宋体" w:cs="宋体"/>
          <w:color w:val="auto"/>
          <w:sz w:val="24"/>
          <w:highlight w:val="none"/>
        </w:rPr>
      </w:pPr>
      <w:r>
        <w:rPr>
          <w:rFonts w:hint="eastAsia" w:ascii="宋体" w:hAnsi="宋体" w:cs="宋体"/>
          <w:color w:val="auto"/>
          <w:sz w:val="24"/>
          <w:highlight w:val="none"/>
        </w:rPr>
        <w:t>特此承诺。</w:t>
      </w:r>
    </w:p>
    <w:p w14:paraId="0BBCEEBD">
      <w:pPr>
        <w:spacing w:line="360" w:lineRule="auto"/>
        <w:ind w:firstLine="448" w:firstLineChars="200"/>
        <w:rPr>
          <w:rFonts w:hint="eastAsia" w:ascii="宋体" w:hAnsi="宋体" w:cs="宋体"/>
          <w:color w:val="auto"/>
          <w:sz w:val="24"/>
          <w:highlight w:val="none"/>
        </w:rPr>
      </w:pPr>
    </w:p>
    <w:p w14:paraId="41AB833D">
      <w:pPr>
        <w:spacing w:line="360" w:lineRule="auto"/>
        <w:ind w:firstLine="448" w:firstLineChars="200"/>
        <w:rPr>
          <w:rFonts w:hint="eastAsia" w:ascii="宋体" w:hAnsi="宋体" w:cs="宋体"/>
          <w:color w:val="auto"/>
          <w:sz w:val="24"/>
          <w:highlight w:val="none"/>
        </w:rPr>
      </w:pPr>
    </w:p>
    <w:p w14:paraId="23CF0730">
      <w:pPr>
        <w:spacing w:line="360" w:lineRule="auto"/>
        <w:ind w:firstLine="448" w:firstLineChars="200"/>
        <w:jc w:val="center"/>
        <w:rPr>
          <w:rFonts w:hint="eastAsia" w:ascii="宋体" w:hAnsi="宋体" w:cs="宋体"/>
          <w:color w:val="auto"/>
          <w:sz w:val="24"/>
          <w:highlight w:val="none"/>
        </w:rPr>
      </w:pPr>
      <w:r>
        <w:rPr>
          <w:rFonts w:hint="eastAsia" w:ascii="宋体" w:hAnsi="宋体" w:cs="宋体"/>
          <w:color w:val="auto"/>
          <w:sz w:val="24"/>
          <w:highlight w:val="none"/>
        </w:rPr>
        <w:t>盖章：</w:t>
      </w:r>
    </w:p>
    <w:p w14:paraId="66192242">
      <w:pPr>
        <w:spacing w:line="360" w:lineRule="auto"/>
        <w:ind w:firstLine="448" w:firstLineChars="200"/>
        <w:jc w:val="center"/>
        <w:rPr>
          <w:rFonts w:hint="eastAsia" w:ascii="宋体" w:hAnsi="宋体" w:cs="宋体"/>
          <w:color w:val="auto"/>
          <w:sz w:val="24"/>
          <w:highlight w:val="none"/>
        </w:rPr>
      </w:pPr>
    </w:p>
    <w:p w14:paraId="02269D30">
      <w:pPr>
        <w:spacing w:line="360" w:lineRule="auto"/>
        <w:ind w:firstLine="448" w:firstLineChars="200"/>
        <w:jc w:val="center"/>
        <w:rPr>
          <w:rFonts w:hint="eastAsia" w:ascii="宋体" w:hAnsi="宋体" w:cs="宋体"/>
          <w:color w:val="auto"/>
          <w:sz w:val="24"/>
          <w:highlight w:val="none"/>
        </w:rPr>
      </w:pPr>
      <w:r>
        <w:rPr>
          <w:rFonts w:hint="eastAsia" w:ascii="宋体" w:hAnsi="宋体" w:cs="宋体"/>
          <w:color w:val="auto"/>
          <w:sz w:val="24"/>
          <w:highlight w:val="none"/>
        </w:rPr>
        <w:t>签字：</w:t>
      </w:r>
    </w:p>
    <w:p w14:paraId="40811FB4">
      <w:pPr>
        <w:spacing w:line="360" w:lineRule="auto"/>
        <w:ind w:firstLine="448" w:firstLineChars="200"/>
        <w:jc w:val="center"/>
        <w:rPr>
          <w:rFonts w:hint="eastAsia" w:ascii="宋体" w:hAnsi="宋体" w:cs="宋体"/>
          <w:color w:val="auto"/>
          <w:sz w:val="24"/>
          <w:highlight w:val="none"/>
        </w:rPr>
      </w:pPr>
    </w:p>
    <w:p w14:paraId="19BEEA04">
      <w:pPr>
        <w:spacing w:line="360" w:lineRule="auto"/>
        <w:ind w:firstLine="4032" w:firstLineChars="1800"/>
        <w:rPr>
          <w:rFonts w:ascii="宋体" w:hAnsi="宋体"/>
          <w:color w:val="auto"/>
          <w:highlight w:val="none"/>
        </w:rPr>
      </w:pPr>
      <w:r>
        <w:rPr>
          <w:rFonts w:hint="eastAsia" w:ascii="宋体" w:hAnsi="宋体" w:cs="宋体"/>
          <w:color w:val="auto"/>
          <w:sz w:val="24"/>
          <w:highlight w:val="none"/>
        </w:rPr>
        <w:t>日期：</w:t>
      </w:r>
    </w:p>
    <w:p w14:paraId="49EDE445">
      <w:pPr>
        <w:spacing w:line="360" w:lineRule="auto"/>
        <w:rPr>
          <w:rFonts w:ascii="宋体" w:hAnsi="宋体"/>
          <w:color w:val="auto"/>
          <w:highlight w:val="none"/>
        </w:rPr>
      </w:pPr>
    </w:p>
    <w:p w14:paraId="25E2BF7B">
      <w:pPr>
        <w:spacing w:line="360" w:lineRule="auto"/>
        <w:rPr>
          <w:rFonts w:ascii="宋体" w:hAnsi="宋体"/>
          <w:color w:val="auto"/>
          <w:highlight w:val="none"/>
        </w:rPr>
        <w:sectPr>
          <w:pgSz w:w="11907" w:h="16840"/>
          <w:pgMar w:top="1440" w:right="1803" w:bottom="1440" w:left="1803" w:header="851" w:footer="850" w:gutter="0"/>
          <w:pgNumType w:fmt="decimal"/>
          <w:cols w:space="720" w:num="1"/>
          <w:titlePg/>
          <w:docGrid w:type="linesAndChars" w:linePitch="312" w:charSpace="-3473"/>
        </w:sectPr>
      </w:pPr>
    </w:p>
    <w:p w14:paraId="31C73EA5">
      <w:pPr>
        <w:pStyle w:val="5"/>
        <w:jc w:val="center"/>
        <w:outlineLvl w:val="2"/>
        <w:rPr>
          <w:rFonts w:ascii="宋体" w:hAnsi="宋体"/>
          <w:color w:val="auto"/>
          <w:sz w:val="32"/>
          <w:szCs w:val="32"/>
          <w:highlight w:val="none"/>
        </w:rPr>
      </w:pPr>
      <w:bookmarkStart w:id="757" w:name="_Toc247079411"/>
      <w:bookmarkStart w:id="758" w:name="_Toc211162748"/>
      <w:bookmarkStart w:id="759" w:name="_Toc179"/>
      <w:r>
        <w:rPr>
          <w:rFonts w:hint="eastAsia" w:ascii="宋体" w:hAnsi="宋体"/>
          <w:color w:val="auto"/>
          <w:sz w:val="32"/>
          <w:szCs w:val="32"/>
          <w:highlight w:val="none"/>
        </w:rPr>
        <w:t>（三）近三年完成的类似项目情况表</w:t>
      </w:r>
      <w:bookmarkEnd w:id="757"/>
      <w:bookmarkEnd w:id="758"/>
      <w:bookmarkEnd w:id="759"/>
    </w:p>
    <w:p w14:paraId="4AC45E28">
      <w:pPr>
        <w:spacing w:line="360" w:lineRule="auto"/>
        <w:jc w:val="center"/>
        <w:rPr>
          <w:rFonts w:ascii="宋体" w:hAnsi="宋体"/>
          <w:b/>
          <w:color w:val="auto"/>
          <w:sz w:val="24"/>
          <w:highlight w:val="none"/>
        </w:rPr>
      </w:pPr>
      <w:r>
        <w:rPr>
          <w:rFonts w:hint="eastAsia" w:ascii="宋体" w:hAnsi="宋体"/>
          <w:b/>
          <w:color w:val="auto"/>
          <w:sz w:val="24"/>
          <w:highlight w:val="none"/>
        </w:rPr>
        <w:t>（近3年指</w:t>
      </w:r>
      <w:r>
        <w:rPr>
          <w:rFonts w:hint="eastAsia" w:ascii="宋体" w:hAnsi="宋体"/>
          <w:b/>
          <w:bCs/>
          <w:color w:val="auto"/>
          <w:sz w:val="24"/>
          <w:highlight w:val="none"/>
        </w:rPr>
        <w:t>20</w:t>
      </w:r>
      <w:r>
        <w:rPr>
          <w:rFonts w:hint="eastAsia" w:ascii="宋体" w:hAnsi="宋体"/>
          <w:b/>
          <w:bCs/>
          <w:color w:val="auto"/>
          <w:sz w:val="24"/>
          <w:highlight w:val="none"/>
          <w:lang w:val="en-US" w:eastAsia="zh-CN"/>
        </w:rPr>
        <w:t>22</w:t>
      </w:r>
      <w:r>
        <w:rPr>
          <w:rFonts w:hint="eastAsia" w:ascii="宋体" w:hAnsi="宋体"/>
          <w:b/>
          <w:bCs/>
          <w:color w:val="auto"/>
          <w:sz w:val="24"/>
          <w:highlight w:val="none"/>
        </w:rPr>
        <w:t>年1月至</w:t>
      </w:r>
      <w:r>
        <w:rPr>
          <w:rFonts w:hint="eastAsia" w:ascii="宋体" w:hAnsi="宋体"/>
          <w:b/>
          <w:bCs/>
          <w:color w:val="auto"/>
          <w:sz w:val="24"/>
          <w:highlight w:val="none"/>
          <w:lang w:val="en-US" w:eastAsia="zh-CN"/>
        </w:rPr>
        <w:t>今</w:t>
      </w:r>
      <w:r>
        <w:rPr>
          <w:rFonts w:hint="eastAsia" w:ascii="宋体" w:hAnsi="宋体"/>
          <w:b/>
          <w:color w:val="auto"/>
          <w:sz w:val="24"/>
          <w:highlight w:val="none"/>
        </w:rPr>
        <w:t>）</w:t>
      </w:r>
    </w:p>
    <w:tbl>
      <w:tblPr>
        <w:tblStyle w:val="49"/>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018"/>
        <w:gridCol w:w="7023"/>
      </w:tblGrid>
      <w:tr w14:paraId="7FE5E8A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2" w:hRule="exact"/>
        </w:trPr>
        <w:tc>
          <w:tcPr>
            <w:tcW w:w="2018" w:type="dxa"/>
            <w:noWrap w:val="0"/>
            <w:vAlign w:val="center"/>
          </w:tcPr>
          <w:p w14:paraId="6891BB13">
            <w:pPr>
              <w:jc w:val="center"/>
              <w:rPr>
                <w:rFonts w:ascii="宋体" w:hAnsi="宋体"/>
                <w:color w:val="auto"/>
                <w:szCs w:val="21"/>
                <w:highlight w:val="none"/>
              </w:rPr>
            </w:pPr>
            <w:r>
              <w:rPr>
                <w:rFonts w:hint="eastAsia" w:ascii="宋体" w:hAnsi="宋体"/>
                <w:color w:val="auto"/>
                <w:szCs w:val="21"/>
                <w:highlight w:val="none"/>
              </w:rPr>
              <w:t>合同名称</w:t>
            </w:r>
          </w:p>
        </w:tc>
        <w:tc>
          <w:tcPr>
            <w:tcW w:w="7023" w:type="dxa"/>
            <w:noWrap w:val="0"/>
            <w:vAlign w:val="center"/>
          </w:tcPr>
          <w:p w14:paraId="1F4A657A">
            <w:pPr>
              <w:spacing w:line="360" w:lineRule="auto"/>
              <w:ind w:firstLine="388" w:firstLineChars="200"/>
              <w:rPr>
                <w:rFonts w:ascii="宋体" w:hAnsi="宋体"/>
                <w:color w:val="auto"/>
                <w:szCs w:val="21"/>
                <w:highlight w:val="none"/>
              </w:rPr>
            </w:pPr>
          </w:p>
        </w:tc>
      </w:tr>
      <w:tr w14:paraId="1F7F7FC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2" w:hRule="exact"/>
        </w:trPr>
        <w:tc>
          <w:tcPr>
            <w:tcW w:w="2018" w:type="dxa"/>
            <w:noWrap w:val="0"/>
            <w:vAlign w:val="center"/>
          </w:tcPr>
          <w:p w14:paraId="0D82AC80">
            <w:pPr>
              <w:jc w:val="center"/>
              <w:rPr>
                <w:rFonts w:ascii="宋体" w:hAnsi="宋体"/>
                <w:color w:val="auto"/>
                <w:szCs w:val="21"/>
                <w:highlight w:val="none"/>
              </w:rPr>
            </w:pPr>
            <w:r>
              <w:rPr>
                <w:rFonts w:hint="eastAsia" w:ascii="宋体" w:hAnsi="宋体"/>
                <w:color w:val="auto"/>
                <w:szCs w:val="21"/>
                <w:highlight w:val="none"/>
              </w:rPr>
              <w:t>合同项目所在地</w:t>
            </w:r>
          </w:p>
        </w:tc>
        <w:tc>
          <w:tcPr>
            <w:tcW w:w="7023" w:type="dxa"/>
            <w:noWrap w:val="0"/>
            <w:vAlign w:val="center"/>
          </w:tcPr>
          <w:p w14:paraId="5B4E33E9">
            <w:pPr>
              <w:spacing w:line="360" w:lineRule="auto"/>
              <w:ind w:firstLine="388" w:firstLineChars="200"/>
              <w:rPr>
                <w:rFonts w:ascii="宋体" w:hAnsi="宋体"/>
                <w:color w:val="auto"/>
                <w:szCs w:val="21"/>
                <w:highlight w:val="none"/>
              </w:rPr>
            </w:pPr>
          </w:p>
        </w:tc>
      </w:tr>
      <w:tr w14:paraId="6561DCF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2" w:hRule="exact"/>
        </w:trPr>
        <w:tc>
          <w:tcPr>
            <w:tcW w:w="2018" w:type="dxa"/>
            <w:noWrap w:val="0"/>
            <w:vAlign w:val="center"/>
          </w:tcPr>
          <w:p w14:paraId="22E81245">
            <w:pPr>
              <w:jc w:val="center"/>
              <w:rPr>
                <w:rFonts w:ascii="宋体" w:hAnsi="宋体"/>
                <w:color w:val="auto"/>
                <w:szCs w:val="21"/>
                <w:highlight w:val="none"/>
              </w:rPr>
            </w:pPr>
            <w:r>
              <w:rPr>
                <w:rFonts w:hint="eastAsia" w:ascii="宋体" w:hAnsi="宋体"/>
                <w:color w:val="auto"/>
                <w:szCs w:val="21"/>
                <w:highlight w:val="none"/>
              </w:rPr>
              <w:t>发包人名称</w:t>
            </w:r>
          </w:p>
        </w:tc>
        <w:tc>
          <w:tcPr>
            <w:tcW w:w="7023" w:type="dxa"/>
            <w:noWrap w:val="0"/>
            <w:vAlign w:val="center"/>
          </w:tcPr>
          <w:p w14:paraId="6F3CB6CB">
            <w:pPr>
              <w:spacing w:line="360" w:lineRule="auto"/>
              <w:ind w:firstLine="388" w:firstLineChars="200"/>
              <w:rPr>
                <w:rFonts w:ascii="宋体" w:hAnsi="宋体"/>
                <w:color w:val="auto"/>
                <w:szCs w:val="21"/>
                <w:highlight w:val="none"/>
              </w:rPr>
            </w:pPr>
          </w:p>
        </w:tc>
      </w:tr>
      <w:tr w14:paraId="0EC8D3C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2" w:hRule="exact"/>
        </w:trPr>
        <w:tc>
          <w:tcPr>
            <w:tcW w:w="2018" w:type="dxa"/>
            <w:noWrap w:val="0"/>
            <w:vAlign w:val="center"/>
          </w:tcPr>
          <w:p w14:paraId="62A98D9E">
            <w:pPr>
              <w:jc w:val="center"/>
              <w:rPr>
                <w:rFonts w:ascii="宋体" w:hAnsi="宋体"/>
                <w:color w:val="auto"/>
                <w:szCs w:val="21"/>
                <w:highlight w:val="none"/>
              </w:rPr>
            </w:pPr>
            <w:r>
              <w:rPr>
                <w:rFonts w:hint="eastAsia" w:ascii="宋体" w:hAnsi="宋体"/>
                <w:color w:val="auto"/>
                <w:szCs w:val="21"/>
                <w:highlight w:val="none"/>
              </w:rPr>
              <w:t>发包人地址</w:t>
            </w:r>
          </w:p>
        </w:tc>
        <w:tc>
          <w:tcPr>
            <w:tcW w:w="7023" w:type="dxa"/>
            <w:noWrap w:val="0"/>
            <w:vAlign w:val="center"/>
          </w:tcPr>
          <w:p w14:paraId="3D401B92">
            <w:pPr>
              <w:spacing w:line="360" w:lineRule="auto"/>
              <w:ind w:firstLine="388" w:firstLineChars="200"/>
              <w:rPr>
                <w:rFonts w:ascii="宋体" w:hAnsi="宋体"/>
                <w:color w:val="auto"/>
                <w:szCs w:val="21"/>
                <w:highlight w:val="none"/>
              </w:rPr>
            </w:pPr>
          </w:p>
        </w:tc>
      </w:tr>
      <w:tr w14:paraId="0C87A15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2" w:hRule="exact"/>
        </w:trPr>
        <w:tc>
          <w:tcPr>
            <w:tcW w:w="2018" w:type="dxa"/>
            <w:noWrap w:val="0"/>
            <w:vAlign w:val="center"/>
          </w:tcPr>
          <w:p w14:paraId="6DDBE30B">
            <w:pPr>
              <w:jc w:val="center"/>
              <w:rPr>
                <w:rFonts w:ascii="宋体" w:hAnsi="宋体"/>
                <w:color w:val="auto"/>
                <w:szCs w:val="21"/>
                <w:highlight w:val="none"/>
              </w:rPr>
            </w:pPr>
            <w:r>
              <w:rPr>
                <w:rFonts w:hint="eastAsia" w:ascii="宋体" w:hAnsi="宋体"/>
                <w:color w:val="auto"/>
                <w:szCs w:val="21"/>
                <w:highlight w:val="none"/>
              </w:rPr>
              <w:t>发包人电话</w:t>
            </w:r>
          </w:p>
        </w:tc>
        <w:tc>
          <w:tcPr>
            <w:tcW w:w="7023" w:type="dxa"/>
            <w:noWrap w:val="0"/>
            <w:vAlign w:val="center"/>
          </w:tcPr>
          <w:p w14:paraId="53FB453E">
            <w:pPr>
              <w:spacing w:line="360" w:lineRule="auto"/>
              <w:ind w:firstLine="388" w:firstLineChars="200"/>
              <w:rPr>
                <w:rFonts w:ascii="宋体" w:hAnsi="宋体"/>
                <w:color w:val="auto"/>
                <w:szCs w:val="21"/>
                <w:highlight w:val="none"/>
              </w:rPr>
            </w:pPr>
          </w:p>
        </w:tc>
      </w:tr>
      <w:tr w14:paraId="3EDC4CE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2" w:hRule="exact"/>
        </w:trPr>
        <w:tc>
          <w:tcPr>
            <w:tcW w:w="2018" w:type="dxa"/>
            <w:noWrap w:val="0"/>
            <w:vAlign w:val="center"/>
          </w:tcPr>
          <w:p w14:paraId="76F3DB84">
            <w:pPr>
              <w:jc w:val="center"/>
              <w:rPr>
                <w:rFonts w:ascii="宋体" w:hAnsi="宋体"/>
                <w:color w:val="auto"/>
                <w:szCs w:val="21"/>
                <w:highlight w:val="none"/>
              </w:rPr>
            </w:pPr>
            <w:r>
              <w:rPr>
                <w:rFonts w:hint="eastAsia" w:ascii="宋体" w:hAnsi="宋体"/>
                <w:color w:val="auto"/>
                <w:szCs w:val="21"/>
                <w:highlight w:val="none"/>
              </w:rPr>
              <w:t>签约合同价</w:t>
            </w:r>
          </w:p>
        </w:tc>
        <w:tc>
          <w:tcPr>
            <w:tcW w:w="7023" w:type="dxa"/>
            <w:noWrap w:val="0"/>
            <w:vAlign w:val="center"/>
          </w:tcPr>
          <w:p w14:paraId="7C2175D6">
            <w:pPr>
              <w:spacing w:line="360" w:lineRule="auto"/>
              <w:ind w:firstLine="388" w:firstLineChars="200"/>
              <w:rPr>
                <w:rFonts w:ascii="宋体" w:hAnsi="宋体"/>
                <w:color w:val="auto"/>
                <w:szCs w:val="21"/>
                <w:highlight w:val="none"/>
              </w:rPr>
            </w:pPr>
          </w:p>
        </w:tc>
      </w:tr>
      <w:tr w14:paraId="2E50A2F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2" w:hRule="exact"/>
        </w:trPr>
        <w:tc>
          <w:tcPr>
            <w:tcW w:w="2018" w:type="dxa"/>
            <w:noWrap w:val="0"/>
            <w:vAlign w:val="center"/>
          </w:tcPr>
          <w:p w14:paraId="5199AE4B">
            <w:pPr>
              <w:jc w:val="center"/>
              <w:rPr>
                <w:rFonts w:ascii="宋体" w:hAnsi="宋体"/>
                <w:color w:val="auto"/>
                <w:szCs w:val="21"/>
                <w:highlight w:val="none"/>
              </w:rPr>
            </w:pPr>
            <w:r>
              <w:rPr>
                <w:rFonts w:hint="eastAsia" w:ascii="宋体" w:hAnsi="宋体"/>
                <w:color w:val="auto"/>
                <w:szCs w:val="21"/>
                <w:highlight w:val="none"/>
              </w:rPr>
              <w:t>开工日期</w:t>
            </w:r>
          </w:p>
        </w:tc>
        <w:tc>
          <w:tcPr>
            <w:tcW w:w="7023" w:type="dxa"/>
            <w:noWrap w:val="0"/>
            <w:vAlign w:val="center"/>
          </w:tcPr>
          <w:p w14:paraId="4E454C9A">
            <w:pPr>
              <w:spacing w:line="360" w:lineRule="auto"/>
              <w:ind w:firstLine="388" w:firstLineChars="200"/>
              <w:rPr>
                <w:rFonts w:ascii="宋体" w:hAnsi="宋体"/>
                <w:color w:val="auto"/>
                <w:szCs w:val="21"/>
                <w:highlight w:val="none"/>
              </w:rPr>
            </w:pPr>
          </w:p>
        </w:tc>
      </w:tr>
      <w:tr w14:paraId="01B1E04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2" w:hRule="exact"/>
        </w:trPr>
        <w:tc>
          <w:tcPr>
            <w:tcW w:w="2018" w:type="dxa"/>
            <w:noWrap w:val="0"/>
            <w:vAlign w:val="center"/>
          </w:tcPr>
          <w:p w14:paraId="0E59D0B5">
            <w:pPr>
              <w:jc w:val="center"/>
              <w:rPr>
                <w:rFonts w:ascii="宋体" w:hAnsi="宋体"/>
                <w:color w:val="auto"/>
                <w:szCs w:val="21"/>
                <w:highlight w:val="none"/>
              </w:rPr>
            </w:pPr>
            <w:r>
              <w:rPr>
                <w:rFonts w:hint="eastAsia" w:ascii="宋体" w:hAnsi="宋体"/>
                <w:color w:val="auto"/>
                <w:szCs w:val="21"/>
                <w:highlight w:val="none"/>
              </w:rPr>
              <w:t>完工日期</w:t>
            </w:r>
          </w:p>
        </w:tc>
        <w:tc>
          <w:tcPr>
            <w:tcW w:w="7023" w:type="dxa"/>
            <w:noWrap w:val="0"/>
            <w:vAlign w:val="center"/>
          </w:tcPr>
          <w:p w14:paraId="3B89E98B">
            <w:pPr>
              <w:spacing w:line="360" w:lineRule="auto"/>
              <w:ind w:firstLine="388" w:firstLineChars="200"/>
              <w:rPr>
                <w:rFonts w:ascii="宋体" w:hAnsi="宋体"/>
                <w:color w:val="auto"/>
                <w:szCs w:val="21"/>
                <w:highlight w:val="none"/>
              </w:rPr>
            </w:pPr>
          </w:p>
        </w:tc>
      </w:tr>
      <w:tr w14:paraId="277348F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2" w:hRule="exact"/>
        </w:trPr>
        <w:tc>
          <w:tcPr>
            <w:tcW w:w="2018" w:type="dxa"/>
            <w:noWrap w:val="0"/>
            <w:vAlign w:val="center"/>
          </w:tcPr>
          <w:p w14:paraId="68F1964A">
            <w:pPr>
              <w:jc w:val="center"/>
              <w:rPr>
                <w:rFonts w:ascii="宋体" w:hAnsi="宋体"/>
                <w:color w:val="auto"/>
                <w:szCs w:val="21"/>
                <w:highlight w:val="none"/>
              </w:rPr>
            </w:pPr>
            <w:r>
              <w:rPr>
                <w:rFonts w:hint="eastAsia" w:ascii="宋体" w:hAnsi="宋体"/>
                <w:color w:val="auto"/>
                <w:szCs w:val="21"/>
                <w:highlight w:val="none"/>
              </w:rPr>
              <w:t>承担的工作</w:t>
            </w:r>
          </w:p>
        </w:tc>
        <w:tc>
          <w:tcPr>
            <w:tcW w:w="7023" w:type="dxa"/>
            <w:noWrap w:val="0"/>
            <w:vAlign w:val="center"/>
          </w:tcPr>
          <w:p w14:paraId="2F8C1B48">
            <w:pPr>
              <w:spacing w:line="360" w:lineRule="auto"/>
              <w:ind w:firstLine="388" w:firstLineChars="200"/>
              <w:rPr>
                <w:rFonts w:ascii="宋体" w:hAnsi="宋体"/>
                <w:color w:val="auto"/>
                <w:szCs w:val="21"/>
                <w:highlight w:val="none"/>
              </w:rPr>
            </w:pPr>
          </w:p>
        </w:tc>
      </w:tr>
      <w:tr w14:paraId="6419F5C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2" w:hRule="exact"/>
        </w:trPr>
        <w:tc>
          <w:tcPr>
            <w:tcW w:w="2018" w:type="dxa"/>
            <w:noWrap w:val="0"/>
            <w:vAlign w:val="center"/>
          </w:tcPr>
          <w:p w14:paraId="43992F57">
            <w:pPr>
              <w:jc w:val="center"/>
              <w:rPr>
                <w:rFonts w:ascii="宋体" w:hAnsi="宋体"/>
                <w:color w:val="auto"/>
                <w:szCs w:val="21"/>
                <w:highlight w:val="none"/>
              </w:rPr>
            </w:pPr>
            <w:r>
              <w:rPr>
                <w:rFonts w:hint="eastAsia" w:ascii="宋体" w:hAnsi="宋体"/>
                <w:color w:val="auto"/>
                <w:szCs w:val="21"/>
                <w:highlight w:val="none"/>
              </w:rPr>
              <w:t>工程质量</w:t>
            </w:r>
          </w:p>
        </w:tc>
        <w:tc>
          <w:tcPr>
            <w:tcW w:w="7023" w:type="dxa"/>
            <w:noWrap w:val="0"/>
            <w:vAlign w:val="center"/>
          </w:tcPr>
          <w:p w14:paraId="4C52D988">
            <w:pPr>
              <w:spacing w:line="360" w:lineRule="auto"/>
              <w:ind w:firstLine="388" w:firstLineChars="200"/>
              <w:rPr>
                <w:rFonts w:ascii="宋体" w:hAnsi="宋体"/>
                <w:color w:val="auto"/>
                <w:szCs w:val="21"/>
                <w:highlight w:val="none"/>
              </w:rPr>
            </w:pPr>
          </w:p>
        </w:tc>
      </w:tr>
      <w:tr w14:paraId="530F361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2" w:hRule="exact"/>
        </w:trPr>
        <w:tc>
          <w:tcPr>
            <w:tcW w:w="2018" w:type="dxa"/>
            <w:noWrap w:val="0"/>
            <w:vAlign w:val="center"/>
          </w:tcPr>
          <w:p w14:paraId="2D15DAF4">
            <w:pPr>
              <w:jc w:val="center"/>
              <w:rPr>
                <w:rFonts w:ascii="宋体" w:hAnsi="宋体"/>
                <w:color w:val="auto"/>
                <w:szCs w:val="21"/>
                <w:highlight w:val="none"/>
              </w:rPr>
            </w:pPr>
            <w:r>
              <w:rPr>
                <w:rFonts w:hint="eastAsia" w:ascii="宋体" w:hAnsi="宋体"/>
                <w:color w:val="auto"/>
                <w:szCs w:val="21"/>
                <w:highlight w:val="none"/>
              </w:rPr>
              <w:t>项目经理</w:t>
            </w:r>
          </w:p>
        </w:tc>
        <w:tc>
          <w:tcPr>
            <w:tcW w:w="7023" w:type="dxa"/>
            <w:noWrap w:val="0"/>
            <w:vAlign w:val="center"/>
          </w:tcPr>
          <w:p w14:paraId="4383A02B">
            <w:pPr>
              <w:spacing w:line="360" w:lineRule="auto"/>
              <w:ind w:firstLine="388" w:firstLineChars="200"/>
              <w:rPr>
                <w:rFonts w:ascii="宋体" w:hAnsi="宋体"/>
                <w:color w:val="auto"/>
                <w:szCs w:val="21"/>
                <w:highlight w:val="none"/>
              </w:rPr>
            </w:pPr>
          </w:p>
        </w:tc>
      </w:tr>
      <w:tr w14:paraId="0CD0F30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2" w:hRule="exact"/>
        </w:trPr>
        <w:tc>
          <w:tcPr>
            <w:tcW w:w="2018" w:type="dxa"/>
            <w:noWrap w:val="0"/>
            <w:vAlign w:val="center"/>
          </w:tcPr>
          <w:p w14:paraId="33D816F7">
            <w:pPr>
              <w:jc w:val="center"/>
              <w:rPr>
                <w:rFonts w:ascii="宋体" w:hAnsi="宋体"/>
                <w:color w:val="auto"/>
                <w:szCs w:val="21"/>
                <w:highlight w:val="none"/>
              </w:rPr>
            </w:pPr>
            <w:r>
              <w:rPr>
                <w:rFonts w:hint="eastAsia" w:ascii="宋体" w:hAnsi="宋体"/>
                <w:color w:val="auto"/>
                <w:szCs w:val="21"/>
                <w:highlight w:val="none"/>
              </w:rPr>
              <w:t>技术负责人</w:t>
            </w:r>
          </w:p>
        </w:tc>
        <w:tc>
          <w:tcPr>
            <w:tcW w:w="7023" w:type="dxa"/>
            <w:noWrap w:val="0"/>
            <w:vAlign w:val="center"/>
          </w:tcPr>
          <w:p w14:paraId="7AE0E917">
            <w:pPr>
              <w:spacing w:line="360" w:lineRule="auto"/>
              <w:ind w:firstLine="388" w:firstLineChars="200"/>
              <w:rPr>
                <w:rFonts w:ascii="宋体" w:hAnsi="宋体"/>
                <w:color w:val="auto"/>
                <w:szCs w:val="21"/>
                <w:highlight w:val="none"/>
              </w:rPr>
            </w:pPr>
          </w:p>
        </w:tc>
      </w:tr>
      <w:tr w14:paraId="61633AE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51" w:hRule="exact"/>
        </w:trPr>
        <w:tc>
          <w:tcPr>
            <w:tcW w:w="2018" w:type="dxa"/>
            <w:noWrap w:val="0"/>
            <w:vAlign w:val="center"/>
          </w:tcPr>
          <w:p w14:paraId="1A453ADC">
            <w:pPr>
              <w:jc w:val="center"/>
              <w:rPr>
                <w:rFonts w:ascii="宋体" w:hAnsi="宋体"/>
                <w:color w:val="auto"/>
                <w:szCs w:val="21"/>
                <w:highlight w:val="none"/>
              </w:rPr>
            </w:pPr>
            <w:r>
              <w:rPr>
                <w:rFonts w:hint="eastAsia" w:ascii="宋体" w:hAnsi="宋体"/>
                <w:color w:val="auto"/>
                <w:szCs w:val="21"/>
                <w:highlight w:val="none"/>
              </w:rPr>
              <w:t>监理人和总监理工程师及电话</w:t>
            </w:r>
          </w:p>
        </w:tc>
        <w:tc>
          <w:tcPr>
            <w:tcW w:w="7023" w:type="dxa"/>
            <w:noWrap w:val="0"/>
            <w:vAlign w:val="center"/>
          </w:tcPr>
          <w:p w14:paraId="41ED72CB">
            <w:pPr>
              <w:spacing w:line="360" w:lineRule="auto"/>
              <w:ind w:firstLine="388" w:firstLineChars="200"/>
              <w:rPr>
                <w:rFonts w:ascii="宋体" w:hAnsi="宋体"/>
                <w:color w:val="auto"/>
                <w:szCs w:val="21"/>
                <w:highlight w:val="none"/>
              </w:rPr>
            </w:pPr>
          </w:p>
        </w:tc>
      </w:tr>
      <w:tr w14:paraId="1B2ED8A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56" w:hRule="atLeast"/>
        </w:trPr>
        <w:tc>
          <w:tcPr>
            <w:tcW w:w="2018" w:type="dxa"/>
            <w:noWrap w:val="0"/>
            <w:vAlign w:val="center"/>
          </w:tcPr>
          <w:p w14:paraId="14B0CAB3">
            <w:pPr>
              <w:jc w:val="center"/>
              <w:rPr>
                <w:rFonts w:ascii="宋体" w:hAnsi="宋体"/>
                <w:color w:val="auto"/>
                <w:szCs w:val="21"/>
                <w:highlight w:val="none"/>
              </w:rPr>
            </w:pPr>
            <w:r>
              <w:rPr>
                <w:rFonts w:hint="eastAsia" w:ascii="宋体" w:hAnsi="宋体"/>
                <w:color w:val="auto"/>
                <w:szCs w:val="21"/>
                <w:highlight w:val="none"/>
              </w:rPr>
              <w:t>合同项目描述</w:t>
            </w:r>
          </w:p>
        </w:tc>
        <w:tc>
          <w:tcPr>
            <w:tcW w:w="7023" w:type="dxa"/>
            <w:noWrap w:val="0"/>
            <w:vAlign w:val="center"/>
          </w:tcPr>
          <w:p w14:paraId="02DF2D83">
            <w:pPr>
              <w:spacing w:line="360" w:lineRule="auto"/>
              <w:ind w:firstLine="388" w:firstLineChars="200"/>
              <w:rPr>
                <w:rFonts w:ascii="宋体" w:hAnsi="宋体"/>
                <w:color w:val="auto"/>
                <w:szCs w:val="21"/>
                <w:highlight w:val="none"/>
              </w:rPr>
            </w:pPr>
          </w:p>
        </w:tc>
      </w:tr>
      <w:tr w14:paraId="2F3AF2D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90" w:hRule="atLeast"/>
        </w:trPr>
        <w:tc>
          <w:tcPr>
            <w:tcW w:w="2018" w:type="dxa"/>
            <w:noWrap w:val="0"/>
            <w:vAlign w:val="center"/>
          </w:tcPr>
          <w:p w14:paraId="3A8804A1">
            <w:pPr>
              <w:jc w:val="center"/>
              <w:rPr>
                <w:rFonts w:ascii="宋体" w:hAnsi="宋体"/>
                <w:color w:val="auto"/>
                <w:szCs w:val="21"/>
                <w:highlight w:val="none"/>
              </w:rPr>
            </w:pPr>
            <w:r>
              <w:rPr>
                <w:rFonts w:hint="eastAsia" w:ascii="宋体" w:hAnsi="宋体"/>
                <w:color w:val="auto"/>
                <w:szCs w:val="21"/>
                <w:highlight w:val="none"/>
              </w:rPr>
              <w:t>备注</w:t>
            </w:r>
          </w:p>
        </w:tc>
        <w:tc>
          <w:tcPr>
            <w:tcW w:w="7023" w:type="dxa"/>
            <w:noWrap w:val="0"/>
            <w:vAlign w:val="center"/>
          </w:tcPr>
          <w:p w14:paraId="52B4D926">
            <w:pPr>
              <w:spacing w:line="300" w:lineRule="exact"/>
              <w:jc w:val="left"/>
              <w:rPr>
                <w:rFonts w:ascii="宋体" w:hAnsi="宋体"/>
                <w:color w:val="auto"/>
                <w:szCs w:val="21"/>
                <w:highlight w:val="none"/>
              </w:rPr>
            </w:pPr>
            <w:r>
              <w:rPr>
                <w:rFonts w:hint="eastAsia" w:ascii="宋体" w:hAnsi="宋体"/>
                <w:color w:val="auto"/>
                <w:szCs w:val="21"/>
                <w:highlight w:val="none"/>
              </w:rPr>
              <w:t>近3年已完成的类似项目业绩（中标通知书、合同协议书以及竣工验收或投入使用验收或合同工程完工验收资料复印件），合同项目描述内容至少包括项目概况、本合同在项目中的地位（部位、合同价格比例）。</w:t>
            </w:r>
          </w:p>
        </w:tc>
      </w:tr>
    </w:tbl>
    <w:p w14:paraId="2149542B">
      <w:pPr>
        <w:spacing w:line="360" w:lineRule="auto"/>
        <w:ind w:firstLine="388" w:firstLineChars="200"/>
        <w:rPr>
          <w:rFonts w:ascii="宋体" w:hAnsi="宋体"/>
          <w:color w:val="auto"/>
          <w:szCs w:val="21"/>
          <w:highlight w:val="none"/>
        </w:rPr>
      </w:pPr>
    </w:p>
    <w:p w14:paraId="48F6B084">
      <w:pPr>
        <w:spacing w:line="360" w:lineRule="auto"/>
        <w:ind w:firstLine="388" w:firstLineChars="200"/>
        <w:rPr>
          <w:rFonts w:ascii="宋体" w:hAnsi="宋体"/>
          <w:color w:val="auto"/>
          <w:szCs w:val="21"/>
          <w:highlight w:val="none"/>
        </w:rPr>
      </w:pPr>
    </w:p>
    <w:p w14:paraId="4B1CED81">
      <w:pPr>
        <w:spacing w:line="360" w:lineRule="auto"/>
        <w:ind w:firstLine="388" w:firstLineChars="200"/>
        <w:rPr>
          <w:rFonts w:ascii="宋体" w:hAnsi="宋体"/>
          <w:b/>
          <w:color w:val="auto"/>
          <w:szCs w:val="21"/>
          <w:highlight w:val="none"/>
        </w:rPr>
      </w:pPr>
      <w:r>
        <w:rPr>
          <w:rFonts w:hint="eastAsia" w:ascii="宋体" w:hAnsi="宋体"/>
          <w:b/>
          <w:color w:val="auto"/>
          <w:szCs w:val="21"/>
          <w:highlight w:val="none"/>
        </w:rPr>
        <w:t>注：每张表格只填写一个项目，并标明序号。</w:t>
      </w:r>
    </w:p>
    <w:p w14:paraId="051C8973">
      <w:pPr>
        <w:spacing w:line="360" w:lineRule="auto"/>
        <w:ind w:firstLine="388" w:firstLineChars="200"/>
        <w:rPr>
          <w:rFonts w:ascii="宋体" w:hAnsi="宋体"/>
          <w:b/>
          <w:color w:val="auto"/>
          <w:szCs w:val="21"/>
          <w:highlight w:val="none"/>
        </w:rPr>
      </w:pPr>
    </w:p>
    <w:p w14:paraId="5E63B509">
      <w:pPr>
        <w:spacing w:line="360" w:lineRule="auto"/>
        <w:ind w:firstLine="388" w:firstLineChars="200"/>
        <w:rPr>
          <w:rFonts w:ascii="宋体" w:hAnsi="宋体"/>
          <w:color w:val="auto"/>
          <w:szCs w:val="21"/>
          <w:highlight w:val="none"/>
        </w:rPr>
      </w:pPr>
    </w:p>
    <w:p w14:paraId="14B58EED">
      <w:pPr>
        <w:spacing w:line="360" w:lineRule="auto"/>
        <w:ind w:firstLine="388" w:firstLineChars="200"/>
        <w:rPr>
          <w:rFonts w:ascii="宋体" w:hAnsi="宋体"/>
          <w:color w:val="auto"/>
          <w:szCs w:val="21"/>
          <w:highlight w:val="none"/>
        </w:rPr>
      </w:pPr>
    </w:p>
    <w:p w14:paraId="4F7906DA">
      <w:pPr>
        <w:spacing w:line="360" w:lineRule="auto"/>
        <w:rPr>
          <w:rFonts w:ascii="宋体" w:hAnsi="宋体"/>
          <w:color w:val="auto"/>
          <w:szCs w:val="21"/>
          <w:highlight w:val="none"/>
        </w:rPr>
        <w:sectPr>
          <w:pgSz w:w="11907" w:h="16840"/>
          <w:pgMar w:top="1440" w:right="1803" w:bottom="1440" w:left="1803" w:header="851" w:footer="850" w:gutter="0"/>
          <w:pgNumType w:fmt="decimal"/>
          <w:cols w:space="720" w:num="1"/>
          <w:titlePg/>
          <w:docGrid w:type="linesAndChars" w:linePitch="312" w:charSpace="-3473"/>
        </w:sectPr>
      </w:pPr>
    </w:p>
    <w:p w14:paraId="57B640F5">
      <w:pPr>
        <w:pStyle w:val="5"/>
        <w:jc w:val="center"/>
        <w:outlineLvl w:val="2"/>
        <w:rPr>
          <w:rFonts w:ascii="宋体" w:hAnsi="宋体"/>
          <w:color w:val="auto"/>
          <w:highlight w:val="none"/>
        </w:rPr>
      </w:pPr>
      <w:bookmarkStart w:id="760" w:name="_Toc247079413"/>
      <w:bookmarkStart w:id="761" w:name="_Toc9692"/>
      <w:r>
        <w:rPr>
          <w:rFonts w:hint="eastAsia" w:ascii="宋体" w:hAnsi="宋体"/>
          <w:color w:val="auto"/>
          <w:highlight w:val="none"/>
        </w:rPr>
        <w:t>（五）近三年发生的诉讼及仲裁情况</w:t>
      </w:r>
      <w:bookmarkEnd w:id="760"/>
      <w:bookmarkEnd w:id="761"/>
    </w:p>
    <w:p w14:paraId="4D0E4C69">
      <w:pPr>
        <w:jc w:val="center"/>
        <w:rPr>
          <w:rFonts w:ascii="宋体" w:hAnsi="宋体"/>
          <w:b/>
          <w:bCs/>
          <w:color w:val="auto"/>
          <w:sz w:val="24"/>
          <w:highlight w:val="none"/>
        </w:rPr>
      </w:pPr>
      <w:r>
        <w:rPr>
          <w:rFonts w:hint="eastAsia" w:ascii="宋体" w:hAnsi="宋体"/>
          <w:b/>
          <w:bCs/>
          <w:color w:val="auto"/>
          <w:sz w:val="24"/>
          <w:highlight w:val="none"/>
        </w:rPr>
        <w:t>（近3年指20</w:t>
      </w:r>
      <w:r>
        <w:rPr>
          <w:rFonts w:hint="eastAsia" w:ascii="宋体" w:hAnsi="宋体"/>
          <w:b/>
          <w:bCs/>
          <w:color w:val="auto"/>
          <w:sz w:val="24"/>
          <w:highlight w:val="none"/>
          <w:lang w:val="en-US" w:eastAsia="zh-CN"/>
        </w:rPr>
        <w:t>22</w:t>
      </w:r>
      <w:r>
        <w:rPr>
          <w:rFonts w:hint="eastAsia" w:ascii="宋体" w:hAnsi="宋体"/>
          <w:b/>
          <w:bCs/>
          <w:color w:val="auto"/>
          <w:sz w:val="24"/>
          <w:highlight w:val="none"/>
        </w:rPr>
        <w:t>年1月至</w:t>
      </w:r>
      <w:r>
        <w:rPr>
          <w:rFonts w:hint="eastAsia" w:ascii="宋体" w:hAnsi="宋体"/>
          <w:b/>
          <w:bCs/>
          <w:color w:val="auto"/>
          <w:sz w:val="24"/>
          <w:highlight w:val="none"/>
          <w:lang w:val="en-US" w:eastAsia="zh-CN"/>
        </w:rPr>
        <w:t>今</w:t>
      </w:r>
      <w:r>
        <w:rPr>
          <w:rFonts w:hint="eastAsia" w:ascii="宋体" w:hAnsi="宋体"/>
          <w:b/>
          <w:bCs/>
          <w:color w:val="auto"/>
          <w:sz w:val="24"/>
          <w:highlight w:val="none"/>
        </w:rPr>
        <w:t>）</w:t>
      </w:r>
    </w:p>
    <w:p w14:paraId="0F2BF213">
      <w:pPr>
        <w:jc w:val="center"/>
        <w:rPr>
          <w:rFonts w:ascii="宋体" w:hAnsi="宋体"/>
          <w:b/>
          <w:bCs/>
          <w:color w:val="auto"/>
          <w:sz w:val="24"/>
          <w:highlight w:val="none"/>
        </w:rPr>
      </w:pPr>
    </w:p>
    <w:tbl>
      <w:tblPr>
        <w:tblStyle w:val="49"/>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192"/>
        <w:gridCol w:w="1950"/>
        <w:gridCol w:w="2211"/>
        <w:gridCol w:w="1134"/>
        <w:gridCol w:w="978"/>
        <w:gridCol w:w="1432"/>
      </w:tblGrid>
      <w:tr w14:paraId="73F73E3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3" w:hRule="exact"/>
          <w:jc w:val="center"/>
        </w:trPr>
        <w:tc>
          <w:tcPr>
            <w:tcW w:w="1192" w:type="dxa"/>
            <w:noWrap w:val="0"/>
            <w:vAlign w:val="center"/>
          </w:tcPr>
          <w:p w14:paraId="19A9CFB1">
            <w:pPr>
              <w:spacing w:line="300" w:lineRule="exact"/>
              <w:jc w:val="center"/>
              <w:rPr>
                <w:rFonts w:ascii="宋体" w:hAnsi="宋体"/>
                <w:b/>
                <w:color w:val="auto"/>
                <w:highlight w:val="none"/>
              </w:rPr>
            </w:pPr>
            <w:r>
              <w:rPr>
                <w:rFonts w:hint="eastAsia" w:ascii="宋体" w:hAnsi="宋体"/>
                <w:b/>
                <w:color w:val="auto"/>
                <w:highlight w:val="none"/>
              </w:rPr>
              <w:t>序号</w:t>
            </w:r>
          </w:p>
        </w:tc>
        <w:tc>
          <w:tcPr>
            <w:tcW w:w="1950" w:type="dxa"/>
            <w:noWrap w:val="0"/>
            <w:vAlign w:val="center"/>
          </w:tcPr>
          <w:p w14:paraId="1B564DFB">
            <w:pPr>
              <w:spacing w:line="300" w:lineRule="exact"/>
              <w:jc w:val="center"/>
              <w:rPr>
                <w:rFonts w:ascii="宋体" w:hAnsi="宋体"/>
                <w:b/>
                <w:color w:val="auto"/>
                <w:highlight w:val="none"/>
              </w:rPr>
            </w:pPr>
            <w:r>
              <w:rPr>
                <w:rFonts w:hint="eastAsia" w:ascii="宋体" w:hAnsi="宋体"/>
                <w:b/>
                <w:color w:val="auto"/>
                <w:highlight w:val="none"/>
              </w:rPr>
              <w:t>诉讼或仲裁事项</w:t>
            </w:r>
          </w:p>
        </w:tc>
        <w:tc>
          <w:tcPr>
            <w:tcW w:w="2211" w:type="dxa"/>
            <w:noWrap w:val="0"/>
            <w:vAlign w:val="center"/>
          </w:tcPr>
          <w:p w14:paraId="698E4544">
            <w:pPr>
              <w:spacing w:line="300" w:lineRule="exact"/>
              <w:jc w:val="center"/>
              <w:rPr>
                <w:rFonts w:ascii="宋体" w:hAnsi="宋体"/>
                <w:b/>
                <w:color w:val="auto"/>
                <w:highlight w:val="none"/>
              </w:rPr>
            </w:pPr>
            <w:r>
              <w:rPr>
                <w:rFonts w:hint="eastAsia" w:ascii="宋体" w:hAnsi="宋体"/>
                <w:b/>
                <w:color w:val="auto"/>
                <w:highlight w:val="none"/>
              </w:rPr>
              <w:t>诉讼或仲裁中的地位</w:t>
            </w:r>
          </w:p>
        </w:tc>
        <w:tc>
          <w:tcPr>
            <w:tcW w:w="1134" w:type="dxa"/>
            <w:noWrap w:val="0"/>
            <w:vAlign w:val="center"/>
          </w:tcPr>
          <w:p w14:paraId="0E69B4E7">
            <w:pPr>
              <w:spacing w:line="300" w:lineRule="exact"/>
              <w:jc w:val="center"/>
              <w:rPr>
                <w:rFonts w:ascii="宋体" w:hAnsi="宋体"/>
                <w:b/>
                <w:color w:val="auto"/>
                <w:highlight w:val="none"/>
              </w:rPr>
            </w:pPr>
            <w:r>
              <w:rPr>
                <w:rFonts w:hint="eastAsia" w:ascii="宋体" w:hAnsi="宋体"/>
                <w:b/>
                <w:color w:val="auto"/>
                <w:highlight w:val="none"/>
              </w:rPr>
              <w:t>缘由</w:t>
            </w:r>
          </w:p>
        </w:tc>
        <w:tc>
          <w:tcPr>
            <w:tcW w:w="978" w:type="dxa"/>
            <w:noWrap w:val="0"/>
            <w:vAlign w:val="center"/>
          </w:tcPr>
          <w:p w14:paraId="4D8BFD10">
            <w:pPr>
              <w:spacing w:line="300" w:lineRule="exact"/>
              <w:jc w:val="center"/>
              <w:rPr>
                <w:rFonts w:ascii="宋体" w:hAnsi="宋体"/>
                <w:b/>
                <w:color w:val="auto"/>
                <w:highlight w:val="none"/>
              </w:rPr>
            </w:pPr>
            <w:r>
              <w:rPr>
                <w:rFonts w:hint="eastAsia" w:ascii="宋体" w:hAnsi="宋体"/>
                <w:b/>
                <w:color w:val="auto"/>
                <w:highlight w:val="none"/>
              </w:rPr>
              <w:t>结果</w:t>
            </w:r>
          </w:p>
        </w:tc>
        <w:tc>
          <w:tcPr>
            <w:tcW w:w="1432" w:type="dxa"/>
            <w:noWrap w:val="0"/>
            <w:vAlign w:val="center"/>
          </w:tcPr>
          <w:p w14:paraId="15EE80BA">
            <w:pPr>
              <w:spacing w:line="300" w:lineRule="exact"/>
              <w:jc w:val="center"/>
              <w:rPr>
                <w:rFonts w:ascii="宋体" w:hAnsi="宋体"/>
                <w:b/>
                <w:color w:val="auto"/>
                <w:highlight w:val="none"/>
              </w:rPr>
            </w:pPr>
            <w:r>
              <w:rPr>
                <w:rFonts w:hint="eastAsia" w:ascii="宋体" w:hAnsi="宋体"/>
                <w:b/>
                <w:color w:val="auto"/>
                <w:highlight w:val="none"/>
              </w:rPr>
              <w:t>备注</w:t>
            </w:r>
          </w:p>
        </w:tc>
      </w:tr>
      <w:tr w14:paraId="29CE294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3" w:hRule="exact"/>
          <w:jc w:val="center"/>
        </w:trPr>
        <w:tc>
          <w:tcPr>
            <w:tcW w:w="1192" w:type="dxa"/>
            <w:noWrap w:val="0"/>
            <w:vAlign w:val="center"/>
          </w:tcPr>
          <w:p w14:paraId="2E52BEDA">
            <w:pPr>
              <w:spacing w:line="300" w:lineRule="exact"/>
              <w:jc w:val="center"/>
              <w:rPr>
                <w:rFonts w:ascii="宋体" w:hAnsi="宋体"/>
                <w:color w:val="auto"/>
                <w:highlight w:val="none"/>
              </w:rPr>
            </w:pPr>
            <w:r>
              <w:rPr>
                <w:rFonts w:hint="eastAsia" w:ascii="宋体" w:hAnsi="宋体"/>
                <w:color w:val="auto"/>
                <w:highlight w:val="none"/>
              </w:rPr>
              <w:t>一</w:t>
            </w:r>
          </w:p>
        </w:tc>
        <w:tc>
          <w:tcPr>
            <w:tcW w:w="1950" w:type="dxa"/>
            <w:noWrap w:val="0"/>
            <w:vAlign w:val="center"/>
          </w:tcPr>
          <w:p w14:paraId="5E71ED62">
            <w:pPr>
              <w:spacing w:line="300" w:lineRule="exact"/>
              <w:jc w:val="center"/>
              <w:rPr>
                <w:rFonts w:ascii="宋体" w:hAnsi="宋体"/>
                <w:color w:val="auto"/>
                <w:highlight w:val="none"/>
              </w:rPr>
            </w:pPr>
            <w:r>
              <w:rPr>
                <w:rFonts w:hint="eastAsia" w:ascii="宋体" w:hAnsi="宋体"/>
                <w:color w:val="auto"/>
                <w:highlight w:val="none"/>
              </w:rPr>
              <w:t>诉讼事项</w:t>
            </w:r>
          </w:p>
        </w:tc>
        <w:tc>
          <w:tcPr>
            <w:tcW w:w="2211" w:type="dxa"/>
            <w:noWrap w:val="0"/>
            <w:vAlign w:val="center"/>
          </w:tcPr>
          <w:p w14:paraId="197EC40B">
            <w:pPr>
              <w:spacing w:line="300" w:lineRule="exact"/>
              <w:jc w:val="center"/>
              <w:rPr>
                <w:rFonts w:ascii="宋体" w:hAnsi="宋体"/>
                <w:color w:val="auto"/>
                <w:highlight w:val="none"/>
              </w:rPr>
            </w:pPr>
          </w:p>
        </w:tc>
        <w:tc>
          <w:tcPr>
            <w:tcW w:w="1134" w:type="dxa"/>
            <w:noWrap w:val="0"/>
            <w:vAlign w:val="center"/>
          </w:tcPr>
          <w:p w14:paraId="11DFDC2D">
            <w:pPr>
              <w:spacing w:line="300" w:lineRule="exact"/>
              <w:jc w:val="center"/>
              <w:rPr>
                <w:rFonts w:ascii="宋体" w:hAnsi="宋体"/>
                <w:color w:val="auto"/>
                <w:highlight w:val="none"/>
              </w:rPr>
            </w:pPr>
          </w:p>
        </w:tc>
        <w:tc>
          <w:tcPr>
            <w:tcW w:w="978" w:type="dxa"/>
            <w:noWrap w:val="0"/>
            <w:vAlign w:val="center"/>
          </w:tcPr>
          <w:p w14:paraId="0D548AA7">
            <w:pPr>
              <w:spacing w:line="300" w:lineRule="exact"/>
              <w:jc w:val="center"/>
              <w:rPr>
                <w:rFonts w:ascii="宋体" w:hAnsi="宋体"/>
                <w:color w:val="auto"/>
                <w:highlight w:val="none"/>
              </w:rPr>
            </w:pPr>
          </w:p>
        </w:tc>
        <w:tc>
          <w:tcPr>
            <w:tcW w:w="1432" w:type="dxa"/>
            <w:noWrap w:val="0"/>
            <w:vAlign w:val="center"/>
          </w:tcPr>
          <w:p w14:paraId="4EE5FC6D">
            <w:pPr>
              <w:spacing w:line="300" w:lineRule="exact"/>
              <w:jc w:val="center"/>
              <w:rPr>
                <w:rFonts w:ascii="宋体" w:hAnsi="宋体"/>
                <w:color w:val="auto"/>
                <w:highlight w:val="none"/>
              </w:rPr>
            </w:pPr>
          </w:p>
        </w:tc>
      </w:tr>
      <w:tr w14:paraId="6C423D7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3" w:hRule="exact"/>
          <w:jc w:val="center"/>
        </w:trPr>
        <w:tc>
          <w:tcPr>
            <w:tcW w:w="1192" w:type="dxa"/>
            <w:noWrap w:val="0"/>
            <w:vAlign w:val="center"/>
          </w:tcPr>
          <w:p w14:paraId="5D90BA7D">
            <w:pPr>
              <w:spacing w:line="300" w:lineRule="exact"/>
              <w:jc w:val="center"/>
              <w:rPr>
                <w:rFonts w:ascii="宋体" w:hAnsi="宋体"/>
                <w:color w:val="auto"/>
                <w:highlight w:val="none"/>
              </w:rPr>
            </w:pPr>
          </w:p>
        </w:tc>
        <w:tc>
          <w:tcPr>
            <w:tcW w:w="1950" w:type="dxa"/>
            <w:noWrap w:val="0"/>
            <w:vAlign w:val="center"/>
          </w:tcPr>
          <w:p w14:paraId="1E6C49FD">
            <w:pPr>
              <w:spacing w:line="300" w:lineRule="exact"/>
              <w:jc w:val="center"/>
              <w:rPr>
                <w:rFonts w:ascii="宋体" w:hAnsi="宋体"/>
                <w:color w:val="auto"/>
                <w:highlight w:val="none"/>
              </w:rPr>
            </w:pPr>
          </w:p>
        </w:tc>
        <w:tc>
          <w:tcPr>
            <w:tcW w:w="2211" w:type="dxa"/>
            <w:noWrap w:val="0"/>
            <w:vAlign w:val="center"/>
          </w:tcPr>
          <w:p w14:paraId="0F863670">
            <w:pPr>
              <w:spacing w:line="300" w:lineRule="exact"/>
              <w:jc w:val="center"/>
              <w:rPr>
                <w:rFonts w:ascii="宋体" w:hAnsi="宋体"/>
                <w:color w:val="auto"/>
                <w:highlight w:val="none"/>
              </w:rPr>
            </w:pPr>
          </w:p>
        </w:tc>
        <w:tc>
          <w:tcPr>
            <w:tcW w:w="1134" w:type="dxa"/>
            <w:noWrap w:val="0"/>
            <w:vAlign w:val="center"/>
          </w:tcPr>
          <w:p w14:paraId="6B5DC1B4">
            <w:pPr>
              <w:spacing w:line="300" w:lineRule="exact"/>
              <w:jc w:val="center"/>
              <w:rPr>
                <w:rFonts w:ascii="宋体" w:hAnsi="宋体"/>
                <w:color w:val="auto"/>
                <w:highlight w:val="none"/>
              </w:rPr>
            </w:pPr>
          </w:p>
        </w:tc>
        <w:tc>
          <w:tcPr>
            <w:tcW w:w="978" w:type="dxa"/>
            <w:noWrap w:val="0"/>
            <w:vAlign w:val="center"/>
          </w:tcPr>
          <w:p w14:paraId="25B8523B">
            <w:pPr>
              <w:spacing w:line="300" w:lineRule="exact"/>
              <w:jc w:val="center"/>
              <w:rPr>
                <w:rFonts w:ascii="宋体" w:hAnsi="宋体"/>
                <w:color w:val="auto"/>
                <w:highlight w:val="none"/>
              </w:rPr>
            </w:pPr>
          </w:p>
        </w:tc>
        <w:tc>
          <w:tcPr>
            <w:tcW w:w="1432" w:type="dxa"/>
            <w:noWrap w:val="0"/>
            <w:vAlign w:val="center"/>
          </w:tcPr>
          <w:p w14:paraId="3D18CFC7">
            <w:pPr>
              <w:spacing w:line="300" w:lineRule="exact"/>
              <w:jc w:val="center"/>
              <w:rPr>
                <w:rFonts w:ascii="宋体" w:hAnsi="宋体"/>
                <w:color w:val="auto"/>
                <w:highlight w:val="none"/>
              </w:rPr>
            </w:pPr>
          </w:p>
        </w:tc>
      </w:tr>
      <w:tr w14:paraId="2ECFF1C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3" w:hRule="exact"/>
          <w:jc w:val="center"/>
        </w:trPr>
        <w:tc>
          <w:tcPr>
            <w:tcW w:w="1192" w:type="dxa"/>
            <w:noWrap w:val="0"/>
            <w:vAlign w:val="center"/>
          </w:tcPr>
          <w:p w14:paraId="1683CC1C">
            <w:pPr>
              <w:spacing w:line="300" w:lineRule="exact"/>
              <w:jc w:val="center"/>
              <w:rPr>
                <w:rFonts w:ascii="宋体" w:hAnsi="宋体"/>
                <w:color w:val="auto"/>
                <w:highlight w:val="none"/>
              </w:rPr>
            </w:pPr>
          </w:p>
        </w:tc>
        <w:tc>
          <w:tcPr>
            <w:tcW w:w="1950" w:type="dxa"/>
            <w:noWrap w:val="0"/>
            <w:vAlign w:val="center"/>
          </w:tcPr>
          <w:p w14:paraId="0A7E3FE4">
            <w:pPr>
              <w:spacing w:line="300" w:lineRule="exact"/>
              <w:jc w:val="center"/>
              <w:rPr>
                <w:rFonts w:ascii="宋体" w:hAnsi="宋体"/>
                <w:color w:val="auto"/>
                <w:highlight w:val="none"/>
              </w:rPr>
            </w:pPr>
          </w:p>
        </w:tc>
        <w:tc>
          <w:tcPr>
            <w:tcW w:w="2211" w:type="dxa"/>
            <w:noWrap w:val="0"/>
            <w:vAlign w:val="center"/>
          </w:tcPr>
          <w:p w14:paraId="37A72E03">
            <w:pPr>
              <w:spacing w:line="300" w:lineRule="exact"/>
              <w:jc w:val="center"/>
              <w:rPr>
                <w:rFonts w:ascii="宋体" w:hAnsi="宋体"/>
                <w:color w:val="auto"/>
                <w:highlight w:val="none"/>
              </w:rPr>
            </w:pPr>
          </w:p>
        </w:tc>
        <w:tc>
          <w:tcPr>
            <w:tcW w:w="1134" w:type="dxa"/>
            <w:noWrap w:val="0"/>
            <w:vAlign w:val="center"/>
          </w:tcPr>
          <w:p w14:paraId="3AEF18BF">
            <w:pPr>
              <w:spacing w:line="300" w:lineRule="exact"/>
              <w:jc w:val="center"/>
              <w:rPr>
                <w:rFonts w:ascii="宋体" w:hAnsi="宋体"/>
                <w:color w:val="auto"/>
                <w:highlight w:val="none"/>
              </w:rPr>
            </w:pPr>
          </w:p>
        </w:tc>
        <w:tc>
          <w:tcPr>
            <w:tcW w:w="978" w:type="dxa"/>
            <w:noWrap w:val="0"/>
            <w:vAlign w:val="center"/>
          </w:tcPr>
          <w:p w14:paraId="08377E2A">
            <w:pPr>
              <w:spacing w:line="300" w:lineRule="exact"/>
              <w:jc w:val="center"/>
              <w:rPr>
                <w:rFonts w:ascii="宋体" w:hAnsi="宋体"/>
                <w:color w:val="auto"/>
                <w:highlight w:val="none"/>
              </w:rPr>
            </w:pPr>
          </w:p>
        </w:tc>
        <w:tc>
          <w:tcPr>
            <w:tcW w:w="1432" w:type="dxa"/>
            <w:noWrap w:val="0"/>
            <w:vAlign w:val="center"/>
          </w:tcPr>
          <w:p w14:paraId="4FFC8C09">
            <w:pPr>
              <w:spacing w:line="300" w:lineRule="exact"/>
              <w:jc w:val="center"/>
              <w:rPr>
                <w:rFonts w:ascii="宋体" w:hAnsi="宋体"/>
                <w:color w:val="auto"/>
                <w:highlight w:val="none"/>
              </w:rPr>
            </w:pPr>
          </w:p>
        </w:tc>
      </w:tr>
      <w:tr w14:paraId="423B025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3" w:hRule="exact"/>
          <w:jc w:val="center"/>
        </w:trPr>
        <w:tc>
          <w:tcPr>
            <w:tcW w:w="1192" w:type="dxa"/>
            <w:noWrap w:val="0"/>
            <w:vAlign w:val="center"/>
          </w:tcPr>
          <w:p w14:paraId="4C770A00">
            <w:pPr>
              <w:spacing w:line="300" w:lineRule="exact"/>
              <w:jc w:val="center"/>
              <w:rPr>
                <w:rFonts w:ascii="宋体" w:hAnsi="宋体"/>
                <w:color w:val="auto"/>
                <w:highlight w:val="none"/>
              </w:rPr>
            </w:pPr>
          </w:p>
        </w:tc>
        <w:tc>
          <w:tcPr>
            <w:tcW w:w="1950" w:type="dxa"/>
            <w:noWrap w:val="0"/>
            <w:vAlign w:val="center"/>
          </w:tcPr>
          <w:p w14:paraId="62E5EB94">
            <w:pPr>
              <w:spacing w:line="300" w:lineRule="exact"/>
              <w:jc w:val="center"/>
              <w:rPr>
                <w:rFonts w:ascii="宋体" w:hAnsi="宋体"/>
                <w:color w:val="auto"/>
                <w:highlight w:val="none"/>
              </w:rPr>
            </w:pPr>
          </w:p>
        </w:tc>
        <w:tc>
          <w:tcPr>
            <w:tcW w:w="2211" w:type="dxa"/>
            <w:noWrap w:val="0"/>
            <w:vAlign w:val="center"/>
          </w:tcPr>
          <w:p w14:paraId="380F7C8D">
            <w:pPr>
              <w:spacing w:line="300" w:lineRule="exact"/>
              <w:jc w:val="center"/>
              <w:rPr>
                <w:rFonts w:ascii="宋体" w:hAnsi="宋体"/>
                <w:color w:val="auto"/>
                <w:highlight w:val="none"/>
              </w:rPr>
            </w:pPr>
          </w:p>
        </w:tc>
        <w:tc>
          <w:tcPr>
            <w:tcW w:w="1134" w:type="dxa"/>
            <w:noWrap w:val="0"/>
            <w:vAlign w:val="center"/>
          </w:tcPr>
          <w:p w14:paraId="24C1A8CF">
            <w:pPr>
              <w:spacing w:line="300" w:lineRule="exact"/>
              <w:jc w:val="center"/>
              <w:rPr>
                <w:rFonts w:ascii="宋体" w:hAnsi="宋体"/>
                <w:color w:val="auto"/>
                <w:highlight w:val="none"/>
              </w:rPr>
            </w:pPr>
          </w:p>
        </w:tc>
        <w:tc>
          <w:tcPr>
            <w:tcW w:w="978" w:type="dxa"/>
            <w:noWrap w:val="0"/>
            <w:vAlign w:val="center"/>
          </w:tcPr>
          <w:p w14:paraId="6F630931">
            <w:pPr>
              <w:spacing w:line="300" w:lineRule="exact"/>
              <w:jc w:val="center"/>
              <w:rPr>
                <w:rFonts w:ascii="宋体" w:hAnsi="宋体"/>
                <w:color w:val="auto"/>
                <w:highlight w:val="none"/>
              </w:rPr>
            </w:pPr>
          </w:p>
        </w:tc>
        <w:tc>
          <w:tcPr>
            <w:tcW w:w="1432" w:type="dxa"/>
            <w:noWrap w:val="0"/>
            <w:vAlign w:val="center"/>
          </w:tcPr>
          <w:p w14:paraId="42F0745D">
            <w:pPr>
              <w:spacing w:line="300" w:lineRule="exact"/>
              <w:jc w:val="center"/>
              <w:rPr>
                <w:rFonts w:ascii="宋体" w:hAnsi="宋体"/>
                <w:color w:val="auto"/>
                <w:highlight w:val="none"/>
              </w:rPr>
            </w:pPr>
          </w:p>
        </w:tc>
      </w:tr>
      <w:tr w14:paraId="36E22CD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3" w:hRule="exact"/>
          <w:jc w:val="center"/>
        </w:trPr>
        <w:tc>
          <w:tcPr>
            <w:tcW w:w="1192" w:type="dxa"/>
            <w:noWrap w:val="0"/>
            <w:vAlign w:val="center"/>
          </w:tcPr>
          <w:p w14:paraId="72A9D367">
            <w:pPr>
              <w:spacing w:line="300" w:lineRule="exact"/>
              <w:jc w:val="center"/>
              <w:rPr>
                <w:rFonts w:ascii="宋体" w:hAnsi="宋体"/>
                <w:color w:val="auto"/>
                <w:highlight w:val="none"/>
              </w:rPr>
            </w:pPr>
            <w:r>
              <w:rPr>
                <w:rFonts w:hint="eastAsia" w:ascii="宋体" w:hAnsi="宋体"/>
                <w:color w:val="auto"/>
                <w:highlight w:val="none"/>
              </w:rPr>
              <w:t>二</w:t>
            </w:r>
          </w:p>
        </w:tc>
        <w:tc>
          <w:tcPr>
            <w:tcW w:w="1950" w:type="dxa"/>
            <w:noWrap w:val="0"/>
            <w:vAlign w:val="center"/>
          </w:tcPr>
          <w:p w14:paraId="095C2845">
            <w:pPr>
              <w:spacing w:line="300" w:lineRule="exact"/>
              <w:jc w:val="center"/>
              <w:rPr>
                <w:rFonts w:ascii="宋体" w:hAnsi="宋体"/>
                <w:color w:val="auto"/>
                <w:highlight w:val="none"/>
              </w:rPr>
            </w:pPr>
            <w:r>
              <w:rPr>
                <w:rFonts w:hint="eastAsia" w:ascii="宋体" w:hAnsi="宋体"/>
                <w:color w:val="auto"/>
                <w:highlight w:val="none"/>
              </w:rPr>
              <w:t>仲裁事项</w:t>
            </w:r>
          </w:p>
        </w:tc>
        <w:tc>
          <w:tcPr>
            <w:tcW w:w="2211" w:type="dxa"/>
            <w:noWrap w:val="0"/>
            <w:vAlign w:val="center"/>
          </w:tcPr>
          <w:p w14:paraId="72F11EDD">
            <w:pPr>
              <w:spacing w:line="300" w:lineRule="exact"/>
              <w:jc w:val="center"/>
              <w:rPr>
                <w:rFonts w:ascii="宋体" w:hAnsi="宋体"/>
                <w:color w:val="auto"/>
                <w:highlight w:val="none"/>
              </w:rPr>
            </w:pPr>
          </w:p>
        </w:tc>
        <w:tc>
          <w:tcPr>
            <w:tcW w:w="1134" w:type="dxa"/>
            <w:noWrap w:val="0"/>
            <w:vAlign w:val="center"/>
          </w:tcPr>
          <w:p w14:paraId="5030999D">
            <w:pPr>
              <w:spacing w:line="300" w:lineRule="exact"/>
              <w:jc w:val="center"/>
              <w:rPr>
                <w:rFonts w:ascii="宋体" w:hAnsi="宋体"/>
                <w:color w:val="auto"/>
                <w:highlight w:val="none"/>
              </w:rPr>
            </w:pPr>
          </w:p>
        </w:tc>
        <w:tc>
          <w:tcPr>
            <w:tcW w:w="978" w:type="dxa"/>
            <w:noWrap w:val="0"/>
            <w:vAlign w:val="center"/>
          </w:tcPr>
          <w:p w14:paraId="30118DA7">
            <w:pPr>
              <w:spacing w:line="300" w:lineRule="exact"/>
              <w:jc w:val="center"/>
              <w:rPr>
                <w:rFonts w:ascii="宋体" w:hAnsi="宋体"/>
                <w:color w:val="auto"/>
                <w:highlight w:val="none"/>
              </w:rPr>
            </w:pPr>
          </w:p>
        </w:tc>
        <w:tc>
          <w:tcPr>
            <w:tcW w:w="1432" w:type="dxa"/>
            <w:noWrap w:val="0"/>
            <w:vAlign w:val="center"/>
          </w:tcPr>
          <w:p w14:paraId="0526C0E0">
            <w:pPr>
              <w:spacing w:line="300" w:lineRule="exact"/>
              <w:jc w:val="center"/>
              <w:rPr>
                <w:rFonts w:ascii="宋体" w:hAnsi="宋体"/>
                <w:color w:val="auto"/>
                <w:highlight w:val="none"/>
              </w:rPr>
            </w:pPr>
          </w:p>
        </w:tc>
      </w:tr>
      <w:tr w14:paraId="159AFD7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3" w:hRule="exact"/>
          <w:jc w:val="center"/>
        </w:trPr>
        <w:tc>
          <w:tcPr>
            <w:tcW w:w="1192" w:type="dxa"/>
            <w:noWrap w:val="0"/>
            <w:vAlign w:val="center"/>
          </w:tcPr>
          <w:p w14:paraId="39DC2A16">
            <w:pPr>
              <w:spacing w:line="300" w:lineRule="exact"/>
              <w:jc w:val="center"/>
              <w:rPr>
                <w:rFonts w:ascii="宋体" w:hAnsi="宋体"/>
                <w:color w:val="auto"/>
                <w:highlight w:val="none"/>
              </w:rPr>
            </w:pPr>
          </w:p>
        </w:tc>
        <w:tc>
          <w:tcPr>
            <w:tcW w:w="1950" w:type="dxa"/>
            <w:noWrap w:val="0"/>
            <w:vAlign w:val="center"/>
          </w:tcPr>
          <w:p w14:paraId="53A04D31">
            <w:pPr>
              <w:spacing w:line="300" w:lineRule="exact"/>
              <w:jc w:val="center"/>
              <w:rPr>
                <w:rFonts w:ascii="宋体" w:hAnsi="宋体"/>
                <w:color w:val="auto"/>
                <w:highlight w:val="none"/>
              </w:rPr>
            </w:pPr>
          </w:p>
        </w:tc>
        <w:tc>
          <w:tcPr>
            <w:tcW w:w="2211" w:type="dxa"/>
            <w:noWrap w:val="0"/>
            <w:vAlign w:val="center"/>
          </w:tcPr>
          <w:p w14:paraId="4C03E7CD">
            <w:pPr>
              <w:spacing w:line="300" w:lineRule="exact"/>
              <w:jc w:val="center"/>
              <w:rPr>
                <w:rFonts w:ascii="宋体" w:hAnsi="宋体"/>
                <w:color w:val="auto"/>
                <w:highlight w:val="none"/>
              </w:rPr>
            </w:pPr>
          </w:p>
        </w:tc>
        <w:tc>
          <w:tcPr>
            <w:tcW w:w="1134" w:type="dxa"/>
            <w:noWrap w:val="0"/>
            <w:vAlign w:val="center"/>
          </w:tcPr>
          <w:p w14:paraId="5A6CB5CA">
            <w:pPr>
              <w:spacing w:line="300" w:lineRule="exact"/>
              <w:jc w:val="center"/>
              <w:rPr>
                <w:rFonts w:ascii="宋体" w:hAnsi="宋体"/>
                <w:color w:val="auto"/>
                <w:highlight w:val="none"/>
              </w:rPr>
            </w:pPr>
          </w:p>
        </w:tc>
        <w:tc>
          <w:tcPr>
            <w:tcW w:w="978" w:type="dxa"/>
            <w:noWrap w:val="0"/>
            <w:vAlign w:val="center"/>
          </w:tcPr>
          <w:p w14:paraId="58CF381D">
            <w:pPr>
              <w:spacing w:line="300" w:lineRule="exact"/>
              <w:jc w:val="center"/>
              <w:rPr>
                <w:rFonts w:ascii="宋体" w:hAnsi="宋体"/>
                <w:color w:val="auto"/>
                <w:highlight w:val="none"/>
              </w:rPr>
            </w:pPr>
          </w:p>
        </w:tc>
        <w:tc>
          <w:tcPr>
            <w:tcW w:w="1432" w:type="dxa"/>
            <w:noWrap w:val="0"/>
            <w:vAlign w:val="center"/>
          </w:tcPr>
          <w:p w14:paraId="755EE3A6">
            <w:pPr>
              <w:spacing w:line="300" w:lineRule="exact"/>
              <w:jc w:val="center"/>
              <w:rPr>
                <w:rFonts w:ascii="宋体" w:hAnsi="宋体"/>
                <w:color w:val="auto"/>
                <w:highlight w:val="none"/>
              </w:rPr>
            </w:pPr>
          </w:p>
        </w:tc>
      </w:tr>
      <w:tr w14:paraId="3E79890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3" w:hRule="exact"/>
          <w:jc w:val="center"/>
        </w:trPr>
        <w:tc>
          <w:tcPr>
            <w:tcW w:w="1192" w:type="dxa"/>
            <w:noWrap w:val="0"/>
            <w:vAlign w:val="center"/>
          </w:tcPr>
          <w:p w14:paraId="2CAE9FBF">
            <w:pPr>
              <w:spacing w:line="300" w:lineRule="exact"/>
              <w:jc w:val="center"/>
              <w:rPr>
                <w:rFonts w:ascii="宋体" w:hAnsi="宋体"/>
                <w:color w:val="auto"/>
                <w:highlight w:val="none"/>
              </w:rPr>
            </w:pPr>
          </w:p>
        </w:tc>
        <w:tc>
          <w:tcPr>
            <w:tcW w:w="1950" w:type="dxa"/>
            <w:noWrap w:val="0"/>
            <w:vAlign w:val="center"/>
          </w:tcPr>
          <w:p w14:paraId="11407FA2">
            <w:pPr>
              <w:spacing w:line="300" w:lineRule="exact"/>
              <w:jc w:val="center"/>
              <w:rPr>
                <w:rFonts w:ascii="宋体" w:hAnsi="宋体"/>
                <w:color w:val="auto"/>
                <w:highlight w:val="none"/>
              </w:rPr>
            </w:pPr>
          </w:p>
        </w:tc>
        <w:tc>
          <w:tcPr>
            <w:tcW w:w="2211" w:type="dxa"/>
            <w:noWrap w:val="0"/>
            <w:vAlign w:val="center"/>
          </w:tcPr>
          <w:p w14:paraId="0A620F64">
            <w:pPr>
              <w:spacing w:line="300" w:lineRule="exact"/>
              <w:jc w:val="center"/>
              <w:rPr>
                <w:rFonts w:ascii="宋体" w:hAnsi="宋体"/>
                <w:color w:val="auto"/>
                <w:highlight w:val="none"/>
              </w:rPr>
            </w:pPr>
          </w:p>
        </w:tc>
        <w:tc>
          <w:tcPr>
            <w:tcW w:w="1134" w:type="dxa"/>
            <w:noWrap w:val="0"/>
            <w:vAlign w:val="center"/>
          </w:tcPr>
          <w:p w14:paraId="53CB07E7">
            <w:pPr>
              <w:spacing w:line="300" w:lineRule="exact"/>
              <w:jc w:val="center"/>
              <w:rPr>
                <w:rFonts w:ascii="宋体" w:hAnsi="宋体"/>
                <w:color w:val="auto"/>
                <w:highlight w:val="none"/>
              </w:rPr>
            </w:pPr>
          </w:p>
        </w:tc>
        <w:tc>
          <w:tcPr>
            <w:tcW w:w="978" w:type="dxa"/>
            <w:noWrap w:val="0"/>
            <w:vAlign w:val="center"/>
          </w:tcPr>
          <w:p w14:paraId="5EB88D82">
            <w:pPr>
              <w:spacing w:line="300" w:lineRule="exact"/>
              <w:jc w:val="center"/>
              <w:rPr>
                <w:rFonts w:ascii="宋体" w:hAnsi="宋体"/>
                <w:color w:val="auto"/>
                <w:highlight w:val="none"/>
              </w:rPr>
            </w:pPr>
          </w:p>
        </w:tc>
        <w:tc>
          <w:tcPr>
            <w:tcW w:w="1432" w:type="dxa"/>
            <w:noWrap w:val="0"/>
            <w:vAlign w:val="center"/>
          </w:tcPr>
          <w:p w14:paraId="677D4A4A">
            <w:pPr>
              <w:spacing w:line="300" w:lineRule="exact"/>
              <w:jc w:val="center"/>
              <w:rPr>
                <w:rFonts w:ascii="宋体" w:hAnsi="宋体"/>
                <w:color w:val="auto"/>
                <w:highlight w:val="none"/>
              </w:rPr>
            </w:pPr>
          </w:p>
        </w:tc>
      </w:tr>
      <w:tr w14:paraId="6D2CA3C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3" w:hRule="exact"/>
          <w:jc w:val="center"/>
        </w:trPr>
        <w:tc>
          <w:tcPr>
            <w:tcW w:w="1192" w:type="dxa"/>
            <w:noWrap w:val="0"/>
            <w:vAlign w:val="center"/>
          </w:tcPr>
          <w:p w14:paraId="2148A5E0">
            <w:pPr>
              <w:spacing w:line="300" w:lineRule="exact"/>
              <w:jc w:val="center"/>
              <w:rPr>
                <w:rFonts w:ascii="宋体" w:hAnsi="宋体"/>
                <w:color w:val="auto"/>
                <w:highlight w:val="none"/>
              </w:rPr>
            </w:pPr>
          </w:p>
        </w:tc>
        <w:tc>
          <w:tcPr>
            <w:tcW w:w="1950" w:type="dxa"/>
            <w:noWrap w:val="0"/>
            <w:vAlign w:val="center"/>
          </w:tcPr>
          <w:p w14:paraId="3517C608">
            <w:pPr>
              <w:spacing w:line="300" w:lineRule="exact"/>
              <w:jc w:val="center"/>
              <w:rPr>
                <w:rFonts w:ascii="宋体" w:hAnsi="宋体"/>
                <w:color w:val="auto"/>
                <w:highlight w:val="none"/>
              </w:rPr>
            </w:pPr>
          </w:p>
        </w:tc>
        <w:tc>
          <w:tcPr>
            <w:tcW w:w="2211" w:type="dxa"/>
            <w:noWrap w:val="0"/>
            <w:vAlign w:val="center"/>
          </w:tcPr>
          <w:p w14:paraId="33C5699E">
            <w:pPr>
              <w:spacing w:line="300" w:lineRule="exact"/>
              <w:jc w:val="center"/>
              <w:rPr>
                <w:rFonts w:ascii="宋体" w:hAnsi="宋体"/>
                <w:color w:val="auto"/>
                <w:highlight w:val="none"/>
              </w:rPr>
            </w:pPr>
          </w:p>
        </w:tc>
        <w:tc>
          <w:tcPr>
            <w:tcW w:w="1134" w:type="dxa"/>
            <w:noWrap w:val="0"/>
            <w:vAlign w:val="center"/>
          </w:tcPr>
          <w:p w14:paraId="534866E1">
            <w:pPr>
              <w:spacing w:line="300" w:lineRule="exact"/>
              <w:jc w:val="center"/>
              <w:rPr>
                <w:rFonts w:ascii="宋体" w:hAnsi="宋体"/>
                <w:color w:val="auto"/>
                <w:highlight w:val="none"/>
              </w:rPr>
            </w:pPr>
          </w:p>
        </w:tc>
        <w:tc>
          <w:tcPr>
            <w:tcW w:w="978" w:type="dxa"/>
            <w:noWrap w:val="0"/>
            <w:vAlign w:val="center"/>
          </w:tcPr>
          <w:p w14:paraId="43CD56F4">
            <w:pPr>
              <w:spacing w:line="300" w:lineRule="exact"/>
              <w:jc w:val="center"/>
              <w:rPr>
                <w:rFonts w:ascii="宋体" w:hAnsi="宋体"/>
                <w:color w:val="auto"/>
                <w:highlight w:val="none"/>
              </w:rPr>
            </w:pPr>
          </w:p>
        </w:tc>
        <w:tc>
          <w:tcPr>
            <w:tcW w:w="1432" w:type="dxa"/>
            <w:noWrap w:val="0"/>
            <w:vAlign w:val="center"/>
          </w:tcPr>
          <w:p w14:paraId="14384FF6">
            <w:pPr>
              <w:spacing w:line="300" w:lineRule="exact"/>
              <w:jc w:val="center"/>
              <w:rPr>
                <w:rFonts w:ascii="宋体" w:hAnsi="宋体"/>
                <w:color w:val="auto"/>
                <w:highlight w:val="none"/>
              </w:rPr>
            </w:pPr>
          </w:p>
        </w:tc>
      </w:tr>
      <w:tr w14:paraId="6E51EB6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3" w:hRule="exact"/>
          <w:jc w:val="center"/>
        </w:trPr>
        <w:tc>
          <w:tcPr>
            <w:tcW w:w="1192" w:type="dxa"/>
            <w:noWrap w:val="0"/>
            <w:vAlign w:val="center"/>
          </w:tcPr>
          <w:p w14:paraId="6C2236D3">
            <w:pPr>
              <w:spacing w:line="300" w:lineRule="exact"/>
              <w:jc w:val="center"/>
              <w:rPr>
                <w:rFonts w:ascii="宋体" w:hAnsi="宋体"/>
                <w:color w:val="auto"/>
                <w:highlight w:val="none"/>
              </w:rPr>
            </w:pPr>
          </w:p>
        </w:tc>
        <w:tc>
          <w:tcPr>
            <w:tcW w:w="1950" w:type="dxa"/>
            <w:noWrap w:val="0"/>
            <w:vAlign w:val="center"/>
          </w:tcPr>
          <w:p w14:paraId="6D60B0B3">
            <w:pPr>
              <w:spacing w:line="300" w:lineRule="exact"/>
              <w:jc w:val="center"/>
              <w:rPr>
                <w:rFonts w:ascii="宋体" w:hAnsi="宋体"/>
                <w:color w:val="auto"/>
                <w:highlight w:val="none"/>
              </w:rPr>
            </w:pPr>
          </w:p>
        </w:tc>
        <w:tc>
          <w:tcPr>
            <w:tcW w:w="2211" w:type="dxa"/>
            <w:noWrap w:val="0"/>
            <w:vAlign w:val="center"/>
          </w:tcPr>
          <w:p w14:paraId="73869BE4">
            <w:pPr>
              <w:spacing w:line="300" w:lineRule="exact"/>
              <w:jc w:val="center"/>
              <w:rPr>
                <w:rFonts w:ascii="宋体" w:hAnsi="宋体"/>
                <w:color w:val="auto"/>
                <w:highlight w:val="none"/>
              </w:rPr>
            </w:pPr>
          </w:p>
        </w:tc>
        <w:tc>
          <w:tcPr>
            <w:tcW w:w="1134" w:type="dxa"/>
            <w:noWrap w:val="0"/>
            <w:vAlign w:val="center"/>
          </w:tcPr>
          <w:p w14:paraId="005DD623">
            <w:pPr>
              <w:spacing w:line="300" w:lineRule="exact"/>
              <w:jc w:val="center"/>
              <w:rPr>
                <w:rFonts w:ascii="宋体" w:hAnsi="宋体"/>
                <w:color w:val="auto"/>
                <w:highlight w:val="none"/>
              </w:rPr>
            </w:pPr>
          </w:p>
        </w:tc>
        <w:tc>
          <w:tcPr>
            <w:tcW w:w="978" w:type="dxa"/>
            <w:noWrap w:val="0"/>
            <w:vAlign w:val="center"/>
          </w:tcPr>
          <w:p w14:paraId="6889C793">
            <w:pPr>
              <w:spacing w:line="300" w:lineRule="exact"/>
              <w:jc w:val="center"/>
              <w:rPr>
                <w:rFonts w:ascii="宋体" w:hAnsi="宋体"/>
                <w:color w:val="auto"/>
                <w:highlight w:val="none"/>
              </w:rPr>
            </w:pPr>
          </w:p>
        </w:tc>
        <w:tc>
          <w:tcPr>
            <w:tcW w:w="1432" w:type="dxa"/>
            <w:noWrap w:val="0"/>
            <w:vAlign w:val="center"/>
          </w:tcPr>
          <w:p w14:paraId="64CA9ED4">
            <w:pPr>
              <w:spacing w:line="300" w:lineRule="exact"/>
              <w:jc w:val="center"/>
              <w:rPr>
                <w:rFonts w:ascii="宋体" w:hAnsi="宋体"/>
                <w:color w:val="auto"/>
                <w:highlight w:val="none"/>
              </w:rPr>
            </w:pPr>
          </w:p>
        </w:tc>
      </w:tr>
      <w:tr w14:paraId="14DA4E8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3" w:hRule="exact"/>
          <w:jc w:val="center"/>
        </w:trPr>
        <w:tc>
          <w:tcPr>
            <w:tcW w:w="1192" w:type="dxa"/>
            <w:noWrap w:val="0"/>
            <w:vAlign w:val="center"/>
          </w:tcPr>
          <w:p w14:paraId="34D8423B">
            <w:pPr>
              <w:spacing w:line="300" w:lineRule="exact"/>
              <w:jc w:val="center"/>
              <w:rPr>
                <w:rFonts w:ascii="宋体" w:hAnsi="宋体"/>
                <w:color w:val="auto"/>
                <w:highlight w:val="none"/>
              </w:rPr>
            </w:pPr>
          </w:p>
        </w:tc>
        <w:tc>
          <w:tcPr>
            <w:tcW w:w="1950" w:type="dxa"/>
            <w:noWrap w:val="0"/>
            <w:vAlign w:val="center"/>
          </w:tcPr>
          <w:p w14:paraId="11D9B2C9">
            <w:pPr>
              <w:spacing w:line="300" w:lineRule="exact"/>
              <w:jc w:val="center"/>
              <w:rPr>
                <w:rFonts w:ascii="宋体" w:hAnsi="宋体"/>
                <w:color w:val="auto"/>
                <w:highlight w:val="none"/>
              </w:rPr>
            </w:pPr>
          </w:p>
        </w:tc>
        <w:tc>
          <w:tcPr>
            <w:tcW w:w="2211" w:type="dxa"/>
            <w:noWrap w:val="0"/>
            <w:vAlign w:val="center"/>
          </w:tcPr>
          <w:p w14:paraId="6B0F8C65">
            <w:pPr>
              <w:spacing w:line="300" w:lineRule="exact"/>
              <w:jc w:val="center"/>
              <w:rPr>
                <w:rFonts w:ascii="宋体" w:hAnsi="宋体"/>
                <w:color w:val="auto"/>
                <w:highlight w:val="none"/>
              </w:rPr>
            </w:pPr>
          </w:p>
        </w:tc>
        <w:tc>
          <w:tcPr>
            <w:tcW w:w="1134" w:type="dxa"/>
            <w:noWrap w:val="0"/>
            <w:vAlign w:val="center"/>
          </w:tcPr>
          <w:p w14:paraId="1DA832DB">
            <w:pPr>
              <w:spacing w:line="300" w:lineRule="exact"/>
              <w:jc w:val="center"/>
              <w:rPr>
                <w:rFonts w:ascii="宋体" w:hAnsi="宋体"/>
                <w:color w:val="auto"/>
                <w:highlight w:val="none"/>
              </w:rPr>
            </w:pPr>
          </w:p>
        </w:tc>
        <w:tc>
          <w:tcPr>
            <w:tcW w:w="978" w:type="dxa"/>
            <w:noWrap w:val="0"/>
            <w:vAlign w:val="center"/>
          </w:tcPr>
          <w:p w14:paraId="7037F1A3">
            <w:pPr>
              <w:spacing w:line="300" w:lineRule="exact"/>
              <w:jc w:val="center"/>
              <w:rPr>
                <w:rFonts w:ascii="宋体" w:hAnsi="宋体"/>
                <w:color w:val="auto"/>
                <w:highlight w:val="none"/>
              </w:rPr>
            </w:pPr>
          </w:p>
        </w:tc>
        <w:tc>
          <w:tcPr>
            <w:tcW w:w="1432" w:type="dxa"/>
            <w:noWrap w:val="0"/>
            <w:vAlign w:val="center"/>
          </w:tcPr>
          <w:p w14:paraId="41E4B03F">
            <w:pPr>
              <w:spacing w:line="300" w:lineRule="exact"/>
              <w:jc w:val="center"/>
              <w:rPr>
                <w:rFonts w:ascii="宋体" w:hAnsi="宋体"/>
                <w:color w:val="auto"/>
                <w:highlight w:val="none"/>
              </w:rPr>
            </w:pPr>
          </w:p>
        </w:tc>
      </w:tr>
      <w:tr w14:paraId="5E70774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3" w:hRule="exact"/>
          <w:jc w:val="center"/>
        </w:trPr>
        <w:tc>
          <w:tcPr>
            <w:tcW w:w="1192" w:type="dxa"/>
            <w:noWrap w:val="0"/>
            <w:vAlign w:val="center"/>
          </w:tcPr>
          <w:p w14:paraId="33208AE1">
            <w:pPr>
              <w:spacing w:line="300" w:lineRule="exact"/>
              <w:jc w:val="center"/>
              <w:rPr>
                <w:rFonts w:ascii="宋体" w:hAnsi="宋体"/>
                <w:color w:val="auto"/>
                <w:highlight w:val="none"/>
              </w:rPr>
            </w:pPr>
          </w:p>
        </w:tc>
        <w:tc>
          <w:tcPr>
            <w:tcW w:w="1950" w:type="dxa"/>
            <w:noWrap w:val="0"/>
            <w:vAlign w:val="center"/>
          </w:tcPr>
          <w:p w14:paraId="3408DDFC">
            <w:pPr>
              <w:spacing w:line="300" w:lineRule="exact"/>
              <w:jc w:val="center"/>
              <w:rPr>
                <w:rFonts w:ascii="宋体" w:hAnsi="宋体"/>
                <w:color w:val="auto"/>
                <w:highlight w:val="none"/>
              </w:rPr>
            </w:pPr>
          </w:p>
        </w:tc>
        <w:tc>
          <w:tcPr>
            <w:tcW w:w="2211" w:type="dxa"/>
            <w:noWrap w:val="0"/>
            <w:vAlign w:val="center"/>
          </w:tcPr>
          <w:p w14:paraId="455CB18C">
            <w:pPr>
              <w:spacing w:line="300" w:lineRule="exact"/>
              <w:jc w:val="center"/>
              <w:rPr>
                <w:rFonts w:ascii="宋体" w:hAnsi="宋体"/>
                <w:color w:val="auto"/>
                <w:highlight w:val="none"/>
              </w:rPr>
            </w:pPr>
          </w:p>
        </w:tc>
        <w:tc>
          <w:tcPr>
            <w:tcW w:w="1134" w:type="dxa"/>
            <w:noWrap w:val="0"/>
            <w:vAlign w:val="center"/>
          </w:tcPr>
          <w:p w14:paraId="22241266">
            <w:pPr>
              <w:spacing w:line="300" w:lineRule="exact"/>
              <w:jc w:val="center"/>
              <w:rPr>
                <w:rFonts w:ascii="宋体" w:hAnsi="宋体"/>
                <w:color w:val="auto"/>
                <w:highlight w:val="none"/>
              </w:rPr>
            </w:pPr>
          </w:p>
        </w:tc>
        <w:tc>
          <w:tcPr>
            <w:tcW w:w="978" w:type="dxa"/>
            <w:noWrap w:val="0"/>
            <w:vAlign w:val="center"/>
          </w:tcPr>
          <w:p w14:paraId="0D9150EC">
            <w:pPr>
              <w:spacing w:line="300" w:lineRule="exact"/>
              <w:jc w:val="center"/>
              <w:rPr>
                <w:rFonts w:ascii="宋体" w:hAnsi="宋体"/>
                <w:color w:val="auto"/>
                <w:highlight w:val="none"/>
              </w:rPr>
            </w:pPr>
          </w:p>
        </w:tc>
        <w:tc>
          <w:tcPr>
            <w:tcW w:w="1432" w:type="dxa"/>
            <w:noWrap w:val="0"/>
            <w:vAlign w:val="center"/>
          </w:tcPr>
          <w:p w14:paraId="71938833">
            <w:pPr>
              <w:spacing w:line="300" w:lineRule="exact"/>
              <w:jc w:val="center"/>
              <w:rPr>
                <w:rFonts w:ascii="宋体" w:hAnsi="宋体"/>
                <w:color w:val="auto"/>
                <w:highlight w:val="none"/>
              </w:rPr>
            </w:pPr>
          </w:p>
        </w:tc>
      </w:tr>
      <w:tr w14:paraId="5574E70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3" w:hRule="exact"/>
          <w:jc w:val="center"/>
        </w:trPr>
        <w:tc>
          <w:tcPr>
            <w:tcW w:w="1192" w:type="dxa"/>
            <w:noWrap w:val="0"/>
            <w:vAlign w:val="center"/>
          </w:tcPr>
          <w:p w14:paraId="0734DD18">
            <w:pPr>
              <w:spacing w:line="300" w:lineRule="exact"/>
              <w:jc w:val="center"/>
              <w:rPr>
                <w:rFonts w:ascii="宋体" w:hAnsi="宋体"/>
                <w:color w:val="auto"/>
                <w:highlight w:val="none"/>
              </w:rPr>
            </w:pPr>
          </w:p>
        </w:tc>
        <w:tc>
          <w:tcPr>
            <w:tcW w:w="1950" w:type="dxa"/>
            <w:noWrap w:val="0"/>
            <w:vAlign w:val="center"/>
          </w:tcPr>
          <w:p w14:paraId="7B70472F">
            <w:pPr>
              <w:spacing w:line="300" w:lineRule="exact"/>
              <w:jc w:val="center"/>
              <w:rPr>
                <w:rFonts w:ascii="宋体" w:hAnsi="宋体"/>
                <w:color w:val="auto"/>
                <w:highlight w:val="none"/>
              </w:rPr>
            </w:pPr>
          </w:p>
        </w:tc>
        <w:tc>
          <w:tcPr>
            <w:tcW w:w="2211" w:type="dxa"/>
            <w:noWrap w:val="0"/>
            <w:vAlign w:val="center"/>
          </w:tcPr>
          <w:p w14:paraId="3EE5F57A">
            <w:pPr>
              <w:spacing w:line="300" w:lineRule="exact"/>
              <w:jc w:val="center"/>
              <w:rPr>
                <w:rFonts w:ascii="宋体" w:hAnsi="宋体"/>
                <w:color w:val="auto"/>
                <w:highlight w:val="none"/>
              </w:rPr>
            </w:pPr>
          </w:p>
        </w:tc>
        <w:tc>
          <w:tcPr>
            <w:tcW w:w="1134" w:type="dxa"/>
            <w:noWrap w:val="0"/>
            <w:vAlign w:val="center"/>
          </w:tcPr>
          <w:p w14:paraId="744926BB">
            <w:pPr>
              <w:spacing w:line="300" w:lineRule="exact"/>
              <w:jc w:val="center"/>
              <w:rPr>
                <w:rFonts w:ascii="宋体" w:hAnsi="宋体"/>
                <w:color w:val="auto"/>
                <w:highlight w:val="none"/>
              </w:rPr>
            </w:pPr>
          </w:p>
        </w:tc>
        <w:tc>
          <w:tcPr>
            <w:tcW w:w="978" w:type="dxa"/>
            <w:noWrap w:val="0"/>
            <w:vAlign w:val="center"/>
          </w:tcPr>
          <w:p w14:paraId="4E8726D8">
            <w:pPr>
              <w:spacing w:line="300" w:lineRule="exact"/>
              <w:jc w:val="center"/>
              <w:rPr>
                <w:rFonts w:ascii="宋体" w:hAnsi="宋体"/>
                <w:color w:val="auto"/>
                <w:highlight w:val="none"/>
              </w:rPr>
            </w:pPr>
          </w:p>
        </w:tc>
        <w:tc>
          <w:tcPr>
            <w:tcW w:w="1432" w:type="dxa"/>
            <w:noWrap w:val="0"/>
            <w:vAlign w:val="center"/>
          </w:tcPr>
          <w:p w14:paraId="4B89ED5A">
            <w:pPr>
              <w:spacing w:line="300" w:lineRule="exact"/>
              <w:jc w:val="center"/>
              <w:rPr>
                <w:rFonts w:ascii="宋体" w:hAnsi="宋体"/>
                <w:color w:val="auto"/>
                <w:highlight w:val="none"/>
              </w:rPr>
            </w:pPr>
          </w:p>
        </w:tc>
      </w:tr>
      <w:tr w14:paraId="761BED7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3" w:hRule="exact"/>
          <w:jc w:val="center"/>
        </w:trPr>
        <w:tc>
          <w:tcPr>
            <w:tcW w:w="1192" w:type="dxa"/>
            <w:noWrap w:val="0"/>
            <w:vAlign w:val="center"/>
          </w:tcPr>
          <w:p w14:paraId="2B4F0FD3">
            <w:pPr>
              <w:spacing w:line="300" w:lineRule="exact"/>
              <w:jc w:val="center"/>
              <w:rPr>
                <w:rFonts w:ascii="宋体" w:hAnsi="宋体"/>
                <w:color w:val="auto"/>
                <w:highlight w:val="none"/>
              </w:rPr>
            </w:pPr>
          </w:p>
        </w:tc>
        <w:tc>
          <w:tcPr>
            <w:tcW w:w="1950" w:type="dxa"/>
            <w:noWrap w:val="0"/>
            <w:vAlign w:val="center"/>
          </w:tcPr>
          <w:p w14:paraId="64C52118">
            <w:pPr>
              <w:spacing w:line="300" w:lineRule="exact"/>
              <w:jc w:val="center"/>
              <w:rPr>
                <w:rFonts w:ascii="宋体" w:hAnsi="宋体"/>
                <w:color w:val="auto"/>
                <w:highlight w:val="none"/>
              </w:rPr>
            </w:pPr>
          </w:p>
        </w:tc>
        <w:tc>
          <w:tcPr>
            <w:tcW w:w="2211" w:type="dxa"/>
            <w:noWrap w:val="0"/>
            <w:vAlign w:val="center"/>
          </w:tcPr>
          <w:p w14:paraId="055FB6FB">
            <w:pPr>
              <w:spacing w:line="300" w:lineRule="exact"/>
              <w:jc w:val="center"/>
              <w:rPr>
                <w:rFonts w:ascii="宋体" w:hAnsi="宋体"/>
                <w:color w:val="auto"/>
                <w:highlight w:val="none"/>
              </w:rPr>
            </w:pPr>
          </w:p>
        </w:tc>
        <w:tc>
          <w:tcPr>
            <w:tcW w:w="1134" w:type="dxa"/>
            <w:noWrap w:val="0"/>
            <w:vAlign w:val="center"/>
          </w:tcPr>
          <w:p w14:paraId="55190BD2">
            <w:pPr>
              <w:spacing w:line="300" w:lineRule="exact"/>
              <w:jc w:val="center"/>
              <w:rPr>
                <w:rFonts w:ascii="宋体" w:hAnsi="宋体"/>
                <w:color w:val="auto"/>
                <w:highlight w:val="none"/>
              </w:rPr>
            </w:pPr>
          </w:p>
        </w:tc>
        <w:tc>
          <w:tcPr>
            <w:tcW w:w="978" w:type="dxa"/>
            <w:noWrap w:val="0"/>
            <w:vAlign w:val="center"/>
          </w:tcPr>
          <w:p w14:paraId="274CB485">
            <w:pPr>
              <w:spacing w:line="300" w:lineRule="exact"/>
              <w:jc w:val="center"/>
              <w:rPr>
                <w:rFonts w:ascii="宋体" w:hAnsi="宋体"/>
                <w:color w:val="auto"/>
                <w:highlight w:val="none"/>
              </w:rPr>
            </w:pPr>
          </w:p>
        </w:tc>
        <w:tc>
          <w:tcPr>
            <w:tcW w:w="1432" w:type="dxa"/>
            <w:noWrap w:val="0"/>
            <w:vAlign w:val="center"/>
          </w:tcPr>
          <w:p w14:paraId="029D1C33">
            <w:pPr>
              <w:spacing w:line="300" w:lineRule="exact"/>
              <w:jc w:val="center"/>
              <w:rPr>
                <w:rFonts w:ascii="宋体" w:hAnsi="宋体"/>
                <w:color w:val="auto"/>
                <w:highlight w:val="none"/>
              </w:rPr>
            </w:pPr>
          </w:p>
        </w:tc>
      </w:tr>
      <w:tr w14:paraId="51A929C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3" w:hRule="exact"/>
          <w:jc w:val="center"/>
        </w:trPr>
        <w:tc>
          <w:tcPr>
            <w:tcW w:w="1192" w:type="dxa"/>
            <w:noWrap w:val="0"/>
            <w:vAlign w:val="center"/>
          </w:tcPr>
          <w:p w14:paraId="091746BD">
            <w:pPr>
              <w:spacing w:line="300" w:lineRule="exact"/>
              <w:jc w:val="center"/>
              <w:rPr>
                <w:rFonts w:ascii="宋体" w:hAnsi="宋体"/>
                <w:color w:val="auto"/>
                <w:highlight w:val="none"/>
              </w:rPr>
            </w:pPr>
          </w:p>
        </w:tc>
        <w:tc>
          <w:tcPr>
            <w:tcW w:w="1950" w:type="dxa"/>
            <w:noWrap w:val="0"/>
            <w:vAlign w:val="center"/>
          </w:tcPr>
          <w:p w14:paraId="22A79EBB">
            <w:pPr>
              <w:spacing w:line="300" w:lineRule="exact"/>
              <w:jc w:val="center"/>
              <w:rPr>
                <w:rFonts w:ascii="宋体" w:hAnsi="宋体"/>
                <w:color w:val="auto"/>
                <w:highlight w:val="none"/>
              </w:rPr>
            </w:pPr>
          </w:p>
        </w:tc>
        <w:tc>
          <w:tcPr>
            <w:tcW w:w="2211" w:type="dxa"/>
            <w:noWrap w:val="0"/>
            <w:vAlign w:val="center"/>
          </w:tcPr>
          <w:p w14:paraId="72EB79B0">
            <w:pPr>
              <w:spacing w:line="300" w:lineRule="exact"/>
              <w:jc w:val="center"/>
              <w:rPr>
                <w:rFonts w:ascii="宋体" w:hAnsi="宋体"/>
                <w:color w:val="auto"/>
                <w:highlight w:val="none"/>
              </w:rPr>
            </w:pPr>
          </w:p>
        </w:tc>
        <w:tc>
          <w:tcPr>
            <w:tcW w:w="1134" w:type="dxa"/>
            <w:noWrap w:val="0"/>
            <w:vAlign w:val="center"/>
          </w:tcPr>
          <w:p w14:paraId="738163A7">
            <w:pPr>
              <w:spacing w:line="300" w:lineRule="exact"/>
              <w:jc w:val="center"/>
              <w:rPr>
                <w:rFonts w:ascii="宋体" w:hAnsi="宋体"/>
                <w:color w:val="auto"/>
                <w:highlight w:val="none"/>
              </w:rPr>
            </w:pPr>
          </w:p>
        </w:tc>
        <w:tc>
          <w:tcPr>
            <w:tcW w:w="978" w:type="dxa"/>
            <w:noWrap w:val="0"/>
            <w:vAlign w:val="center"/>
          </w:tcPr>
          <w:p w14:paraId="052D29F8">
            <w:pPr>
              <w:spacing w:line="300" w:lineRule="exact"/>
              <w:jc w:val="center"/>
              <w:rPr>
                <w:rFonts w:ascii="宋体" w:hAnsi="宋体"/>
                <w:color w:val="auto"/>
                <w:highlight w:val="none"/>
              </w:rPr>
            </w:pPr>
          </w:p>
        </w:tc>
        <w:tc>
          <w:tcPr>
            <w:tcW w:w="1432" w:type="dxa"/>
            <w:noWrap w:val="0"/>
            <w:vAlign w:val="center"/>
          </w:tcPr>
          <w:p w14:paraId="52D22C92">
            <w:pPr>
              <w:spacing w:line="300" w:lineRule="exact"/>
              <w:jc w:val="center"/>
              <w:rPr>
                <w:rFonts w:ascii="宋体" w:hAnsi="宋体"/>
                <w:color w:val="auto"/>
                <w:highlight w:val="none"/>
              </w:rPr>
            </w:pPr>
          </w:p>
        </w:tc>
      </w:tr>
      <w:tr w14:paraId="1DA0547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3" w:hRule="exact"/>
          <w:jc w:val="center"/>
        </w:trPr>
        <w:tc>
          <w:tcPr>
            <w:tcW w:w="1192" w:type="dxa"/>
            <w:noWrap w:val="0"/>
            <w:vAlign w:val="center"/>
          </w:tcPr>
          <w:p w14:paraId="0FBAF9BA">
            <w:pPr>
              <w:spacing w:line="300" w:lineRule="exact"/>
              <w:jc w:val="center"/>
              <w:rPr>
                <w:rFonts w:ascii="宋体" w:hAnsi="宋体"/>
                <w:color w:val="auto"/>
                <w:highlight w:val="none"/>
              </w:rPr>
            </w:pPr>
          </w:p>
        </w:tc>
        <w:tc>
          <w:tcPr>
            <w:tcW w:w="1950" w:type="dxa"/>
            <w:noWrap w:val="0"/>
            <w:vAlign w:val="center"/>
          </w:tcPr>
          <w:p w14:paraId="57CD3910">
            <w:pPr>
              <w:spacing w:line="300" w:lineRule="exact"/>
              <w:jc w:val="center"/>
              <w:rPr>
                <w:rFonts w:ascii="宋体" w:hAnsi="宋体"/>
                <w:color w:val="auto"/>
                <w:highlight w:val="none"/>
              </w:rPr>
            </w:pPr>
          </w:p>
        </w:tc>
        <w:tc>
          <w:tcPr>
            <w:tcW w:w="2211" w:type="dxa"/>
            <w:noWrap w:val="0"/>
            <w:vAlign w:val="center"/>
          </w:tcPr>
          <w:p w14:paraId="78BFEE7F">
            <w:pPr>
              <w:spacing w:line="300" w:lineRule="exact"/>
              <w:jc w:val="center"/>
              <w:rPr>
                <w:rFonts w:ascii="宋体" w:hAnsi="宋体"/>
                <w:color w:val="auto"/>
                <w:highlight w:val="none"/>
              </w:rPr>
            </w:pPr>
          </w:p>
        </w:tc>
        <w:tc>
          <w:tcPr>
            <w:tcW w:w="1134" w:type="dxa"/>
            <w:noWrap w:val="0"/>
            <w:vAlign w:val="center"/>
          </w:tcPr>
          <w:p w14:paraId="0D08272C">
            <w:pPr>
              <w:spacing w:line="300" w:lineRule="exact"/>
              <w:jc w:val="center"/>
              <w:rPr>
                <w:rFonts w:ascii="宋体" w:hAnsi="宋体"/>
                <w:color w:val="auto"/>
                <w:highlight w:val="none"/>
              </w:rPr>
            </w:pPr>
          </w:p>
        </w:tc>
        <w:tc>
          <w:tcPr>
            <w:tcW w:w="978" w:type="dxa"/>
            <w:noWrap w:val="0"/>
            <w:vAlign w:val="center"/>
          </w:tcPr>
          <w:p w14:paraId="6A2AAF6C">
            <w:pPr>
              <w:spacing w:line="300" w:lineRule="exact"/>
              <w:jc w:val="center"/>
              <w:rPr>
                <w:rFonts w:ascii="宋体" w:hAnsi="宋体"/>
                <w:color w:val="auto"/>
                <w:highlight w:val="none"/>
              </w:rPr>
            </w:pPr>
          </w:p>
        </w:tc>
        <w:tc>
          <w:tcPr>
            <w:tcW w:w="1432" w:type="dxa"/>
            <w:noWrap w:val="0"/>
            <w:vAlign w:val="center"/>
          </w:tcPr>
          <w:p w14:paraId="52B1CE77">
            <w:pPr>
              <w:spacing w:line="300" w:lineRule="exact"/>
              <w:jc w:val="center"/>
              <w:rPr>
                <w:rFonts w:ascii="宋体" w:hAnsi="宋体"/>
                <w:color w:val="auto"/>
                <w:highlight w:val="none"/>
              </w:rPr>
            </w:pPr>
          </w:p>
        </w:tc>
      </w:tr>
      <w:tr w14:paraId="2671D37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3" w:hRule="exact"/>
          <w:jc w:val="center"/>
        </w:trPr>
        <w:tc>
          <w:tcPr>
            <w:tcW w:w="1192" w:type="dxa"/>
            <w:noWrap w:val="0"/>
            <w:vAlign w:val="center"/>
          </w:tcPr>
          <w:p w14:paraId="655BCDBD">
            <w:pPr>
              <w:spacing w:line="300" w:lineRule="exact"/>
              <w:jc w:val="center"/>
              <w:rPr>
                <w:rFonts w:ascii="宋体" w:hAnsi="宋体"/>
                <w:color w:val="auto"/>
                <w:highlight w:val="none"/>
              </w:rPr>
            </w:pPr>
          </w:p>
        </w:tc>
        <w:tc>
          <w:tcPr>
            <w:tcW w:w="1950" w:type="dxa"/>
            <w:noWrap w:val="0"/>
            <w:vAlign w:val="center"/>
          </w:tcPr>
          <w:p w14:paraId="42A53FB9">
            <w:pPr>
              <w:spacing w:line="300" w:lineRule="exact"/>
              <w:jc w:val="center"/>
              <w:rPr>
                <w:rFonts w:ascii="宋体" w:hAnsi="宋体"/>
                <w:color w:val="auto"/>
                <w:highlight w:val="none"/>
              </w:rPr>
            </w:pPr>
          </w:p>
        </w:tc>
        <w:tc>
          <w:tcPr>
            <w:tcW w:w="2211" w:type="dxa"/>
            <w:noWrap w:val="0"/>
            <w:vAlign w:val="center"/>
          </w:tcPr>
          <w:p w14:paraId="200F6A39">
            <w:pPr>
              <w:spacing w:line="300" w:lineRule="exact"/>
              <w:jc w:val="center"/>
              <w:rPr>
                <w:rFonts w:ascii="宋体" w:hAnsi="宋体"/>
                <w:color w:val="auto"/>
                <w:highlight w:val="none"/>
              </w:rPr>
            </w:pPr>
          </w:p>
        </w:tc>
        <w:tc>
          <w:tcPr>
            <w:tcW w:w="1134" w:type="dxa"/>
            <w:noWrap w:val="0"/>
            <w:vAlign w:val="center"/>
          </w:tcPr>
          <w:p w14:paraId="66655918">
            <w:pPr>
              <w:spacing w:line="300" w:lineRule="exact"/>
              <w:jc w:val="center"/>
              <w:rPr>
                <w:rFonts w:ascii="宋体" w:hAnsi="宋体"/>
                <w:color w:val="auto"/>
                <w:highlight w:val="none"/>
              </w:rPr>
            </w:pPr>
          </w:p>
        </w:tc>
        <w:tc>
          <w:tcPr>
            <w:tcW w:w="978" w:type="dxa"/>
            <w:noWrap w:val="0"/>
            <w:vAlign w:val="center"/>
          </w:tcPr>
          <w:p w14:paraId="3CC76764">
            <w:pPr>
              <w:spacing w:line="300" w:lineRule="exact"/>
              <w:jc w:val="center"/>
              <w:rPr>
                <w:rFonts w:ascii="宋体" w:hAnsi="宋体"/>
                <w:color w:val="auto"/>
                <w:highlight w:val="none"/>
              </w:rPr>
            </w:pPr>
          </w:p>
        </w:tc>
        <w:tc>
          <w:tcPr>
            <w:tcW w:w="1432" w:type="dxa"/>
            <w:noWrap w:val="0"/>
            <w:vAlign w:val="center"/>
          </w:tcPr>
          <w:p w14:paraId="776F38E0">
            <w:pPr>
              <w:spacing w:line="300" w:lineRule="exact"/>
              <w:jc w:val="center"/>
              <w:rPr>
                <w:rFonts w:ascii="宋体" w:hAnsi="宋体"/>
                <w:color w:val="auto"/>
                <w:highlight w:val="none"/>
              </w:rPr>
            </w:pPr>
          </w:p>
        </w:tc>
      </w:tr>
      <w:tr w14:paraId="5C67F26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3" w:hRule="exact"/>
          <w:jc w:val="center"/>
        </w:trPr>
        <w:tc>
          <w:tcPr>
            <w:tcW w:w="1192" w:type="dxa"/>
            <w:noWrap w:val="0"/>
            <w:vAlign w:val="center"/>
          </w:tcPr>
          <w:p w14:paraId="4565E653">
            <w:pPr>
              <w:spacing w:line="300" w:lineRule="exact"/>
              <w:jc w:val="center"/>
              <w:rPr>
                <w:rFonts w:ascii="宋体" w:hAnsi="宋体"/>
                <w:color w:val="auto"/>
                <w:highlight w:val="none"/>
              </w:rPr>
            </w:pPr>
          </w:p>
        </w:tc>
        <w:tc>
          <w:tcPr>
            <w:tcW w:w="1950" w:type="dxa"/>
            <w:noWrap w:val="0"/>
            <w:vAlign w:val="center"/>
          </w:tcPr>
          <w:p w14:paraId="0396F893">
            <w:pPr>
              <w:spacing w:line="300" w:lineRule="exact"/>
              <w:jc w:val="center"/>
              <w:rPr>
                <w:rFonts w:ascii="宋体" w:hAnsi="宋体"/>
                <w:color w:val="auto"/>
                <w:highlight w:val="none"/>
              </w:rPr>
            </w:pPr>
          </w:p>
        </w:tc>
        <w:tc>
          <w:tcPr>
            <w:tcW w:w="2211" w:type="dxa"/>
            <w:noWrap w:val="0"/>
            <w:vAlign w:val="center"/>
          </w:tcPr>
          <w:p w14:paraId="5CABF9A4">
            <w:pPr>
              <w:spacing w:line="300" w:lineRule="exact"/>
              <w:jc w:val="center"/>
              <w:rPr>
                <w:rFonts w:ascii="宋体" w:hAnsi="宋体"/>
                <w:color w:val="auto"/>
                <w:highlight w:val="none"/>
              </w:rPr>
            </w:pPr>
          </w:p>
        </w:tc>
        <w:tc>
          <w:tcPr>
            <w:tcW w:w="1134" w:type="dxa"/>
            <w:noWrap w:val="0"/>
            <w:vAlign w:val="center"/>
          </w:tcPr>
          <w:p w14:paraId="7D1D8173">
            <w:pPr>
              <w:spacing w:line="300" w:lineRule="exact"/>
              <w:jc w:val="center"/>
              <w:rPr>
                <w:rFonts w:ascii="宋体" w:hAnsi="宋体"/>
                <w:color w:val="auto"/>
                <w:highlight w:val="none"/>
              </w:rPr>
            </w:pPr>
          </w:p>
        </w:tc>
        <w:tc>
          <w:tcPr>
            <w:tcW w:w="978" w:type="dxa"/>
            <w:noWrap w:val="0"/>
            <w:vAlign w:val="center"/>
          </w:tcPr>
          <w:p w14:paraId="6D8D16FB">
            <w:pPr>
              <w:spacing w:line="300" w:lineRule="exact"/>
              <w:jc w:val="center"/>
              <w:rPr>
                <w:rFonts w:ascii="宋体" w:hAnsi="宋体"/>
                <w:color w:val="auto"/>
                <w:highlight w:val="none"/>
              </w:rPr>
            </w:pPr>
          </w:p>
        </w:tc>
        <w:tc>
          <w:tcPr>
            <w:tcW w:w="1432" w:type="dxa"/>
            <w:noWrap w:val="0"/>
            <w:vAlign w:val="center"/>
          </w:tcPr>
          <w:p w14:paraId="48DE5C9F">
            <w:pPr>
              <w:spacing w:line="300" w:lineRule="exact"/>
              <w:jc w:val="center"/>
              <w:rPr>
                <w:rFonts w:ascii="宋体" w:hAnsi="宋体"/>
                <w:color w:val="auto"/>
                <w:highlight w:val="none"/>
              </w:rPr>
            </w:pPr>
          </w:p>
        </w:tc>
      </w:tr>
    </w:tbl>
    <w:p w14:paraId="33699C34">
      <w:pPr>
        <w:spacing w:line="360" w:lineRule="auto"/>
        <w:rPr>
          <w:rFonts w:ascii="宋体" w:hAnsi="宋体"/>
          <w:color w:val="auto"/>
          <w:szCs w:val="21"/>
          <w:highlight w:val="none"/>
        </w:rPr>
      </w:pPr>
    </w:p>
    <w:p w14:paraId="2B374D4B">
      <w:pPr>
        <w:rPr>
          <w:rFonts w:ascii="宋体" w:hAnsi="宋体"/>
          <w:b/>
          <w:bCs/>
          <w:color w:val="auto"/>
          <w:szCs w:val="28"/>
          <w:highlight w:val="none"/>
        </w:rPr>
        <w:sectPr>
          <w:pgSz w:w="11907" w:h="16840"/>
          <w:pgMar w:top="1440" w:right="1803" w:bottom="1440" w:left="1803" w:header="851" w:footer="850" w:gutter="0"/>
          <w:pgNumType w:fmt="decimal"/>
          <w:cols w:space="720" w:num="1"/>
          <w:titlePg/>
          <w:docGrid w:type="linesAndChars" w:linePitch="312" w:charSpace="-3473"/>
        </w:sectPr>
      </w:pPr>
    </w:p>
    <w:bookmarkEnd w:id="712"/>
    <w:p w14:paraId="4FBE5109">
      <w:pPr>
        <w:pStyle w:val="4"/>
        <w:rPr>
          <w:rFonts w:ascii="宋体" w:hAnsi="宋体"/>
          <w:bCs w:val="0"/>
          <w:color w:val="auto"/>
          <w:sz w:val="24"/>
          <w:szCs w:val="24"/>
          <w:highlight w:val="none"/>
        </w:rPr>
      </w:pPr>
      <w:bookmarkStart w:id="762" w:name="_Toc28415"/>
      <w:bookmarkStart w:id="763" w:name="_Toc515894162"/>
      <w:bookmarkStart w:id="764" w:name="_Toc311205851"/>
      <w:r>
        <w:rPr>
          <w:rFonts w:hint="eastAsia" w:ascii="宋体" w:hAnsi="宋体"/>
          <w:bCs w:val="0"/>
          <w:color w:val="auto"/>
          <w:sz w:val="24"/>
          <w:szCs w:val="24"/>
          <w:highlight w:val="none"/>
        </w:rPr>
        <w:t>格式10</w:t>
      </w:r>
      <w:bookmarkEnd w:id="762"/>
    </w:p>
    <w:p w14:paraId="140F3381">
      <w:pPr>
        <w:pStyle w:val="4"/>
        <w:rPr>
          <w:rFonts w:ascii="宋体" w:hAnsi="宋体"/>
          <w:color w:val="auto"/>
          <w:sz w:val="28"/>
          <w:highlight w:val="none"/>
        </w:rPr>
      </w:pPr>
      <w:bookmarkStart w:id="765" w:name="_Toc12660"/>
      <w:r>
        <w:rPr>
          <w:rFonts w:hint="eastAsia" w:ascii="宋体" w:hAnsi="宋体"/>
          <w:color w:val="auto"/>
          <w:sz w:val="28"/>
          <w:highlight w:val="none"/>
        </w:rPr>
        <w:t>附表一：拟投入本标段的主要施工设备表</w:t>
      </w:r>
      <w:bookmarkEnd w:id="763"/>
      <w:bookmarkEnd w:id="764"/>
      <w:bookmarkEnd w:id="765"/>
    </w:p>
    <w:tbl>
      <w:tblPr>
        <w:tblStyle w:val="49"/>
        <w:tblW w:w="9252"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24"/>
        <w:gridCol w:w="1086"/>
        <w:gridCol w:w="729"/>
        <w:gridCol w:w="748"/>
        <w:gridCol w:w="748"/>
        <w:gridCol w:w="990"/>
        <w:gridCol w:w="1155"/>
        <w:gridCol w:w="892"/>
        <w:gridCol w:w="990"/>
        <w:gridCol w:w="990"/>
      </w:tblGrid>
      <w:tr w14:paraId="2F3F397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21" w:hRule="atLeast"/>
          <w:jc w:val="center"/>
        </w:trPr>
        <w:tc>
          <w:tcPr>
            <w:tcW w:w="924" w:type="dxa"/>
            <w:noWrap w:val="0"/>
            <w:vAlign w:val="center"/>
          </w:tcPr>
          <w:p w14:paraId="5A2D36BB">
            <w:pPr>
              <w:spacing w:line="300" w:lineRule="exact"/>
              <w:jc w:val="center"/>
              <w:rPr>
                <w:rFonts w:ascii="宋体" w:hAnsi="宋体"/>
                <w:b/>
                <w:color w:val="auto"/>
                <w:szCs w:val="21"/>
                <w:highlight w:val="none"/>
              </w:rPr>
            </w:pPr>
            <w:r>
              <w:rPr>
                <w:rFonts w:hint="eastAsia" w:ascii="宋体" w:hAnsi="宋体"/>
                <w:b/>
                <w:color w:val="auto"/>
                <w:szCs w:val="21"/>
                <w:highlight w:val="none"/>
              </w:rPr>
              <w:t>序号</w:t>
            </w:r>
          </w:p>
        </w:tc>
        <w:tc>
          <w:tcPr>
            <w:tcW w:w="1086" w:type="dxa"/>
            <w:noWrap w:val="0"/>
            <w:vAlign w:val="center"/>
          </w:tcPr>
          <w:p w14:paraId="492DF2CB">
            <w:pPr>
              <w:spacing w:line="300" w:lineRule="exact"/>
              <w:jc w:val="center"/>
              <w:rPr>
                <w:rFonts w:ascii="宋体" w:hAnsi="宋体"/>
                <w:b/>
                <w:color w:val="auto"/>
                <w:szCs w:val="21"/>
                <w:highlight w:val="none"/>
              </w:rPr>
            </w:pPr>
            <w:r>
              <w:rPr>
                <w:rFonts w:hint="eastAsia" w:ascii="宋体" w:hAnsi="宋体"/>
                <w:b/>
                <w:color w:val="auto"/>
                <w:szCs w:val="21"/>
                <w:highlight w:val="none"/>
              </w:rPr>
              <w:t>设备名称</w:t>
            </w:r>
          </w:p>
        </w:tc>
        <w:tc>
          <w:tcPr>
            <w:tcW w:w="729" w:type="dxa"/>
            <w:noWrap w:val="0"/>
            <w:vAlign w:val="center"/>
          </w:tcPr>
          <w:p w14:paraId="1D6CD0BE">
            <w:pPr>
              <w:spacing w:line="300" w:lineRule="exact"/>
              <w:jc w:val="center"/>
              <w:rPr>
                <w:rFonts w:ascii="宋体" w:hAnsi="宋体"/>
                <w:b/>
                <w:color w:val="auto"/>
                <w:szCs w:val="21"/>
                <w:highlight w:val="none"/>
              </w:rPr>
            </w:pPr>
            <w:r>
              <w:rPr>
                <w:rFonts w:hint="eastAsia" w:ascii="宋体" w:hAnsi="宋体"/>
                <w:b/>
                <w:color w:val="auto"/>
                <w:szCs w:val="21"/>
                <w:highlight w:val="none"/>
              </w:rPr>
              <w:t>型号</w:t>
            </w:r>
          </w:p>
          <w:p w14:paraId="3E1A015D">
            <w:pPr>
              <w:spacing w:line="300" w:lineRule="exact"/>
              <w:jc w:val="center"/>
              <w:rPr>
                <w:rFonts w:ascii="宋体" w:hAnsi="宋体"/>
                <w:b/>
                <w:color w:val="auto"/>
                <w:szCs w:val="21"/>
                <w:highlight w:val="none"/>
              </w:rPr>
            </w:pPr>
            <w:r>
              <w:rPr>
                <w:rFonts w:hint="eastAsia" w:ascii="宋体" w:hAnsi="宋体"/>
                <w:b/>
                <w:color w:val="auto"/>
                <w:szCs w:val="21"/>
                <w:highlight w:val="none"/>
              </w:rPr>
              <w:t>规格</w:t>
            </w:r>
          </w:p>
        </w:tc>
        <w:tc>
          <w:tcPr>
            <w:tcW w:w="748" w:type="dxa"/>
            <w:noWrap w:val="0"/>
            <w:vAlign w:val="center"/>
          </w:tcPr>
          <w:p w14:paraId="576EC361">
            <w:pPr>
              <w:spacing w:line="300" w:lineRule="exact"/>
              <w:jc w:val="center"/>
              <w:rPr>
                <w:rFonts w:ascii="宋体" w:hAnsi="宋体"/>
                <w:b/>
                <w:color w:val="auto"/>
                <w:szCs w:val="21"/>
                <w:highlight w:val="none"/>
              </w:rPr>
            </w:pPr>
            <w:r>
              <w:rPr>
                <w:rFonts w:hint="eastAsia" w:ascii="宋体" w:hAnsi="宋体"/>
                <w:b/>
                <w:color w:val="auto"/>
                <w:szCs w:val="21"/>
                <w:highlight w:val="none"/>
              </w:rPr>
              <w:t>数量</w:t>
            </w:r>
          </w:p>
        </w:tc>
        <w:tc>
          <w:tcPr>
            <w:tcW w:w="748" w:type="dxa"/>
            <w:noWrap w:val="0"/>
            <w:vAlign w:val="center"/>
          </w:tcPr>
          <w:p w14:paraId="01C9BEB2">
            <w:pPr>
              <w:spacing w:line="300" w:lineRule="exact"/>
              <w:jc w:val="center"/>
              <w:rPr>
                <w:rFonts w:ascii="宋体" w:hAnsi="宋体"/>
                <w:b/>
                <w:color w:val="auto"/>
                <w:szCs w:val="21"/>
                <w:highlight w:val="none"/>
              </w:rPr>
            </w:pPr>
            <w:r>
              <w:rPr>
                <w:rFonts w:hint="eastAsia" w:ascii="宋体" w:hAnsi="宋体"/>
                <w:b/>
                <w:color w:val="auto"/>
                <w:szCs w:val="21"/>
                <w:highlight w:val="none"/>
              </w:rPr>
              <w:t>国别</w:t>
            </w:r>
          </w:p>
          <w:p w14:paraId="01359DBF">
            <w:pPr>
              <w:spacing w:line="300" w:lineRule="exact"/>
              <w:jc w:val="center"/>
              <w:rPr>
                <w:rFonts w:ascii="宋体" w:hAnsi="宋体"/>
                <w:b/>
                <w:color w:val="auto"/>
                <w:szCs w:val="21"/>
                <w:highlight w:val="none"/>
              </w:rPr>
            </w:pPr>
            <w:r>
              <w:rPr>
                <w:rFonts w:hint="eastAsia" w:ascii="宋体" w:hAnsi="宋体"/>
                <w:b/>
                <w:color w:val="auto"/>
                <w:szCs w:val="21"/>
                <w:highlight w:val="none"/>
              </w:rPr>
              <w:t>产地</w:t>
            </w:r>
          </w:p>
        </w:tc>
        <w:tc>
          <w:tcPr>
            <w:tcW w:w="990" w:type="dxa"/>
            <w:noWrap w:val="0"/>
            <w:vAlign w:val="center"/>
          </w:tcPr>
          <w:p w14:paraId="06C92151">
            <w:pPr>
              <w:spacing w:line="300" w:lineRule="exact"/>
              <w:jc w:val="center"/>
              <w:rPr>
                <w:rFonts w:ascii="宋体" w:hAnsi="宋体"/>
                <w:b/>
                <w:color w:val="auto"/>
                <w:szCs w:val="21"/>
                <w:highlight w:val="none"/>
              </w:rPr>
            </w:pPr>
            <w:r>
              <w:rPr>
                <w:rFonts w:hint="eastAsia" w:ascii="宋体" w:hAnsi="宋体"/>
                <w:b/>
                <w:color w:val="auto"/>
                <w:szCs w:val="21"/>
                <w:highlight w:val="none"/>
              </w:rPr>
              <w:t>制造</w:t>
            </w:r>
          </w:p>
          <w:p w14:paraId="305D3581">
            <w:pPr>
              <w:spacing w:line="300" w:lineRule="exact"/>
              <w:jc w:val="center"/>
              <w:rPr>
                <w:rFonts w:ascii="宋体" w:hAnsi="宋体"/>
                <w:b/>
                <w:color w:val="auto"/>
                <w:szCs w:val="21"/>
                <w:highlight w:val="none"/>
              </w:rPr>
            </w:pPr>
            <w:r>
              <w:rPr>
                <w:rFonts w:hint="eastAsia" w:ascii="宋体" w:hAnsi="宋体"/>
                <w:b/>
                <w:color w:val="auto"/>
                <w:szCs w:val="21"/>
                <w:highlight w:val="none"/>
              </w:rPr>
              <w:t>年份</w:t>
            </w:r>
          </w:p>
        </w:tc>
        <w:tc>
          <w:tcPr>
            <w:tcW w:w="1155" w:type="dxa"/>
            <w:noWrap w:val="0"/>
            <w:vAlign w:val="center"/>
          </w:tcPr>
          <w:p w14:paraId="234F6CB6">
            <w:pPr>
              <w:spacing w:line="300" w:lineRule="exact"/>
              <w:jc w:val="center"/>
              <w:rPr>
                <w:rFonts w:ascii="宋体" w:hAnsi="宋体"/>
                <w:b/>
                <w:color w:val="auto"/>
                <w:szCs w:val="21"/>
                <w:highlight w:val="none"/>
              </w:rPr>
            </w:pPr>
            <w:r>
              <w:rPr>
                <w:rFonts w:hint="eastAsia" w:ascii="宋体" w:hAnsi="宋体"/>
                <w:b/>
                <w:color w:val="auto"/>
                <w:szCs w:val="21"/>
                <w:highlight w:val="none"/>
              </w:rPr>
              <w:t>额定功率</w:t>
            </w:r>
          </w:p>
          <w:p w14:paraId="462B71A1">
            <w:pPr>
              <w:spacing w:line="300" w:lineRule="exact"/>
              <w:jc w:val="center"/>
              <w:rPr>
                <w:rFonts w:ascii="宋体" w:hAnsi="宋体"/>
                <w:b/>
                <w:color w:val="auto"/>
                <w:szCs w:val="21"/>
                <w:highlight w:val="none"/>
              </w:rPr>
            </w:pPr>
            <w:r>
              <w:rPr>
                <w:rFonts w:hint="eastAsia" w:ascii="宋体" w:hAnsi="宋体"/>
                <w:b/>
                <w:color w:val="auto"/>
                <w:szCs w:val="21"/>
                <w:highlight w:val="none"/>
              </w:rPr>
              <w:t>( KW )</w:t>
            </w:r>
          </w:p>
        </w:tc>
        <w:tc>
          <w:tcPr>
            <w:tcW w:w="892" w:type="dxa"/>
            <w:noWrap w:val="0"/>
            <w:vAlign w:val="center"/>
          </w:tcPr>
          <w:p w14:paraId="59B52264">
            <w:pPr>
              <w:spacing w:line="300" w:lineRule="exact"/>
              <w:jc w:val="center"/>
              <w:rPr>
                <w:rFonts w:ascii="宋体" w:hAnsi="宋体"/>
                <w:b/>
                <w:color w:val="auto"/>
                <w:szCs w:val="21"/>
                <w:highlight w:val="none"/>
              </w:rPr>
            </w:pPr>
            <w:r>
              <w:rPr>
                <w:rFonts w:hint="eastAsia" w:ascii="宋体" w:hAnsi="宋体"/>
                <w:b/>
                <w:color w:val="auto"/>
                <w:szCs w:val="21"/>
                <w:highlight w:val="none"/>
              </w:rPr>
              <w:t>生产</w:t>
            </w:r>
          </w:p>
          <w:p w14:paraId="014D7763">
            <w:pPr>
              <w:spacing w:line="300" w:lineRule="exact"/>
              <w:jc w:val="center"/>
              <w:rPr>
                <w:rFonts w:ascii="宋体" w:hAnsi="宋体"/>
                <w:b/>
                <w:color w:val="auto"/>
                <w:szCs w:val="21"/>
                <w:highlight w:val="none"/>
              </w:rPr>
            </w:pPr>
            <w:r>
              <w:rPr>
                <w:rFonts w:hint="eastAsia" w:ascii="宋体" w:hAnsi="宋体"/>
                <w:b/>
                <w:color w:val="auto"/>
                <w:szCs w:val="21"/>
                <w:highlight w:val="none"/>
              </w:rPr>
              <w:t>能力</w:t>
            </w:r>
          </w:p>
        </w:tc>
        <w:tc>
          <w:tcPr>
            <w:tcW w:w="990" w:type="dxa"/>
            <w:noWrap w:val="0"/>
            <w:vAlign w:val="center"/>
          </w:tcPr>
          <w:p w14:paraId="27811B1B">
            <w:pPr>
              <w:spacing w:line="300" w:lineRule="exact"/>
              <w:jc w:val="center"/>
              <w:rPr>
                <w:rFonts w:ascii="宋体" w:hAnsi="宋体"/>
                <w:b/>
                <w:color w:val="auto"/>
                <w:szCs w:val="21"/>
                <w:highlight w:val="none"/>
              </w:rPr>
            </w:pPr>
            <w:r>
              <w:rPr>
                <w:rFonts w:hint="eastAsia" w:ascii="宋体" w:hAnsi="宋体"/>
                <w:b/>
                <w:color w:val="auto"/>
                <w:szCs w:val="21"/>
                <w:highlight w:val="none"/>
              </w:rPr>
              <w:t>用于施</w:t>
            </w:r>
          </w:p>
          <w:p w14:paraId="654ABD54">
            <w:pPr>
              <w:spacing w:line="300" w:lineRule="exact"/>
              <w:jc w:val="center"/>
              <w:rPr>
                <w:rFonts w:ascii="宋体" w:hAnsi="宋体"/>
                <w:b/>
                <w:color w:val="auto"/>
                <w:szCs w:val="21"/>
                <w:highlight w:val="none"/>
              </w:rPr>
            </w:pPr>
            <w:r>
              <w:rPr>
                <w:rFonts w:hint="eastAsia" w:ascii="宋体" w:hAnsi="宋体"/>
                <w:b/>
                <w:color w:val="auto"/>
                <w:szCs w:val="21"/>
                <w:highlight w:val="none"/>
              </w:rPr>
              <w:t>工部位</w:t>
            </w:r>
          </w:p>
        </w:tc>
        <w:tc>
          <w:tcPr>
            <w:tcW w:w="990" w:type="dxa"/>
            <w:noWrap w:val="0"/>
            <w:vAlign w:val="center"/>
          </w:tcPr>
          <w:p w14:paraId="3B6640E8">
            <w:pPr>
              <w:spacing w:line="300" w:lineRule="exact"/>
              <w:jc w:val="center"/>
              <w:rPr>
                <w:rFonts w:ascii="宋体" w:hAnsi="宋体"/>
                <w:b/>
                <w:color w:val="auto"/>
                <w:szCs w:val="21"/>
                <w:highlight w:val="none"/>
              </w:rPr>
            </w:pPr>
            <w:r>
              <w:rPr>
                <w:rFonts w:hint="eastAsia" w:ascii="宋体" w:hAnsi="宋体"/>
                <w:b/>
                <w:color w:val="auto"/>
                <w:szCs w:val="21"/>
                <w:highlight w:val="none"/>
              </w:rPr>
              <w:t>备注</w:t>
            </w:r>
          </w:p>
        </w:tc>
      </w:tr>
      <w:tr w14:paraId="7B668BE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29" w:hRule="atLeast"/>
          <w:jc w:val="center"/>
        </w:trPr>
        <w:tc>
          <w:tcPr>
            <w:tcW w:w="924" w:type="dxa"/>
            <w:noWrap w:val="0"/>
            <w:vAlign w:val="top"/>
          </w:tcPr>
          <w:p w14:paraId="6F406295">
            <w:pPr>
              <w:spacing w:line="360" w:lineRule="auto"/>
              <w:rPr>
                <w:rFonts w:ascii="宋体" w:hAnsi="宋体"/>
                <w:color w:val="auto"/>
                <w:szCs w:val="21"/>
                <w:highlight w:val="none"/>
              </w:rPr>
            </w:pPr>
          </w:p>
        </w:tc>
        <w:tc>
          <w:tcPr>
            <w:tcW w:w="1086" w:type="dxa"/>
            <w:noWrap w:val="0"/>
            <w:vAlign w:val="top"/>
          </w:tcPr>
          <w:p w14:paraId="11EF7BEA">
            <w:pPr>
              <w:spacing w:line="360" w:lineRule="auto"/>
              <w:ind w:firstLine="388" w:firstLineChars="200"/>
              <w:rPr>
                <w:rFonts w:ascii="宋体" w:hAnsi="宋体"/>
                <w:color w:val="auto"/>
                <w:szCs w:val="21"/>
                <w:highlight w:val="none"/>
              </w:rPr>
            </w:pPr>
          </w:p>
        </w:tc>
        <w:tc>
          <w:tcPr>
            <w:tcW w:w="729" w:type="dxa"/>
            <w:noWrap w:val="0"/>
            <w:vAlign w:val="top"/>
          </w:tcPr>
          <w:p w14:paraId="792E8EFE">
            <w:pPr>
              <w:spacing w:line="360" w:lineRule="auto"/>
              <w:rPr>
                <w:rFonts w:ascii="宋体" w:hAnsi="宋体"/>
                <w:color w:val="auto"/>
                <w:szCs w:val="21"/>
                <w:highlight w:val="none"/>
              </w:rPr>
            </w:pPr>
          </w:p>
        </w:tc>
        <w:tc>
          <w:tcPr>
            <w:tcW w:w="748" w:type="dxa"/>
            <w:noWrap w:val="0"/>
            <w:vAlign w:val="top"/>
          </w:tcPr>
          <w:p w14:paraId="642C2AD8">
            <w:pPr>
              <w:spacing w:line="360" w:lineRule="auto"/>
              <w:rPr>
                <w:rFonts w:ascii="宋体" w:hAnsi="宋体"/>
                <w:color w:val="auto"/>
                <w:szCs w:val="21"/>
                <w:highlight w:val="none"/>
              </w:rPr>
            </w:pPr>
          </w:p>
        </w:tc>
        <w:tc>
          <w:tcPr>
            <w:tcW w:w="748" w:type="dxa"/>
            <w:noWrap w:val="0"/>
            <w:vAlign w:val="top"/>
          </w:tcPr>
          <w:p w14:paraId="555103E2">
            <w:pPr>
              <w:spacing w:line="360" w:lineRule="auto"/>
              <w:rPr>
                <w:rFonts w:ascii="宋体" w:hAnsi="宋体"/>
                <w:color w:val="auto"/>
                <w:szCs w:val="21"/>
                <w:highlight w:val="none"/>
              </w:rPr>
            </w:pPr>
          </w:p>
        </w:tc>
        <w:tc>
          <w:tcPr>
            <w:tcW w:w="990" w:type="dxa"/>
            <w:noWrap w:val="0"/>
            <w:vAlign w:val="top"/>
          </w:tcPr>
          <w:p w14:paraId="70D3BDE3">
            <w:pPr>
              <w:spacing w:line="360" w:lineRule="auto"/>
              <w:rPr>
                <w:rFonts w:ascii="宋体" w:hAnsi="宋体"/>
                <w:color w:val="auto"/>
                <w:szCs w:val="21"/>
                <w:highlight w:val="none"/>
              </w:rPr>
            </w:pPr>
          </w:p>
        </w:tc>
        <w:tc>
          <w:tcPr>
            <w:tcW w:w="1155" w:type="dxa"/>
            <w:noWrap w:val="0"/>
            <w:vAlign w:val="top"/>
          </w:tcPr>
          <w:p w14:paraId="1899136B">
            <w:pPr>
              <w:spacing w:line="360" w:lineRule="auto"/>
              <w:rPr>
                <w:rFonts w:ascii="宋体" w:hAnsi="宋体"/>
                <w:color w:val="auto"/>
                <w:szCs w:val="21"/>
                <w:highlight w:val="none"/>
              </w:rPr>
            </w:pPr>
          </w:p>
        </w:tc>
        <w:tc>
          <w:tcPr>
            <w:tcW w:w="892" w:type="dxa"/>
            <w:noWrap w:val="0"/>
            <w:vAlign w:val="top"/>
          </w:tcPr>
          <w:p w14:paraId="29118FFA">
            <w:pPr>
              <w:spacing w:line="360" w:lineRule="auto"/>
              <w:rPr>
                <w:rFonts w:ascii="宋体" w:hAnsi="宋体"/>
                <w:color w:val="auto"/>
                <w:szCs w:val="21"/>
                <w:highlight w:val="none"/>
              </w:rPr>
            </w:pPr>
          </w:p>
        </w:tc>
        <w:tc>
          <w:tcPr>
            <w:tcW w:w="990" w:type="dxa"/>
            <w:noWrap w:val="0"/>
            <w:vAlign w:val="top"/>
          </w:tcPr>
          <w:p w14:paraId="7D6563FF">
            <w:pPr>
              <w:spacing w:line="360" w:lineRule="auto"/>
              <w:rPr>
                <w:rFonts w:ascii="宋体" w:hAnsi="宋体"/>
                <w:color w:val="auto"/>
                <w:szCs w:val="21"/>
                <w:highlight w:val="none"/>
              </w:rPr>
            </w:pPr>
          </w:p>
        </w:tc>
        <w:tc>
          <w:tcPr>
            <w:tcW w:w="990" w:type="dxa"/>
            <w:noWrap w:val="0"/>
            <w:vAlign w:val="top"/>
          </w:tcPr>
          <w:p w14:paraId="4B2F44DD">
            <w:pPr>
              <w:spacing w:line="360" w:lineRule="auto"/>
              <w:rPr>
                <w:rFonts w:ascii="宋体" w:hAnsi="宋体"/>
                <w:color w:val="auto"/>
                <w:szCs w:val="21"/>
                <w:highlight w:val="none"/>
              </w:rPr>
            </w:pPr>
          </w:p>
        </w:tc>
      </w:tr>
      <w:tr w14:paraId="6D6960E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29" w:hRule="atLeast"/>
          <w:jc w:val="center"/>
        </w:trPr>
        <w:tc>
          <w:tcPr>
            <w:tcW w:w="924" w:type="dxa"/>
            <w:noWrap w:val="0"/>
            <w:vAlign w:val="top"/>
          </w:tcPr>
          <w:p w14:paraId="427D8E82">
            <w:pPr>
              <w:spacing w:line="360" w:lineRule="auto"/>
              <w:rPr>
                <w:rFonts w:ascii="宋体" w:hAnsi="宋体"/>
                <w:color w:val="auto"/>
                <w:szCs w:val="21"/>
                <w:highlight w:val="none"/>
              </w:rPr>
            </w:pPr>
          </w:p>
        </w:tc>
        <w:tc>
          <w:tcPr>
            <w:tcW w:w="1086" w:type="dxa"/>
            <w:noWrap w:val="0"/>
            <w:vAlign w:val="top"/>
          </w:tcPr>
          <w:p w14:paraId="36216DE6">
            <w:pPr>
              <w:spacing w:line="360" w:lineRule="auto"/>
              <w:rPr>
                <w:rFonts w:ascii="宋体" w:hAnsi="宋体"/>
                <w:color w:val="auto"/>
                <w:szCs w:val="21"/>
                <w:highlight w:val="none"/>
              </w:rPr>
            </w:pPr>
          </w:p>
        </w:tc>
        <w:tc>
          <w:tcPr>
            <w:tcW w:w="729" w:type="dxa"/>
            <w:noWrap w:val="0"/>
            <w:vAlign w:val="top"/>
          </w:tcPr>
          <w:p w14:paraId="0B391DA1">
            <w:pPr>
              <w:spacing w:line="360" w:lineRule="auto"/>
              <w:rPr>
                <w:rFonts w:ascii="宋体" w:hAnsi="宋体"/>
                <w:color w:val="auto"/>
                <w:szCs w:val="21"/>
                <w:highlight w:val="none"/>
              </w:rPr>
            </w:pPr>
          </w:p>
        </w:tc>
        <w:tc>
          <w:tcPr>
            <w:tcW w:w="748" w:type="dxa"/>
            <w:noWrap w:val="0"/>
            <w:vAlign w:val="top"/>
          </w:tcPr>
          <w:p w14:paraId="1AB8D2D0">
            <w:pPr>
              <w:spacing w:line="360" w:lineRule="auto"/>
              <w:rPr>
                <w:rFonts w:ascii="宋体" w:hAnsi="宋体"/>
                <w:color w:val="auto"/>
                <w:szCs w:val="21"/>
                <w:highlight w:val="none"/>
              </w:rPr>
            </w:pPr>
          </w:p>
        </w:tc>
        <w:tc>
          <w:tcPr>
            <w:tcW w:w="748" w:type="dxa"/>
            <w:noWrap w:val="0"/>
            <w:vAlign w:val="top"/>
          </w:tcPr>
          <w:p w14:paraId="66A5C90B">
            <w:pPr>
              <w:spacing w:line="360" w:lineRule="auto"/>
              <w:rPr>
                <w:rFonts w:ascii="宋体" w:hAnsi="宋体"/>
                <w:color w:val="auto"/>
                <w:szCs w:val="21"/>
                <w:highlight w:val="none"/>
              </w:rPr>
            </w:pPr>
          </w:p>
        </w:tc>
        <w:tc>
          <w:tcPr>
            <w:tcW w:w="990" w:type="dxa"/>
            <w:noWrap w:val="0"/>
            <w:vAlign w:val="top"/>
          </w:tcPr>
          <w:p w14:paraId="75853EFB">
            <w:pPr>
              <w:spacing w:line="360" w:lineRule="auto"/>
              <w:rPr>
                <w:rFonts w:ascii="宋体" w:hAnsi="宋体"/>
                <w:color w:val="auto"/>
                <w:szCs w:val="21"/>
                <w:highlight w:val="none"/>
              </w:rPr>
            </w:pPr>
          </w:p>
        </w:tc>
        <w:tc>
          <w:tcPr>
            <w:tcW w:w="1155" w:type="dxa"/>
            <w:noWrap w:val="0"/>
            <w:vAlign w:val="top"/>
          </w:tcPr>
          <w:p w14:paraId="1AC8A54A">
            <w:pPr>
              <w:spacing w:line="360" w:lineRule="auto"/>
              <w:rPr>
                <w:rFonts w:ascii="宋体" w:hAnsi="宋体"/>
                <w:color w:val="auto"/>
                <w:szCs w:val="21"/>
                <w:highlight w:val="none"/>
              </w:rPr>
            </w:pPr>
          </w:p>
        </w:tc>
        <w:tc>
          <w:tcPr>
            <w:tcW w:w="892" w:type="dxa"/>
            <w:noWrap w:val="0"/>
            <w:vAlign w:val="top"/>
          </w:tcPr>
          <w:p w14:paraId="2F031224">
            <w:pPr>
              <w:spacing w:line="360" w:lineRule="auto"/>
              <w:rPr>
                <w:rFonts w:ascii="宋体" w:hAnsi="宋体"/>
                <w:color w:val="auto"/>
                <w:szCs w:val="21"/>
                <w:highlight w:val="none"/>
              </w:rPr>
            </w:pPr>
          </w:p>
        </w:tc>
        <w:tc>
          <w:tcPr>
            <w:tcW w:w="990" w:type="dxa"/>
            <w:noWrap w:val="0"/>
            <w:vAlign w:val="top"/>
          </w:tcPr>
          <w:p w14:paraId="4B7B8992">
            <w:pPr>
              <w:spacing w:line="360" w:lineRule="auto"/>
              <w:rPr>
                <w:rFonts w:ascii="宋体" w:hAnsi="宋体"/>
                <w:color w:val="auto"/>
                <w:szCs w:val="21"/>
                <w:highlight w:val="none"/>
              </w:rPr>
            </w:pPr>
          </w:p>
        </w:tc>
        <w:tc>
          <w:tcPr>
            <w:tcW w:w="990" w:type="dxa"/>
            <w:noWrap w:val="0"/>
            <w:vAlign w:val="top"/>
          </w:tcPr>
          <w:p w14:paraId="3B68659D">
            <w:pPr>
              <w:spacing w:line="360" w:lineRule="auto"/>
              <w:rPr>
                <w:rFonts w:ascii="宋体" w:hAnsi="宋体"/>
                <w:color w:val="auto"/>
                <w:szCs w:val="21"/>
                <w:highlight w:val="none"/>
              </w:rPr>
            </w:pPr>
          </w:p>
        </w:tc>
      </w:tr>
      <w:tr w14:paraId="45011C7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29" w:hRule="atLeast"/>
          <w:jc w:val="center"/>
        </w:trPr>
        <w:tc>
          <w:tcPr>
            <w:tcW w:w="924" w:type="dxa"/>
            <w:noWrap w:val="0"/>
            <w:vAlign w:val="top"/>
          </w:tcPr>
          <w:p w14:paraId="09B9FEC3">
            <w:pPr>
              <w:spacing w:line="360" w:lineRule="auto"/>
              <w:rPr>
                <w:rFonts w:ascii="宋体" w:hAnsi="宋体"/>
                <w:color w:val="auto"/>
                <w:szCs w:val="21"/>
                <w:highlight w:val="none"/>
              </w:rPr>
            </w:pPr>
          </w:p>
        </w:tc>
        <w:tc>
          <w:tcPr>
            <w:tcW w:w="1086" w:type="dxa"/>
            <w:noWrap w:val="0"/>
            <w:vAlign w:val="top"/>
          </w:tcPr>
          <w:p w14:paraId="66930DE5">
            <w:pPr>
              <w:spacing w:line="360" w:lineRule="auto"/>
              <w:rPr>
                <w:rFonts w:ascii="宋体" w:hAnsi="宋体"/>
                <w:color w:val="auto"/>
                <w:szCs w:val="21"/>
                <w:highlight w:val="none"/>
              </w:rPr>
            </w:pPr>
          </w:p>
        </w:tc>
        <w:tc>
          <w:tcPr>
            <w:tcW w:w="729" w:type="dxa"/>
            <w:noWrap w:val="0"/>
            <w:vAlign w:val="top"/>
          </w:tcPr>
          <w:p w14:paraId="383D53DF">
            <w:pPr>
              <w:spacing w:line="360" w:lineRule="auto"/>
              <w:rPr>
                <w:rFonts w:ascii="宋体" w:hAnsi="宋体"/>
                <w:color w:val="auto"/>
                <w:szCs w:val="21"/>
                <w:highlight w:val="none"/>
              </w:rPr>
            </w:pPr>
          </w:p>
        </w:tc>
        <w:tc>
          <w:tcPr>
            <w:tcW w:w="748" w:type="dxa"/>
            <w:noWrap w:val="0"/>
            <w:vAlign w:val="top"/>
          </w:tcPr>
          <w:p w14:paraId="25447A5D">
            <w:pPr>
              <w:spacing w:line="360" w:lineRule="auto"/>
              <w:rPr>
                <w:rFonts w:ascii="宋体" w:hAnsi="宋体"/>
                <w:color w:val="auto"/>
                <w:szCs w:val="21"/>
                <w:highlight w:val="none"/>
              </w:rPr>
            </w:pPr>
          </w:p>
        </w:tc>
        <w:tc>
          <w:tcPr>
            <w:tcW w:w="748" w:type="dxa"/>
            <w:noWrap w:val="0"/>
            <w:vAlign w:val="top"/>
          </w:tcPr>
          <w:p w14:paraId="24CC4278">
            <w:pPr>
              <w:spacing w:line="360" w:lineRule="auto"/>
              <w:rPr>
                <w:rFonts w:ascii="宋体" w:hAnsi="宋体"/>
                <w:color w:val="auto"/>
                <w:szCs w:val="21"/>
                <w:highlight w:val="none"/>
              </w:rPr>
            </w:pPr>
          </w:p>
        </w:tc>
        <w:tc>
          <w:tcPr>
            <w:tcW w:w="990" w:type="dxa"/>
            <w:noWrap w:val="0"/>
            <w:vAlign w:val="top"/>
          </w:tcPr>
          <w:p w14:paraId="2404BA8F">
            <w:pPr>
              <w:spacing w:line="360" w:lineRule="auto"/>
              <w:rPr>
                <w:rFonts w:ascii="宋体" w:hAnsi="宋体"/>
                <w:color w:val="auto"/>
                <w:szCs w:val="21"/>
                <w:highlight w:val="none"/>
              </w:rPr>
            </w:pPr>
          </w:p>
        </w:tc>
        <w:tc>
          <w:tcPr>
            <w:tcW w:w="1155" w:type="dxa"/>
            <w:noWrap w:val="0"/>
            <w:vAlign w:val="top"/>
          </w:tcPr>
          <w:p w14:paraId="7B107176">
            <w:pPr>
              <w:spacing w:line="360" w:lineRule="auto"/>
              <w:rPr>
                <w:rFonts w:ascii="宋体" w:hAnsi="宋体"/>
                <w:color w:val="auto"/>
                <w:szCs w:val="21"/>
                <w:highlight w:val="none"/>
              </w:rPr>
            </w:pPr>
          </w:p>
        </w:tc>
        <w:tc>
          <w:tcPr>
            <w:tcW w:w="892" w:type="dxa"/>
            <w:noWrap w:val="0"/>
            <w:vAlign w:val="top"/>
          </w:tcPr>
          <w:p w14:paraId="33BC31DD">
            <w:pPr>
              <w:spacing w:line="360" w:lineRule="auto"/>
              <w:rPr>
                <w:rFonts w:ascii="宋体" w:hAnsi="宋体"/>
                <w:color w:val="auto"/>
                <w:szCs w:val="21"/>
                <w:highlight w:val="none"/>
              </w:rPr>
            </w:pPr>
          </w:p>
        </w:tc>
        <w:tc>
          <w:tcPr>
            <w:tcW w:w="990" w:type="dxa"/>
            <w:noWrap w:val="0"/>
            <w:vAlign w:val="top"/>
          </w:tcPr>
          <w:p w14:paraId="24820F47">
            <w:pPr>
              <w:spacing w:line="360" w:lineRule="auto"/>
              <w:rPr>
                <w:rFonts w:ascii="宋体" w:hAnsi="宋体"/>
                <w:color w:val="auto"/>
                <w:szCs w:val="21"/>
                <w:highlight w:val="none"/>
              </w:rPr>
            </w:pPr>
          </w:p>
        </w:tc>
        <w:tc>
          <w:tcPr>
            <w:tcW w:w="990" w:type="dxa"/>
            <w:noWrap w:val="0"/>
            <w:vAlign w:val="top"/>
          </w:tcPr>
          <w:p w14:paraId="375F5CEB">
            <w:pPr>
              <w:spacing w:line="360" w:lineRule="auto"/>
              <w:rPr>
                <w:rFonts w:ascii="宋体" w:hAnsi="宋体"/>
                <w:color w:val="auto"/>
                <w:szCs w:val="21"/>
                <w:highlight w:val="none"/>
              </w:rPr>
            </w:pPr>
          </w:p>
        </w:tc>
      </w:tr>
      <w:tr w14:paraId="0FA4EE3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30" w:hRule="atLeast"/>
          <w:jc w:val="center"/>
        </w:trPr>
        <w:tc>
          <w:tcPr>
            <w:tcW w:w="924" w:type="dxa"/>
            <w:noWrap w:val="0"/>
            <w:vAlign w:val="top"/>
          </w:tcPr>
          <w:p w14:paraId="041410D0">
            <w:pPr>
              <w:spacing w:line="360" w:lineRule="auto"/>
              <w:rPr>
                <w:rFonts w:ascii="宋体" w:hAnsi="宋体"/>
                <w:color w:val="auto"/>
                <w:szCs w:val="21"/>
                <w:highlight w:val="none"/>
              </w:rPr>
            </w:pPr>
          </w:p>
        </w:tc>
        <w:tc>
          <w:tcPr>
            <w:tcW w:w="1086" w:type="dxa"/>
            <w:noWrap w:val="0"/>
            <w:vAlign w:val="top"/>
          </w:tcPr>
          <w:p w14:paraId="4ECA1CF8">
            <w:pPr>
              <w:spacing w:line="360" w:lineRule="auto"/>
              <w:rPr>
                <w:rFonts w:ascii="宋体" w:hAnsi="宋体"/>
                <w:color w:val="auto"/>
                <w:szCs w:val="21"/>
                <w:highlight w:val="none"/>
              </w:rPr>
            </w:pPr>
          </w:p>
        </w:tc>
        <w:tc>
          <w:tcPr>
            <w:tcW w:w="729" w:type="dxa"/>
            <w:noWrap w:val="0"/>
            <w:vAlign w:val="top"/>
          </w:tcPr>
          <w:p w14:paraId="014D1C33">
            <w:pPr>
              <w:spacing w:line="360" w:lineRule="auto"/>
              <w:rPr>
                <w:rFonts w:ascii="宋体" w:hAnsi="宋体"/>
                <w:color w:val="auto"/>
                <w:szCs w:val="21"/>
                <w:highlight w:val="none"/>
              </w:rPr>
            </w:pPr>
          </w:p>
        </w:tc>
        <w:tc>
          <w:tcPr>
            <w:tcW w:w="748" w:type="dxa"/>
            <w:noWrap w:val="0"/>
            <w:vAlign w:val="top"/>
          </w:tcPr>
          <w:p w14:paraId="5A0D5DB9">
            <w:pPr>
              <w:spacing w:line="360" w:lineRule="auto"/>
              <w:rPr>
                <w:rFonts w:ascii="宋体" w:hAnsi="宋体"/>
                <w:color w:val="auto"/>
                <w:szCs w:val="21"/>
                <w:highlight w:val="none"/>
              </w:rPr>
            </w:pPr>
          </w:p>
        </w:tc>
        <w:tc>
          <w:tcPr>
            <w:tcW w:w="748" w:type="dxa"/>
            <w:noWrap w:val="0"/>
            <w:vAlign w:val="top"/>
          </w:tcPr>
          <w:p w14:paraId="5AED76CB">
            <w:pPr>
              <w:spacing w:line="360" w:lineRule="auto"/>
              <w:rPr>
                <w:rFonts w:ascii="宋体" w:hAnsi="宋体"/>
                <w:color w:val="auto"/>
                <w:szCs w:val="21"/>
                <w:highlight w:val="none"/>
              </w:rPr>
            </w:pPr>
          </w:p>
        </w:tc>
        <w:tc>
          <w:tcPr>
            <w:tcW w:w="990" w:type="dxa"/>
            <w:noWrap w:val="0"/>
            <w:vAlign w:val="top"/>
          </w:tcPr>
          <w:p w14:paraId="5C27263E">
            <w:pPr>
              <w:spacing w:line="360" w:lineRule="auto"/>
              <w:rPr>
                <w:rFonts w:ascii="宋体" w:hAnsi="宋体"/>
                <w:color w:val="auto"/>
                <w:szCs w:val="21"/>
                <w:highlight w:val="none"/>
              </w:rPr>
            </w:pPr>
          </w:p>
        </w:tc>
        <w:tc>
          <w:tcPr>
            <w:tcW w:w="1155" w:type="dxa"/>
            <w:noWrap w:val="0"/>
            <w:vAlign w:val="top"/>
          </w:tcPr>
          <w:p w14:paraId="5C6E364B">
            <w:pPr>
              <w:spacing w:line="360" w:lineRule="auto"/>
              <w:rPr>
                <w:rFonts w:ascii="宋体" w:hAnsi="宋体"/>
                <w:color w:val="auto"/>
                <w:szCs w:val="21"/>
                <w:highlight w:val="none"/>
              </w:rPr>
            </w:pPr>
          </w:p>
        </w:tc>
        <w:tc>
          <w:tcPr>
            <w:tcW w:w="892" w:type="dxa"/>
            <w:noWrap w:val="0"/>
            <w:vAlign w:val="top"/>
          </w:tcPr>
          <w:p w14:paraId="37D15F21">
            <w:pPr>
              <w:spacing w:line="360" w:lineRule="auto"/>
              <w:rPr>
                <w:rFonts w:ascii="宋体" w:hAnsi="宋体"/>
                <w:color w:val="auto"/>
                <w:szCs w:val="21"/>
                <w:highlight w:val="none"/>
              </w:rPr>
            </w:pPr>
          </w:p>
        </w:tc>
        <w:tc>
          <w:tcPr>
            <w:tcW w:w="990" w:type="dxa"/>
            <w:noWrap w:val="0"/>
            <w:vAlign w:val="top"/>
          </w:tcPr>
          <w:p w14:paraId="201D38EE">
            <w:pPr>
              <w:spacing w:line="360" w:lineRule="auto"/>
              <w:rPr>
                <w:rFonts w:ascii="宋体" w:hAnsi="宋体"/>
                <w:color w:val="auto"/>
                <w:szCs w:val="21"/>
                <w:highlight w:val="none"/>
              </w:rPr>
            </w:pPr>
          </w:p>
        </w:tc>
        <w:tc>
          <w:tcPr>
            <w:tcW w:w="990" w:type="dxa"/>
            <w:noWrap w:val="0"/>
            <w:vAlign w:val="top"/>
          </w:tcPr>
          <w:p w14:paraId="129F7643">
            <w:pPr>
              <w:spacing w:line="360" w:lineRule="auto"/>
              <w:rPr>
                <w:rFonts w:ascii="宋体" w:hAnsi="宋体"/>
                <w:color w:val="auto"/>
                <w:szCs w:val="21"/>
                <w:highlight w:val="none"/>
              </w:rPr>
            </w:pPr>
          </w:p>
        </w:tc>
      </w:tr>
      <w:tr w14:paraId="4C63A7A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29" w:hRule="atLeast"/>
          <w:jc w:val="center"/>
        </w:trPr>
        <w:tc>
          <w:tcPr>
            <w:tcW w:w="924" w:type="dxa"/>
            <w:noWrap w:val="0"/>
            <w:vAlign w:val="top"/>
          </w:tcPr>
          <w:p w14:paraId="3898092E">
            <w:pPr>
              <w:spacing w:line="360" w:lineRule="auto"/>
              <w:rPr>
                <w:rFonts w:ascii="宋体" w:hAnsi="宋体"/>
                <w:color w:val="auto"/>
                <w:szCs w:val="21"/>
                <w:highlight w:val="none"/>
              </w:rPr>
            </w:pPr>
          </w:p>
        </w:tc>
        <w:tc>
          <w:tcPr>
            <w:tcW w:w="1086" w:type="dxa"/>
            <w:noWrap w:val="0"/>
            <w:vAlign w:val="top"/>
          </w:tcPr>
          <w:p w14:paraId="69EB699A">
            <w:pPr>
              <w:spacing w:line="360" w:lineRule="auto"/>
              <w:rPr>
                <w:rFonts w:ascii="宋体" w:hAnsi="宋体"/>
                <w:color w:val="auto"/>
                <w:szCs w:val="21"/>
                <w:highlight w:val="none"/>
              </w:rPr>
            </w:pPr>
          </w:p>
        </w:tc>
        <w:tc>
          <w:tcPr>
            <w:tcW w:w="729" w:type="dxa"/>
            <w:noWrap w:val="0"/>
            <w:vAlign w:val="top"/>
          </w:tcPr>
          <w:p w14:paraId="618F5765">
            <w:pPr>
              <w:spacing w:line="360" w:lineRule="auto"/>
              <w:rPr>
                <w:rFonts w:ascii="宋体" w:hAnsi="宋体"/>
                <w:color w:val="auto"/>
                <w:szCs w:val="21"/>
                <w:highlight w:val="none"/>
              </w:rPr>
            </w:pPr>
          </w:p>
        </w:tc>
        <w:tc>
          <w:tcPr>
            <w:tcW w:w="748" w:type="dxa"/>
            <w:noWrap w:val="0"/>
            <w:vAlign w:val="top"/>
          </w:tcPr>
          <w:p w14:paraId="72337088">
            <w:pPr>
              <w:spacing w:line="360" w:lineRule="auto"/>
              <w:rPr>
                <w:rFonts w:ascii="宋体" w:hAnsi="宋体"/>
                <w:color w:val="auto"/>
                <w:szCs w:val="21"/>
                <w:highlight w:val="none"/>
              </w:rPr>
            </w:pPr>
          </w:p>
        </w:tc>
        <w:tc>
          <w:tcPr>
            <w:tcW w:w="748" w:type="dxa"/>
            <w:noWrap w:val="0"/>
            <w:vAlign w:val="top"/>
          </w:tcPr>
          <w:p w14:paraId="4E72AA01">
            <w:pPr>
              <w:spacing w:line="360" w:lineRule="auto"/>
              <w:rPr>
                <w:rFonts w:ascii="宋体" w:hAnsi="宋体"/>
                <w:color w:val="auto"/>
                <w:szCs w:val="21"/>
                <w:highlight w:val="none"/>
              </w:rPr>
            </w:pPr>
          </w:p>
        </w:tc>
        <w:tc>
          <w:tcPr>
            <w:tcW w:w="990" w:type="dxa"/>
            <w:noWrap w:val="0"/>
            <w:vAlign w:val="top"/>
          </w:tcPr>
          <w:p w14:paraId="4F273D4C">
            <w:pPr>
              <w:spacing w:line="360" w:lineRule="auto"/>
              <w:rPr>
                <w:rFonts w:ascii="宋体" w:hAnsi="宋体"/>
                <w:color w:val="auto"/>
                <w:szCs w:val="21"/>
                <w:highlight w:val="none"/>
              </w:rPr>
            </w:pPr>
          </w:p>
        </w:tc>
        <w:tc>
          <w:tcPr>
            <w:tcW w:w="1155" w:type="dxa"/>
            <w:noWrap w:val="0"/>
            <w:vAlign w:val="top"/>
          </w:tcPr>
          <w:p w14:paraId="20AF87B4">
            <w:pPr>
              <w:spacing w:line="360" w:lineRule="auto"/>
              <w:rPr>
                <w:rFonts w:ascii="宋体" w:hAnsi="宋体"/>
                <w:color w:val="auto"/>
                <w:szCs w:val="21"/>
                <w:highlight w:val="none"/>
              </w:rPr>
            </w:pPr>
          </w:p>
        </w:tc>
        <w:tc>
          <w:tcPr>
            <w:tcW w:w="892" w:type="dxa"/>
            <w:noWrap w:val="0"/>
            <w:vAlign w:val="top"/>
          </w:tcPr>
          <w:p w14:paraId="52587569">
            <w:pPr>
              <w:spacing w:line="360" w:lineRule="auto"/>
              <w:rPr>
                <w:rFonts w:ascii="宋体" w:hAnsi="宋体"/>
                <w:color w:val="auto"/>
                <w:szCs w:val="21"/>
                <w:highlight w:val="none"/>
              </w:rPr>
            </w:pPr>
          </w:p>
        </w:tc>
        <w:tc>
          <w:tcPr>
            <w:tcW w:w="990" w:type="dxa"/>
            <w:noWrap w:val="0"/>
            <w:vAlign w:val="top"/>
          </w:tcPr>
          <w:p w14:paraId="42B3369D">
            <w:pPr>
              <w:spacing w:line="360" w:lineRule="auto"/>
              <w:rPr>
                <w:rFonts w:ascii="宋体" w:hAnsi="宋体"/>
                <w:color w:val="auto"/>
                <w:szCs w:val="21"/>
                <w:highlight w:val="none"/>
              </w:rPr>
            </w:pPr>
          </w:p>
        </w:tc>
        <w:tc>
          <w:tcPr>
            <w:tcW w:w="990" w:type="dxa"/>
            <w:noWrap w:val="0"/>
            <w:vAlign w:val="top"/>
          </w:tcPr>
          <w:p w14:paraId="1DBA9C5F">
            <w:pPr>
              <w:spacing w:line="360" w:lineRule="auto"/>
              <w:rPr>
                <w:rFonts w:ascii="宋体" w:hAnsi="宋体"/>
                <w:color w:val="auto"/>
                <w:szCs w:val="21"/>
                <w:highlight w:val="none"/>
              </w:rPr>
            </w:pPr>
          </w:p>
        </w:tc>
      </w:tr>
      <w:tr w14:paraId="5D4EF84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29" w:hRule="atLeast"/>
          <w:jc w:val="center"/>
        </w:trPr>
        <w:tc>
          <w:tcPr>
            <w:tcW w:w="924" w:type="dxa"/>
            <w:noWrap w:val="0"/>
            <w:vAlign w:val="top"/>
          </w:tcPr>
          <w:p w14:paraId="4E5DFB11">
            <w:pPr>
              <w:spacing w:line="360" w:lineRule="auto"/>
              <w:rPr>
                <w:rFonts w:ascii="宋体" w:hAnsi="宋体"/>
                <w:color w:val="auto"/>
                <w:szCs w:val="21"/>
                <w:highlight w:val="none"/>
              </w:rPr>
            </w:pPr>
          </w:p>
        </w:tc>
        <w:tc>
          <w:tcPr>
            <w:tcW w:w="1086" w:type="dxa"/>
            <w:noWrap w:val="0"/>
            <w:vAlign w:val="top"/>
          </w:tcPr>
          <w:p w14:paraId="66067E10">
            <w:pPr>
              <w:spacing w:line="360" w:lineRule="auto"/>
              <w:rPr>
                <w:rFonts w:ascii="宋体" w:hAnsi="宋体"/>
                <w:color w:val="auto"/>
                <w:szCs w:val="21"/>
                <w:highlight w:val="none"/>
              </w:rPr>
            </w:pPr>
          </w:p>
        </w:tc>
        <w:tc>
          <w:tcPr>
            <w:tcW w:w="729" w:type="dxa"/>
            <w:noWrap w:val="0"/>
            <w:vAlign w:val="top"/>
          </w:tcPr>
          <w:p w14:paraId="3374C2D3">
            <w:pPr>
              <w:spacing w:line="360" w:lineRule="auto"/>
              <w:rPr>
                <w:rFonts w:ascii="宋体" w:hAnsi="宋体"/>
                <w:color w:val="auto"/>
                <w:szCs w:val="21"/>
                <w:highlight w:val="none"/>
              </w:rPr>
            </w:pPr>
          </w:p>
        </w:tc>
        <w:tc>
          <w:tcPr>
            <w:tcW w:w="748" w:type="dxa"/>
            <w:noWrap w:val="0"/>
            <w:vAlign w:val="top"/>
          </w:tcPr>
          <w:p w14:paraId="4C4B214F">
            <w:pPr>
              <w:spacing w:line="360" w:lineRule="auto"/>
              <w:rPr>
                <w:rFonts w:ascii="宋体" w:hAnsi="宋体"/>
                <w:color w:val="auto"/>
                <w:szCs w:val="21"/>
                <w:highlight w:val="none"/>
              </w:rPr>
            </w:pPr>
          </w:p>
        </w:tc>
        <w:tc>
          <w:tcPr>
            <w:tcW w:w="748" w:type="dxa"/>
            <w:noWrap w:val="0"/>
            <w:vAlign w:val="top"/>
          </w:tcPr>
          <w:p w14:paraId="0183A228">
            <w:pPr>
              <w:spacing w:line="360" w:lineRule="auto"/>
              <w:rPr>
                <w:rFonts w:ascii="宋体" w:hAnsi="宋体"/>
                <w:color w:val="auto"/>
                <w:szCs w:val="21"/>
                <w:highlight w:val="none"/>
              </w:rPr>
            </w:pPr>
          </w:p>
        </w:tc>
        <w:tc>
          <w:tcPr>
            <w:tcW w:w="990" w:type="dxa"/>
            <w:noWrap w:val="0"/>
            <w:vAlign w:val="top"/>
          </w:tcPr>
          <w:p w14:paraId="07CE2255">
            <w:pPr>
              <w:spacing w:line="360" w:lineRule="auto"/>
              <w:rPr>
                <w:rFonts w:ascii="宋体" w:hAnsi="宋体"/>
                <w:color w:val="auto"/>
                <w:szCs w:val="21"/>
                <w:highlight w:val="none"/>
              </w:rPr>
            </w:pPr>
          </w:p>
        </w:tc>
        <w:tc>
          <w:tcPr>
            <w:tcW w:w="1155" w:type="dxa"/>
            <w:noWrap w:val="0"/>
            <w:vAlign w:val="top"/>
          </w:tcPr>
          <w:p w14:paraId="34193796">
            <w:pPr>
              <w:spacing w:line="360" w:lineRule="auto"/>
              <w:rPr>
                <w:rFonts w:ascii="宋体" w:hAnsi="宋体"/>
                <w:color w:val="auto"/>
                <w:szCs w:val="21"/>
                <w:highlight w:val="none"/>
              </w:rPr>
            </w:pPr>
          </w:p>
        </w:tc>
        <w:tc>
          <w:tcPr>
            <w:tcW w:w="892" w:type="dxa"/>
            <w:noWrap w:val="0"/>
            <w:vAlign w:val="top"/>
          </w:tcPr>
          <w:p w14:paraId="4C63304F">
            <w:pPr>
              <w:spacing w:line="360" w:lineRule="auto"/>
              <w:rPr>
                <w:rFonts w:ascii="宋体" w:hAnsi="宋体"/>
                <w:color w:val="auto"/>
                <w:szCs w:val="21"/>
                <w:highlight w:val="none"/>
              </w:rPr>
            </w:pPr>
          </w:p>
        </w:tc>
        <w:tc>
          <w:tcPr>
            <w:tcW w:w="990" w:type="dxa"/>
            <w:noWrap w:val="0"/>
            <w:vAlign w:val="top"/>
          </w:tcPr>
          <w:p w14:paraId="46211400">
            <w:pPr>
              <w:spacing w:line="360" w:lineRule="auto"/>
              <w:rPr>
                <w:rFonts w:ascii="宋体" w:hAnsi="宋体"/>
                <w:color w:val="auto"/>
                <w:szCs w:val="21"/>
                <w:highlight w:val="none"/>
              </w:rPr>
            </w:pPr>
          </w:p>
        </w:tc>
        <w:tc>
          <w:tcPr>
            <w:tcW w:w="990" w:type="dxa"/>
            <w:noWrap w:val="0"/>
            <w:vAlign w:val="top"/>
          </w:tcPr>
          <w:p w14:paraId="1EEEC133">
            <w:pPr>
              <w:spacing w:line="360" w:lineRule="auto"/>
              <w:rPr>
                <w:rFonts w:ascii="宋体" w:hAnsi="宋体"/>
                <w:color w:val="auto"/>
                <w:szCs w:val="21"/>
                <w:highlight w:val="none"/>
              </w:rPr>
            </w:pPr>
          </w:p>
        </w:tc>
      </w:tr>
      <w:tr w14:paraId="49511AE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29" w:hRule="atLeast"/>
          <w:jc w:val="center"/>
        </w:trPr>
        <w:tc>
          <w:tcPr>
            <w:tcW w:w="924" w:type="dxa"/>
            <w:noWrap w:val="0"/>
            <w:vAlign w:val="top"/>
          </w:tcPr>
          <w:p w14:paraId="25CB4FCA">
            <w:pPr>
              <w:spacing w:line="360" w:lineRule="auto"/>
              <w:rPr>
                <w:rFonts w:ascii="宋体" w:hAnsi="宋体"/>
                <w:color w:val="auto"/>
                <w:szCs w:val="21"/>
                <w:highlight w:val="none"/>
              </w:rPr>
            </w:pPr>
          </w:p>
        </w:tc>
        <w:tc>
          <w:tcPr>
            <w:tcW w:w="1086" w:type="dxa"/>
            <w:noWrap w:val="0"/>
            <w:vAlign w:val="top"/>
          </w:tcPr>
          <w:p w14:paraId="3971A113">
            <w:pPr>
              <w:spacing w:line="360" w:lineRule="auto"/>
              <w:rPr>
                <w:rFonts w:ascii="宋体" w:hAnsi="宋体"/>
                <w:color w:val="auto"/>
                <w:szCs w:val="21"/>
                <w:highlight w:val="none"/>
              </w:rPr>
            </w:pPr>
          </w:p>
        </w:tc>
        <w:tc>
          <w:tcPr>
            <w:tcW w:w="729" w:type="dxa"/>
            <w:noWrap w:val="0"/>
            <w:vAlign w:val="top"/>
          </w:tcPr>
          <w:p w14:paraId="1AB677BD">
            <w:pPr>
              <w:spacing w:line="360" w:lineRule="auto"/>
              <w:rPr>
                <w:rFonts w:ascii="宋体" w:hAnsi="宋体"/>
                <w:color w:val="auto"/>
                <w:szCs w:val="21"/>
                <w:highlight w:val="none"/>
              </w:rPr>
            </w:pPr>
          </w:p>
        </w:tc>
        <w:tc>
          <w:tcPr>
            <w:tcW w:w="748" w:type="dxa"/>
            <w:noWrap w:val="0"/>
            <w:vAlign w:val="top"/>
          </w:tcPr>
          <w:p w14:paraId="116C4AAD">
            <w:pPr>
              <w:spacing w:line="360" w:lineRule="auto"/>
              <w:rPr>
                <w:rFonts w:ascii="宋体" w:hAnsi="宋体"/>
                <w:color w:val="auto"/>
                <w:szCs w:val="21"/>
                <w:highlight w:val="none"/>
              </w:rPr>
            </w:pPr>
          </w:p>
        </w:tc>
        <w:tc>
          <w:tcPr>
            <w:tcW w:w="748" w:type="dxa"/>
            <w:noWrap w:val="0"/>
            <w:vAlign w:val="top"/>
          </w:tcPr>
          <w:p w14:paraId="7091053B">
            <w:pPr>
              <w:spacing w:line="360" w:lineRule="auto"/>
              <w:rPr>
                <w:rFonts w:ascii="宋体" w:hAnsi="宋体"/>
                <w:color w:val="auto"/>
                <w:szCs w:val="21"/>
                <w:highlight w:val="none"/>
              </w:rPr>
            </w:pPr>
          </w:p>
        </w:tc>
        <w:tc>
          <w:tcPr>
            <w:tcW w:w="990" w:type="dxa"/>
            <w:noWrap w:val="0"/>
            <w:vAlign w:val="top"/>
          </w:tcPr>
          <w:p w14:paraId="6EF5B6C7">
            <w:pPr>
              <w:spacing w:line="360" w:lineRule="auto"/>
              <w:rPr>
                <w:rFonts w:ascii="宋体" w:hAnsi="宋体"/>
                <w:color w:val="auto"/>
                <w:szCs w:val="21"/>
                <w:highlight w:val="none"/>
              </w:rPr>
            </w:pPr>
          </w:p>
        </w:tc>
        <w:tc>
          <w:tcPr>
            <w:tcW w:w="1155" w:type="dxa"/>
            <w:noWrap w:val="0"/>
            <w:vAlign w:val="top"/>
          </w:tcPr>
          <w:p w14:paraId="08D955E9">
            <w:pPr>
              <w:spacing w:line="360" w:lineRule="auto"/>
              <w:rPr>
                <w:rFonts w:ascii="宋体" w:hAnsi="宋体"/>
                <w:color w:val="auto"/>
                <w:szCs w:val="21"/>
                <w:highlight w:val="none"/>
              </w:rPr>
            </w:pPr>
          </w:p>
        </w:tc>
        <w:tc>
          <w:tcPr>
            <w:tcW w:w="892" w:type="dxa"/>
            <w:noWrap w:val="0"/>
            <w:vAlign w:val="top"/>
          </w:tcPr>
          <w:p w14:paraId="6B3126C3">
            <w:pPr>
              <w:spacing w:line="360" w:lineRule="auto"/>
              <w:rPr>
                <w:rFonts w:ascii="宋体" w:hAnsi="宋体"/>
                <w:color w:val="auto"/>
                <w:szCs w:val="21"/>
                <w:highlight w:val="none"/>
              </w:rPr>
            </w:pPr>
          </w:p>
        </w:tc>
        <w:tc>
          <w:tcPr>
            <w:tcW w:w="990" w:type="dxa"/>
            <w:noWrap w:val="0"/>
            <w:vAlign w:val="top"/>
          </w:tcPr>
          <w:p w14:paraId="4705FD08">
            <w:pPr>
              <w:spacing w:line="360" w:lineRule="auto"/>
              <w:rPr>
                <w:rFonts w:ascii="宋体" w:hAnsi="宋体"/>
                <w:color w:val="auto"/>
                <w:szCs w:val="21"/>
                <w:highlight w:val="none"/>
              </w:rPr>
            </w:pPr>
          </w:p>
        </w:tc>
        <w:tc>
          <w:tcPr>
            <w:tcW w:w="990" w:type="dxa"/>
            <w:noWrap w:val="0"/>
            <w:vAlign w:val="top"/>
          </w:tcPr>
          <w:p w14:paraId="3D3E0197">
            <w:pPr>
              <w:spacing w:line="360" w:lineRule="auto"/>
              <w:rPr>
                <w:rFonts w:ascii="宋体" w:hAnsi="宋体"/>
                <w:color w:val="auto"/>
                <w:szCs w:val="21"/>
                <w:highlight w:val="none"/>
              </w:rPr>
            </w:pPr>
          </w:p>
        </w:tc>
      </w:tr>
      <w:tr w14:paraId="105A79C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30" w:hRule="atLeast"/>
          <w:jc w:val="center"/>
        </w:trPr>
        <w:tc>
          <w:tcPr>
            <w:tcW w:w="924" w:type="dxa"/>
            <w:noWrap w:val="0"/>
            <w:vAlign w:val="top"/>
          </w:tcPr>
          <w:p w14:paraId="1820DDDC">
            <w:pPr>
              <w:spacing w:line="360" w:lineRule="auto"/>
              <w:rPr>
                <w:rFonts w:ascii="宋体" w:hAnsi="宋体"/>
                <w:color w:val="auto"/>
                <w:szCs w:val="21"/>
                <w:highlight w:val="none"/>
              </w:rPr>
            </w:pPr>
          </w:p>
        </w:tc>
        <w:tc>
          <w:tcPr>
            <w:tcW w:w="1086" w:type="dxa"/>
            <w:noWrap w:val="0"/>
            <w:vAlign w:val="top"/>
          </w:tcPr>
          <w:p w14:paraId="5121D356">
            <w:pPr>
              <w:spacing w:line="360" w:lineRule="auto"/>
              <w:rPr>
                <w:rFonts w:ascii="宋体" w:hAnsi="宋体"/>
                <w:color w:val="auto"/>
                <w:szCs w:val="21"/>
                <w:highlight w:val="none"/>
              </w:rPr>
            </w:pPr>
          </w:p>
        </w:tc>
        <w:tc>
          <w:tcPr>
            <w:tcW w:w="729" w:type="dxa"/>
            <w:noWrap w:val="0"/>
            <w:vAlign w:val="top"/>
          </w:tcPr>
          <w:p w14:paraId="615D806D">
            <w:pPr>
              <w:spacing w:line="360" w:lineRule="auto"/>
              <w:rPr>
                <w:rFonts w:ascii="宋体" w:hAnsi="宋体"/>
                <w:color w:val="auto"/>
                <w:szCs w:val="21"/>
                <w:highlight w:val="none"/>
              </w:rPr>
            </w:pPr>
          </w:p>
        </w:tc>
        <w:tc>
          <w:tcPr>
            <w:tcW w:w="748" w:type="dxa"/>
            <w:noWrap w:val="0"/>
            <w:vAlign w:val="top"/>
          </w:tcPr>
          <w:p w14:paraId="53A4373E">
            <w:pPr>
              <w:spacing w:line="360" w:lineRule="auto"/>
              <w:rPr>
                <w:rFonts w:ascii="宋体" w:hAnsi="宋体"/>
                <w:color w:val="auto"/>
                <w:szCs w:val="21"/>
                <w:highlight w:val="none"/>
              </w:rPr>
            </w:pPr>
          </w:p>
        </w:tc>
        <w:tc>
          <w:tcPr>
            <w:tcW w:w="748" w:type="dxa"/>
            <w:noWrap w:val="0"/>
            <w:vAlign w:val="top"/>
          </w:tcPr>
          <w:p w14:paraId="1D843728">
            <w:pPr>
              <w:spacing w:line="360" w:lineRule="auto"/>
              <w:rPr>
                <w:rFonts w:ascii="宋体" w:hAnsi="宋体"/>
                <w:color w:val="auto"/>
                <w:szCs w:val="21"/>
                <w:highlight w:val="none"/>
              </w:rPr>
            </w:pPr>
          </w:p>
        </w:tc>
        <w:tc>
          <w:tcPr>
            <w:tcW w:w="990" w:type="dxa"/>
            <w:noWrap w:val="0"/>
            <w:vAlign w:val="top"/>
          </w:tcPr>
          <w:p w14:paraId="4E5AC8A9">
            <w:pPr>
              <w:spacing w:line="360" w:lineRule="auto"/>
              <w:rPr>
                <w:rFonts w:ascii="宋体" w:hAnsi="宋体"/>
                <w:color w:val="auto"/>
                <w:szCs w:val="21"/>
                <w:highlight w:val="none"/>
              </w:rPr>
            </w:pPr>
          </w:p>
        </w:tc>
        <w:tc>
          <w:tcPr>
            <w:tcW w:w="1155" w:type="dxa"/>
            <w:noWrap w:val="0"/>
            <w:vAlign w:val="top"/>
          </w:tcPr>
          <w:p w14:paraId="087DCB05">
            <w:pPr>
              <w:spacing w:line="360" w:lineRule="auto"/>
              <w:rPr>
                <w:rFonts w:ascii="宋体" w:hAnsi="宋体"/>
                <w:color w:val="auto"/>
                <w:szCs w:val="21"/>
                <w:highlight w:val="none"/>
              </w:rPr>
            </w:pPr>
          </w:p>
        </w:tc>
        <w:tc>
          <w:tcPr>
            <w:tcW w:w="892" w:type="dxa"/>
            <w:noWrap w:val="0"/>
            <w:vAlign w:val="top"/>
          </w:tcPr>
          <w:p w14:paraId="14DAE41C">
            <w:pPr>
              <w:spacing w:line="360" w:lineRule="auto"/>
              <w:rPr>
                <w:rFonts w:ascii="宋体" w:hAnsi="宋体"/>
                <w:color w:val="auto"/>
                <w:szCs w:val="21"/>
                <w:highlight w:val="none"/>
              </w:rPr>
            </w:pPr>
          </w:p>
        </w:tc>
        <w:tc>
          <w:tcPr>
            <w:tcW w:w="990" w:type="dxa"/>
            <w:noWrap w:val="0"/>
            <w:vAlign w:val="top"/>
          </w:tcPr>
          <w:p w14:paraId="6A996897">
            <w:pPr>
              <w:spacing w:line="360" w:lineRule="auto"/>
              <w:rPr>
                <w:rFonts w:ascii="宋体" w:hAnsi="宋体"/>
                <w:color w:val="auto"/>
                <w:szCs w:val="21"/>
                <w:highlight w:val="none"/>
              </w:rPr>
            </w:pPr>
          </w:p>
        </w:tc>
        <w:tc>
          <w:tcPr>
            <w:tcW w:w="990" w:type="dxa"/>
            <w:noWrap w:val="0"/>
            <w:vAlign w:val="top"/>
          </w:tcPr>
          <w:p w14:paraId="6B92CE70">
            <w:pPr>
              <w:spacing w:line="360" w:lineRule="auto"/>
              <w:rPr>
                <w:rFonts w:ascii="宋体" w:hAnsi="宋体"/>
                <w:color w:val="auto"/>
                <w:szCs w:val="21"/>
                <w:highlight w:val="none"/>
              </w:rPr>
            </w:pPr>
          </w:p>
        </w:tc>
      </w:tr>
      <w:tr w14:paraId="158ABD3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29" w:hRule="atLeast"/>
          <w:jc w:val="center"/>
        </w:trPr>
        <w:tc>
          <w:tcPr>
            <w:tcW w:w="924" w:type="dxa"/>
            <w:noWrap w:val="0"/>
            <w:vAlign w:val="top"/>
          </w:tcPr>
          <w:p w14:paraId="0A468DA6">
            <w:pPr>
              <w:spacing w:line="360" w:lineRule="auto"/>
              <w:rPr>
                <w:rFonts w:ascii="宋体" w:hAnsi="宋体"/>
                <w:color w:val="auto"/>
                <w:szCs w:val="21"/>
                <w:highlight w:val="none"/>
              </w:rPr>
            </w:pPr>
          </w:p>
        </w:tc>
        <w:tc>
          <w:tcPr>
            <w:tcW w:w="1086" w:type="dxa"/>
            <w:noWrap w:val="0"/>
            <w:vAlign w:val="top"/>
          </w:tcPr>
          <w:p w14:paraId="47146B9A">
            <w:pPr>
              <w:spacing w:line="360" w:lineRule="auto"/>
              <w:rPr>
                <w:rFonts w:ascii="宋体" w:hAnsi="宋体"/>
                <w:color w:val="auto"/>
                <w:szCs w:val="21"/>
                <w:highlight w:val="none"/>
              </w:rPr>
            </w:pPr>
          </w:p>
        </w:tc>
        <w:tc>
          <w:tcPr>
            <w:tcW w:w="729" w:type="dxa"/>
            <w:noWrap w:val="0"/>
            <w:vAlign w:val="top"/>
          </w:tcPr>
          <w:p w14:paraId="7C2CDABB">
            <w:pPr>
              <w:spacing w:line="360" w:lineRule="auto"/>
              <w:rPr>
                <w:rFonts w:ascii="宋体" w:hAnsi="宋体"/>
                <w:color w:val="auto"/>
                <w:szCs w:val="21"/>
                <w:highlight w:val="none"/>
              </w:rPr>
            </w:pPr>
          </w:p>
        </w:tc>
        <w:tc>
          <w:tcPr>
            <w:tcW w:w="748" w:type="dxa"/>
            <w:noWrap w:val="0"/>
            <w:vAlign w:val="top"/>
          </w:tcPr>
          <w:p w14:paraId="7BF8A43E">
            <w:pPr>
              <w:spacing w:line="360" w:lineRule="auto"/>
              <w:rPr>
                <w:rFonts w:ascii="宋体" w:hAnsi="宋体"/>
                <w:color w:val="auto"/>
                <w:szCs w:val="21"/>
                <w:highlight w:val="none"/>
              </w:rPr>
            </w:pPr>
          </w:p>
        </w:tc>
        <w:tc>
          <w:tcPr>
            <w:tcW w:w="748" w:type="dxa"/>
            <w:noWrap w:val="0"/>
            <w:vAlign w:val="top"/>
          </w:tcPr>
          <w:p w14:paraId="11359915">
            <w:pPr>
              <w:spacing w:line="360" w:lineRule="auto"/>
              <w:rPr>
                <w:rFonts w:ascii="宋体" w:hAnsi="宋体"/>
                <w:color w:val="auto"/>
                <w:szCs w:val="21"/>
                <w:highlight w:val="none"/>
              </w:rPr>
            </w:pPr>
          </w:p>
        </w:tc>
        <w:tc>
          <w:tcPr>
            <w:tcW w:w="990" w:type="dxa"/>
            <w:noWrap w:val="0"/>
            <w:vAlign w:val="top"/>
          </w:tcPr>
          <w:p w14:paraId="6BB2E544">
            <w:pPr>
              <w:spacing w:line="360" w:lineRule="auto"/>
              <w:rPr>
                <w:rFonts w:ascii="宋体" w:hAnsi="宋体"/>
                <w:color w:val="auto"/>
                <w:szCs w:val="21"/>
                <w:highlight w:val="none"/>
              </w:rPr>
            </w:pPr>
          </w:p>
        </w:tc>
        <w:tc>
          <w:tcPr>
            <w:tcW w:w="1155" w:type="dxa"/>
            <w:noWrap w:val="0"/>
            <w:vAlign w:val="top"/>
          </w:tcPr>
          <w:p w14:paraId="5F977D5A">
            <w:pPr>
              <w:spacing w:line="360" w:lineRule="auto"/>
              <w:rPr>
                <w:rFonts w:ascii="宋体" w:hAnsi="宋体"/>
                <w:color w:val="auto"/>
                <w:szCs w:val="21"/>
                <w:highlight w:val="none"/>
              </w:rPr>
            </w:pPr>
          </w:p>
        </w:tc>
        <w:tc>
          <w:tcPr>
            <w:tcW w:w="892" w:type="dxa"/>
            <w:noWrap w:val="0"/>
            <w:vAlign w:val="top"/>
          </w:tcPr>
          <w:p w14:paraId="63016305">
            <w:pPr>
              <w:spacing w:line="360" w:lineRule="auto"/>
              <w:rPr>
                <w:rFonts w:ascii="宋体" w:hAnsi="宋体"/>
                <w:color w:val="auto"/>
                <w:szCs w:val="21"/>
                <w:highlight w:val="none"/>
              </w:rPr>
            </w:pPr>
          </w:p>
        </w:tc>
        <w:tc>
          <w:tcPr>
            <w:tcW w:w="990" w:type="dxa"/>
            <w:noWrap w:val="0"/>
            <w:vAlign w:val="top"/>
          </w:tcPr>
          <w:p w14:paraId="478E1890">
            <w:pPr>
              <w:spacing w:line="360" w:lineRule="auto"/>
              <w:rPr>
                <w:rFonts w:ascii="宋体" w:hAnsi="宋体"/>
                <w:color w:val="auto"/>
                <w:szCs w:val="21"/>
                <w:highlight w:val="none"/>
              </w:rPr>
            </w:pPr>
          </w:p>
        </w:tc>
        <w:tc>
          <w:tcPr>
            <w:tcW w:w="990" w:type="dxa"/>
            <w:noWrap w:val="0"/>
            <w:vAlign w:val="top"/>
          </w:tcPr>
          <w:p w14:paraId="46DBB20A">
            <w:pPr>
              <w:spacing w:line="360" w:lineRule="auto"/>
              <w:rPr>
                <w:rFonts w:ascii="宋体" w:hAnsi="宋体"/>
                <w:color w:val="auto"/>
                <w:szCs w:val="21"/>
                <w:highlight w:val="none"/>
              </w:rPr>
            </w:pPr>
          </w:p>
        </w:tc>
      </w:tr>
      <w:tr w14:paraId="23F5044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29" w:hRule="atLeast"/>
          <w:jc w:val="center"/>
        </w:trPr>
        <w:tc>
          <w:tcPr>
            <w:tcW w:w="924" w:type="dxa"/>
            <w:noWrap w:val="0"/>
            <w:vAlign w:val="top"/>
          </w:tcPr>
          <w:p w14:paraId="0FACA018">
            <w:pPr>
              <w:spacing w:line="360" w:lineRule="auto"/>
              <w:rPr>
                <w:rFonts w:ascii="宋体" w:hAnsi="宋体"/>
                <w:color w:val="auto"/>
                <w:szCs w:val="21"/>
                <w:highlight w:val="none"/>
              </w:rPr>
            </w:pPr>
          </w:p>
        </w:tc>
        <w:tc>
          <w:tcPr>
            <w:tcW w:w="1086" w:type="dxa"/>
            <w:noWrap w:val="0"/>
            <w:vAlign w:val="top"/>
          </w:tcPr>
          <w:p w14:paraId="75EF3756">
            <w:pPr>
              <w:spacing w:line="360" w:lineRule="auto"/>
              <w:rPr>
                <w:rFonts w:ascii="宋体" w:hAnsi="宋体"/>
                <w:color w:val="auto"/>
                <w:szCs w:val="21"/>
                <w:highlight w:val="none"/>
              </w:rPr>
            </w:pPr>
          </w:p>
        </w:tc>
        <w:tc>
          <w:tcPr>
            <w:tcW w:w="729" w:type="dxa"/>
            <w:noWrap w:val="0"/>
            <w:vAlign w:val="top"/>
          </w:tcPr>
          <w:p w14:paraId="235CA5D1">
            <w:pPr>
              <w:spacing w:line="360" w:lineRule="auto"/>
              <w:rPr>
                <w:rFonts w:ascii="宋体" w:hAnsi="宋体"/>
                <w:color w:val="auto"/>
                <w:szCs w:val="21"/>
                <w:highlight w:val="none"/>
              </w:rPr>
            </w:pPr>
          </w:p>
        </w:tc>
        <w:tc>
          <w:tcPr>
            <w:tcW w:w="748" w:type="dxa"/>
            <w:noWrap w:val="0"/>
            <w:vAlign w:val="top"/>
          </w:tcPr>
          <w:p w14:paraId="200B2D8B">
            <w:pPr>
              <w:spacing w:line="360" w:lineRule="auto"/>
              <w:rPr>
                <w:rFonts w:ascii="宋体" w:hAnsi="宋体"/>
                <w:color w:val="auto"/>
                <w:szCs w:val="21"/>
                <w:highlight w:val="none"/>
              </w:rPr>
            </w:pPr>
          </w:p>
        </w:tc>
        <w:tc>
          <w:tcPr>
            <w:tcW w:w="748" w:type="dxa"/>
            <w:noWrap w:val="0"/>
            <w:vAlign w:val="top"/>
          </w:tcPr>
          <w:p w14:paraId="7F2ED730">
            <w:pPr>
              <w:spacing w:line="360" w:lineRule="auto"/>
              <w:rPr>
                <w:rFonts w:ascii="宋体" w:hAnsi="宋体"/>
                <w:color w:val="auto"/>
                <w:szCs w:val="21"/>
                <w:highlight w:val="none"/>
              </w:rPr>
            </w:pPr>
          </w:p>
        </w:tc>
        <w:tc>
          <w:tcPr>
            <w:tcW w:w="990" w:type="dxa"/>
            <w:noWrap w:val="0"/>
            <w:vAlign w:val="top"/>
          </w:tcPr>
          <w:p w14:paraId="6AC1A2B6">
            <w:pPr>
              <w:spacing w:line="360" w:lineRule="auto"/>
              <w:rPr>
                <w:rFonts w:ascii="宋体" w:hAnsi="宋体"/>
                <w:color w:val="auto"/>
                <w:szCs w:val="21"/>
                <w:highlight w:val="none"/>
              </w:rPr>
            </w:pPr>
          </w:p>
        </w:tc>
        <w:tc>
          <w:tcPr>
            <w:tcW w:w="1155" w:type="dxa"/>
            <w:noWrap w:val="0"/>
            <w:vAlign w:val="top"/>
          </w:tcPr>
          <w:p w14:paraId="02356855">
            <w:pPr>
              <w:spacing w:line="360" w:lineRule="auto"/>
              <w:rPr>
                <w:rFonts w:ascii="宋体" w:hAnsi="宋体"/>
                <w:color w:val="auto"/>
                <w:szCs w:val="21"/>
                <w:highlight w:val="none"/>
              </w:rPr>
            </w:pPr>
          </w:p>
        </w:tc>
        <w:tc>
          <w:tcPr>
            <w:tcW w:w="892" w:type="dxa"/>
            <w:noWrap w:val="0"/>
            <w:vAlign w:val="top"/>
          </w:tcPr>
          <w:p w14:paraId="10992904">
            <w:pPr>
              <w:spacing w:line="360" w:lineRule="auto"/>
              <w:rPr>
                <w:rFonts w:ascii="宋体" w:hAnsi="宋体"/>
                <w:color w:val="auto"/>
                <w:szCs w:val="21"/>
                <w:highlight w:val="none"/>
              </w:rPr>
            </w:pPr>
          </w:p>
        </w:tc>
        <w:tc>
          <w:tcPr>
            <w:tcW w:w="990" w:type="dxa"/>
            <w:noWrap w:val="0"/>
            <w:vAlign w:val="top"/>
          </w:tcPr>
          <w:p w14:paraId="480FE457">
            <w:pPr>
              <w:spacing w:line="360" w:lineRule="auto"/>
              <w:rPr>
                <w:rFonts w:ascii="宋体" w:hAnsi="宋体"/>
                <w:color w:val="auto"/>
                <w:szCs w:val="21"/>
                <w:highlight w:val="none"/>
              </w:rPr>
            </w:pPr>
          </w:p>
        </w:tc>
        <w:tc>
          <w:tcPr>
            <w:tcW w:w="990" w:type="dxa"/>
            <w:noWrap w:val="0"/>
            <w:vAlign w:val="top"/>
          </w:tcPr>
          <w:p w14:paraId="52CAFF70">
            <w:pPr>
              <w:spacing w:line="360" w:lineRule="auto"/>
              <w:rPr>
                <w:rFonts w:ascii="宋体" w:hAnsi="宋体"/>
                <w:color w:val="auto"/>
                <w:szCs w:val="21"/>
                <w:highlight w:val="none"/>
              </w:rPr>
            </w:pPr>
          </w:p>
        </w:tc>
      </w:tr>
      <w:tr w14:paraId="1A62A0F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29" w:hRule="atLeast"/>
          <w:jc w:val="center"/>
        </w:trPr>
        <w:tc>
          <w:tcPr>
            <w:tcW w:w="924" w:type="dxa"/>
            <w:noWrap w:val="0"/>
            <w:vAlign w:val="top"/>
          </w:tcPr>
          <w:p w14:paraId="646E1F97">
            <w:pPr>
              <w:spacing w:line="360" w:lineRule="auto"/>
              <w:rPr>
                <w:rFonts w:ascii="宋体" w:hAnsi="宋体"/>
                <w:color w:val="auto"/>
                <w:szCs w:val="21"/>
                <w:highlight w:val="none"/>
              </w:rPr>
            </w:pPr>
          </w:p>
        </w:tc>
        <w:tc>
          <w:tcPr>
            <w:tcW w:w="1086" w:type="dxa"/>
            <w:noWrap w:val="0"/>
            <w:vAlign w:val="top"/>
          </w:tcPr>
          <w:p w14:paraId="5E2948A9">
            <w:pPr>
              <w:spacing w:line="360" w:lineRule="auto"/>
              <w:rPr>
                <w:rFonts w:ascii="宋体" w:hAnsi="宋体"/>
                <w:color w:val="auto"/>
                <w:szCs w:val="21"/>
                <w:highlight w:val="none"/>
              </w:rPr>
            </w:pPr>
          </w:p>
        </w:tc>
        <w:tc>
          <w:tcPr>
            <w:tcW w:w="729" w:type="dxa"/>
            <w:noWrap w:val="0"/>
            <w:vAlign w:val="top"/>
          </w:tcPr>
          <w:p w14:paraId="329FFB70">
            <w:pPr>
              <w:spacing w:line="360" w:lineRule="auto"/>
              <w:rPr>
                <w:rFonts w:ascii="宋体" w:hAnsi="宋体"/>
                <w:color w:val="auto"/>
                <w:szCs w:val="21"/>
                <w:highlight w:val="none"/>
              </w:rPr>
            </w:pPr>
          </w:p>
        </w:tc>
        <w:tc>
          <w:tcPr>
            <w:tcW w:w="748" w:type="dxa"/>
            <w:noWrap w:val="0"/>
            <w:vAlign w:val="top"/>
          </w:tcPr>
          <w:p w14:paraId="3DED986F">
            <w:pPr>
              <w:spacing w:line="360" w:lineRule="auto"/>
              <w:rPr>
                <w:rFonts w:ascii="宋体" w:hAnsi="宋体"/>
                <w:color w:val="auto"/>
                <w:szCs w:val="21"/>
                <w:highlight w:val="none"/>
              </w:rPr>
            </w:pPr>
          </w:p>
        </w:tc>
        <w:tc>
          <w:tcPr>
            <w:tcW w:w="748" w:type="dxa"/>
            <w:noWrap w:val="0"/>
            <w:vAlign w:val="top"/>
          </w:tcPr>
          <w:p w14:paraId="5B5D5EB5">
            <w:pPr>
              <w:spacing w:line="360" w:lineRule="auto"/>
              <w:rPr>
                <w:rFonts w:ascii="宋体" w:hAnsi="宋体"/>
                <w:color w:val="auto"/>
                <w:szCs w:val="21"/>
                <w:highlight w:val="none"/>
              </w:rPr>
            </w:pPr>
          </w:p>
        </w:tc>
        <w:tc>
          <w:tcPr>
            <w:tcW w:w="990" w:type="dxa"/>
            <w:noWrap w:val="0"/>
            <w:vAlign w:val="top"/>
          </w:tcPr>
          <w:p w14:paraId="13E411E4">
            <w:pPr>
              <w:spacing w:line="360" w:lineRule="auto"/>
              <w:rPr>
                <w:rFonts w:ascii="宋体" w:hAnsi="宋体"/>
                <w:color w:val="auto"/>
                <w:szCs w:val="21"/>
                <w:highlight w:val="none"/>
              </w:rPr>
            </w:pPr>
          </w:p>
        </w:tc>
        <w:tc>
          <w:tcPr>
            <w:tcW w:w="1155" w:type="dxa"/>
            <w:noWrap w:val="0"/>
            <w:vAlign w:val="top"/>
          </w:tcPr>
          <w:p w14:paraId="385C1478">
            <w:pPr>
              <w:spacing w:line="360" w:lineRule="auto"/>
              <w:rPr>
                <w:rFonts w:ascii="宋体" w:hAnsi="宋体"/>
                <w:color w:val="auto"/>
                <w:szCs w:val="21"/>
                <w:highlight w:val="none"/>
              </w:rPr>
            </w:pPr>
          </w:p>
        </w:tc>
        <w:tc>
          <w:tcPr>
            <w:tcW w:w="892" w:type="dxa"/>
            <w:noWrap w:val="0"/>
            <w:vAlign w:val="top"/>
          </w:tcPr>
          <w:p w14:paraId="46B7C6BD">
            <w:pPr>
              <w:spacing w:line="360" w:lineRule="auto"/>
              <w:rPr>
                <w:rFonts w:ascii="宋体" w:hAnsi="宋体"/>
                <w:color w:val="auto"/>
                <w:szCs w:val="21"/>
                <w:highlight w:val="none"/>
              </w:rPr>
            </w:pPr>
          </w:p>
        </w:tc>
        <w:tc>
          <w:tcPr>
            <w:tcW w:w="990" w:type="dxa"/>
            <w:noWrap w:val="0"/>
            <w:vAlign w:val="top"/>
          </w:tcPr>
          <w:p w14:paraId="431AE505">
            <w:pPr>
              <w:spacing w:line="360" w:lineRule="auto"/>
              <w:rPr>
                <w:rFonts w:ascii="宋体" w:hAnsi="宋体"/>
                <w:color w:val="auto"/>
                <w:szCs w:val="21"/>
                <w:highlight w:val="none"/>
              </w:rPr>
            </w:pPr>
          </w:p>
        </w:tc>
        <w:tc>
          <w:tcPr>
            <w:tcW w:w="990" w:type="dxa"/>
            <w:noWrap w:val="0"/>
            <w:vAlign w:val="top"/>
          </w:tcPr>
          <w:p w14:paraId="2D0DBE52">
            <w:pPr>
              <w:spacing w:line="360" w:lineRule="auto"/>
              <w:rPr>
                <w:rFonts w:ascii="宋体" w:hAnsi="宋体"/>
                <w:color w:val="auto"/>
                <w:szCs w:val="21"/>
                <w:highlight w:val="none"/>
              </w:rPr>
            </w:pPr>
          </w:p>
        </w:tc>
      </w:tr>
      <w:tr w14:paraId="2DDD417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30" w:hRule="atLeast"/>
          <w:jc w:val="center"/>
        </w:trPr>
        <w:tc>
          <w:tcPr>
            <w:tcW w:w="924" w:type="dxa"/>
            <w:noWrap w:val="0"/>
            <w:vAlign w:val="top"/>
          </w:tcPr>
          <w:p w14:paraId="61DE34E6">
            <w:pPr>
              <w:spacing w:line="360" w:lineRule="auto"/>
              <w:rPr>
                <w:rFonts w:ascii="宋体" w:hAnsi="宋体"/>
                <w:color w:val="auto"/>
                <w:szCs w:val="21"/>
                <w:highlight w:val="none"/>
              </w:rPr>
            </w:pPr>
          </w:p>
        </w:tc>
        <w:tc>
          <w:tcPr>
            <w:tcW w:w="1086" w:type="dxa"/>
            <w:noWrap w:val="0"/>
            <w:vAlign w:val="top"/>
          </w:tcPr>
          <w:p w14:paraId="0D0EBD0B">
            <w:pPr>
              <w:spacing w:line="360" w:lineRule="auto"/>
              <w:rPr>
                <w:rFonts w:ascii="宋体" w:hAnsi="宋体"/>
                <w:color w:val="auto"/>
                <w:szCs w:val="21"/>
                <w:highlight w:val="none"/>
              </w:rPr>
            </w:pPr>
          </w:p>
        </w:tc>
        <w:tc>
          <w:tcPr>
            <w:tcW w:w="729" w:type="dxa"/>
            <w:noWrap w:val="0"/>
            <w:vAlign w:val="top"/>
          </w:tcPr>
          <w:p w14:paraId="469745D5">
            <w:pPr>
              <w:spacing w:line="360" w:lineRule="auto"/>
              <w:rPr>
                <w:rFonts w:ascii="宋体" w:hAnsi="宋体"/>
                <w:color w:val="auto"/>
                <w:szCs w:val="21"/>
                <w:highlight w:val="none"/>
              </w:rPr>
            </w:pPr>
          </w:p>
        </w:tc>
        <w:tc>
          <w:tcPr>
            <w:tcW w:w="748" w:type="dxa"/>
            <w:noWrap w:val="0"/>
            <w:vAlign w:val="top"/>
          </w:tcPr>
          <w:p w14:paraId="72A358CD">
            <w:pPr>
              <w:spacing w:line="360" w:lineRule="auto"/>
              <w:rPr>
                <w:rFonts w:ascii="宋体" w:hAnsi="宋体"/>
                <w:color w:val="auto"/>
                <w:szCs w:val="21"/>
                <w:highlight w:val="none"/>
              </w:rPr>
            </w:pPr>
          </w:p>
        </w:tc>
        <w:tc>
          <w:tcPr>
            <w:tcW w:w="748" w:type="dxa"/>
            <w:noWrap w:val="0"/>
            <w:vAlign w:val="top"/>
          </w:tcPr>
          <w:p w14:paraId="07812BC6">
            <w:pPr>
              <w:spacing w:line="360" w:lineRule="auto"/>
              <w:rPr>
                <w:rFonts w:ascii="宋体" w:hAnsi="宋体"/>
                <w:color w:val="auto"/>
                <w:szCs w:val="21"/>
                <w:highlight w:val="none"/>
              </w:rPr>
            </w:pPr>
          </w:p>
        </w:tc>
        <w:tc>
          <w:tcPr>
            <w:tcW w:w="990" w:type="dxa"/>
            <w:noWrap w:val="0"/>
            <w:vAlign w:val="top"/>
          </w:tcPr>
          <w:p w14:paraId="0FC5F582">
            <w:pPr>
              <w:spacing w:line="360" w:lineRule="auto"/>
              <w:rPr>
                <w:rFonts w:ascii="宋体" w:hAnsi="宋体"/>
                <w:color w:val="auto"/>
                <w:szCs w:val="21"/>
                <w:highlight w:val="none"/>
              </w:rPr>
            </w:pPr>
          </w:p>
        </w:tc>
        <w:tc>
          <w:tcPr>
            <w:tcW w:w="1155" w:type="dxa"/>
            <w:noWrap w:val="0"/>
            <w:vAlign w:val="top"/>
          </w:tcPr>
          <w:p w14:paraId="3033886A">
            <w:pPr>
              <w:spacing w:line="360" w:lineRule="auto"/>
              <w:rPr>
                <w:rFonts w:ascii="宋体" w:hAnsi="宋体"/>
                <w:color w:val="auto"/>
                <w:szCs w:val="21"/>
                <w:highlight w:val="none"/>
              </w:rPr>
            </w:pPr>
          </w:p>
        </w:tc>
        <w:tc>
          <w:tcPr>
            <w:tcW w:w="892" w:type="dxa"/>
            <w:noWrap w:val="0"/>
            <w:vAlign w:val="top"/>
          </w:tcPr>
          <w:p w14:paraId="11D51953">
            <w:pPr>
              <w:spacing w:line="360" w:lineRule="auto"/>
              <w:rPr>
                <w:rFonts w:ascii="宋体" w:hAnsi="宋体"/>
                <w:color w:val="auto"/>
                <w:szCs w:val="21"/>
                <w:highlight w:val="none"/>
              </w:rPr>
            </w:pPr>
          </w:p>
        </w:tc>
        <w:tc>
          <w:tcPr>
            <w:tcW w:w="990" w:type="dxa"/>
            <w:noWrap w:val="0"/>
            <w:vAlign w:val="top"/>
          </w:tcPr>
          <w:p w14:paraId="3FD55A18">
            <w:pPr>
              <w:spacing w:line="360" w:lineRule="auto"/>
              <w:rPr>
                <w:rFonts w:ascii="宋体" w:hAnsi="宋体"/>
                <w:color w:val="auto"/>
                <w:szCs w:val="21"/>
                <w:highlight w:val="none"/>
              </w:rPr>
            </w:pPr>
          </w:p>
        </w:tc>
        <w:tc>
          <w:tcPr>
            <w:tcW w:w="990" w:type="dxa"/>
            <w:noWrap w:val="0"/>
            <w:vAlign w:val="top"/>
          </w:tcPr>
          <w:p w14:paraId="3BA3A18F">
            <w:pPr>
              <w:spacing w:line="360" w:lineRule="auto"/>
              <w:rPr>
                <w:rFonts w:ascii="宋体" w:hAnsi="宋体"/>
                <w:color w:val="auto"/>
                <w:szCs w:val="21"/>
                <w:highlight w:val="none"/>
              </w:rPr>
            </w:pPr>
          </w:p>
        </w:tc>
      </w:tr>
    </w:tbl>
    <w:p w14:paraId="1B0DB45C">
      <w:pPr>
        <w:spacing w:line="360" w:lineRule="auto"/>
        <w:rPr>
          <w:rFonts w:ascii="宋体" w:hAnsi="宋体"/>
          <w:color w:val="auto"/>
          <w:szCs w:val="21"/>
          <w:highlight w:val="none"/>
        </w:rPr>
        <w:sectPr>
          <w:pgSz w:w="11907" w:h="16840"/>
          <w:pgMar w:top="1440" w:right="1803" w:bottom="1440" w:left="1803" w:header="851" w:footer="850" w:gutter="0"/>
          <w:pgNumType w:fmt="decimal"/>
          <w:cols w:space="720" w:num="1"/>
          <w:titlePg/>
          <w:docGrid w:type="linesAndChars" w:linePitch="312" w:charSpace="-3473"/>
        </w:sectPr>
      </w:pPr>
    </w:p>
    <w:p w14:paraId="1F44263D">
      <w:pPr>
        <w:pStyle w:val="4"/>
        <w:rPr>
          <w:rFonts w:ascii="宋体" w:hAnsi="宋体"/>
          <w:bCs w:val="0"/>
          <w:color w:val="auto"/>
          <w:sz w:val="24"/>
          <w:szCs w:val="24"/>
          <w:highlight w:val="none"/>
        </w:rPr>
      </w:pPr>
      <w:bookmarkStart w:id="766" w:name="_Toc30250"/>
      <w:r>
        <w:rPr>
          <w:rFonts w:hint="eastAsia" w:ascii="宋体" w:hAnsi="宋体"/>
          <w:bCs w:val="0"/>
          <w:color w:val="auto"/>
          <w:sz w:val="24"/>
          <w:szCs w:val="24"/>
          <w:highlight w:val="none"/>
        </w:rPr>
        <w:t>格式11</w:t>
      </w:r>
      <w:bookmarkEnd w:id="766"/>
    </w:p>
    <w:p w14:paraId="3869332B">
      <w:pPr>
        <w:pStyle w:val="4"/>
        <w:rPr>
          <w:rFonts w:ascii="宋体" w:hAnsi="宋体"/>
          <w:color w:val="auto"/>
          <w:sz w:val="28"/>
          <w:highlight w:val="none"/>
        </w:rPr>
      </w:pPr>
      <w:bookmarkStart w:id="767" w:name="_Toc211162737"/>
      <w:bookmarkStart w:id="768" w:name="_Toc247079400"/>
      <w:bookmarkStart w:id="769" w:name="_Toc515894163"/>
      <w:bookmarkStart w:id="770" w:name="_Toc4788"/>
      <w:bookmarkStart w:id="771" w:name="_Toc311205852"/>
      <w:r>
        <w:rPr>
          <w:rFonts w:hint="eastAsia" w:ascii="宋体" w:hAnsi="宋体"/>
          <w:color w:val="auto"/>
          <w:sz w:val="28"/>
          <w:highlight w:val="none"/>
        </w:rPr>
        <w:t>附表二：拟</w:t>
      </w:r>
      <w:bookmarkEnd w:id="767"/>
      <w:bookmarkEnd w:id="768"/>
      <w:r>
        <w:rPr>
          <w:rFonts w:hint="eastAsia" w:ascii="宋体" w:hAnsi="宋体"/>
          <w:color w:val="auto"/>
          <w:sz w:val="28"/>
          <w:highlight w:val="none"/>
        </w:rPr>
        <w:t>投入本标段的试验和检测仪器设备表</w:t>
      </w:r>
      <w:bookmarkEnd w:id="769"/>
      <w:bookmarkEnd w:id="770"/>
      <w:bookmarkEnd w:id="771"/>
    </w:p>
    <w:p w14:paraId="714E01CF">
      <w:pPr>
        <w:rPr>
          <w:color w:val="auto"/>
          <w:highlight w:val="none"/>
        </w:rPr>
      </w:pPr>
    </w:p>
    <w:tbl>
      <w:tblPr>
        <w:tblStyle w:val="49"/>
        <w:tblW w:w="9077"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56"/>
        <w:gridCol w:w="1410"/>
        <w:gridCol w:w="1110"/>
        <w:gridCol w:w="730"/>
        <w:gridCol w:w="1067"/>
        <w:gridCol w:w="1134"/>
        <w:gridCol w:w="1408"/>
        <w:gridCol w:w="787"/>
        <w:gridCol w:w="775"/>
      </w:tblGrid>
      <w:tr w14:paraId="0539DBB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30" w:hRule="exact"/>
          <w:jc w:val="center"/>
        </w:trPr>
        <w:tc>
          <w:tcPr>
            <w:tcW w:w="656" w:type="dxa"/>
            <w:noWrap w:val="0"/>
            <w:vAlign w:val="center"/>
          </w:tcPr>
          <w:p w14:paraId="29AB4134">
            <w:pPr>
              <w:jc w:val="center"/>
              <w:rPr>
                <w:rFonts w:ascii="宋体" w:hAnsi="宋体"/>
                <w:b/>
                <w:color w:val="auto"/>
                <w:szCs w:val="21"/>
                <w:highlight w:val="none"/>
              </w:rPr>
            </w:pPr>
            <w:r>
              <w:rPr>
                <w:rFonts w:hint="eastAsia" w:ascii="宋体" w:hAnsi="宋体"/>
                <w:b/>
                <w:color w:val="auto"/>
                <w:szCs w:val="21"/>
                <w:highlight w:val="none"/>
              </w:rPr>
              <w:t>序号</w:t>
            </w:r>
          </w:p>
        </w:tc>
        <w:tc>
          <w:tcPr>
            <w:tcW w:w="1410" w:type="dxa"/>
            <w:noWrap w:val="0"/>
            <w:vAlign w:val="center"/>
          </w:tcPr>
          <w:p w14:paraId="5D563718">
            <w:pPr>
              <w:jc w:val="center"/>
              <w:rPr>
                <w:rFonts w:ascii="宋体" w:hAnsi="宋体"/>
                <w:b/>
                <w:color w:val="auto"/>
                <w:szCs w:val="21"/>
                <w:highlight w:val="none"/>
              </w:rPr>
            </w:pPr>
            <w:r>
              <w:rPr>
                <w:rFonts w:hint="eastAsia" w:ascii="宋体" w:hAnsi="宋体"/>
                <w:b/>
                <w:color w:val="auto"/>
                <w:szCs w:val="21"/>
                <w:highlight w:val="none"/>
              </w:rPr>
              <w:t>仪器设备名称</w:t>
            </w:r>
          </w:p>
        </w:tc>
        <w:tc>
          <w:tcPr>
            <w:tcW w:w="1110" w:type="dxa"/>
            <w:noWrap w:val="0"/>
            <w:vAlign w:val="center"/>
          </w:tcPr>
          <w:p w14:paraId="6D6FB892">
            <w:pPr>
              <w:jc w:val="center"/>
              <w:rPr>
                <w:rFonts w:ascii="宋体" w:hAnsi="宋体"/>
                <w:b/>
                <w:color w:val="auto"/>
                <w:szCs w:val="21"/>
                <w:highlight w:val="none"/>
              </w:rPr>
            </w:pPr>
            <w:r>
              <w:rPr>
                <w:rFonts w:hint="eastAsia" w:ascii="宋体" w:hAnsi="宋体"/>
                <w:b/>
                <w:color w:val="auto"/>
                <w:szCs w:val="21"/>
                <w:highlight w:val="none"/>
              </w:rPr>
              <w:t>型号规格</w:t>
            </w:r>
          </w:p>
        </w:tc>
        <w:tc>
          <w:tcPr>
            <w:tcW w:w="730" w:type="dxa"/>
            <w:noWrap w:val="0"/>
            <w:vAlign w:val="center"/>
          </w:tcPr>
          <w:p w14:paraId="2D75A02D">
            <w:pPr>
              <w:jc w:val="center"/>
              <w:rPr>
                <w:rFonts w:ascii="宋体" w:hAnsi="宋体"/>
                <w:b/>
                <w:color w:val="auto"/>
                <w:szCs w:val="21"/>
                <w:highlight w:val="none"/>
              </w:rPr>
            </w:pPr>
            <w:r>
              <w:rPr>
                <w:rFonts w:hint="eastAsia" w:ascii="宋体" w:hAnsi="宋体"/>
                <w:b/>
                <w:color w:val="auto"/>
                <w:szCs w:val="21"/>
                <w:highlight w:val="none"/>
              </w:rPr>
              <w:t>数量</w:t>
            </w:r>
          </w:p>
        </w:tc>
        <w:tc>
          <w:tcPr>
            <w:tcW w:w="1067" w:type="dxa"/>
            <w:noWrap w:val="0"/>
            <w:vAlign w:val="center"/>
          </w:tcPr>
          <w:p w14:paraId="4438BE78">
            <w:pPr>
              <w:jc w:val="center"/>
              <w:rPr>
                <w:rFonts w:ascii="宋体" w:hAnsi="宋体"/>
                <w:b/>
                <w:color w:val="auto"/>
                <w:szCs w:val="21"/>
                <w:highlight w:val="none"/>
              </w:rPr>
            </w:pPr>
            <w:r>
              <w:rPr>
                <w:rFonts w:hint="eastAsia" w:ascii="宋体" w:hAnsi="宋体"/>
                <w:b/>
                <w:color w:val="auto"/>
                <w:szCs w:val="21"/>
                <w:highlight w:val="none"/>
              </w:rPr>
              <w:t>国别产地</w:t>
            </w:r>
          </w:p>
        </w:tc>
        <w:tc>
          <w:tcPr>
            <w:tcW w:w="1134" w:type="dxa"/>
            <w:noWrap w:val="0"/>
            <w:vAlign w:val="center"/>
          </w:tcPr>
          <w:p w14:paraId="77FEEC8A">
            <w:pPr>
              <w:jc w:val="center"/>
              <w:rPr>
                <w:rFonts w:ascii="宋体" w:hAnsi="宋体"/>
                <w:b/>
                <w:color w:val="auto"/>
                <w:szCs w:val="21"/>
                <w:highlight w:val="none"/>
              </w:rPr>
            </w:pPr>
            <w:r>
              <w:rPr>
                <w:rFonts w:hint="eastAsia" w:ascii="宋体" w:hAnsi="宋体"/>
                <w:b/>
                <w:color w:val="auto"/>
                <w:szCs w:val="21"/>
                <w:highlight w:val="none"/>
              </w:rPr>
              <w:t>制造年份</w:t>
            </w:r>
          </w:p>
        </w:tc>
        <w:tc>
          <w:tcPr>
            <w:tcW w:w="1408" w:type="dxa"/>
            <w:noWrap w:val="0"/>
            <w:vAlign w:val="center"/>
          </w:tcPr>
          <w:p w14:paraId="1AFDA1C6">
            <w:pPr>
              <w:jc w:val="center"/>
              <w:rPr>
                <w:rFonts w:ascii="宋体" w:hAnsi="宋体"/>
                <w:b/>
                <w:color w:val="auto"/>
                <w:szCs w:val="21"/>
                <w:highlight w:val="none"/>
              </w:rPr>
            </w:pPr>
            <w:r>
              <w:rPr>
                <w:rFonts w:hint="eastAsia" w:ascii="宋体" w:hAnsi="宋体"/>
                <w:b/>
                <w:color w:val="auto"/>
                <w:szCs w:val="21"/>
                <w:highlight w:val="none"/>
              </w:rPr>
              <w:t>己使用台时数</w:t>
            </w:r>
          </w:p>
        </w:tc>
        <w:tc>
          <w:tcPr>
            <w:tcW w:w="787" w:type="dxa"/>
            <w:noWrap w:val="0"/>
            <w:vAlign w:val="center"/>
          </w:tcPr>
          <w:p w14:paraId="448E1CEB">
            <w:pPr>
              <w:jc w:val="center"/>
              <w:rPr>
                <w:rFonts w:ascii="宋体" w:hAnsi="宋体"/>
                <w:b/>
                <w:color w:val="auto"/>
                <w:szCs w:val="21"/>
                <w:highlight w:val="none"/>
              </w:rPr>
            </w:pPr>
            <w:r>
              <w:rPr>
                <w:rFonts w:hint="eastAsia" w:ascii="宋体" w:hAnsi="宋体"/>
                <w:b/>
                <w:color w:val="auto"/>
                <w:szCs w:val="21"/>
                <w:highlight w:val="none"/>
              </w:rPr>
              <w:t>用途</w:t>
            </w:r>
          </w:p>
        </w:tc>
        <w:tc>
          <w:tcPr>
            <w:tcW w:w="775" w:type="dxa"/>
            <w:noWrap w:val="0"/>
            <w:vAlign w:val="center"/>
          </w:tcPr>
          <w:p w14:paraId="6D0BC30C">
            <w:pPr>
              <w:jc w:val="center"/>
              <w:rPr>
                <w:rFonts w:ascii="宋体" w:hAnsi="宋体"/>
                <w:b/>
                <w:color w:val="auto"/>
                <w:szCs w:val="21"/>
                <w:highlight w:val="none"/>
              </w:rPr>
            </w:pPr>
            <w:r>
              <w:rPr>
                <w:rFonts w:hint="eastAsia" w:ascii="宋体" w:hAnsi="宋体"/>
                <w:b/>
                <w:color w:val="auto"/>
                <w:szCs w:val="21"/>
                <w:highlight w:val="none"/>
              </w:rPr>
              <w:t>备注</w:t>
            </w:r>
          </w:p>
        </w:tc>
      </w:tr>
      <w:tr w14:paraId="5156582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1" w:hRule="atLeast"/>
          <w:jc w:val="center"/>
        </w:trPr>
        <w:tc>
          <w:tcPr>
            <w:tcW w:w="656" w:type="dxa"/>
            <w:noWrap w:val="0"/>
            <w:vAlign w:val="center"/>
          </w:tcPr>
          <w:p w14:paraId="4B11FFA5">
            <w:pPr>
              <w:spacing w:line="360" w:lineRule="auto"/>
              <w:ind w:firstLine="388" w:firstLineChars="200"/>
              <w:jc w:val="center"/>
              <w:rPr>
                <w:rFonts w:ascii="宋体" w:hAnsi="宋体"/>
                <w:color w:val="auto"/>
                <w:szCs w:val="21"/>
                <w:highlight w:val="none"/>
              </w:rPr>
            </w:pPr>
          </w:p>
        </w:tc>
        <w:tc>
          <w:tcPr>
            <w:tcW w:w="1410" w:type="dxa"/>
            <w:noWrap w:val="0"/>
            <w:vAlign w:val="center"/>
          </w:tcPr>
          <w:p w14:paraId="2321CC4F">
            <w:pPr>
              <w:spacing w:line="360" w:lineRule="auto"/>
              <w:ind w:firstLine="388" w:firstLineChars="200"/>
              <w:jc w:val="center"/>
              <w:rPr>
                <w:rFonts w:ascii="宋体" w:hAnsi="宋体"/>
                <w:color w:val="auto"/>
                <w:szCs w:val="21"/>
                <w:highlight w:val="none"/>
              </w:rPr>
            </w:pPr>
          </w:p>
        </w:tc>
        <w:tc>
          <w:tcPr>
            <w:tcW w:w="1110" w:type="dxa"/>
            <w:noWrap w:val="0"/>
            <w:vAlign w:val="center"/>
          </w:tcPr>
          <w:p w14:paraId="78A4B2E1">
            <w:pPr>
              <w:spacing w:line="360" w:lineRule="auto"/>
              <w:ind w:firstLine="388" w:firstLineChars="200"/>
              <w:jc w:val="center"/>
              <w:rPr>
                <w:rFonts w:ascii="宋体" w:hAnsi="宋体"/>
                <w:color w:val="auto"/>
                <w:szCs w:val="21"/>
                <w:highlight w:val="none"/>
              </w:rPr>
            </w:pPr>
          </w:p>
        </w:tc>
        <w:tc>
          <w:tcPr>
            <w:tcW w:w="730" w:type="dxa"/>
            <w:noWrap w:val="0"/>
            <w:vAlign w:val="center"/>
          </w:tcPr>
          <w:p w14:paraId="538533ED">
            <w:pPr>
              <w:spacing w:line="360" w:lineRule="auto"/>
              <w:ind w:firstLine="388" w:firstLineChars="200"/>
              <w:jc w:val="center"/>
              <w:rPr>
                <w:rFonts w:ascii="宋体" w:hAnsi="宋体"/>
                <w:color w:val="auto"/>
                <w:szCs w:val="21"/>
                <w:highlight w:val="none"/>
              </w:rPr>
            </w:pPr>
          </w:p>
        </w:tc>
        <w:tc>
          <w:tcPr>
            <w:tcW w:w="1067" w:type="dxa"/>
            <w:noWrap w:val="0"/>
            <w:vAlign w:val="center"/>
          </w:tcPr>
          <w:p w14:paraId="6182F058">
            <w:pPr>
              <w:spacing w:line="360" w:lineRule="auto"/>
              <w:ind w:firstLine="388" w:firstLineChars="200"/>
              <w:jc w:val="center"/>
              <w:rPr>
                <w:rFonts w:ascii="宋体" w:hAnsi="宋体"/>
                <w:color w:val="auto"/>
                <w:szCs w:val="21"/>
                <w:highlight w:val="none"/>
              </w:rPr>
            </w:pPr>
          </w:p>
        </w:tc>
        <w:tc>
          <w:tcPr>
            <w:tcW w:w="1134" w:type="dxa"/>
            <w:noWrap w:val="0"/>
            <w:vAlign w:val="center"/>
          </w:tcPr>
          <w:p w14:paraId="6294C927">
            <w:pPr>
              <w:spacing w:line="360" w:lineRule="auto"/>
              <w:ind w:firstLine="388" w:firstLineChars="200"/>
              <w:jc w:val="center"/>
              <w:rPr>
                <w:rFonts w:ascii="宋体" w:hAnsi="宋体"/>
                <w:color w:val="auto"/>
                <w:szCs w:val="21"/>
                <w:highlight w:val="none"/>
              </w:rPr>
            </w:pPr>
          </w:p>
        </w:tc>
        <w:tc>
          <w:tcPr>
            <w:tcW w:w="1408" w:type="dxa"/>
            <w:noWrap w:val="0"/>
            <w:vAlign w:val="center"/>
          </w:tcPr>
          <w:p w14:paraId="4BC8FA35">
            <w:pPr>
              <w:spacing w:line="360" w:lineRule="auto"/>
              <w:ind w:firstLine="388" w:firstLineChars="200"/>
              <w:jc w:val="center"/>
              <w:rPr>
                <w:rFonts w:ascii="宋体" w:hAnsi="宋体"/>
                <w:color w:val="auto"/>
                <w:szCs w:val="21"/>
                <w:highlight w:val="none"/>
              </w:rPr>
            </w:pPr>
          </w:p>
        </w:tc>
        <w:tc>
          <w:tcPr>
            <w:tcW w:w="787" w:type="dxa"/>
            <w:noWrap w:val="0"/>
            <w:vAlign w:val="center"/>
          </w:tcPr>
          <w:p w14:paraId="2DFA9E13">
            <w:pPr>
              <w:spacing w:line="360" w:lineRule="auto"/>
              <w:ind w:firstLine="388" w:firstLineChars="200"/>
              <w:jc w:val="center"/>
              <w:rPr>
                <w:rFonts w:ascii="宋体" w:hAnsi="宋体"/>
                <w:color w:val="auto"/>
                <w:szCs w:val="21"/>
                <w:highlight w:val="none"/>
              </w:rPr>
            </w:pPr>
          </w:p>
        </w:tc>
        <w:tc>
          <w:tcPr>
            <w:tcW w:w="775" w:type="dxa"/>
            <w:noWrap w:val="0"/>
            <w:vAlign w:val="center"/>
          </w:tcPr>
          <w:p w14:paraId="0B31675F">
            <w:pPr>
              <w:spacing w:line="360" w:lineRule="auto"/>
              <w:ind w:firstLine="388" w:firstLineChars="200"/>
              <w:jc w:val="center"/>
              <w:rPr>
                <w:rFonts w:ascii="宋体" w:hAnsi="宋体"/>
                <w:color w:val="auto"/>
                <w:szCs w:val="21"/>
                <w:highlight w:val="none"/>
              </w:rPr>
            </w:pPr>
          </w:p>
        </w:tc>
      </w:tr>
      <w:tr w14:paraId="3A124B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6" w:hRule="atLeast"/>
          <w:jc w:val="center"/>
        </w:trPr>
        <w:tc>
          <w:tcPr>
            <w:tcW w:w="656" w:type="dxa"/>
            <w:noWrap w:val="0"/>
            <w:vAlign w:val="center"/>
          </w:tcPr>
          <w:p w14:paraId="5FA34C29">
            <w:pPr>
              <w:spacing w:line="360" w:lineRule="auto"/>
              <w:ind w:firstLine="388" w:firstLineChars="200"/>
              <w:jc w:val="center"/>
              <w:rPr>
                <w:rFonts w:ascii="宋体" w:hAnsi="宋体"/>
                <w:color w:val="auto"/>
                <w:szCs w:val="21"/>
                <w:highlight w:val="none"/>
              </w:rPr>
            </w:pPr>
          </w:p>
        </w:tc>
        <w:tc>
          <w:tcPr>
            <w:tcW w:w="1410" w:type="dxa"/>
            <w:noWrap w:val="0"/>
            <w:vAlign w:val="center"/>
          </w:tcPr>
          <w:p w14:paraId="3EC5D43A">
            <w:pPr>
              <w:spacing w:line="360" w:lineRule="auto"/>
              <w:ind w:firstLine="388" w:firstLineChars="200"/>
              <w:jc w:val="center"/>
              <w:rPr>
                <w:rFonts w:ascii="宋体" w:hAnsi="宋体"/>
                <w:color w:val="auto"/>
                <w:szCs w:val="21"/>
                <w:highlight w:val="none"/>
              </w:rPr>
            </w:pPr>
          </w:p>
        </w:tc>
        <w:tc>
          <w:tcPr>
            <w:tcW w:w="1110" w:type="dxa"/>
            <w:noWrap w:val="0"/>
            <w:vAlign w:val="center"/>
          </w:tcPr>
          <w:p w14:paraId="19DF6874">
            <w:pPr>
              <w:spacing w:line="360" w:lineRule="auto"/>
              <w:ind w:firstLine="388" w:firstLineChars="200"/>
              <w:jc w:val="center"/>
              <w:rPr>
                <w:rFonts w:ascii="宋体" w:hAnsi="宋体"/>
                <w:color w:val="auto"/>
                <w:szCs w:val="21"/>
                <w:highlight w:val="none"/>
              </w:rPr>
            </w:pPr>
          </w:p>
        </w:tc>
        <w:tc>
          <w:tcPr>
            <w:tcW w:w="730" w:type="dxa"/>
            <w:noWrap w:val="0"/>
            <w:vAlign w:val="center"/>
          </w:tcPr>
          <w:p w14:paraId="5FB435FF">
            <w:pPr>
              <w:spacing w:line="360" w:lineRule="auto"/>
              <w:ind w:firstLine="388" w:firstLineChars="200"/>
              <w:jc w:val="center"/>
              <w:rPr>
                <w:rFonts w:ascii="宋体" w:hAnsi="宋体"/>
                <w:color w:val="auto"/>
                <w:szCs w:val="21"/>
                <w:highlight w:val="none"/>
              </w:rPr>
            </w:pPr>
          </w:p>
        </w:tc>
        <w:tc>
          <w:tcPr>
            <w:tcW w:w="1067" w:type="dxa"/>
            <w:noWrap w:val="0"/>
            <w:vAlign w:val="center"/>
          </w:tcPr>
          <w:p w14:paraId="09C89068">
            <w:pPr>
              <w:spacing w:line="360" w:lineRule="auto"/>
              <w:ind w:firstLine="388" w:firstLineChars="200"/>
              <w:jc w:val="center"/>
              <w:rPr>
                <w:rFonts w:ascii="宋体" w:hAnsi="宋体"/>
                <w:color w:val="auto"/>
                <w:szCs w:val="21"/>
                <w:highlight w:val="none"/>
              </w:rPr>
            </w:pPr>
          </w:p>
        </w:tc>
        <w:tc>
          <w:tcPr>
            <w:tcW w:w="1134" w:type="dxa"/>
            <w:noWrap w:val="0"/>
            <w:vAlign w:val="center"/>
          </w:tcPr>
          <w:p w14:paraId="73E88A8F">
            <w:pPr>
              <w:spacing w:line="360" w:lineRule="auto"/>
              <w:ind w:firstLine="388" w:firstLineChars="200"/>
              <w:jc w:val="center"/>
              <w:rPr>
                <w:rFonts w:ascii="宋体" w:hAnsi="宋体"/>
                <w:color w:val="auto"/>
                <w:szCs w:val="21"/>
                <w:highlight w:val="none"/>
              </w:rPr>
            </w:pPr>
          </w:p>
        </w:tc>
        <w:tc>
          <w:tcPr>
            <w:tcW w:w="1408" w:type="dxa"/>
            <w:noWrap w:val="0"/>
            <w:vAlign w:val="center"/>
          </w:tcPr>
          <w:p w14:paraId="5D12C69F">
            <w:pPr>
              <w:spacing w:line="360" w:lineRule="auto"/>
              <w:ind w:firstLine="388" w:firstLineChars="200"/>
              <w:jc w:val="center"/>
              <w:rPr>
                <w:rFonts w:ascii="宋体" w:hAnsi="宋体"/>
                <w:color w:val="auto"/>
                <w:szCs w:val="21"/>
                <w:highlight w:val="none"/>
              </w:rPr>
            </w:pPr>
          </w:p>
        </w:tc>
        <w:tc>
          <w:tcPr>
            <w:tcW w:w="787" w:type="dxa"/>
            <w:noWrap w:val="0"/>
            <w:vAlign w:val="center"/>
          </w:tcPr>
          <w:p w14:paraId="50A47D80">
            <w:pPr>
              <w:spacing w:line="360" w:lineRule="auto"/>
              <w:ind w:firstLine="388" w:firstLineChars="200"/>
              <w:jc w:val="center"/>
              <w:rPr>
                <w:rFonts w:ascii="宋体" w:hAnsi="宋体"/>
                <w:color w:val="auto"/>
                <w:szCs w:val="21"/>
                <w:highlight w:val="none"/>
              </w:rPr>
            </w:pPr>
          </w:p>
        </w:tc>
        <w:tc>
          <w:tcPr>
            <w:tcW w:w="775" w:type="dxa"/>
            <w:noWrap w:val="0"/>
            <w:vAlign w:val="center"/>
          </w:tcPr>
          <w:p w14:paraId="5F459240">
            <w:pPr>
              <w:spacing w:line="360" w:lineRule="auto"/>
              <w:ind w:firstLine="388" w:firstLineChars="200"/>
              <w:jc w:val="center"/>
              <w:rPr>
                <w:rFonts w:ascii="宋体" w:hAnsi="宋体"/>
                <w:color w:val="auto"/>
                <w:szCs w:val="21"/>
                <w:highlight w:val="none"/>
              </w:rPr>
            </w:pPr>
          </w:p>
        </w:tc>
      </w:tr>
      <w:tr w14:paraId="79306C1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1" w:hRule="atLeast"/>
          <w:jc w:val="center"/>
        </w:trPr>
        <w:tc>
          <w:tcPr>
            <w:tcW w:w="656" w:type="dxa"/>
            <w:noWrap w:val="0"/>
            <w:vAlign w:val="center"/>
          </w:tcPr>
          <w:p w14:paraId="0244AF25">
            <w:pPr>
              <w:spacing w:line="360" w:lineRule="auto"/>
              <w:ind w:firstLine="388" w:firstLineChars="200"/>
              <w:jc w:val="center"/>
              <w:rPr>
                <w:rFonts w:ascii="宋体" w:hAnsi="宋体"/>
                <w:color w:val="auto"/>
                <w:szCs w:val="21"/>
                <w:highlight w:val="none"/>
              </w:rPr>
            </w:pPr>
          </w:p>
        </w:tc>
        <w:tc>
          <w:tcPr>
            <w:tcW w:w="1410" w:type="dxa"/>
            <w:noWrap w:val="0"/>
            <w:vAlign w:val="center"/>
          </w:tcPr>
          <w:p w14:paraId="57DDC183">
            <w:pPr>
              <w:spacing w:line="360" w:lineRule="auto"/>
              <w:ind w:firstLine="388" w:firstLineChars="200"/>
              <w:jc w:val="center"/>
              <w:rPr>
                <w:rFonts w:ascii="宋体" w:hAnsi="宋体"/>
                <w:color w:val="auto"/>
                <w:szCs w:val="21"/>
                <w:highlight w:val="none"/>
              </w:rPr>
            </w:pPr>
          </w:p>
        </w:tc>
        <w:tc>
          <w:tcPr>
            <w:tcW w:w="1110" w:type="dxa"/>
            <w:noWrap w:val="0"/>
            <w:vAlign w:val="center"/>
          </w:tcPr>
          <w:p w14:paraId="3DD289D9">
            <w:pPr>
              <w:spacing w:line="360" w:lineRule="auto"/>
              <w:ind w:firstLine="388" w:firstLineChars="200"/>
              <w:jc w:val="center"/>
              <w:rPr>
                <w:rFonts w:ascii="宋体" w:hAnsi="宋体"/>
                <w:color w:val="auto"/>
                <w:szCs w:val="21"/>
                <w:highlight w:val="none"/>
              </w:rPr>
            </w:pPr>
          </w:p>
        </w:tc>
        <w:tc>
          <w:tcPr>
            <w:tcW w:w="730" w:type="dxa"/>
            <w:noWrap w:val="0"/>
            <w:vAlign w:val="center"/>
          </w:tcPr>
          <w:p w14:paraId="34F07721">
            <w:pPr>
              <w:spacing w:line="360" w:lineRule="auto"/>
              <w:ind w:firstLine="388" w:firstLineChars="200"/>
              <w:jc w:val="center"/>
              <w:rPr>
                <w:rFonts w:ascii="宋体" w:hAnsi="宋体"/>
                <w:color w:val="auto"/>
                <w:szCs w:val="21"/>
                <w:highlight w:val="none"/>
              </w:rPr>
            </w:pPr>
          </w:p>
        </w:tc>
        <w:tc>
          <w:tcPr>
            <w:tcW w:w="1067" w:type="dxa"/>
            <w:noWrap w:val="0"/>
            <w:vAlign w:val="center"/>
          </w:tcPr>
          <w:p w14:paraId="15262247">
            <w:pPr>
              <w:spacing w:line="360" w:lineRule="auto"/>
              <w:ind w:firstLine="388" w:firstLineChars="200"/>
              <w:jc w:val="center"/>
              <w:rPr>
                <w:rFonts w:ascii="宋体" w:hAnsi="宋体"/>
                <w:color w:val="auto"/>
                <w:szCs w:val="21"/>
                <w:highlight w:val="none"/>
              </w:rPr>
            </w:pPr>
          </w:p>
        </w:tc>
        <w:tc>
          <w:tcPr>
            <w:tcW w:w="1134" w:type="dxa"/>
            <w:noWrap w:val="0"/>
            <w:vAlign w:val="center"/>
          </w:tcPr>
          <w:p w14:paraId="3824DD8D">
            <w:pPr>
              <w:spacing w:line="360" w:lineRule="auto"/>
              <w:ind w:firstLine="388" w:firstLineChars="200"/>
              <w:jc w:val="center"/>
              <w:rPr>
                <w:rFonts w:ascii="宋体" w:hAnsi="宋体"/>
                <w:color w:val="auto"/>
                <w:szCs w:val="21"/>
                <w:highlight w:val="none"/>
              </w:rPr>
            </w:pPr>
          </w:p>
        </w:tc>
        <w:tc>
          <w:tcPr>
            <w:tcW w:w="1408" w:type="dxa"/>
            <w:noWrap w:val="0"/>
            <w:vAlign w:val="center"/>
          </w:tcPr>
          <w:p w14:paraId="120D416E">
            <w:pPr>
              <w:spacing w:line="360" w:lineRule="auto"/>
              <w:ind w:firstLine="388" w:firstLineChars="200"/>
              <w:jc w:val="center"/>
              <w:rPr>
                <w:rFonts w:ascii="宋体" w:hAnsi="宋体"/>
                <w:color w:val="auto"/>
                <w:szCs w:val="21"/>
                <w:highlight w:val="none"/>
              </w:rPr>
            </w:pPr>
          </w:p>
        </w:tc>
        <w:tc>
          <w:tcPr>
            <w:tcW w:w="787" w:type="dxa"/>
            <w:noWrap w:val="0"/>
            <w:vAlign w:val="center"/>
          </w:tcPr>
          <w:p w14:paraId="4466A789">
            <w:pPr>
              <w:spacing w:line="360" w:lineRule="auto"/>
              <w:ind w:firstLine="388" w:firstLineChars="200"/>
              <w:jc w:val="center"/>
              <w:rPr>
                <w:rFonts w:ascii="宋体" w:hAnsi="宋体"/>
                <w:color w:val="auto"/>
                <w:szCs w:val="21"/>
                <w:highlight w:val="none"/>
              </w:rPr>
            </w:pPr>
          </w:p>
        </w:tc>
        <w:tc>
          <w:tcPr>
            <w:tcW w:w="775" w:type="dxa"/>
            <w:noWrap w:val="0"/>
            <w:vAlign w:val="center"/>
          </w:tcPr>
          <w:p w14:paraId="0D882944">
            <w:pPr>
              <w:spacing w:line="360" w:lineRule="auto"/>
              <w:ind w:firstLine="388" w:firstLineChars="200"/>
              <w:jc w:val="center"/>
              <w:rPr>
                <w:rFonts w:ascii="宋体" w:hAnsi="宋体"/>
                <w:color w:val="auto"/>
                <w:szCs w:val="21"/>
                <w:highlight w:val="none"/>
              </w:rPr>
            </w:pPr>
          </w:p>
        </w:tc>
      </w:tr>
      <w:tr w14:paraId="2557F8E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1" w:hRule="atLeast"/>
          <w:jc w:val="center"/>
        </w:trPr>
        <w:tc>
          <w:tcPr>
            <w:tcW w:w="656" w:type="dxa"/>
            <w:noWrap w:val="0"/>
            <w:vAlign w:val="center"/>
          </w:tcPr>
          <w:p w14:paraId="6B646966">
            <w:pPr>
              <w:spacing w:line="360" w:lineRule="auto"/>
              <w:ind w:firstLine="388" w:firstLineChars="200"/>
              <w:jc w:val="center"/>
              <w:rPr>
                <w:rFonts w:ascii="宋体" w:hAnsi="宋体"/>
                <w:color w:val="auto"/>
                <w:szCs w:val="21"/>
                <w:highlight w:val="none"/>
              </w:rPr>
            </w:pPr>
          </w:p>
        </w:tc>
        <w:tc>
          <w:tcPr>
            <w:tcW w:w="1410" w:type="dxa"/>
            <w:noWrap w:val="0"/>
            <w:vAlign w:val="center"/>
          </w:tcPr>
          <w:p w14:paraId="568D30FF">
            <w:pPr>
              <w:spacing w:line="360" w:lineRule="auto"/>
              <w:ind w:firstLine="388" w:firstLineChars="200"/>
              <w:jc w:val="center"/>
              <w:rPr>
                <w:rFonts w:ascii="宋体" w:hAnsi="宋体"/>
                <w:color w:val="auto"/>
                <w:szCs w:val="21"/>
                <w:highlight w:val="none"/>
              </w:rPr>
            </w:pPr>
          </w:p>
        </w:tc>
        <w:tc>
          <w:tcPr>
            <w:tcW w:w="1110" w:type="dxa"/>
            <w:noWrap w:val="0"/>
            <w:vAlign w:val="center"/>
          </w:tcPr>
          <w:p w14:paraId="2C0DDFF9">
            <w:pPr>
              <w:spacing w:line="360" w:lineRule="auto"/>
              <w:ind w:firstLine="388" w:firstLineChars="200"/>
              <w:jc w:val="center"/>
              <w:rPr>
                <w:rFonts w:ascii="宋体" w:hAnsi="宋体"/>
                <w:color w:val="auto"/>
                <w:szCs w:val="21"/>
                <w:highlight w:val="none"/>
              </w:rPr>
            </w:pPr>
          </w:p>
        </w:tc>
        <w:tc>
          <w:tcPr>
            <w:tcW w:w="730" w:type="dxa"/>
            <w:noWrap w:val="0"/>
            <w:vAlign w:val="center"/>
          </w:tcPr>
          <w:p w14:paraId="0E689D04">
            <w:pPr>
              <w:spacing w:line="360" w:lineRule="auto"/>
              <w:ind w:firstLine="388" w:firstLineChars="200"/>
              <w:jc w:val="center"/>
              <w:rPr>
                <w:rFonts w:ascii="宋体" w:hAnsi="宋体"/>
                <w:color w:val="auto"/>
                <w:szCs w:val="21"/>
                <w:highlight w:val="none"/>
              </w:rPr>
            </w:pPr>
          </w:p>
        </w:tc>
        <w:tc>
          <w:tcPr>
            <w:tcW w:w="1067" w:type="dxa"/>
            <w:noWrap w:val="0"/>
            <w:vAlign w:val="center"/>
          </w:tcPr>
          <w:p w14:paraId="41207F66">
            <w:pPr>
              <w:spacing w:line="360" w:lineRule="auto"/>
              <w:ind w:firstLine="388" w:firstLineChars="200"/>
              <w:jc w:val="center"/>
              <w:rPr>
                <w:rFonts w:ascii="宋体" w:hAnsi="宋体"/>
                <w:color w:val="auto"/>
                <w:szCs w:val="21"/>
                <w:highlight w:val="none"/>
              </w:rPr>
            </w:pPr>
          </w:p>
        </w:tc>
        <w:tc>
          <w:tcPr>
            <w:tcW w:w="1134" w:type="dxa"/>
            <w:noWrap w:val="0"/>
            <w:vAlign w:val="center"/>
          </w:tcPr>
          <w:p w14:paraId="3734BD88">
            <w:pPr>
              <w:spacing w:line="360" w:lineRule="auto"/>
              <w:ind w:firstLine="388" w:firstLineChars="200"/>
              <w:jc w:val="center"/>
              <w:rPr>
                <w:rFonts w:ascii="宋体" w:hAnsi="宋体"/>
                <w:color w:val="auto"/>
                <w:szCs w:val="21"/>
                <w:highlight w:val="none"/>
              </w:rPr>
            </w:pPr>
          </w:p>
        </w:tc>
        <w:tc>
          <w:tcPr>
            <w:tcW w:w="1408" w:type="dxa"/>
            <w:noWrap w:val="0"/>
            <w:vAlign w:val="center"/>
          </w:tcPr>
          <w:p w14:paraId="6C7411F1">
            <w:pPr>
              <w:spacing w:line="360" w:lineRule="auto"/>
              <w:ind w:firstLine="388" w:firstLineChars="200"/>
              <w:jc w:val="center"/>
              <w:rPr>
                <w:rFonts w:ascii="宋体" w:hAnsi="宋体"/>
                <w:color w:val="auto"/>
                <w:szCs w:val="21"/>
                <w:highlight w:val="none"/>
              </w:rPr>
            </w:pPr>
          </w:p>
        </w:tc>
        <w:tc>
          <w:tcPr>
            <w:tcW w:w="787" w:type="dxa"/>
            <w:noWrap w:val="0"/>
            <w:vAlign w:val="center"/>
          </w:tcPr>
          <w:p w14:paraId="176312A3">
            <w:pPr>
              <w:spacing w:line="360" w:lineRule="auto"/>
              <w:ind w:firstLine="388" w:firstLineChars="200"/>
              <w:jc w:val="center"/>
              <w:rPr>
                <w:rFonts w:ascii="宋体" w:hAnsi="宋体"/>
                <w:color w:val="auto"/>
                <w:szCs w:val="21"/>
                <w:highlight w:val="none"/>
              </w:rPr>
            </w:pPr>
          </w:p>
        </w:tc>
        <w:tc>
          <w:tcPr>
            <w:tcW w:w="775" w:type="dxa"/>
            <w:noWrap w:val="0"/>
            <w:vAlign w:val="center"/>
          </w:tcPr>
          <w:p w14:paraId="1801CBE1">
            <w:pPr>
              <w:spacing w:line="360" w:lineRule="auto"/>
              <w:ind w:firstLine="388" w:firstLineChars="200"/>
              <w:jc w:val="center"/>
              <w:rPr>
                <w:rFonts w:ascii="宋体" w:hAnsi="宋体"/>
                <w:color w:val="auto"/>
                <w:szCs w:val="21"/>
                <w:highlight w:val="none"/>
              </w:rPr>
            </w:pPr>
          </w:p>
        </w:tc>
      </w:tr>
      <w:tr w14:paraId="1111061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1" w:hRule="atLeast"/>
          <w:jc w:val="center"/>
        </w:trPr>
        <w:tc>
          <w:tcPr>
            <w:tcW w:w="656" w:type="dxa"/>
            <w:noWrap w:val="0"/>
            <w:vAlign w:val="center"/>
          </w:tcPr>
          <w:p w14:paraId="08649137">
            <w:pPr>
              <w:spacing w:line="360" w:lineRule="auto"/>
              <w:ind w:firstLine="388" w:firstLineChars="200"/>
              <w:jc w:val="center"/>
              <w:rPr>
                <w:rFonts w:ascii="宋体" w:hAnsi="宋体"/>
                <w:color w:val="auto"/>
                <w:szCs w:val="21"/>
                <w:highlight w:val="none"/>
              </w:rPr>
            </w:pPr>
          </w:p>
        </w:tc>
        <w:tc>
          <w:tcPr>
            <w:tcW w:w="1410" w:type="dxa"/>
            <w:noWrap w:val="0"/>
            <w:vAlign w:val="center"/>
          </w:tcPr>
          <w:p w14:paraId="6EACB491">
            <w:pPr>
              <w:spacing w:line="360" w:lineRule="auto"/>
              <w:ind w:firstLine="388" w:firstLineChars="200"/>
              <w:jc w:val="center"/>
              <w:rPr>
                <w:rFonts w:ascii="宋体" w:hAnsi="宋体"/>
                <w:color w:val="auto"/>
                <w:szCs w:val="21"/>
                <w:highlight w:val="none"/>
              </w:rPr>
            </w:pPr>
          </w:p>
        </w:tc>
        <w:tc>
          <w:tcPr>
            <w:tcW w:w="1110" w:type="dxa"/>
            <w:noWrap w:val="0"/>
            <w:vAlign w:val="center"/>
          </w:tcPr>
          <w:p w14:paraId="5155364E">
            <w:pPr>
              <w:spacing w:line="360" w:lineRule="auto"/>
              <w:ind w:firstLine="388" w:firstLineChars="200"/>
              <w:jc w:val="center"/>
              <w:rPr>
                <w:rFonts w:ascii="宋体" w:hAnsi="宋体"/>
                <w:color w:val="auto"/>
                <w:szCs w:val="21"/>
                <w:highlight w:val="none"/>
              </w:rPr>
            </w:pPr>
          </w:p>
        </w:tc>
        <w:tc>
          <w:tcPr>
            <w:tcW w:w="730" w:type="dxa"/>
            <w:noWrap w:val="0"/>
            <w:vAlign w:val="center"/>
          </w:tcPr>
          <w:p w14:paraId="5DB92EF3">
            <w:pPr>
              <w:spacing w:line="360" w:lineRule="auto"/>
              <w:ind w:firstLine="388" w:firstLineChars="200"/>
              <w:jc w:val="center"/>
              <w:rPr>
                <w:rFonts w:ascii="宋体" w:hAnsi="宋体"/>
                <w:color w:val="auto"/>
                <w:szCs w:val="21"/>
                <w:highlight w:val="none"/>
              </w:rPr>
            </w:pPr>
          </w:p>
        </w:tc>
        <w:tc>
          <w:tcPr>
            <w:tcW w:w="1067" w:type="dxa"/>
            <w:noWrap w:val="0"/>
            <w:vAlign w:val="center"/>
          </w:tcPr>
          <w:p w14:paraId="615692A7">
            <w:pPr>
              <w:spacing w:line="360" w:lineRule="auto"/>
              <w:ind w:firstLine="388" w:firstLineChars="200"/>
              <w:jc w:val="center"/>
              <w:rPr>
                <w:rFonts w:ascii="宋体" w:hAnsi="宋体"/>
                <w:color w:val="auto"/>
                <w:szCs w:val="21"/>
                <w:highlight w:val="none"/>
              </w:rPr>
            </w:pPr>
          </w:p>
        </w:tc>
        <w:tc>
          <w:tcPr>
            <w:tcW w:w="1134" w:type="dxa"/>
            <w:noWrap w:val="0"/>
            <w:vAlign w:val="center"/>
          </w:tcPr>
          <w:p w14:paraId="55C21E85">
            <w:pPr>
              <w:spacing w:line="360" w:lineRule="auto"/>
              <w:ind w:firstLine="388" w:firstLineChars="200"/>
              <w:jc w:val="center"/>
              <w:rPr>
                <w:rFonts w:ascii="宋体" w:hAnsi="宋体"/>
                <w:color w:val="auto"/>
                <w:szCs w:val="21"/>
                <w:highlight w:val="none"/>
              </w:rPr>
            </w:pPr>
          </w:p>
        </w:tc>
        <w:tc>
          <w:tcPr>
            <w:tcW w:w="1408" w:type="dxa"/>
            <w:noWrap w:val="0"/>
            <w:vAlign w:val="center"/>
          </w:tcPr>
          <w:p w14:paraId="58055028">
            <w:pPr>
              <w:spacing w:line="360" w:lineRule="auto"/>
              <w:ind w:firstLine="388" w:firstLineChars="200"/>
              <w:jc w:val="center"/>
              <w:rPr>
                <w:rFonts w:ascii="宋体" w:hAnsi="宋体"/>
                <w:color w:val="auto"/>
                <w:szCs w:val="21"/>
                <w:highlight w:val="none"/>
              </w:rPr>
            </w:pPr>
          </w:p>
        </w:tc>
        <w:tc>
          <w:tcPr>
            <w:tcW w:w="787" w:type="dxa"/>
            <w:noWrap w:val="0"/>
            <w:vAlign w:val="center"/>
          </w:tcPr>
          <w:p w14:paraId="0025EDF3">
            <w:pPr>
              <w:spacing w:line="360" w:lineRule="auto"/>
              <w:ind w:firstLine="388" w:firstLineChars="200"/>
              <w:jc w:val="center"/>
              <w:rPr>
                <w:rFonts w:ascii="宋体" w:hAnsi="宋体"/>
                <w:color w:val="auto"/>
                <w:szCs w:val="21"/>
                <w:highlight w:val="none"/>
              </w:rPr>
            </w:pPr>
          </w:p>
        </w:tc>
        <w:tc>
          <w:tcPr>
            <w:tcW w:w="775" w:type="dxa"/>
            <w:noWrap w:val="0"/>
            <w:vAlign w:val="center"/>
          </w:tcPr>
          <w:p w14:paraId="4C29A5F5">
            <w:pPr>
              <w:spacing w:line="360" w:lineRule="auto"/>
              <w:ind w:firstLine="388" w:firstLineChars="200"/>
              <w:jc w:val="center"/>
              <w:rPr>
                <w:rFonts w:ascii="宋体" w:hAnsi="宋体"/>
                <w:color w:val="auto"/>
                <w:szCs w:val="21"/>
                <w:highlight w:val="none"/>
              </w:rPr>
            </w:pPr>
          </w:p>
        </w:tc>
      </w:tr>
      <w:tr w14:paraId="62D40A2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6" w:hRule="atLeast"/>
          <w:jc w:val="center"/>
        </w:trPr>
        <w:tc>
          <w:tcPr>
            <w:tcW w:w="656" w:type="dxa"/>
            <w:noWrap w:val="0"/>
            <w:vAlign w:val="center"/>
          </w:tcPr>
          <w:p w14:paraId="37A1337C">
            <w:pPr>
              <w:spacing w:line="360" w:lineRule="auto"/>
              <w:ind w:firstLine="388" w:firstLineChars="200"/>
              <w:jc w:val="center"/>
              <w:rPr>
                <w:rFonts w:ascii="宋体" w:hAnsi="宋体"/>
                <w:color w:val="auto"/>
                <w:szCs w:val="21"/>
                <w:highlight w:val="none"/>
              </w:rPr>
            </w:pPr>
          </w:p>
        </w:tc>
        <w:tc>
          <w:tcPr>
            <w:tcW w:w="1410" w:type="dxa"/>
            <w:noWrap w:val="0"/>
            <w:vAlign w:val="center"/>
          </w:tcPr>
          <w:p w14:paraId="0A3D53D8">
            <w:pPr>
              <w:spacing w:line="360" w:lineRule="auto"/>
              <w:ind w:firstLine="388" w:firstLineChars="200"/>
              <w:jc w:val="center"/>
              <w:rPr>
                <w:rFonts w:ascii="宋体" w:hAnsi="宋体"/>
                <w:color w:val="auto"/>
                <w:szCs w:val="21"/>
                <w:highlight w:val="none"/>
              </w:rPr>
            </w:pPr>
          </w:p>
        </w:tc>
        <w:tc>
          <w:tcPr>
            <w:tcW w:w="1110" w:type="dxa"/>
            <w:noWrap w:val="0"/>
            <w:vAlign w:val="center"/>
          </w:tcPr>
          <w:p w14:paraId="0B1DA89F">
            <w:pPr>
              <w:spacing w:line="360" w:lineRule="auto"/>
              <w:ind w:firstLine="388" w:firstLineChars="200"/>
              <w:jc w:val="center"/>
              <w:rPr>
                <w:rFonts w:ascii="宋体" w:hAnsi="宋体"/>
                <w:color w:val="auto"/>
                <w:szCs w:val="21"/>
                <w:highlight w:val="none"/>
              </w:rPr>
            </w:pPr>
          </w:p>
        </w:tc>
        <w:tc>
          <w:tcPr>
            <w:tcW w:w="730" w:type="dxa"/>
            <w:noWrap w:val="0"/>
            <w:vAlign w:val="center"/>
          </w:tcPr>
          <w:p w14:paraId="716DAD43">
            <w:pPr>
              <w:spacing w:line="360" w:lineRule="auto"/>
              <w:ind w:firstLine="388" w:firstLineChars="200"/>
              <w:jc w:val="center"/>
              <w:rPr>
                <w:rFonts w:ascii="宋体" w:hAnsi="宋体"/>
                <w:color w:val="auto"/>
                <w:szCs w:val="21"/>
                <w:highlight w:val="none"/>
              </w:rPr>
            </w:pPr>
          </w:p>
        </w:tc>
        <w:tc>
          <w:tcPr>
            <w:tcW w:w="1067" w:type="dxa"/>
            <w:noWrap w:val="0"/>
            <w:vAlign w:val="center"/>
          </w:tcPr>
          <w:p w14:paraId="65E036EB">
            <w:pPr>
              <w:spacing w:line="360" w:lineRule="auto"/>
              <w:ind w:firstLine="388" w:firstLineChars="200"/>
              <w:jc w:val="center"/>
              <w:rPr>
                <w:rFonts w:ascii="宋体" w:hAnsi="宋体"/>
                <w:color w:val="auto"/>
                <w:szCs w:val="21"/>
                <w:highlight w:val="none"/>
              </w:rPr>
            </w:pPr>
          </w:p>
        </w:tc>
        <w:tc>
          <w:tcPr>
            <w:tcW w:w="1134" w:type="dxa"/>
            <w:noWrap w:val="0"/>
            <w:vAlign w:val="center"/>
          </w:tcPr>
          <w:p w14:paraId="46BD946D">
            <w:pPr>
              <w:spacing w:line="360" w:lineRule="auto"/>
              <w:ind w:firstLine="388" w:firstLineChars="200"/>
              <w:jc w:val="center"/>
              <w:rPr>
                <w:rFonts w:ascii="宋体" w:hAnsi="宋体"/>
                <w:color w:val="auto"/>
                <w:szCs w:val="21"/>
                <w:highlight w:val="none"/>
              </w:rPr>
            </w:pPr>
          </w:p>
        </w:tc>
        <w:tc>
          <w:tcPr>
            <w:tcW w:w="1408" w:type="dxa"/>
            <w:noWrap w:val="0"/>
            <w:vAlign w:val="center"/>
          </w:tcPr>
          <w:p w14:paraId="3C53CB0F">
            <w:pPr>
              <w:spacing w:line="360" w:lineRule="auto"/>
              <w:ind w:firstLine="388" w:firstLineChars="200"/>
              <w:jc w:val="center"/>
              <w:rPr>
                <w:rFonts w:ascii="宋体" w:hAnsi="宋体"/>
                <w:color w:val="auto"/>
                <w:szCs w:val="21"/>
                <w:highlight w:val="none"/>
              </w:rPr>
            </w:pPr>
          </w:p>
        </w:tc>
        <w:tc>
          <w:tcPr>
            <w:tcW w:w="787" w:type="dxa"/>
            <w:noWrap w:val="0"/>
            <w:vAlign w:val="center"/>
          </w:tcPr>
          <w:p w14:paraId="3DD3C187">
            <w:pPr>
              <w:spacing w:line="360" w:lineRule="auto"/>
              <w:ind w:firstLine="388" w:firstLineChars="200"/>
              <w:jc w:val="center"/>
              <w:rPr>
                <w:rFonts w:ascii="宋体" w:hAnsi="宋体"/>
                <w:color w:val="auto"/>
                <w:szCs w:val="21"/>
                <w:highlight w:val="none"/>
              </w:rPr>
            </w:pPr>
          </w:p>
        </w:tc>
        <w:tc>
          <w:tcPr>
            <w:tcW w:w="775" w:type="dxa"/>
            <w:noWrap w:val="0"/>
            <w:vAlign w:val="center"/>
          </w:tcPr>
          <w:p w14:paraId="76A16A95">
            <w:pPr>
              <w:spacing w:line="360" w:lineRule="auto"/>
              <w:ind w:firstLine="388" w:firstLineChars="200"/>
              <w:jc w:val="center"/>
              <w:rPr>
                <w:rFonts w:ascii="宋体" w:hAnsi="宋体"/>
                <w:color w:val="auto"/>
                <w:szCs w:val="21"/>
                <w:highlight w:val="none"/>
              </w:rPr>
            </w:pPr>
          </w:p>
        </w:tc>
      </w:tr>
      <w:tr w14:paraId="38E8FBA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1" w:hRule="atLeast"/>
          <w:jc w:val="center"/>
        </w:trPr>
        <w:tc>
          <w:tcPr>
            <w:tcW w:w="656" w:type="dxa"/>
            <w:noWrap w:val="0"/>
            <w:vAlign w:val="center"/>
          </w:tcPr>
          <w:p w14:paraId="463C7320">
            <w:pPr>
              <w:spacing w:line="360" w:lineRule="auto"/>
              <w:ind w:firstLine="388" w:firstLineChars="200"/>
              <w:jc w:val="center"/>
              <w:rPr>
                <w:rFonts w:ascii="宋体" w:hAnsi="宋体"/>
                <w:color w:val="auto"/>
                <w:szCs w:val="21"/>
                <w:highlight w:val="none"/>
              </w:rPr>
            </w:pPr>
          </w:p>
        </w:tc>
        <w:tc>
          <w:tcPr>
            <w:tcW w:w="1410" w:type="dxa"/>
            <w:noWrap w:val="0"/>
            <w:vAlign w:val="center"/>
          </w:tcPr>
          <w:p w14:paraId="2BB611D5">
            <w:pPr>
              <w:spacing w:line="360" w:lineRule="auto"/>
              <w:ind w:firstLine="388" w:firstLineChars="200"/>
              <w:jc w:val="center"/>
              <w:rPr>
                <w:rFonts w:ascii="宋体" w:hAnsi="宋体"/>
                <w:color w:val="auto"/>
                <w:szCs w:val="21"/>
                <w:highlight w:val="none"/>
              </w:rPr>
            </w:pPr>
          </w:p>
        </w:tc>
        <w:tc>
          <w:tcPr>
            <w:tcW w:w="1110" w:type="dxa"/>
            <w:noWrap w:val="0"/>
            <w:vAlign w:val="center"/>
          </w:tcPr>
          <w:p w14:paraId="176BE846">
            <w:pPr>
              <w:spacing w:line="360" w:lineRule="auto"/>
              <w:ind w:firstLine="388" w:firstLineChars="200"/>
              <w:jc w:val="center"/>
              <w:rPr>
                <w:rFonts w:ascii="宋体" w:hAnsi="宋体"/>
                <w:color w:val="auto"/>
                <w:szCs w:val="21"/>
                <w:highlight w:val="none"/>
              </w:rPr>
            </w:pPr>
          </w:p>
        </w:tc>
        <w:tc>
          <w:tcPr>
            <w:tcW w:w="730" w:type="dxa"/>
            <w:noWrap w:val="0"/>
            <w:vAlign w:val="center"/>
          </w:tcPr>
          <w:p w14:paraId="4DB8E452">
            <w:pPr>
              <w:spacing w:line="360" w:lineRule="auto"/>
              <w:ind w:firstLine="388" w:firstLineChars="200"/>
              <w:jc w:val="center"/>
              <w:rPr>
                <w:rFonts w:ascii="宋体" w:hAnsi="宋体"/>
                <w:color w:val="auto"/>
                <w:szCs w:val="21"/>
                <w:highlight w:val="none"/>
              </w:rPr>
            </w:pPr>
          </w:p>
        </w:tc>
        <w:tc>
          <w:tcPr>
            <w:tcW w:w="1067" w:type="dxa"/>
            <w:noWrap w:val="0"/>
            <w:vAlign w:val="center"/>
          </w:tcPr>
          <w:p w14:paraId="03E0E14C">
            <w:pPr>
              <w:spacing w:line="360" w:lineRule="auto"/>
              <w:ind w:firstLine="388" w:firstLineChars="200"/>
              <w:jc w:val="center"/>
              <w:rPr>
                <w:rFonts w:ascii="宋体" w:hAnsi="宋体"/>
                <w:color w:val="auto"/>
                <w:szCs w:val="21"/>
                <w:highlight w:val="none"/>
              </w:rPr>
            </w:pPr>
          </w:p>
        </w:tc>
        <w:tc>
          <w:tcPr>
            <w:tcW w:w="1134" w:type="dxa"/>
            <w:noWrap w:val="0"/>
            <w:vAlign w:val="center"/>
          </w:tcPr>
          <w:p w14:paraId="51B2C8EA">
            <w:pPr>
              <w:spacing w:line="360" w:lineRule="auto"/>
              <w:ind w:firstLine="388" w:firstLineChars="200"/>
              <w:jc w:val="center"/>
              <w:rPr>
                <w:rFonts w:ascii="宋体" w:hAnsi="宋体"/>
                <w:color w:val="auto"/>
                <w:szCs w:val="21"/>
                <w:highlight w:val="none"/>
              </w:rPr>
            </w:pPr>
          </w:p>
        </w:tc>
        <w:tc>
          <w:tcPr>
            <w:tcW w:w="1408" w:type="dxa"/>
            <w:noWrap w:val="0"/>
            <w:vAlign w:val="center"/>
          </w:tcPr>
          <w:p w14:paraId="187F74B1">
            <w:pPr>
              <w:spacing w:line="360" w:lineRule="auto"/>
              <w:ind w:firstLine="388" w:firstLineChars="200"/>
              <w:jc w:val="center"/>
              <w:rPr>
                <w:rFonts w:ascii="宋体" w:hAnsi="宋体"/>
                <w:color w:val="auto"/>
                <w:szCs w:val="21"/>
                <w:highlight w:val="none"/>
              </w:rPr>
            </w:pPr>
          </w:p>
        </w:tc>
        <w:tc>
          <w:tcPr>
            <w:tcW w:w="787" w:type="dxa"/>
            <w:noWrap w:val="0"/>
            <w:vAlign w:val="center"/>
          </w:tcPr>
          <w:p w14:paraId="59DE5F14">
            <w:pPr>
              <w:spacing w:line="360" w:lineRule="auto"/>
              <w:ind w:firstLine="388" w:firstLineChars="200"/>
              <w:jc w:val="center"/>
              <w:rPr>
                <w:rFonts w:ascii="宋体" w:hAnsi="宋体"/>
                <w:color w:val="auto"/>
                <w:szCs w:val="21"/>
                <w:highlight w:val="none"/>
              </w:rPr>
            </w:pPr>
          </w:p>
        </w:tc>
        <w:tc>
          <w:tcPr>
            <w:tcW w:w="775" w:type="dxa"/>
            <w:noWrap w:val="0"/>
            <w:vAlign w:val="center"/>
          </w:tcPr>
          <w:p w14:paraId="61C871E4">
            <w:pPr>
              <w:spacing w:line="360" w:lineRule="auto"/>
              <w:ind w:firstLine="388" w:firstLineChars="200"/>
              <w:jc w:val="center"/>
              <w:rPr>
                <w:rFonts w:ascii="宋体" w:hAnsi="宋体"/>
                <w:color w:val="auto"/>
                <w:szCs w:val="21"/>
                <w:highlight w:val="none"/>
              </w:rPr>
            </w:pPr>
          </w:p>
        </w:tc>
      </w:tr>
      <w:tr w14:paraId="721B48D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1" w:hRule="atLeast"/>
          <w:jc w:val="center"/>
        </w:trPr>
        <w:tc>
          <w:tcPr>
            <w:tcW w:w="656" w:type="dxa"/>
            <w:noWrap w:val="0"/>
            <w:vAlign w:val="center"/>
          </w:tcPr>
          <w:p w14:paraId="6DEDEE38">
            <w:pPr>
              <w:spacing w:line="360" w:lineRule="auto"/>
              <w:ind w:firstLine="388" w:firstLineChars="200"/>
              <w:jc w:val="center"/>
              <w:rPr>
                <w:rFonts w:ascii="宋体" w:hAnsi="宋体"/>
                <w:color w:val="auto"/>
                <w:szCs w:val="21"/>
                <w:highlight w:val="none"/>
              </w:rPr>
            </w:pPr>
          </w:p>
        </w:tc>
        <w:tc>
          <w:tcPr>
            <w:tcW w:w="1410" w:type="dxa"/>
            <w:noWrap w:val="0"/>
            <w:vAlign w:val="center"/>
          </w:tcPr>
          <w:p w14:paraId="521B4F26">
            <w:pPr>
              <w:spacing w:line="360" w:lineRule="auto"/>
              <w:ind w:firstLine="388" w:firstLineChars="200"/>
              <w:jc w:val="center"/>
              <w:rPr>
                <w:rFonts w:ascii="宋体" w:hAnsi="宋体"/>
                <w:color w:val="auto"/>
                <w:szCs w:val="21"/>
                <w:highlight w:val="none"/>
              </w:rPr>
            </w:pPr>
          </w:p>
        </w:tc>
        <w:tc>
          <w:tcPr>
            <w:tcW w:w="1110" w:type="dxa"/>
            <w:noWrap w:val="0"/>
            <w:vAlign w:val="center"/>
          </w:tcPr>
          <w:p w14:paraId="20E718E8">
            <w:pPr>
              <w:spacing w:line="360" w:lineRule="auto"/>
              <w:ind w:firstLine="388" w:firstLineChars="200"/>
              <w:jc w:val="center"/>
              <w:rPr>
                <w:rFonts w:ascii="宋体" w:hAnsi="宋体"/>
                <w:color w:val="auto"/>
                <w:szCs w:val="21"/>
                <w:highlight w:val="none"/>
              </w:rPr>
            </w:pPr>
          </w:p>
        </w:tc>
        <w:tc>
          <w:tcPr>
            <w:tcW w:w="730" w:type="dxa"/>
            <w:noWrap w:val="0"/>
            <w:vAlign w:val="center"/>
          </w:tcPr>
          <w:p w14:paraId="343FAEEE">
            <w:pPr>
              <w:spacing w:line="360" w:lineRule="auto"/>
              <w:ind w:firstLine="388" w:firstLineChars="200"/>
              <w:jc w:val="center"/>
              <w:rPr>
                <w:rFonts w:ascii="宋体" w:hAnsi="宋体"/>
                <w:color w:val="auto"/>
                <w:szCs w:val="21"/>
                <w:highlight w:val="none"/>
              </w:rPr>
            </w:pPr>
          </w:p>
        </w:tc>
        <w:tc>
          <w:tcPr>
            <w:tcW w:w="1067" w:type="dxa"/>
            <w:noWrap w:val="0"/>
            <w:vAlign w:val="center"/>
          </w:tcPr>
          <w:p w14:paraId="7BB36C9D">
            <w:pPr>
              <w:spacing w:line="360" w:lineRule="auto"/>
              <w:ind w:firstLine="388" w:firstLineChars="200"/>
              <w:jc w:val="center"/>
              <w:rPr>
                <w:rFonts w:ascii="宋体" w:hAnsi="宋体"/>
                <w:color w:val="auto"/>
                <w:szCs w:val="21"/>
                <w:highlight w:val="none"/>
              </w:rPr>
            </w:pPr>
          </w:p>
        </w:tc>
        <w:tc>
          <w:tcPr>
            <w:tcW w:w="1134" w:type="dxa"/>
            <w:noWrap w:val="0"/>
            <w:vAlign w:val="center"/>
          </w:tcPr>
          <w:p w14:paraId="6CB443C5">
            <w:pPr>
              <w:spacing w:line="360" w:lineRule="auto"/>
              <w:ind w:firstLine="388" w:firstLineChars="200"/>
              <w:jc w:val="center"/>
              <w:rPr>
                <w:rFonts w:ascii="宋体" w:hAnsi="宋体"/>
                <w:color w:val="auto"/>
                <w:szCs w:val="21"/>
                <w:highlight w:val="none"/>
              </w:rPr>
            </w:pPr>
          </w:p>
        </w:tc>
        <w:tc>
          <w:tcPr>
            <w:tcW w:w="1408" w:type="dxa"/>
            <w:noWrap w:val="0"/>
            <w:vAlign w:val="center"/>
          </w:tcPr>
          <w:p w14:paraId="6F8238F5">
            <w:pPr>
              <w:spacing w:line="360" w:lineRule="auto"/>
              <w:ind w:firstLine="388" w:firstLineChars="200"/>
              <w:jc w:val="center"/>
              <w:rPr>
                <w:rFonts w:ascii="宋体" w:hAnsi="宋体"/>
                <w:color w:val="auto"/>
                <w:szCs w:val="21"/>
                <w:highlight w:val="none"/>
              </w:rPr>
            </w:pPr>
          </w:p>
        </w:tc>
        <w:tc>
          <w:tcPr>
            <w:tcW w:w="787" w:type="dxa"/>
            <w:noWrap w:val="0"/>
            <w:vAlign w:val="center"/>
          </w:tcPr>
          <w:p w14:paraId="78EA74C0">
            <w:pPr>
              <w:spacing w:line="360" w:lineRule="auto"/>
              <w:ind w:firstLine="388" w:firstLineChars="200"/>
              <w:jc w:val="center"/>
              <w:rPr>
                <w:rFonts w:ascii="宋体" w:hAnsi="宋体"/>
                <w:color w:val="auto"/>
                <w:szCs w:val="21"/>
                <w:highlight w:val="none"/>
              </w:rPr>
            </w:pPr>
          </w:p>
        </w:tc>
        <w:tc>
          <w:tcPr>
            <w:tcW w:w="775" w:type="dxa"/>
            <w:noWrap w:val="0"/>
            <w:vAlign w:val="center"/>
          </w:tcPr>
          <w:p w14:paraId="165DC0AB">
            <w:pPr>
              <w:spacing w:line="360" w:lineRule="auto"/>
              <w:ind w:firstLine="388" w:firstLineChars="200"/>
              <w:jc w:val="center"/>
              <w:rPr>
                <w:rFonts w:ascii="宋体" w:hAnsi="宋体"/>
                <w:color w:val="auto"/>
                <w:szCs w:val="21"/>
                <w:highlight w:val="none"/>
              </w:rPr>
            </w:pPr>
          </w:p>
        </w:tc>
      </w:tr>
      <w:tr w14:paraId="3CBA5C7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1" w:hRule="atLeast"/>
          <w:jc w:val="center"/>
        </w:trPr>
        <w:tc>
          <w:tcPr>
            <w:tcW w:w="656" w:type="dxa"/>
            <w:noWrap w:val="0"/>
            <w:vAlign w:val="center"/>
          </w:tcPr>
          <w:p w14:paraId="7AAAE897">
            <w:pPr>
              <w:spacing w:line="360" w:lineRule="auto"/>
              <w:ind w:firstLine="388" w:firstLineChars="200"/>
              <w:jc w:val="center"/>
              <w:rPr>
                <w:rFonts w:ascii="宋体" w:hAnsi="宋体"/>
                <w:color w:val="auto"/>
                <w:szCs w:val="21"/>
                <w:highlight w:val="none"/>
              </w:rPr>
            </w:pPr>
          </w:p>
        </w:tc>
        <w:tc>
          <w:tcPr>
            <w:tcW w:w="1410" w:type="dxa"/>
            <w:noWrap w:val="0"/>
            <w:vAlign w:val="center"/>
          </w:tcPr>
          <w:p w14:paraId="53B99294">
            <w:pPr>
              <w:spacing w:line="360" w:lineRule="auto"/>
              <w:ind w:firstLine="388" w:firstLineChars="200"/>
              <w:jc w:val="center"/>
              <w:rPr>
                <w:rFonts w:ascii="宋体" w:hAnsi="宋体"/>
                <w:color w:val="auto"/>
                <w:szCs w:val="21"/>
                <w:highlight w:val="none"/>
              </w:rPr>
            </w:pPr>
          </w:p>
        </w:tc>
        <w:tc>
          <w:tcPr>
            <w:tcW w:w="1110" w:type="dxa"/>
            <w:noWrap w:val="0"/>
            <w:vAlign w:val="center"/>
          </w:tcPr>
          <w:p w14:paraId="24AA786B">
            <w:pPr>
              <w:spacing w:line="360" w:lineRule="auto"/>
              <w:ind w:firstLine="388" w:firstLineChars="200"/>
              <w:jc w:val="center"/>
              <w:rPr>
                <w:rFonts w:ascii="宋体" w:hAnsi="宋体"/>
                <w:color w:val="auto"/>
                <w:szCs w:val="21"/>
                <w:highlight w:val="none"/>
              </w:rPr>
            </w:pPr>
          </w:p>
        </w:tc>
        <w:tc>
          <w:tcPr>
            <w:tcW w:w="730" w:type="dxa"/>
            <w:noWrap w:val="0"/>
            <w:vAlign w:val="center"/>
          </w:tcPr>
          <w:p w14:paraId="2E8921B4">
            <w:pPr>
              <w:spacing w:line="360" w:lineRule="auto"/>
              <w:ind w:firstLine="388" w:firstLineChars="200"/>
              <w:jc w:val="center"/>
              <w:rPr>
                <w:rFonts w:ascii="宋体" w:hAnsi="宋体"/>
                <w:color w:val="auto"/>
                <w:szCs w:val="21"/>
                <w:highlight w:val="none"/>
              </w:rPr>
            </w:pPr>
          </w:p>
        </w:tc>
        <w:tc>
          <w:tcPr>
            <w:tcW w:w="1067" w:type="dxa"/>
            <w:noWrap w:val="0"/>
            <w:vAlign w:val="center"/>
          </w:tcPr>
          <w:p w14:paraId="724CEC80">
            <w:pPr>
              <w:spacing w:line="360" w:lineRule="auto"/>
              <w:ind w:firstLine="388" w:firstLineChars="200"/>
              <w:jc w:val="center"/>
              <w:rPr>
                <w:rFonts w:ascii="宋体" w:hAnsi="宋体"/>
                <w:color w:val="auto"/>
                <w:szCs w:val="21"/>
                <w:highlight w:val="none"/>
              </w:rPr>
            </w:pPr>
          </w:p>
        </w:tc>
        <w:tc>
          <w:tcPr>
            <w:tcW w:w="1134" w:type="dxa"/>
            <w:noWrap w:val="0"/>
            <w:vAlign w:val="center"/>
          </w:tcPr>
          <w:p w14:paraId="1EB6EF37">
            <w:pPr>
              <w:spacing w:line="360" w:lineRule="auto"/>
              <w:ind w:firstLine="388" w:firstLineChars="200"/>
              <w:jc w:val="center"/>
              <w:rPr>
                <w:rFonts w:ascii="宋体" w:hAnsi="宋体"/>
                <w:color w:val="auto"/>
                <w:szCs w:val="21"/>
                <w:highlight w:val="none"/>
              </w:rPr>
            </w:pPr>
          </w:p>
        </w:tc>
        <w:tc>
          <w:tcPr>
            <w:tcW w:w="1408" w:type="dxa"/>
            <w:noWrap w:val="0"/>
            <w:vAlign w:val="center"/>
          </w:tcPr>
          <w:p w14:paraId="0EDC24B2">
            <w:pPr>
              <w:spacing w:line="360" w:lineRule="auto"/>
              <w:ind w:firstLine="388" w:firstLineChars="200"/>
              <w:jc w:val="center"/>
              <w:rPr>
                <w:rFonts w:ascii="宋体" w:hAnsi="宋体"/>
                <w:color w:val="auto"/>
                <w:szCs w:val="21"/>
                <w:highlight w:val="none"/>
              </w:rPr>
            </w:pPr>
          </w:p>
        </w:tc>
        <w:tc>
          <w:tcPr>
            <w:tcW w:w="787" w:type="dxa"/>
            <w:noWrap w:val="0"/>
            <w:vAlign w:val="center"/>
          </w:tcPr>
          <w:p w14:paraId="07BAE6D5">
            <w:pPr>
              <w:spacing w:line="360" w:lineRule="auto"/>
              <w:ind w:firstLine="388" w:firstLineChars="200"/>
              <w:jc w:val="center"/>
              <w:rPr>
                <w:rFonts w:ascii="宋体" w:hAnsi="宋体"/>
                <w:color w:val="auto"/>
                <w:szCs w:val="21"/>
                <w:highlight w:val="none"/>
              </w:rPr>
            </w:pPr>
          </w:p>
        </w:tc>
        <w:tc>
          <w:tcPr>
            <w:tcW w:w="775" w:type="dxa"/>
            <w:noWrap w:val="0"/>
            <w:vAlign w:val="center"/>
          </w:tcPr>
          <w:p w14:paraId="75B02ACD">
            <w:pPr>
              <w:spacing w:line="360" w:lineRule="auto"/>
              <w:ind w:firstLine="388" w:firstLineChars="200"/>
              <w:jc w:val="center"/>
              <w:rPr>
                <w:rFonts w:ascii="宋体" w:hAnsi="宋体"/>
                <w:color w:val="auto"/>
                <w:szCs w:val="21"/>
                <w:highlight w:val="none"/>
              </w:rPr>
            </w:pPr>
          </w:p>
        </w:tc>
      </w:tr>
      <w:tr w14:paraId="1E09C3D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1" w:hRule="atLeast"/>
          <w:jc w:val="center"/>
        </w:trPr>
        <w:tc>
          <w:tcPr>
            <w:tcW w:w="656" w:type="dxa"/>
            <w:noWrap w:val="0"/>
            <w:vAlign w:val="center"/>
          </w:tcPr>
          <w:p w14:paraId="04B2159C">
            <w:pPr>
              <w:spacing w:line="360" w:lineRule="auto"/>
              <w:ind w:firstLine="388" w:firstLineChars="200"/>
              <w:jc w:val="center"/>
              <w:rPr>
                <w:rFonts w:ascii="宋体" w:hAnsi="宋体"/>
                <w:color w:val="auto"/>
                <w:szCs w:val="21"/>
                <w:highlight w:val="none"/>
              </w:rPr>
            </w:pPr>
          </w:p>
        </w:tc>
        <w:tc>
          <w:tcPr>
            <w:tcW w:w="1410" w:type="dxa"/>
            <w:noWrap w:val="0"/>
            <w:vAlign w:val="center"/>
          </w:tcPr>
          <w:p w14:paraId="3A9FE57C">
            <w:pPr>
              <w:spacing w:line="360" w:lineRule="auto"/>
              <w:ind w:firstLine="388" w:firstLineChars="200"/>
              <w:jc w:val="center"/>
              <w:rPr>
                <w:rFonts w:ascii="宋体" w:hAnsi="宋体"/>
                <w:color w:val="auto"/>
                <w:szCs w:val="21"/>
                <w:highlight w:val="none"/>
              </w:rPr>
            </w:pPr>
          </w:p>
        </w:tc>
        <w:tc>
          <w:tcPr>
            <w:tcW w:w="1110" w:type="dxa"/>
            <w:noWrap w:val="0"/>
            <w:vAlign w:val="center"/>
          </w:tcPr>
          <w:p w14:paraId="2B822456">
            <w:pPr>
              <w:spacing w:line="360" w:lineRule="auto"/>
              <w:ind w:firstLine="388" w:firstLineChars="200"/>
              <w:jc w:val="center"/>
              <w:rPr>
                <w:rFonts w:ascii="宋体" w:hAnsi="宋体"/>
                <w:color w:val="auto"/>
                <w:szCs w:val="21"/>
                <w:highlight w:val="none"/>
              </w:rPr>
            </w:pPr>
          </w:p>
        </w:tc>
        <w:tc>
          <w:tcPr>
            <w:tcW w:w="730" w:type="dxa"/>
            <w:noWrap w:val="0"/>
            <w:vAlign w:val="center"/>
          </w:tcPr>
          <w:p w14:paraId="7C4A9869">
            <w:pPr>
              <w:spacing w:line="360" w:lineRule="auto"/>
              <w:ind w:firstLine="388" w:firstLineChars="200"/>
              <w:jc w:val="center"/>
              <w:rPr>
                <w:rFonts w:ascii="宋体" w:hAnsi="宋体"/>
                <w:color w:val="auto"/>
                <w:szCs w:val="21"/>
                <w:highlight w:val="none"/>
              </w:rPr>
            </w:pPr>
          </w:p>
        </w:tc>
        <w:tc>
          <w:tcPr>
            <w:tcW w:w="1067" w:type="dxa"/>
            <w:noWrap w:val="0"/>
            <w:vAlign w:val="center"/>
          </w:tcPr>
          <w:p w14:paraId="0B610726">
            <w:pPr>
              <w:spacing w:line="360" w:lineRule="auto"/>
              <w:ind w:firstLine="388" w:firstLineChars="200"/>
              <w:jc w:val="center"/>
              <w:rPr>
                <w:rFonts w:ascii="宋体" w:hAnsi="宋体"/>
                <w:color w:val="auto"/>
                <w:szCs w:val="21"/>
                <w:highlight w:val="none"/>
              </w:rPr>
            </w:pPr>
          </w:p>
        </w:tc>
        <w:tc>
          <w:tcPr>
            <w:tcW w:w="1134" w:type="dxa"/>
            <w:noWrap w:val="0"/>
            <w:vAlign w:val="center"/>
          </w:tcPr>
          <w:p w14:paraId="0B924848">
            <w:pPr>
              <w:spacing w:line="360" w:lineRule="auto"/>
              <w:ind w:firstLine="388" w:firstLineChars="200"/>
              <w:jc w:val="center"/>
              <w:rPr>
                <w:rFonts w:ascii="宋体" w:hAnsi="宋体"/>
                <w:color w:val="auto"/>
                <w:szCs w:val="21"/>
                <w:highlight w:val="none"/>
              </w:rPr>
            </w:pPr>
          </w:p>
        </w:tc>
        <w:tc>
          <w:tcPr>
            <w:tcW w:w="1408" w:type="dxa"/>
            <w:noWrap w:val="0"/>
            <w:vAlign w:val="center"/>
          </w:tcPr>
          <w:p w14:paraId="4FA7F570">
            <w:pPr>
              <w:spacing w:line="360" w:lineRule="auto"/>
              <w:ind w:firstLine="388" w:firstLineChars="200"/>
              <w:jc w:val="center"/>
              <w:rPr>
                <w:rFonts w:ascii="宋体" w:hAnsi="宋体"/>
                <w:color w:val="auto"/>
                <w:szCs w:val="21"/>
                <w:highlight w:val="none"/>
              </w:rPr>
            </w:pPr>
          </w:p>
        </w:tc>
        <w:tc>
          <w:tcPr>
            <w:tcW w:w="787" w:type="dxa"/>
            <w:noWrap w:val="0"/>
            <w:vAlign w:val="center"/>
          </w:tcPr>
          <w:p w14:paraId="5C74431F">
            <w:pPr>
              <w:spacing w:line="360" w:lineRule="auto"/>
              <w:ind w:firstLine="388" w:firstLineChars="200"/>
              <w:jc w:val="center"/>
              <w:rPr>
                <w:rFonts w:ascii="宋体" w:hAnsi="宋体"/>
                <w:color w:val="auto"/>
                <w:szCs w:val="21"/>
                <w:highlight w:val="none"/>
              </w:rPr>
            </w:pPr>
          </w:p>
        </w:tc>
        <w:tc>
          <w:tcPr>
            <w:tcW w:w="775" w:type="dxa"/>
            <w:noWrap w:val="0"/>
            <w:vAlign w:val="center"/>
          </w:tcPr>
          <w:p w14:paraId="3EA9A86E">
            <w:pPr>
              <w:spacing w:line="360" w:lineRule="auto"/>
              <w:ind w:firstLine="388" w:firstLineChars="200"/>
              <w:jc w:val="center"/>
              <w:rPr>
                <w:rFonts w:ascii="宋体" w:hAnsi="宋体"/>
                <w:color w:val="auto"/>
                <w:szCs w:val="21"/>
                <w:highlight w:val="none"/>
              </w:rPr>
            </w:pPr>
          </w:p>
        </w:tc>
      </w:tr>
      <w:tr w14:paraId="5825127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6" w:hRule="atLeast"/>
          <w:jc w:val="center"/>
        </w:trPr>
        <w:tc>
          <w:tcPr>
            <w:tcW w:w="656" w:type="dxa"/>
            <w:noWrap w:val="0"/>
            <w:vAlign w:val="center"/>
          </w:tcPr>
          <w:p w14:paraId="2119099B">
            <w:pPr>
              <w:spacing w:line="360" w:lineRule="auto"/>
              <w:ind w:firstLine="388" w:firstLineChars="200"/>
              <w:jc w:val="center"/>
              <w:rPr>
                <w:rFonts w:ascii="宋体" w:hAnsi="宋体"/>
                <w:color w:val="auto"/>
                <w:szCs w:val="21"/>
                <w:highlight w:val="none"/>
              </w:rPr>
            </w:pPr>
          </w:p>
        </w:tc>
        <w:tc>
          <w:tcPr>
            <w:tcW w:w="1410" w:type="dxa"/>
            <w:noWrap w:val="0"/>
            <w:vAlign w:val="center"/>
          </w:tcPr>
          <w:p w14:paraId="46A6A9AF">
            <w:pPr>
              <w:spacing w:line="360" w:lineRule="auto"/>
              <w:ind w:firstLine="388" w:firstLineChars="200"/>
              <w:jc w:val="center"/>
              <w:rPr>
                <w:rFonts w:ascii="宋体" w:hAnsi="宋体"/>
                <w:color w:val="auto"/>
                <w:szCs w:val="21"/>
                <w:highlight w:val="none"/>
              </w:rPr>
            </w:pPr>
          </w:p>
        </w:tc>
        <w:tc>
          <w:tcPr>
            <w:tcW w:w="1110" w:type="dxa"/>
            <w:noWrap w:val="0"/>
            <w:vAlign w:val="center"/>
          </w:tcPr>
          <w:p w14:paraId="64DF567A">
            <w:pPr>
              <w:spacing w:line="360" w:lineRule="auto"/>
              <w:ind w:firstLine="388" w:firstLineChars="200"/>
              <w:jc w:val="center"/>
              <w:rPr>
                <w:rFonts w:ascii="宋体" w:hAnsi="宋体"/>
                <w:color w:val="auto"/>
                <w:szCs w:val="21"/>
                <w:highlight w:val="none"/>
              </w:rPr>
            </w:pPr>
          </w:p>
        </w:tc>
        <w:tc>
          <w:tcPr>
            <w:tcW w:w="730" w:type="dxa"/>
            <w:noWrap w:val="0"/>
            <w:vAlign w:val="center"/>
          </w:tcPr>
          <w:p w14:paraId="72F37C48">
            <w:pPr>
              <w:spacing w:line="360" w:lineRule="auto"/>
              <w:ind w:firstLine="388" w:firstLineChars="200"/>
              <w:jc w:val="center"/>
              <w:rPr>
                <w:rFonts w:ascii="宋体" w:hAnsi="宋体"/>
                <w:color w:val="auto"/>
                <w:szCs w:val="21"/>
                <w:highlight w:val="none"/>
              </w:rPr>
            </w:pPr>
          </w:p>
        </w:tc>
        <w:tc>
          <w:tcPr>
            <w:tcW w:w="1067" w:type="dxa"/>
            <w:noWrap w:val="0"/>
            <w:vAlign w:val="center"/>
          </w:tcPr>
          <w:p w14:paraId="596BA9B2">
            <w:pPr>
              <w:spacing w:line="360" w:lineRule="auto"/>
              <w:ind w:firstLine="388" w:firstLineChars="200"/>
              <w:jc w:val="center"/>
              <w:rPr>
                <w:rFonts w:ascii="宋体" w:hAnsi="宋体"/>
                <w:color w:val="auto"/>
                <w:szCs w:val="21"/>
                <w:highlight w:val="none"/>
              </w:rPr>
            </w:pPr>
          </w:p>
        </w:tc>
        <w:tc>
          <w:tcPr>
            <w:tcW w:w="1134" w:type="dxa"/>
            <w:noWrap w:val="0"/>
            <w:vAlign w:val="center"/>
          </w:tcPr>
          <w:p w14:paraId="21430944">
            <w:pPr>
              <w:spacing w:line="360" w:lineRule="auto"/>
              <w:ind w:firstLine="388" w:firstLineChars="200"/>
              <w:jc w:val="center"/>
              <w:rPr>
                <w:rFonts w:ascii="宋体" w:hAnsi="宋体"/>
                <w:color w:val="auto"/>
                <w:szCs w:val="21"/>
                <w:highlight w:val="none"/>
              </w:rPr>
            </w:pPr>
          </w:p>
        </w:tc>
        <w:tc>
          <w:tcPr>
            <w:tcW w:w="1408" w:type="dxa"/>
            <w:noWrap w:val="0"/>
            <w:vAlign w:val="center"/>
          </w:tcPr>
          <w:p w14:paraId="06D864BA">
            <w:pPr>
              <w:spacing w:line="360" w:lineRule="auto"/>
              <w:ind w:firstLine="388" w:firstLineChars="200"/>
              <w:jc w:val="center"/>
              <w:rPr>
                <w:rFonts w:ascii="宋体" w:hAnsi="宋体"/>
                <w:color w:val="auto"/>
                <w:szCs w:val="21"/>
                <w:highlight w:val="none"/>
              </w:rPr>
            </w:pPr>
          </w:p>
        </w:tc>
        <w:tc>
          <w:tcPr>
            <w:tcW w:w="787" w:type="dxa"/>
            <w:noWrap w:val="0"/>
            <w:vAlign w:val="center"/>
          </w:tcPr>
          <w:p w14:paraId="368AEBF2">
            <w:pPr>
              <w:spacing w:line="360" w:lineRule="auto"/>
              <w:ind w:firstLine="388" w:firstLineChars="200"/>
              <w:jc w:val="center"/>
              <w:rPr>
                <w:rFonts w:ascii="宋体" w:hAnsi="宋体"/>
                <w:color w:val="auto"/>
                <w:szCs w:val="21"/>
                <w:highlight w:val="none"/>
              </w:rPr>
            </w:pPr>
          </w:p>
        </w:tc>
        <w:tc>
          <w:tcPr>
            <w:tcW w:w="775" w:type="dxa"/>
            <w:noWrap w:val="0"/>
            <w:vAlign w:val="center"/>
          </w:tcPr>
          <w:p w14:paraId="0F4110C0">
            <w:pPr>
              <w:spacing w:line="360" w:lineRule="auto"/>
              <w:ind w:firstLine="388" w:firstLineChars="200"/>
              <w:jc w:val="center"/>
              <w:rPr>
                <w:rFonts w:ascii="宋体" w:hAnsi="宋体"/>
                <w:color w:val="auto"/>
                <w:szCs w:val="21"/>
                <w:highlight w:val="none"/>
              </w:rPr>
            </w:pPr>
          </w:p>
        </w:tc>
      </w:tr>
      <w:tr w14:paraId="70168C4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1" w:hRule="atLeast"/>
          <w:jc w:val="center"/>
        </w:trPr>
        <w:tc>
          <w:tcPr>
            <w:tcW w:w="656" w:type="dxa"/>
            <w:noWrap w:val="0"/>
            <w:vAlign w:val="center"/>
          </w:tcPr>
          <w:p w14:paraId="3A96DF3D">
            <w:pPr>
              <w:spacing w:line="360" w:lineRule="auto"/>
              <w:ind w:firstLine="388" w:firstLineChars="200"/>
              <w:jc w:val="center"/>
              <w:rPr>
                <w:rFonts w:ascii="宋体" w:hAnsi="宋体"/>
                <w:color w:val="auto"/>
                <w:szCs w:val="21"/>
                <w:highlight w:val="none"/>
              </w:rPr>
            </w:pPr>
          </w:p>
        </w:tc>
        <w:tc>
          <w:tcPr>
            <w:tcW w:w="1410" w:type="dxa"/>
            <w:noWrap w:val="0"/>
            <w:vAlign w:val="center"/>
          </w:tcPr>
          <w:p w14:paraId="49927ED1">
            <w:pPr>
              <w:spacing w:line="360" w:lineRule="auto"/>
              <w:ind w:firstLine="388" w:firstLineChars="200"/>
              <w:jc w:val="center"/>
              <w:rPr>
                <w:rFonts w:ascii="宋体" w:hAnsi="宋体"/>
                <w:color w:val="auto"/>
                <w:szCs w:val="21"/>
                <w:highlight w:val="none"/>
              </w:rPr>
            </w:pPr>
          </w:p>
        </w:tc>
        <w:tc>
          <w:tcPr>
            <w:tcW w:w="1110" w:type="dxa"/>
            <w:noWrap w:val="0"/>
            <w:vAlign w:val="center"/>
          </w:tcPr>
          <w:p w14:paraId="1AE75886">
            <w:pPr>
              <w:spacing w:line="360" w:lineRule="auto"/>
              <w:ind w:firstLine="388" w:firstLineChars="200"/>
              <w:jc w:val="center"/>
              <w:rPr>
                <w:rFonts w:ascii="宋体" w:hAnsi="宋体"/>
                <w:color w:val="auto"/>
                <w:szCs w:val="21"/>
                <w:highlight w:val="none"/>
              </w:rPr>
            </w:pPr>
          </w:p>
        </w:tc>
        <w:tc>
          <w:tcPr>
            <w:tcW w:w="730" w:type="dxa"/>
            <w:noWrap w:val="0"/>
            <w:vAlign w:val="center"/>
          </w:tcPr>
          <w:p w14:paraId="57DB2F71">
            <w:pPr>
              <w:spacing w:line="360" w:lineRule="auto"/>
              <w:ind w:firstLine="388" w:firstLineChars="200"/>
              <w:jc w:val="center"/>
              <w:rPr>
                <w:rFonts w:ascii="宋体" w:hAnsi="宋体"/>
                <w:color w:val="auto"/>
                <w:szCs w:val="21"/>
                <w:highlight w:val="none"/>
              </w:rPr>
            </w:pPr>
          </w:p>
        </w:tc>
        <w:tc>
          <w:tcPr>
            <w:tcW w:w="1067" w:type="dxa"/>
            <w:noWrap w:val="0"/>
            <w:vAlign w:val="center"/>
          </w:tcPr>
          <w:p w14:paraId="101917C0">
            <w:pPr>
              <w:spacing w:line="360" w:lineRule="auto"/>
              <w:ind w:firstLine="388" w:firstLineChars="200"/>
              <w:jc w:val="center"/>
              <w:rPr>
                <w:rFonts w:ascii="宋体" w:hAnsi="宋体"/>
                <w:color w:val="auto"/>
                <w:szCs w:val="21"/>
                <w:highlight w:val="none"/>
              </w:rPr>
            </w:pPr>
          </w:p>
        </w:tc>
        <w:tc>
          <w:tcPr>
            <w:tcW w:w="1134" w:type="dxa"/>
            <w:noWrap w:val="0"/>
            <w:vAlign w:val="center"/>
          </w:tcPr>
          <w:p w14:paraId="77A3B9E9">
            <w:pPr>
              <w:spacing w:line="360" w:lineRule="auto"/>
              <w:ind w:firstLine="388" w:firstLineChars="200"/>
              <w:jc w:val="center"/>
              <w:rPr>
                <w:rFonts w:ascii="宋体" w:hAnsi="宋体"/>
                <w:color w:val="auto"/>
                <w:szCs w:val="21"/>
                <w:highlight w:val="none"/>
              </w:rPr>
            </w:pPr>
          </w:p>
        </w:tc>
        <w:tc>
          <w:tcPr>
            <w:tcW w:w="1408" w:type="dxa"/>
            <w:noWrap w:val="0"/>
            <w:vAlign w:val="center"/>
          </w:tcPr>
          <w:p w14:paraId="3FB517DE">
            <w:pPr>
              <w:spacing w:line="360" w:lineRule="auto"/>
              <w:ind w:firstLine="388" w:firstLineChars="200"/>
              <w:jc w:val="center"/>
              <w:rPr>
                <w:rFonts w:ascii="宋体" w:hAnsi="宋体"/>
                <w:color w:val="auto"/>
                <w:szCs w:val="21"/>
                <w:highlight w:val="none"/>
              </w:rPr>
            </w:pPr>
          </w:p>
        </w:tc>
        <w:tc>
          <w:tcPr>
            <w:tcW w:w="787" w:type="dxa"/>
            <w:noWrap w:val="0"/>
            <w:vAlign w:val="center"/>
          </w:tcPr>
          <w:p w14:paraId="2DF509E0">
            <w:pPr>
              <w:spacing w:line="360" w:lineRule="auto"/>
              <w:ind w:firstLine="388" w:firstLineChars="200"/>
              <w:jc w:val="center"/>
              <w:rPr>
                <w:rFonts w:ascii="宋体" w:hAnsi="宋体"/>
                <w:color w:val="auto"/>
                <w:szCs w:val="21"/>
                <w:highlight w:val="none"/>
              </w:rPr>
            </w:pPr>
          </w:p>
        </w:tc>
        <w:tc>
          <w:tcPr>
            <w:tcW w:w="775" w:type="dxa"/>
            <w:noWrap w:val="0"/>
            <w:vAlign w:val="center"/>
          </w:tcPr>
          <w:p w14:paraId="72822D9A">
            <w:pPr>
              <w:spacing w:line="360" w:lineRule="auto"/>
              <w:ind w:firstLine="388" w:firstLineChars="200"/>
              <w:jc w:val="center"/>
              <w:rPr>
                <w:rFonts w:ascii="宋体" w:hAnsi="宋体"/>
                <w:color w:val="auto"/>
                <w:szCs w:val="21"/>
                <w:highlight w:val="none"/>
              </w:rPr>
            </w:pPr>
          </w:p>
        </w:tc>
      </w:tr>
      <w:tr w14:paraId="6FDF4A5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1" w:hRule="atLeast"/>
          <w:jc w:val="center"/>
        </w:trPr>
        <w:tc>
          <w:tcPr>
            <w:tcW w:w="656" w:type="dxa"/>
            <w:noWrap w:val="0"/>
            <w:vAlign w:val="center"/>
          </w:tcPr>
          <w:p w14:paraId="671BC9A1">
            <w:pPr>
              <w:spacing w:line="360" w:lineRule="auto"/>
              <w:ind w:firstLine="388" w:firstLineChars="200"/>
              <w:jc w:val="center"/>
              <w:rPr>
                <w:rFonts w:ascii="宋体" w:hAnsi="宋体"/>
                <w:color w:val="auto"/>
                <w:szCs w:val="21"/>
                <w:highlight w:val="none"/>
              </w:rPr>
            </w:pPr>
          </w:p>
        </w:tc>
        <w:tc>
          <w:tcPr>
            <w:tcW w:w="1410" w:type="dxa"/>
            <w:noWrap w:val="0"/>
            <w:vAlign w:val="center"/>
          </w:tcPr>
          <w:p w14:paraId="50ACDFBD">
            <w:pPr>
              <w:spacing w:line="360" w:lineRule="auto"/>
              <w:ind w:firstLine="388" w:firstLineChars="200"/>
              <w:jc w:val="center"/>
              <w:rPr>
                <w:rFonts w:ascii="宋体" w:hAnsi="宋体"/>
                <w:color w:val="auto"/>
                <w:szCs w:val="21"/>
                <w:highlight w:val="none"/>
              </w:rPr>
            </w:pPr>
          </w:p>
        </w:tc>
        <w:tc>
          <w:tcPr>
            <w:tcW w:w="1110" w:type="dxa"/>
            <w:noWrap w:val="0"/>
            <w:vAlign w:val="center"/>
          </w:tcPr>
          <w:p w14:paraId="488AB47D">
            <w:pPr>
              <w:spacing w:line="360" w:lineRule="auto"/>
              <w:ind w:firstLine="388" w:firstLineChars="200"/>
              <w:jc w:val="center"/>
              <w:rPr>
                <w:rFonts w:ascii="宋体" w:hAnsi="宋体"/>
                <w:color w:val="auto"/>
                <w:szCs w:val="21"/>
                <w:highlight w:val="none"/>
              </w:rPr>
            </w:pPr>
          </w:p>
        </w:tc>
        <w:tc>
          <w:tcPr>
            <w:tcW w:w="730" w:type="dxa"/>
            <w:noWrap w:val="0"/>
            <w:vAlign w:val="center"/>
          </w:tcPr>
          <w:p w14:paraId="7BDEC066">
            <w:pPr>
              <w:spacing w:line="360" w:lineRule="auto"/>
              <w:ind w:firstLine="388" w:firstLineChars="200"/>
              <w:jc w:val="center"/>
              <w:rPr>
                <w:rFonts w:ascii="宋体" w:hAnsi="宋体"/>
                <w:color w:val="auto"/>
                <w:szCs w:val="21"/>
                <w:highlight w:val="none"/>
              </w:rPr>
            </w:pPr>
          </w:p>
        </w:tc>
        <w:tc>
          <w:tcPr>
            <w:tcW w:w="1067" w:type="dxa"/>
            <w:noWrap w:val="0"/>
            <w:vAlign w:val="center"/>
          </w:tcPr>
          <w:p w14:paraId="39D5A346">
            <w:pPr>
              <w:spacing w:line="360" w:lineRule="auto"/>
              <w:ind w:firstLine="388" w:firstLineChars="200"/>
              <w:jc w:val="center"/>
              <w:rPr>
                <w:rFonts w:ascii="宋体" w:hAnsi="宋体"/>
                <w:color w:val="auto"/>
                <w:szCs w:val="21"/>
                <w:highlight w:val="none"/>
              </w:rPr>
            </w:pPr>
          </w:p>
        </w:tc>
        <w:tc>
          <w:tcPr>
            <w:tcW w:w="1134" w:type="dxa"/>
            <w:noWrap w:val="0"/>
            <w:vAlign w:val="center"/>
          </w:tcPr>
          <w:p w14:paraId="6C2A6D56">
            <w:pPr>
              <w:spacing w:line="360" w:lineRule="auto"/>
              <w:ind w:firstLine="388" w:firstLineChars="200"/>
              <w:jc w:val="center"/>
              <w:rPr>
                <w:rFonts w:ascii="宋体" w:hAnsi="宋体"/>
                <w:color w:val="auto"/>
                <w:szCs w:val="21"/>
                <w:highlight w:val="none"/>
              </w:rPr>
            </w:pPr>
          </w:p>
        </w:tc>
        <w:tc>
          <w:tcPr>
            <w:tcW w:w="1408" w:type="dxa"/>
            <w:noWrap w:val="0"/>
            <w:vAlign w:val="center"/>
          </w:tcPr>
          <w:p w14:paraId="4D6F20DF">
            <w:pPr>
              <w:spacing w:line="360" w:lineRule="auto"/>
              <w:ind w:firstLine="388" w:firstLineChars="200"/>
              <w:jc w:val="center"/>
              <w:rPr>
                <w:rFonts w:ascii="宋体" w:hAnsi="宋体"/>
                <w:color w:val="auto"/>
                <w:szCs w:val="21"/>
                <w:highlight w:val="none"/>
              </w:rPr>
            </w:pPr>
          </w:p>
        </w:tc>
        <w:tc>
          <w:tcPr>
            <w:tcW w:w="787" w:type="dxa"/>
            <w:noWrap w:val="0"/>
            <w:vAlign w:val="center"/>
          </w:tcPr>
          <w:p w14:paraId="0E173A6D">
            <w:pPr>
              <w:spacing w:line="360" w:lineRule="auto"/>
              <w:ind w:firstLine="388" w:firstLineChars="200"/>
              <w:jc w:val="center"/>
              <w:rPr>
                <w:rFonts w:ascii="宋体" w:hAnsi="宋体"/>
                <w:color w:val="auto"/>
                <w:szCs w:val="21"/>
                <w:highlight w:val="none"/>
              </w:rPr>
            </w:pPr>
          </w:p>
        </w:tc>
        <w:tc>
          <w:tcPr>
            <w:tcW w:w="775" w:type="dxa"/>
            <w:noWrap w:val="0"/>
            <w:vAlign w:val="center"/>
          </w:tcPr>
          <w:p w14:paraId="4840CAD4">
            <w:pPr>
              <w:spacing w:line="360" w:lineRule="auto"/>
              <w:ind w:firstLine="388" w:firstLineChars="200"/>
              <w:jc w:val="center"/>
              <w:rPr>
                <w:rFonts w:ascii="宋体" w:hAnsi="宋体"/>
                <w:color w:val="auto"/>
                <w:szCs w:val="21"/>
                <w:highlight w:val="none"/>
              </w:rPr>
            </w:pPr>
          </w:p>
        </w:tc>
      </w:tr>
      <w:tr w14:paraId="6552E85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1" w:hRule="atLeast"/>
          <w:jc w:val="center"/>
        </w:trPr>
        <w:tc>
          <w:tcPr>
            <w:tcW w:w="656" w:type="dxa"/>
            <w:noWrap w:val="0"/>
            <w:vAlign w:val="center"/>
          </w:tcPr>
          <w:p w14:paraId="31C874EC">
            <w:pPr>
              <w:spacing w:line="360" w:lineRule="auto"/>
              <w:ind w:firstLine="388" w:firstLineChars="200"/>
              <w:jc w:val="center"/>
              <w:rPr>
                <w:rFonts w:ascii="宋体" w:hAnsi="宋体"/>
                <w:color w:val="auto"/>
                <w:szCs w:val="21"/>
                <w:highlight w:val="none"/>
              </w:rPr>
            </w:pPr>
          </w:p>
        </w:tc>
        <w:tc>
          <w:tcPr>
            <w:tcW w:w="1410" w:type="dxa"/>
            <w:noWrap w:val="0"/>
            <w:vAlign w:val="center"/>
          </w:tcPr>
          <w:p w14:paraId="3A46C3FA">
            <w:pPr>
              <w:spacing w:line="360" w:lineRule="auto"/>
              <w:ind w:firstLine="388" w:firstLineChars="200"/>
              <w:jc w:val="center"/>
              <w:rPr>
                <w:rFonts w:ascii="宋体" w:hAnsi="宋体"/>
                <w:color w:val="auto"/>
                <w:szCs w:val="21"/>
                <w:highlight w:val="none"/>
              </w:rPr>
            </w:pPr>
          </w:p>
        </w:tc>
        <w:tc>
          <w:tcPr>
            <w:tcW w:w="1110" w:type="dxa"/>
            <w:noWrap w:val="0"/>
            <w:vAlign w:val="center"/>
          </w:tcPr>
          <w:p w14:paraId="554E73D2">
            <w:pPr>
              <w:spacing w:line="360" w:lineRule="auto"/>
              <w:ind w:firstLine="388" w:firstLineChars="200"/>
              <w:jc w:val="center"/>
              <w:rPr>
                <w:rFonts w:ascii="宋体" w:hAnsi="宋体"/>
                <w:color w:val="auto"/>
                <w:szCs w:val="21"/>
                <w:highlight w:val="none"/>
              </w:rPr>
            </w:pPr>
          </w:p>
        </w:tc>
        <w:tc>
          <w:tcPr>
            <w:tcW w:w="730" w:type="dxa"/>
            <w:noWrap w:val="0"/>
            <w:vAlign w:val="center"/>
          </w:tcPr>
          <w:p w14:paraId="36FB6861">
            <w:pPr>
              <w:spacing w:line="360" w:lineRule="auto"/>
              <w:ind w:firstLine="388" w:firstLineChars="200"/>
              <w:jc w:val="center"/>
              <w:rPr>
                <w:rFonts w:ascii="宋体" w:hAnsi="宋体"/>
                <w:color w:val="auto"/>
                <w:szCs w:val="21"/>
                <w:highlight w:val="none"/>
              </w:rPr>
            </w:pPr>
          </w:p>
        </w:tc>
        <w:tc>
          <w:tcPr>
            <w:tcW w:w="1067" w:type="dxa"/>
            <w:noWrap w:val="0"/>
            <w:vAlign w:val="center"/>
          </w:tcPr>
          <w:p w14:paraId="70F1C54C">
            <w:pPr>
              <w:spacing w:line="360" w:lineRule="auto"/>
              <w:ind w:firstLine="388" w:firstLineChars="200"/>
              <w:jc w:val="center"/>
              <w:rPr>
                <w:rFonts w:ascii="宋体" w:hAnsi="宋体"/>
                <w:color w:val="auto"/>
                <w:szCs w:val="21"/>
                <w:highlight w:val="none"/>
              </w:rPr>
            </w:pPr>
          </w:p>
        </w:tc>
        <w:tc>
          <w:tcPr>
            <w:tcW w:w="1134" w:type="dxa"/>
            <w:noWrap w:val="0"/>
            <w:vAlign w:val="center"/>
          </w:tcPr>
          <w:p w14:paraId="6219DB41">
            <w:pPr>
              <w:spacing w:line="360" w:lineRule="auto"/>
              <w:ind w:firstLine="388" w:firstLineChars="200"/>
              <w:jc w:val="center"/>
              <w:rPr>
                <w:rFonts w:ascii="宋体" w:hAnsi="宋体"/>
                <w:color w:val="auto"/>
                <w:szCs w:val="21"/>
                <w:highlight w:val="none"/>
              </w:rPr>
            </w:pPr>
          </w:p>
        </w:tc>
        <w:tc>
          <w:tcPr>
            <w:tcW w:w="1408" w:type="dxa"/>
            <w:noWrap w:val="0"/>
            <w:vAlign w:val="center"/>
          </w:tcPr>
          <w:p w14:paraId="63E57D76">
            <w:pPr>
              <w:spacing w:line="360" w:lineRule="auto"/>
              <w:ind w:firstLine="388" w:firstLineChars="200"/>
              <w:jc w:val="center"/>
              <w:rPr>
                <w:rFonts w:ascii="宋体" w:hAnsi="宋体"/>
                <w:color w:val="auto"/>
                <w:szCs w:val="21"/>
                <w:highlight w:val="none"/>
              </w:rPr>
            </w:pPr>
          </w:p>
        </w:tc>
        <w:tc>
          <w:tcPr>
            <w:tcW w:w="787" w:type="dxa"/>
            <w:noWrap w:val="0"/>
            <w:vAlign w:val="center"/>
          </w:tcPr>
          <w:p w14:paraId="55B032B0">
            <w:pPr>
              <w:spacing w:line="360" w:lineRule="auto"/>
              <w:ind w:firstLine="388" w:firstLineChars="200"/>
              <w:jc w:val="center"/>
              <w:rPr>
                <w:rFonts w:ascii="宋体" w:hAnsi="宋体"/>
                <w:color w:val="auto"/>
                <w:szCs w:val="21"/>
                <w:highlight w:val="none"/>
              </w:rPr>
            </w:pPr>
          </w:p>
        </w:tc>
        <w:tc>
          <w:tcPr>
            <w:tcW w:w="775" w:type="dxa"/>
            <w:noWrap w:val="0"/>
            <w:vAlign w:val="center"/>
          </w:tcPr>
          <w:p w14:paraId="2E488572">
            <w:pPr>
              <w:spacing w:line="360" w:lineRule="auto"/>
              <w:ind w:firstLine="388" w:firstLineChars="200"/>
              <w:jc w:val="center"/>
              <w:rPr>
                <w:rFonts w:ascii="宋体" w:hAnsi="宋体"/>
                <w:color w:val="auto"/>
                <w:szCs w:val="21"/>
                <w:highlight w:val="none"/>
              </w:rPr>
            </w:pPr>
          </w:p>
        </w:tc>
      </w:tr>
      <w:tr w14:paraId="5A7DF0C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6" w:hRule="atLeast"/>
          <w:jc w:val="center"/>
        </w:trPr>
        <w:tc>
          <w:tcPr>
            <w:tcW w:w="656" w:type="dxa"/>
            <w:noWrap w:val="0"/>
            <w:vAlign w:val="center"/>
          </w:tcPr>
          <w:p w14:paraId="15C8B2BE">
            <w:pPr>
              <w:spacing w:line="360" w:lineRule="auto"/>
              <w:ind w:firstLine="388" w:firstLineChars="200"/>
              <w:jc w:val="center"/>
              <w:rPr>
                <w:rFonts w:ascii="宋体" w:hAnsi="宋体"/>
                <w:color w:val="auto"/>
                <w:szCs w:val="21"/>
                <w:highlight w:val="none"/>
              </w:rPr>
            </w:pPr>
          </w:p>
        </w:tc>
        <w:tc>
          <w:tcPr>
            <w:tcW w:w="1410" w:type="dxa"/>
            <w:noWrap w:val="0"/>
            <w:vAlign w:val="center"/>
          </w:tcPr>
          <w:p w14:paraId="2AB9A403">
            <w:pPr>
              <w:spacing w:line="360" w:lineRule="auto"/>
              <w:ind w:firstLine="388" w:firstLineChars="200"/>
              <w:jc w:val="center"/>
              <w:rPr>
                <w:rFonts w:ascii="宋体" w:hAnsi="宋体"/>
                <w:color w:val="auto"/>
                <w:szCs w:val="21"/>
                <w:highlight w:val="none"/>
              </w:rPr>
            </w:pPr>
          </w:p>
        </w:tc>
        <w:tc>
          <w:tcPr>
            <w:tcW w:w="1110" w:type="dxa"/>
            <w:noWrap w:val="0"/>
            <w:vAlign w:val="center"/>
          </w:tcPr>
          <w:p w14:paraId="40AFB078">
            <w:pPr>
              <w:spacing w:line="360" w:lineRule="auto"/>
              <w:ind w:firstLine="388" w:firstLineChars="200"/>
              <w:jc w:val="center"/>
              <w:rPr>
                <w:rFonts w:ascii="宋体" w:hAnsi="宋体"/>
                <w:color w:val="auto"/>
                <w:szCs w:val="21"/>
                <w:highlight w:val="none"/>
              </w:rPr>
            </w:pPr>
          </w:p>
        </w:tc>
        <w:tc>
          <w:tcPr>
            <w:tcW w:w="730" w:type="dxa"/>
            <w:noWrap w:val="0"/>
            <w:vAlign w:val="center"/>
          </w:tcPr>
          <w:p w14:paraId="5246AA20">
            <w:pPr>
              <w:spacing w:line="360" w:lineRule="auto"/>
              <w:ind w:firstLine="388" w:firstLineChars="200"/>
              <w:jc w:val="center"/>
              <w:rPr>
                <w:rFonts w:ascii="宋体" w:hAnsi="宋体"/>
                <w:color w:val="auto"/>
                <w:szCs w:val="21"/>
                <w:highlight w:val="none"/>
              </w:rPr>
            </w:pPr>
          </w:p>
        </w:tc>
        <w:tc>
          <w:tcPr>
            <w:tcW w:w="1067" w:type="dxa"/>
            <w:noWrap w:val="0"/>
            <w:vAlign w:val="center"/>
          </w:tcPr>
          <w:p w14:paraId="41C18C05">
            <w:pPr>
              <w:spacing w:line="360" w:lineRule="auto"/>
              <w:ind w:firstLine="388" w:firstLineChars="200"/>
              <w:jc w:val="center"/>
              <w:rPr>
                <w:rFonts w:ascii="宋体" w:hAnsi="宋体"/>
                <w:color w:val="auto"/>
                <w:szCs w:val="21"/>
                <w:highlight w:val="none"/>
              </w:rPr>
            </w:pPr>
          </w:p>
        </w:tc>
        <w:tc>
          <w:tcPr>
            <w:tcW w:w="1134" w:type="dxa"/>
            <w:noWrap w:val="0"/>
            <w:vAlign w:val="center"/>
          </w:tcPr>
          <w:p w14:paraId="680459CC">
            <w:pPr>
              <w:spacing w:line="360" w:lineRule="auto"/>
              <w:ind w:firstLine="388" w:firstLineChars="200"/>
              <w:jc w:val="center"/>
              <w:rPr>
                <w:rFonts w:ascii="宋体" w:hAnsi="宋体"/>
                <w:color w:val="auto"/>
                <w:szCs w:val="21"/>
                <w:highlight w:val="none"/>
              </w:rPr>
            </w:pPr>
          </w:p>
        </w:tc>
        <w:tc>
          <w:tcPr>
            <w:tcW w:w="1408" w:type="dxa"/>
            <w:noWrap w:val="0"/>
            <w:vAlign w:val="center"/>
          </w:tcPr>
          <w:p w14:paraId="6D970DA9">
            <w:pPr>
              <w:spacing w:line="360" w:lineRule="auto"/>
              <w:ind w:firstLine="388" w:firstLineChars="200"/>
              <w:jc w:val="center"/>
              <w:rPr>
                <w:rFonts w:ascii="宋体" w:hAnsi="宋体"/>
                <w:color w:val="auto"/>
                <w:szCs w:val="21"/>
                <w:highlight w:val="none"/>
              </w:rPr>
            </w:pPr>
          </w:p>
        </w:tc>
        <w:tc>
          <w:tcPr>
            <w:tcW w:w="787" w:type="dxa"/>
            <w:noWrap w:val="0"/>
            <w:vAlign w:val="center"/>
          </w:tcPr>
          <w:p w14:paraId="2F30671C">
            <w:pPr>
              <w:spacing w:line="360" w:lineRule="auto"/>
              <w:ind w:firstLine="388" w:firstLineChars="200"/>
              <w:jc w:val="center"/>
              <w:rPr>
                <w:rFonts w:ascii="宋体" w:hAnsi="宋体"/>
                <w:color w:val="auto"/>
                <w:szCs w:val="21"/>
                <w:highlight w:val="none"/>
              </w:rPr>
            </w:pPr>
          </w:p>
        </w:tc>
        <w:tc>
          <w:tcPr>
            <w:tcW w:w="775" w:type="dxa"/>
            <w:noWrap w:val="0"/>
            <w:vAlign w:val="center"/>
          </w:tcPr>
          <w:p w14:paraId="5AC9FB13">
            <w:pPr>
              <w:spacing w:line="360" w:lineRule="auto"/>
              <w:ind w:firstLine="388" w:firstLineChars="200"/>
              <w:jc w:val="center"/>
              <w:rPr>
                <w:rFonts w:ascii="宋体" w:hAnsi="宋体"/>
                <w:color w:val="auto"/>
                <w:szCs w:val="21"/>
                <w:highlight w:val="none"/>
              </w:rPr>
            </w:pPr>
          </w:p>
        </w:tc>
      </w:tr>
      <w:tr w14:paraId="22B437C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1" w:hRule="atLeast"/>
          <w:jc w:val="center"/>
        </w:trPr>
        <w:tc>
          <w:tcPr>
            <w:tcW w:w="656" w:type="dxa"/>
            <w:noWrap w:val="0"/>
            <w:vAlign w:val="center"/>
          </w:tcPr>
          <w:p w14:paraId="3FE935CE">
            <w:pPr>
              <w:spacing w:line="360" w:lineRule="auto"/>
              <w:ind w:firstLine="388" w:firstLineChars="200"/>
              <w:jc w:val="center"/>
              <w:rPr>
                <w:rFonts w:ascii="宋体" w:hAnsi="宋体"/>
                <w:color w:val="auto"/>
                <w:szCs w:val="21"/>
                <w:highlight w:val="none"/>
              </w:rPr>
            </w:pPr>
          </w:p>
        </w:tc>
        <w:tc>
          <w:tcPr>
            <w:tcW w:w="1410" w:type="dxa"/>
            <w:noWrap w:val="0"/>
            <w:vAlign w:val="center"/>
          </w:tcPr>
          <w:p w14:paraId="3E6C75E8">
            <w:pPr>
              <w:spacing w:line="360" w:lineRule="auto"/>
              <w:ind w:firstLine="388" w:firstLineChars="200"/>
              <w:jc w:val="center"/>
              <w:rPr>
                <w:rFonts w:ascii="宋体" w:hAnsi="宋体"/>
                <w:color w:val="auto"/>
                <w:szCs w:val="21"/>
                <w:highlight w:val="none"/>
              </w:rPr>
            </w:pPr>
          </w:p>
        </w:tc>
        <w:tc>
          <w:tcPr>
            <w:tcW w:w="1110" w:type="dxa"/>
            <w:noWrap w:val="0"/>
            <w:vAlign w:val="center"/>
          </w:tcPr>
          <w:p w14:paraId="43482028">
            <w:pPr>
              <w:spacing w:line="360" w:lineRule="auto"/>
              <w:ind w:firstLine="388" w:firstLineChars="200"/>
              <w:jc w:val="center"/>
              <w:rPr>
                <w:rFonts w:ascii="宋体" w:hAnsi="宋体"/>
                <w:color w:val="auto"/>
                <w:szCs w:val="21"/>
                <w:highlight w:val="none"/>
              </w:rPr>
            </w:pPr>
          </w:p>
        </w:tc>
        <w:tc>
          <w:tcPr>
            <w:tcW w:w="730" w:type="dxa"/>
            <w:noWrap w:val="0"/>
            <w:vAlign w:val="center"/>
          </w:tcPr>
          <w:p w14:paraId="281AA01D">
            <w:pPr>
              <w:spacing w:line="360" w:lineRule="auto"/>
              <w:ind w:firstLine="388" w:firstLineChars="200"/>
              <w:jc w:val="center"/>
              <w:rPr>
                <w:rFonts w:ascii="宋体" w:hAnsi="宋体"/>
                <w:color w:val="auto"/>
                <w:szCs w:val="21"/>
                <w:highlight w:val="none"/>
              </w:rPr>
            </w:pPr>
          </w:p>
        </w:tc>
        <w:tc>
          <w:tcPr>
            <w:tcW w:w="1067" w:type="dxa"/>
            <w:noWrap w:val="0"/>
            <w:vAlign w:val="center"/>
          </w:tcPr>
          <w:p w14:paraId="7131CD89">
            <w:pPr>
              <w:spacing w:line="360" w:lineRule="auto"/>
              <w:ind w:firstLine="388" w:firstLineChars="200"/>
              <w:jc w:val="center"/>
              <w:rPr>
                <w:rFonts w:ascii="宋体" w:hAnsi="宋体"/>
                <w:color w:val="auto"/>
                <w:szCs w:val="21"/>
                <w:highlight w:val="none"/>
              </w:rPr>
            </w:pPr>
          </w:p>
        </w:tc>
        <w:tc>
          <w:tcPr>
            <w:tcW w:w="1134" w:type="dxa"/>
            <w:noWrap w:val="0"/>
            <w:vAlign w:val="center"/>
          </w:tcPr>
          <w:p w14:paraId="4FCF8BFC">
            <w:pPr>
              <w:spacing w:line="360" w:lineRule="auto"/>
              <w:ind w:firstLine="388" w:firstLineChars="200"/>
              <w:jc w:val="center"/>
              <w:rPr>
                <w:rFonts w:ascii="宋体" w:hAnsi="宋体"/>
                <w:color w:val="auto"/>
                <w:szCs w:val="21"/>
                <w:highlight w:val="none"/>
              </w:rPr>
            </w:pPr>
          </w:p>
        </w:tc>
        <w:tc>
          <w:tcPr>
            <w:tcW w:w="1408" w:type="dxa"/>
            <w:noWrap w:val="0"/>
            <w:vAlign w:val="center"/>
          </w:tcPr>
          <w:p w14:paraId="58EADFC0">
            <w:pPr>
              <w:spacing w:line="360" w:lineRule="auto"/>
              <w:ind w:firstLine="388" w:firstLineChars="200"/>
              <w:jc w:val="center"/>
              <w:rPr>
                <w:rFonts w:ascii="宋体" w:hAnsi="宋体"/>
                <w:color w:val="auto"/>
                <w:szCs w:val="21"/>
                <w:highlight w:val="none"/>
              </w:rPr>
            </w:pPr>
          </w:p>
        </w:tc>
        <w:tc>
          <w:tcPr>
            <w:tcW w:w="787" w:type="dxa"/>
            <w:noWrap w:val="0"/>
            <w:vAlign w:val="center"/>
          </w:tcPr>
          <w:p w14:paraId="72BB7AD9">
            <w:pPr>
              <w:spacing w:line="360" w:lineRule="auto"/>
              <w:ind w:firstLine="388" w:firstLineChars="200"/>
              <w:jc w:val="center"/>
              <w:rPr>
                <w:rFonts w:ascii="宋体" w:hAnsi="宋体"/>
                <w:color w:val="auto"/>
                <w:szCs w:val="21"/>
                <w:highlight w:val="none"/>
              </w:rPr>
            </w:pPr>
          </w:p>
        </w:tc>
        <w:tc>
          <w:tcPr>
            <w:tcW w:w="775" w:type="dxa"/>
            <w:noWrap w:val="0"/>
            <w:vAlign w:val="center"/>
          </w:tcPr>
          <w:p w14:paraId="7B0DFC3E">
            <w:pPr>
              <w:spacing w:line="360" w:lineRule="auto"/>
              <w:ind w:firstLine="388" w:firstLineChars="200"/>
              <w:jc w:val="center"/>
              <w:rPr>
                <w:rFonts w:ascii="宋体" w:hAnsi="宋体"/>
                <w:color w:val="auto"/>
                <w:szCs w:val="21"/>
                <w:highlight w:val="none"/>
              </w:rPr>
            </w:pPr>
          </w:p>
        </w:tc>
      </w:tr>
      <w:tr w14:paraId="780BAB6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1" w:hRule="atLeast"/>
          <w:jc w:val="center"/>
        </w:trPr>
        <w:tc>
          <w:tcPr>
            <w:tcW w:w="656" w:type="dxa"/>
            <w:noWrap w:val="0"/>
            <w:vAlign w:val="center"/>
          </w:tcPr>
          <w:p w14:paraId="0BD1C22E">
            <w:pPr>
              <w:spacing w:line="360" w:lineRule="auto"/>
              <w:ind w:firstLine="388" w:firstLineChars="200"/>
              <w:jc w:val="center"/>
              <w:rPr>
                <w:rFonts w:ascii="宋体" w:hAnsi="宋体"/>
                <w:color w:val="auto"/>
                <w:szCs w:val="21"/>
                <w:highlight w:val="none"/>
              </w:rPr>
            </w:pPr>
          </w:p>
        </w:tc>
        <w:tc>
          <w:tcPr>
            <w:tcW w:w="1410" w:type="dxa"/>
            <w:noWrap w:val="0"/>
            <w:vAlign w:val="center"/>
          </w:tcPr>
          <w:p w14:paraId="10CEA6BE">
            <w:pPr>
              <w:spacing w:line="360" w:lineRule="auto"/>
              <w:ind w:firstLine="388" w:firstLineChars="200"/>
              <w:jc w:val="center"/>
              <w:rPr>
                <w:rFonts w:ascii="宋体" w:hAnsi="宋体"/>
                <w:color w:val="auto"/>
                <w:szCs w:val="21"/>
                <w:highlight w:val="none"/>
              </w:rPr>
            </w:pPr>
          </w:p>
        </w:tc>
        <w:tc>
          <w:tcPr>
            <w:tcW w:w="1110" w:type="dxa"/>
            <w:noWrap w:val="0"/>
            <w:vAlign w:val="center"/>
          </w:tcPr>
          <w:p w14:paraId="4A67D68D">
            <w:pPr>
              <w:spacing w:line="360" w:lineRule="auto"/>
              <w:ind w:firstLine="388" w:firstLineChars="200"/>
              <w:jc w:val="center"/>
              <w:rPr>
                <w:rFonts w:ascii="宋体" w:hAnsi="宋体"/>
                <w:color w:val="auto"/>
                <w:szCs w:val="21"/>
                <w:highlight w:val="none"/>
              </w:rPr>
            </w:pPr>
          </w:p>
        </w:tc>
        <w:tc>
          <w:tcPr>
            <w:tcW w:w="730" w:type="dxa"/>
            <w:noWrap w:val="0"/>
            <w:vAlign w:val="center"/>
          </w:tcPr>
          <w:p w14:paraId="2BFB248B">
            <w:pPr>
              <w:spacing w:line="360" w:lineRule="auto"/>
              <w:ind w:firstLine="388" w:firstLineChars="200"/>
              <w:jc w:val="center"/>
              <w:rPr>
                <w:rFonts w:ascii="宋体" w:hAnsi="宋体"/>
                <w:color w:val="auto"/>
                <w:szCs w:val="21"/>
                <w:highlight w:val="none"/>
              </w:rPr>
            </w:pPr>
          </w:p>
        </w:tc>
        <w:tc>
          <w:tcPr>
            <w:tcW w:w="1067" w:type="dxa"/>
            <w:noWrap w:val="0"/>
            <w:vAlign w:val="center"/>
          </w:tcPr>
          <w:p w14:paraId="67FC4FB0">
            <w:pPr>
              <w:spacing w:line="360" w:lineRule="auto"/>
              <w:ind w:firstLine="388" w:firstLineChars="200"/>
              <w:jc w:val="center"/>
              <w:rPr>
                <w:rFonts w:ascii="宋体" w:hAnsi="宋体"/>
                <w:color w:val="auto"/>
                <w:szCs w:val="21"/>
                <w:highlight w:val="none"/>
              </w:rPr>
            </w:pPr>
          </w:p>
        </w:tc>
        <w:tc>
          <w:tcPr>
            <w:tcW w:w="1134" w:type="dxa"/>
            <w:noWrap w:val="0"/>
            <w:vAlign w:val="center"/>
          </w:tcPr>
          <w:p w14:paraId="040B6389">
            <w:pPr>
              <w:spacing w:line="360" w:lineRule="auto"/>
              <w:ind w:firstLine="388" w:firstLineChars="200"/>
              <w:jc w:val="center"/>
              <w:rPr>
                <w:rFonts w:ascii="宋体" w:hAnsi="宋体"/>
                <w:color w:val="auto"/>
                <w:szCs w:val="21"/>
                <w:highlight w:val="none"/>
              </w:rPr>
            </w:pPr>
          </w:p>
        </w:tc>
        <w:tc>
          <w:tcPr>
            <w:tcW w:w="1408" w:type="dxa"/>
            <w:noWrap w:val="0"/>
            <w:vAlign w:val="center"/>
          </w:tcPr>
          <w:p w14:paraId="379CA1DD">
            <w:pPr>
              <w:spacing w:line="360" w:lineRule="auto"/>
              <w:ind w:firstLine="388" w:firstLineChars="200"/>
              <w:jc w:val="center"/>
              <w:rPr>
                <w:rFonts w:ascii="宋体" w:hAnsi="宋体"/>
                <w:color w:val="auto"/>
                <w:szCs w:val="21"/>
                <w:highlight w:val="none"/>
              </w:rPr>
            </w:pPr>
          </w:p>
        </w:tc>
        <w:tc>
          <w:tcPr>
            <w:tcW w:w="787" w:type="dxa"/>
            <w:noWrap w:val="0"/>
            <w:vAlign w:val="center"/>
          </w:tcPr>
          <w:p w14:paraId="7F018839">
            <w:pPr>
              <w:spacing w:line="360" w:lineRule="auto"/>
              <w:ind w:firstLine="388" w:firstLineChars="200"/>
              <w:jc w:val="center"/>
              <w:rPr>
                <w:rFonts w:ascii="宋体" w:hAnsi="宋体"/>
                <w:color w:val="auto"/>
                <w:szCs w:val="21"/>
                <w:highlight w:val="none"/>
              </w:rPr>
            </w:pPr>
          </w:p>
        </w:tc>
        <w:tc>
          <w:tcPr>
            <w:tcW w:w="775" w:type="dxa"/>
            <w:noWrap w:val="0"/>
            <w:vAlign w:val="center"/>
          </w:tcPr>
          <w:p w14:paraId="3C6A45D2">
            <w:pPr>
              <w:spacing w:line="360" w:lineRule="auto"/>
              <w:ind w:firstLine="388" w:firstLineChars="200"/>
              <w:jc w:val="center"/>
              <w:rPr>
                <w:rFonts w:ascii="宋体" w:hAnsi="宋体"/>
                <w:color w:val="auto"/>
                <w:szCs w:val="21"/>
                <w:highlight w:val="none"/>
              </w:rPr>
            </w:pPr>
          </w:p>
        </w:tc>
      </w:tr>
      <w:tr w14:paraId="04D5BC1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1" w:hRule="atLeast"/>
          <w:jc w:val="center"/>
        </w:trPr>
        <w:tc>
          <w:tcPr>
            <w:tcW w:w="656" w:type="dxa"/>
            <w:noWrap w:val="0"/>
            <w:vAlign w:val="center"/>
          </w:tcPr>
          <w:p w14:paraId="5F9F1AAA">
            <w:pPr>
              <w:spacing w:line="360" w:lineRule="auto"/>
              <w:ind w:firstLine="388" w:firstLineChars="200"/>
              <w:jc w:val="center"/>
              <w:rPr>
                <w:rFonts w:ascii="宋体" w:hAnsi="宋体"/>
                <w:color w:val="auto"/>
                <w:szCs w:val="21"/>
                <w:highlight w:val="none"/>
              </w:rPr>
            </w:pPr>
          </w:p>
        </w:tc>
        <w:tc>
          <w:tcPr>
            <w:tcW w:w="1410" w:type="dxa"/>
            <w:noWrap w:val="0"/>
            <w:vAlign w:val="center"/>
          </w:tcPr>
          <w:p w14:paraId="516484DD">
            <w:pPr>
              <w:spacing w:line="360" w:lineRule="auto"/>
              <w:ind w:firstLine="388" w:firstLineChars="200"/>
              <w:jc w:val="center"/>
              <w:rPr>
                <w:rFonts w:ascii="宋体" w:hAnsi="宋体"/>
                <w:color w:val="auto"/>
                <w:szCs w:val="21"/>
                <w:highlight w:val="none"/>
              </w:rPr>
            </w:pPr>
          </w:p>
        </w:tc>
        <w:tc>
          <w:tcPr>
            <w:tcW w:w="1110" w:type="dxa"/>
            <w:noWrap w:val="0"/>
            <w:vAlign w:val="center"/>
          </w:tcPr>
          <w:p w14:paraId="0D7A84A6">
            <w:pPr>
              <w:spacing w:line="360" w:lineRule="auto"/>
              <w:ind w:firstLine="388" w:firstLineChars="200"/>
              <w:jc w:val="center"/>
              <w:rPr>
                <w:rFonts w:ascii="宋体" w:hAnsi="宋体"/>
                <w:color w:val="auto"/>
                <w:szCs w:val="21"/>
                <w:highlight w:val="none"/>
              </w:rPr>
            </w:pPr>
          </w:p>
        </w:tc>
        <w:tc>
          <w:tcPr>
            <w:tcW w:w="730" w:type="dxa"/>
            <w:noWrap w:val="0"/>
            <w:vAlign w:val="center"/>
          </w:tcPr>
          <w:p w14:paraId="34D1837B">
            <w:pPr>
              <w:spacing w:line="360" w:lineRule="auto"/>
              <w:ind w:firstLine="388" w:firstLineChars="200"/>
              <w:jc w:val="center"/>
              <w:rPr>
                <w:rFonts w:ascii="宋体" w:hAnsi="宋体"/>
                <w:color w:val="auto"/>
                <w:szCs w:val="21"/>
                <w:highlight w:val="none"/>
              </w:rPr>
            </w:pPr>
          </w:p>
        </w:tc>
        <w:tc>
          <w:tcPr>
            <w:tcW w:w="1067" w:type="dxa"/>
            <w:noWrap w:val="0"/>
            <w:vAlign w:val="center"/>
          </w:tcPr>
          <w:p w14:paraId="29EAB2C6">
            <w:pPr>
              <w:spacing w:line="360" w:lineRule="auto"/>
              <w:ind w:firstLine="388" w:firstLineChars="200"/>
              <w:jc w:val="center"/>
              <w:rPr>
                <w:rFonts w:ascii="宋体" w:hAnsi="宋体"/>
                <w:color w:val="auto"/>
                <w:szCs w:val="21"/>
                <w:highlight w:val="none"/>
              </w:rPr>
            </w:pPr>
          </w:p>
        </w:tc>
        <w:tc>
          <w:tcPr>
            <w:tcW w:w="1134" w:type="dxa"/>
            <w:noWrap w:val="0"/>
            <w:vAlign w:val="center"/>
          </w:tcPr>
          <w:p w14:paraId="2346AF45">
            <w:pPr>
              <w:spacing w:line="360" w:lineRule="auto"/>
              <w:ind w:firstLine="388" w:firstLineChars="200"/>
              <w:jc w:val="center"/>
              <w:rPr>
                <w:rFonts w:ascii="宋体" w:hAnsi="宋体"/>
                <w:color w:val="auto"/>
                <w:szCs w:val="21"/>
                <w:highlight w:val="none"/>
              </w:rPr>
            </w:pPr>
          </w:p>
        </w:tc>
        <w:tc>
          <w:tcPr>
            <w:tcW w:w="1408" w:type="dxa"/>
            <w:noWrap w:val="0"/>
            <w:vAlign w:val="center"/>
          </w:tcPr>
          <w:p w14:paraId="77A102BB">
            <w:pPr>
              <w:spacing w:line="360" w:lineRule="auto"/>
              <w:ind w:firstLine="388" w:firstLineChars="200"/>
              <w:jc w:val="center"/>
              <w:rPr>
                <w:rFonts w:ascii="宋体" w:hAnsi="宋体"/>
                <w:color w:val="auto"/>
                <w:szCs w:val="21"/>
                <w:highlight w:val="none"/>
              </w:rPr>
            </w:pPr>
          </w:p>
        </w:tc>
        <w:tc>
          <w:tcPr>
            <w:tcW w:w="787" w:type="dxa"/>
            <w:noWrap w:val="0"/>
            <w:vAlign w:val="center"/>
          </w:tcPr>
          <w:p w14:paraId="7900991E">
            <w:pPr>
              <w:spacing w:line="360" w:lineRule="auto"/>
              <w:ind w:firstLine="388" w:firstLineChars="200"/>
              <w:jc w:val="center"/>
              <w:rPr>
                <w:rFonts w:ascii="宋体" w:hAnsi="宋体"/>
                <w:color w:val="auto"/>
                <w:szCs w:val="21"/>
                <w:highlight w:val="none"/>
              </w:rPr>
            </w:pPr>
          </w:p>
        </w:tc>
        <w:tc>
          <w:tcPr>
            <w:tcW w:w="775" w:type="dxa"/>
            <w:noWrap w:val="0"/>
            <w:vAlign w:val="center"/>
          </w:tcPr>
          <w:p w14:paraId="485304D2">
            <w:pPr>
              <w:spacing w:line="360" w:lineRule="auto"/>
              <w:ind w:firstLine="388" w:firstLineChars="200"/>
              <w:jc w:val="center"/>
              <w:rPr>
                <w:rFonts w:ascii="宋体" w:hAnsi="宋体"/>
                <w:color w:val="auto"/>
                <w:szCs w:val="21"/>
                <w:highlight w:val="none"/>
              </w:rPr>
            </w:pPr>
          </w:p>
        </w:tc>
      </w:tr>
      <w:tr w14:paraId="6F9C1D8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6" w:hRule="atLeast"/>
          <w:jc w:val="center"/>
        </w:trPr>
        <w:tc>
          <w:tcPr>
            <w:tcW w:w="656" w:type="dxa"/>
            <w:noWrap w:val="0"/>
            <w:vAlign w:val="center"/>
          </w:tcPr>
          <w:p w14:paraId="5CA21533">
            <w:pPr>
              <w:spacing w:line="360" w:lineRule="auto"/>
              <w:ind w:firstLine="388" w:firstLineChars="200"/>
              <w:jc w:val="center"/>
              <w:rPr>
                <w:rFonts w:ascii="宋体" w:hAnsi="宋体"/>
                <w:color w:val="auto"/>
                <w:szCs w:val="21"/>
                <w:highlight w:val="none"/>
              </w:rPr>
            </w:pPr>
          </w:p>
        </w:tc>
        <w:tc>
          <w:tcPr>
            <w:tcW w:w="1410" w:type="dxa"/>
            <w:noWrap w:val="0"/>
            <w:vAlign w:val="center"/>
          </w:tcPr>
          <w:p w14:paraId="4C758F0D">
            <w:pPr>
              <w:spacing w:line="360" w:lineRule="auto"/>
              <w:ind w:firstLine="388" w:firstLineChars="200"/>
              <w:jc w:val="center"/>
              <w:rPr>
                <w:rFonts w:ascii="宋体" w:hAnsi="宋体"/>
                <w:color w:val="auto"/>
                <w:szCs w:val="21"/>
                <w:highlight w:val="none"/>
              </w:rPr>
            </w:pPr>
          </w:p>
        </w:tc>
        <w:tc>
          <w:tcPr>
            <w:tcW w:w="1110" w:type="dxa"/>
            <w:noWrap w:val="0"/>
            <w:vAlign w:val="center"/>
          </w:tcPr>
          <w:p w14:paraId="6E83867D">
            <w:pPr>
              <w:spacing w:line="360" w:lineRule="auto"/>
              <w:ind w:firstLine="388" w:firstLineChars="200"/>
              <w:jc w:val="center"/>
              <w:rPr>
                <w:rFonts w:ascii="宋体" w:hAnsi="宋体"/>
                <w:color w:val="auto"/>
                <w:szCs w:val="21"/>
                <w:highlight w:val="none"/>
              </w:rPr>
            </w:pPr>
          </w:p>
        </w:tc>
        <w:tc>
          <w:tcPr>
            <w:tcW w:w="730" w:type="dxa"/>
            <w:noWrap w:val="0"/>
            <w:vAlign w:val="center"/>
          </w:tcPr>
          <w:p w14:paraId="676E5EC4">
            <w:pPr>
              <w:spacing w:line="360" w:lineRule="auto"/>
              <w:ind w:firstLine="388" w:firstLineChars="200"/>
              <w:jc w:val="center"/>
              <w:rPr>
                <w:rFonts w:ascii="宋体" w:hAnsi="宋体"/>
                <w:color w:val="auto"/>
                <w:szCs w:val="21"/>
                <w:highlight w:val="none"/>
              </w:rPr>
            </w:pPr>
          </w:p>
        </w:tc>
        <w:tc>
          <w:tcPr>
            <w:tcW w:w="1067" w:type="dxa"/>
            <w:noWrap w:val="0"/>
            <w:vAlign w:val="center"/>
          </w:tcPr>
          <w:p w14:paraId="2233FDBB">
            <w:pPr>
              <w:spacing w:line="360" w:lineRule="auto"/>
              <w:ind w:firstLine="388" w:firstLineChars="200"/>
              <w:jc w:val="center"/>
              <w:rPr>
                <w:rFonts w:ascii="宋体" w:hAnsi="宋体"/>
                <w:color w:val="auto"/>
                <w:szCs w:val="21"/>
                <w:highlight w:val="none"/>
              </w:rPr>
            </w:pPr>
          </w:p>
        </w:tc>
        <w:tc>
          <w:tcPr>
            <w:tcW w:w="1134" w:type="dxa"/>
            <w:noWrap w:val="0"/>
            <w:vAlign w:val="center"/>
          </w:tcPr>
          <w:p w14:paraId="7477D674">
            <w:pPr>
              <w:spacing w:line="360" w:lineRule="auto"/>
              <w:ind w:firstLine="388" w:firstLineChars="200"/>
              <w:jc w:val="center"/>
              <w:rPr>
                <w:rFonts w:ascii="宋体" w:hAnsi="宋体"/>
                <w:color w:val="auto"/>
                <w:szCs w:val="21"/>
                <w:highlight w:val="none"/>
              </w:rPr>
            </w:pPr>
          </w:p>
        </w:tc>
        <w:tc>
          <w:tcPr>
            <w:tcW w:w="1408" w:type="dxa"/>
            <w:noWrap w:val="0"/>
            <w:vAlign w:val="center"/>
          </w:tcPr>
          <w:p w14:paraId="00FDE1B7">
            <w:pPr>
              <w:spacing w:line="360" w:lineRule="auto"/>
              <w:ind w:firstLine="388" w:firstLineChars="200"/>
              <w:jc w:val="center"/>
              <w:rPr>
                <w:rFonts w:ascii="宋体" w:hAnsi="宋体"/>
                <w:color w:val="auto"/>
                <w:szCs w:val="21"/>
                <w:highlight w:val="none"/>
              </w:rPr>
            </w:pPr>
          </w:p>
        </w:tc>
        <w:tc>
          <w:tcPr>
            <w:tcW w:w="787" w:type="dxa"/>
            <w:noWrap w:val="0"/>
            <w:vAlign w:val="center"/>
          </w:tcPr>
          <w:p w14:paraId="7C6D8B5E">
            <w:pPr>
              <w:spacing w:line="360" w:lineRule="auto"/>
              <w:ind w:firstLine="388" w:firstLineChars="200"/>
              <w:jc w:val="center"/>
              <w:rPr>
                <w:rFonts w:ascii="宋体" w:hAnsi="宋体"/>
                <w:color w:val="auto"/>
                <w:szCs w:val="21"/>
                <w:highlight w:val="none"/>
              </w:rPr>
            </w:pPr>
          </w:p>
        </w:tc>
        <w:tc>
          <w:tcPr>
            <w:tcW w:w="775" w:type="dxa"/>
            <w:noWrap w:val="0"/>
            <w:vAlign w:val="center"/>
          </w:tcPr>
          <w:p w14:paraId="56F5D5BD">
            <w:pPr>
              <w:spacing w:line="360" w:lineRule="auto"/>
              <w:ind w:firstLine="388" w:firstLineChars="200"/>
              <w:jc w:val="center"/>
              <w:rPr>
                <w:rFonts w:ascii="宋体" w:hAnsi="宋体"/>
                <w:color w:val="auto"/>
                <w:szCs w:val="21"/>
                <w:highlight w:val="none"/>
              </w:rPr>
            </w:pPr>
          </w:p>
        </w:tc>
      </w:tr>
    </w:tbl>
    <w:p w14:paraId="63BD8178">
      <w:pPr>
        <w:spacing w:line="360" w:lineRule="auto"/>
        <w:ind w:firstLine="388" w:firstLineChars="200"/>
        <w:rPr>
          <w:rFonts w:ascii="宋体" w:hAnsi="宋体"/>
          <w:color w:val="auto"/>
          <w:szCs w:val="21"/>
          <w:highlight w:val="none"/>
        </w:rPr>
        <w:sectPr>
          <w:pgSz w:w="11907" w:h="16840"/>
          <w:pgMar w:top="1440" w:right="1803" w:bottom="1440" w:left="1803" w:header="851" w:footer="850" w:gutter="0"/>
          <w:pgNumType w:fmt="decimal"/>
          <w:cols w:space="720" w:num="1"/>
          <w:titlePg/>
          <w:docGrid w:type="linesAndChars" w:linePitch="312" w:charSpace="-3473"/>
        </w:sectPr>
      </w:pPr>
    </w:p>
    <w:p w14:paraId="258C62B3">
      <w:pPr>
        <w:pStyle w:val="4"/>
        <w:rPr>
          <w:rFonts w:ascii="宋体" w:hAnsi="宋体"/>
          <w:bCs w:val="0"/>
          <w:color w:val="auto"/>
          <w:sz w:val="24"/>
          <w:szCs w:val="24"/>
          <w:highlight w:val="none"/>
        </w:rPr>
      </w:pPr>
      <w:bookmarkStart w:id="772" w:name="_Toc4165"/>
      <w:r>
        <w:rPr>
          <w:rFonts w:hint="eastAsia" w:ascii="宋体" w:hAnsi="宋体"/>
          <w:bCs w:val="0"/>
          <w:color w:val="auto"/>
          <w:sz w:val="24"/>
          <w:szCs w:val="24"/>
          <w:highlight w:val="none"/>
        </w:rPr>
        <w:t>格式12</w:t>
      </w:r>
      <w:bookmarkEnd w:id="772"/>
    </w:p>
    <w:p w14:paraId="59CAEF9C">
      <w:pPr>
        <w:pStyle w:val="4"/>
        <w:rPr>
          <w:rFonts w:ascii="宋体" w:hAnsi="宋体"/>
          <w:color w:val="auto"/>
          <w:sz w:val="28"/>
          <w:highlight w:val="none"/>
        </w:rPr>
      </w:pPr>
      <w:bookmarkStart w:id="773" w:name="_Toc247079401"/>
      <w:bookmarkStart w:id="774" w:name="_Toc211162738"/>
      <w:bookmarkStart w:id="775" w:name="_Toc9333"/>
      <w:bookmarkStart w:id="776" w:name="_Toc515894164"/>
      <w:bookmarkStart w:id="777" w:name="_Toc311205853"/>
      <w:r>
        <w:rPr>
          <w:rFonts w:hint="eastAsia" w:ascii="宋体" w:hAnsi="宋体"/>
          <w:color w:val="auto"/>
          <w:sz w:val="28"/>
          <w:highlight w:val="none"/>
        </w:rPr>
        <w:t>附表三：拟投入本标段的劳动力计划表</w:t>
      </w:r>
      <w:bookmarkEnd w:id="773"/>
      <w:bookmarkEnd w:id="774"/>
      <w:bookmarkEnd w:id="775"/>
      <w:bookmarkEnd w:id="776"/>
      <w:bookmarkEnd w:id="777"/>
    </w:p>
    <w:p w14:paraId="4944D3DD">
      <w:pPr>
        <w:spacing w:line="360" w:lineRule="auto"/>
        <w:ind w:firstLine="6984" w:firstLineChars="3600"/>
        <w:rPr>
          <w:rFonts w:ascii="宋体" w:hAnsi="宋体"/>
          <w:b/>
          <w:color w:val="auto"/>
          <w:szCs w:val="21"/>
          <w:highlight w:val="none"/>
        </w:rPr>
      </w:pPr>
      <w:r>
        <w:rPr>
          <w:rFonts w:hint="eastAsia" w:ascii="宋体" w:hAnsi="宋体"/>
          <w:color w:val="auto"/>
          <w:szCs w:val="21"/>
          <w:highlight w:val="none"/>
        </w:rPr>
        <w:t xml:space="preserve">   </w:t>
      </w:r>
      <w:r>
        <w:rPr>
          <w:rFonts w:hint="eastAsia" w:ascii="宋体" w:hAnsi="宋体"/>
          <w:b/>
          <w:color w:val="auto"/>
          <w:szCs w:val="21"/>
          <w:highlight w:val="none"/>
        </w:rPr>
        <w:t xml:space="preserve"> 单位：人</w:t>
      </w:r>
    </w:p>
    <w:tbl>
      <w:tblPr>
        <w:tblStyle w:val="49"/>
        <w:tblW w:w="9322"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46"/>
        <w:gridCol w:w="1257"/>
        <w:gridCol w:w="1257"/>
        <w:gridCol w:w="1258"/>
        <w:gridCol w:w="1257"/>
        <w:gridCol w:w="1037"/>
        <w:gridCol w:w="1276"/>
        <w:gridCol w:w="1134"/>
      </w:tblGrid>
      <w:tr w14:paraId="0924DBD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846" w:type="dxa"/>
            <w:noWrap w:val="0"/>
            <w:vAlign w:val="center"/>
          </w:tcPr>
          <w:p w14:paraId="0BE7ECF8">
            <w:pPr>
              <w:jc w:val="center"/>
              <w:rPr>
                <w:rFonts w:ascii="宋体" w:hAnsi="宋体"/>
                <w:b/>
                <w:color w:val="auto"/>
                <w:szCs w:val="21"/>
                <w:highlight w:val="none"/>
              </w:rPr>
            </w:pPr>
            <w:r>
              <w:rPr>
                <w:rFonts w:hint="eastAsia" w:ascii="宋体" w:hAnsi="宋体"/>
                <w:b/>
                <w:color w:val="auto"/>
                <w:szCs w:val="21"/>
                <w:highlight w:val="none"/>
              </w:rPr>
              <w:t>工种</w:t>
            </w:r>
          </w:p>
        </w:tc>
        <w:tc>
          <w:tcPr>
            <w:tcW w:w="8476" w:type="dxa"/>
            <w:gridSpan w:val="7"/>
            <w:noWrap w:val="0"/>
            <w:vAlign w:val="center"/>
          </w:tcPr>
          <w:p w14:paraId="5D750BCE">
            <w:pPr>
              <w:ind w:firstLine="388" w:firstLineChars="200"/>
              <w:jc w:val="center"/>
              <w:rPr>
                <w:rFonts w:ascii="宋体" w:hAnsi="宋体"/>
                <w:b/>
                <w:color w:val="auto"/>
                <w:szCs w:val="21"/>
                <w:highlight w:val="none"/>
              </w:rPr>
            </w:pPr>
            <w:r>
              <w:rPr>
                <w:rFonts w:hint="eastAsia" w:ascii="宋体" w:hAnsi="宋体"/>
                <w:b/>
                <w:color w:val="auto"/>
                <w:szCs w:val="21"/>
                <w:highlight w:val="none"/>
              </w:rPr>
              <w:t>按工程施工阶段投入劳动力情况</w:t>
            </w:r>
          </w:p>
        </w:tc>
      </w:tr>
      <w:tr w14:paraId="5191E6E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46" w:type="dxa"/>
            <w:noWrap w:val="0"/>
            <w:vAlign w:val="center"/>
          </w:tcPr>
          <w:p w14:paraId="725A4226">
            <w:pPr>
              <w:spacing w:line="360" w:lineRule="auto"/>
              <w:ind w:firstLine="388" w:firstLineChars="200"/>
              <w:rPr>
                <w:rFonts w:ascii="宋体" w:hAnsi="宋体"/>
                <w:color w:val="auto"/>
                <w:szCs w:val="21"/>
                <w:highlight w:val="none"/>
              </w:rPr>
            </w:pPr>
          </w:p>
        </w:tc>
        <w:tc>
          <w:tcPr>
            <w:tcW w:w="1257" w:type="dxa"/>
            <w:noWrap w:val="0"/>
            <w:vAlign w:val="center"/>
          </w:tcPr>
          <w:p w14:paraId="60CC774C">
            <w:pPr>
              <w:spacing w:line="360" w:lineRule="auto"/>
              <w:ind w:firstLine="388" w:firstLineChars="200"/>
              <w:rPr>
                <w:rFonts w:ascii="宋体" w:hAnsi="宋体"/>
                <w:color w:val="auto"/>
                <w:szCs w:val="21"/>
                <w:highlight w:val="none"/>
              </w:rPr>
            </w:pPr>
          </w:p>
        </w:tc>
        <w:tc>
          <w:tcPr>
            <w:tcW w:w="1257" w:type="dxa"/>
            <w:noWrap w:val="0"/>
            <w:vAlign w:val="center"/>
          </w:tcPr>
          <w:p w14:paraId="15D036D7">
            <w:pPr>
              <w:spacing w:line="360" w:lineRule="auto"/>
              <w:ind w:firstLine="388" w:firstLineChars="200"/>
              <w:rPr>
                <w:rFonts w:ascii="宋体" w:hAnsi="宋体"/>
                <w:color w:val="auto"/>
                <w:szCs w:val="21"/>
                <w:highlight w:val="none"/>
              </w:rPr>
            </w:pPr>
          </w:p>
        </w:tc>
        <w:tc>
          <w:tcPr>
            <w:tcW w:w="1258" w:type="dxa"/>
            <w:noWrap w:val="0"/>
            <w:vAlign w:val="center"/>
          </w:tcPr>
          <w:p w14:paraId="5B72BD9B">
            <w:pPr>
              <w:spacing w:line="360" w:lineRule="auto"/>
              <w:ind w:firstLine="388" w:firstLineChars="200"/>
              <w:rPr>
                <w:rFonts w:ascii="宋体" w:hAnsi="宋体"/>
                <w:color w:val="auto"/>
                <w:szCs w:val="21"/>
                <w:highlight w:val="none"/>
              </w:rPr>
            </w:pPr>
          </w:p>
        </w:tc>
        <w:tc>
          <w:tcPr>
            <w:tcW w:w="1257" w:type="dxa"/>
            <w:noWrap w:val="0"/>
            <w:vAlign w:val="center"/>
          </w:tcPr>
          <w:p w14:paraId="14BD6D38">
            <w:pPr>
              <w:spacing w:line="360" w:lineRule="auto"/>
              <w:ind w:firstLine="388" w:firstLineChars="200"/>
              <w:rPr>
                <w:rFonts w:ascii="宋体" w:hAnsi="宋体"/>
                <w:color w:val="auto"/>
                <w:szCs w:val="21"/>
                <w:highlight w:val="none"/>
              </w:rPr>
            </w:pPr>
          </w:p>
        </w:tc>
        <w:tc>
          <w:tcPr>
            <w:tcW w:w="1037" w:type="dxa"/>
            <w:noWrap w:val="0"/>
            <w:vAlign w:val="center"/>
          </w:tcPr>
          <w:p w14:paraId="374D5BE7">
            <w:pPr>
              <w:spacing w:line="360" w:lineRule="auto"/>
              <w:ind w:firstLine="388" w:firstLineChars="200"/>
              <w:rPr>
                <w:rFonts w:ascii="宋体" w:hAnsi="宋体"/>
                <w:color w:val="auto"/>
                <w:szCs w:val="21"/>
                <w:highlight w:val="none"/>
              </w:rPr>
            </w:pPr>
          </w:p>
        </w:tc>
        <w:tc>
          <w:tcPr>
            <w:tcW w:w="1276" w:type="dxa"/>
            <w:noWrap w:val="0"/>
            <w:vAlign w:val="center"/>
          </w:tcPr>
          <w:p w14:paraId="116B392B">
            <w:pPr>
              <w:spacing w:line="360" w:lineRule="auto"/>
              <w:ind w:firstLine="388" w:firstLineChars="200"/>
              <w:rPr>
                <w:rFonts w:ascii="宋体" w:hAnsi="宋体"/>
                <w:color w:val="auto"/>
                <w:szCs w:val="21"/>
                <w:highlight w:val="none"/>
              </w:rPr>
            </w:pPr>
          </w:p>
        </w:tc>
        <w:tc>
          <w:tcPr>
            <w:tcW w:w="1134" w:type="dxa"/>
            <w:noWrap w:val="0"/>
            <w:vAlign w:val="center"/>
          </w:tcPr>
          <w:p w14:paraId="1FBCB903">
            <w:pPr>
              <w:spacing w:line="360" w:lineRule="auto"/>
              <w:ind w:firstLine="388" w:firstLineChars="200"/>
              <w:rPr>
                <w:rFonts w:ascii="宋体" w:hAnsi="宋体"/>
                <w:color w:val="auto"/>
                <w:szCs w:val="21"/>
                <w:highlight w:val="none"/>
              </w:rPr>
            </w:pPr>
          </w:p>
        </w:tc>
      </w:tr>
      <w:tr w14:paraId="5E49499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46" w:type="dxa"/>
            <w:noWrap w:val="0"/>
            <w:vAlign w:val="center"/>
          </w:tcPr>
          <w:p w14:paraId="5A311D9A">
            <w:pPr>
              <w:spacing w:line="360" w:lineRule="auto"/>
              <w:ind w:firstLine="388" w:firstLineChars="200"/>
              <w:rPr>
                <w:rFonts w:ascii="宋体" w:hAnsi="宋体"/>
                <w:color w:val="auto"/>
                <w:szCs w:val="21"/>
                <w:highlight w:val="none"/>
              </w:rPr>
            </w:pPr>
          </w:p>
        </w:tc>
        <w:tc>
          <w:tcPr>
            <w:tcW w:w="1257" w:type="dxa"/>
            <w:noWrap w:val="0"/>
            <w:vAlign w:val="center"/>
          </w:tcPr>
          <w:p w14:paraId="2F4D3AAD">
            <w:pPr>
              <w:spacing w:line="360" w:lineRule="auto"/>
              <w:ind w:firstLine="388" w:firstLineChars="200"/>
              <w:rPr>
                <w:rFonts w:ascii="宋体" w:hAnsi="宋体"/>
                <w:color w:val="auto"/>
                <w:szCs w:val="21"/>
                <w:highlight w:val="none"/>
              </w:rPr>
            </w:pPr>
          </w:p>
        </w:tc>
        <w:tc>
          <w:tcPr>
            <w:tcW w:w="1257" w:type="dxa"/>
            <w:noWrap w:val="0"/>
            <w:vAlign w:val="center"/>
          </w:tcPr>
          <w:p w14:paraId="1FF2CBA9">
            <w:pPr>
              <w:spacing w:line="360" w:lineRule="auto"/>
              <w:ind w:firstLine="388" w:firstLineChars="200"/>
              <w:rPr>
                <w:rFonts w:ascii="宋体" w:hAnsi="宋体"/>
                <w:color w:val="auto"/>
                <w:szCs w:val="21"/>
                <w:highlight w:val="none"/>
              </w:rPr>
            </w:pPr>
          </w:p>
        </w:tc>
        <w:tc>
          <w:tcPr>
            <w:tcW w:w="1258" w:type="dxa"/>
            <w:noWrap w:val="0"/>
            <w:vAlign w:val="center"/>
          </w:tcPr>
          <w:p w14:paraId="25B91C42">
            <w:pPr>
              <w:spacing w:line="360" w:lineRule="auto"/>
              <w:ind w:firstLine="388" w:firstLineChars="200"/>
              <w:rPr>
                <w:rFonts w:ascii="宋体" w:hAnsi="宋体"/>
                <w:color w:val="auto"/>
                <w:szCs w:val="21"/>
                <w:highlight w:val="none"/>
              </w:rPr>
            </w:pPr>
          </w:p>
        </w:tc>
        <w:tc>
          <w:tcPr>
            <w:tcW w:w="1257" w:type="dxa"/>
            <w:noWrap w:val="0"/>
            <w:vAlign w:val="center"/>
          </w:tcPr>
          <w:p w14:paraId="57DB128D">
            <w:pPr>
              <w:spacing w:line="360" w:lineRule="auto"/>
              <w:ind w:firstLine="388" w:firstLineChars="200"/>
              <w:rPr>
                <w:rFonts w:ascii="宋体" w:hAnsi="宋体"/>
                <w:color w:val="auto"/>
                <w:szCs w:val="21"/>
                <w:highlight w:val="none"/>
              </w:rPr>
            </w:pPr>
          </w:p>
        </w:tc>
        <w:tc>
          <w:tcPr>
            <w:tcW w:w="1037" w:type="dxa"/>
            <w:noWrap w:val="0"/>
            <w:vAlign w:val="center"/>
          </w:tcPr>
          <w:p w14:paraId="218775F3">
            <w:pPr>
              <w:spacing w:line="360" w:lineRule="auto"/>
              <w:ind w:firstLine="388" w:firstLineChars="200"/>
              <w:rPr>
                <w:rFonts w:ascii="宋体" w:hAnsi="宋体"/>
                <w:color w:val="auto"/>
                <w:szCs w:val="21"/>
                <w:highlight w:val="none"/>
              </w:rPr>
            </w:pPr>
          </w:p>
        </w:tc>
        <w:tc>
          <w:tcPr>
            <w:tcW w:w="1276" w:type="dxa"/>
            <w:noWrap w:val="0"/>
            <w:vAlign w:val="center"/>
          </w:tcPr>
          <w:p w14:paraId="3A328511">
            <w:pPr>
              <w:spacing w:line="360" w:lineRule="auto"/>
              <w:ind w:firstLine="388" w:firstLineChars="200"/>
              <w:rPr>
                <w:rFonts w:ascii="宋体" w:hAnsi="宋体"/>
                <w:color w:val="auto"/>
                <w:szCs w:val="21"/>
                <w:highlight w:val="none"/>
              </w:rPr>
            </w:pPr>
          </w:p>
        </w:tc>
        <w:tc>
          <w:tcPr>
            <w:tcW w:w="1134" w:type="dxa"/>
            <w:noWrap w:val="0"/>
            <w:vAlign w:val="center"/>
          </w:tcPr>
          <w:p w14:paraId="2601D872">
            <w:pPr>
              <w:spacing w:line="360" w:lineRule="auto"/>
              <w:ind w:firstLine="388" w:firstLineChars="200"/>
              <w:rPr>
                <w:rFonts w:ascii="宋体" w:hAnsi="宋体"/>
                <w:color w:val="auto"/>
                <w:szCs w:val="21"/>
                <w:highlight w:val="none"/>
              </w:rPr>
            </w:pPr>
          </w:p>
        </w:tc>
      </w:tr>
      <w:tr w14:paraId="2C642AD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46" w:type="dxa"/>
            <w:noWrap w:val="0"/>
            <w:vAlign w:val="center"/>
          </w:tcPr>
          <w:p w14:paraId="3D5C05E4">
            <w:pPr>
              <w:spacing w:line="360" w:lineRule="auto"/>
              <w:ind w:firstLine="388" w:firstLineChars="200"/>
              <w:rPr>
                <w:rFonts w:ascii="宋体" w:hAnsi="宋体"/>
                <w:color w:val="auto"/>
                <w:szCs w:val="21"/>
                <w:highlight w:val="none"/>
              </w:rPr>
            </w:pPr>
          </w:p>
        </w:tc>
        <w:tc>
          <w:tcPr>
            <w:tcW w:w="1257" w:type="dxa"/>
            <w:noWrap w:val="0"/>
            <w:vAlign w:val="center"/>
          </w:tcPr>
          <w:p w14:paraId="19F1007D">
            <w:pPr>
              <w:spacing w:line="360" w:lineRule="auto"/>
              <w:ind w:firstLine="388" w:firstLineChars="200"/>
              <w:rPr>
                <w:rFonts w:ascii="宋体" w:hAnsi="宋体"/>
                <w:color w:val="auto"/>
                <w:szCs w:val="21"/>
                <w:highlight w:val="none"/>
              </w:rPr>
            </w:pPr>
          </w:p>
        </w:tc>
        <w:tc>
          <w:tcPr>
            <w:tcW w:w="1257" w:type="dxa"/>
            <w:noWrap w:val="0"/>
            <w:vAlign w:val="center"/>
          </w:tcPr>
          <w:p w14:paraId="0C39EE24">
            <w:pPr>
              <w:spacing w:line="360" w:lineRule="auto"/>
              <w:ind w:firstLine="388" w:firstLineChars="200"/>
              <w:rPr>
                <w:rFonts w:ascii="宋体" w:hAnsi="宋体"/>
                <w:color w:val="auto"/>
                <w:szCs w:val="21"/>
                <w:highlight w:val="none"/>
              </w:rPr>
            </w:pPr>
          </w:p>
        </w:tc>
        <w:tc>
          <w:tcPr>
            <w:tcW w:w="1258" w:type="dxa"/>
            <w:noWrap w:val="0"/>
            <w:vAlign w:val="center"/>
          </w:tcPr>
          <w:p w14:paraId="77BA68A9">
            <w:pPr>
              <w:spacing w:line="360" w:lineRule="auto"/>
              <w:ind w:firstLine="388" w:firstLineChars="200"/>
              <w:rPr>
                <w:rFonts w:ascii="宋体" w:hAnsi="宋体"/>
                <w:color w:val="auto"/>
                <w:szCs w:val="21"/>
                <w:highlight w:val="none"/>
              </w:rPr>
            </w:pPr>
          </w:p>
        </w:tc>
        <w:tc>
          <w:tcPr>
            <w:tcW w:w="1257" w:type="dxa"/>
            <w:noWrap w:val="0"/>
            <w:vAlign w:val="center"/>
          </w:tcPr>
          <w:p w14:paraId="1818869B">
            <w:pPr>
              <w:spacing w:line="360" w:lineRule="auto"/>
              <w:ind w:firstLine="388" w:firstLineChars="200"/>
              <w:rPr>
                <w:rFonts w:ascii="宋体" w:hAnsi="宋体"/>
                <w:color w:val="auto"/>
                <w:szCs w:val="21"/>
                <w:highlight w:val="none"/>
              </w:rPr>
            </w:pPr>
          </w:p>
        </w:tc>
        <w:tc>
          <w:tcPr>
            <w:tcW w:w="1037" w:type="dxa"/>
            <w:noWrap w:val="0"/>
            <w:vAlign w:val="center"/>
          </w:tcPr>
          <w:p w14:paraId="6CD8E941">
            <w:pPr>
              <w:spacing w:line="360" w:lineRule="auto"/>
              <w:ind w:firstLine="388" w:firstLineChars="200"/>
              <w:rPr>
                <w:rFonts w:ascii="宋体" w:hAnsi="宋体"/>
                <w:color w:val="auto"/>
                <w:szCs w:val="21"/>
                <w:highlight w:val="none"/>
              </w:rPr>
            </w:pPr>
          </w:p>
        </w:tc>
        <w:tc>
          <w:tcPr>
            <w:tcW w:w="1276" w:type="dxa"/>
            <w:noWrap w:val="0"/>
            <w:vAlign w:val="center"/>
          </w:tcPr>
          <w:p w14:paraId="5F486A0C">
            <w:pPr>
              <w:spacing w:line="360" w:lineRule="auto"/>
              <w:ind w:firstLine="388" w:firstLineChars="200"/>
              <w:rPr>
                <w:rFonts w:ascii="宋体" w:hAnsi="宋体"/>
                <w:color w:val="auto"/>
                <w:szCs w:val="21"/>
                <w:highlight w:val="none"/>
              </w:rPr>
            </w:pPr>
          </w:p>
        </w:tc>
        <w:tc>
          <w:tcPr>
            <w:tcW w:w="1134" w:type="dxa"/>
            <w:noWrap w:val="0"/>
            <w:vAlign w:val="center"/>
          </w:tcPr>
          <w:p w14:paraId="26E39294">
            <w:pPr>
              <w:spacing w:line="360" w:lineRule="auto"/>
              <w:ind w:firstLine="388" w:firstLineChars="200"/>
              <w:rPr>
                <w:rFonts w:ascii="宋体" w:hAnsi="宋体"/>
                <w:color w:val="auto"/>
                <w:szCs w:val="21"/>
                <w:highlight w:val="none"/>
              </w:rPr>
            </w:pPr>
          </w:p>
        </w:tc>
      </w:tr>
      <w:tr w14:paraId="1C37125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46" w:type="dxa"/>
            <w:noWrap w:val="0"/>
            <w:vAlign w:val="center"/>
          </w:tcPr>
          <w:p w14:paraId="4FC2DBD5">
            <w:pPr>
              <w:spacing w:line="360" w:lineRule="auto"/>
              <w:ind w:firstLine="388" w:firstLineChars="200"/>
              <w:rPr>
                <w:rFonts w:ascii="宋体" w:hAnsi="宋体"/>
                <w:color w:val="auto"/>
                <w:szCs w:val="21"/>
                <w:highlight w:val="none"/>
              </w:rPr>
            </w:pPr>
          </w:p>
        </w:tc>
        <w:tc>
          <w:tcPr>
            <w:tcW w:w="1257" w:type="dxa"/>
            <w:noWrap w:val="0"/>
            <w:vAlign w:val="center"/>
          </w:tcPr>
          <w:p w14:paraId="42700236">
            <w:pPr>
              <w:spacing w:line="360" w:lineRule="auto"/>
              <w:ind w:firstLine="388" w:firstLineChars="200"/>
              <w:rPr>
                <w:rFonts w:ascii="宋体" w:hAnsi="宋体"/>
                <w:color w:val="auto"/>
                <w:szCs w:val="21"/>
                <w:highlight w:val="none"/>
              </w:rPr>
            </w:pPr>
          </w:p>
        </w:tc>
        <w:tc>
          <w:tcPr>
            <w:tcW w:w="1257" w:type="dxa"/>
            <w:noWrap w:val="0"/>
            <w:vAlign w:val="center"/>
          </w:tcPr>
          <w:p w14:paraId="44303866">
            <w:pPr>
              <w:spacing w:line="360" w:lineRule="auto"/>
              <w:ind w:firstLine="388" w:firstLineChars="200"/>
              <w:rPr>
                <w:rFonts w:ascii="宋体" w:hAnsi="宋体"/>
                <w:color w:val="auto"/>
                <w:szCs w:val="21"/>
                <w:highlight w:val="none"/>
              </w:rPr>
            </w:pPr>
          </w:p>
        </w:tc>
        <w:tc>
          <w:tcPr>
            <w:tcW w:w="1258" w:type="dxa"/>
            <w:noWrap w:val="0"/>
            <w:vAlign w:val="center"/>
          </w:tcPr>
          <w:p w14:paraId="6F53FC25">
            <w:pPr>
              <w:spacing w:line="360" w:lineRule="auto"/>
              <w:ind w:firstLine="388" w:firstLineChars="200"/>
              <w:rPr>
                <w:rFonts w:ascii="宋体" w:hAnsi="宋体"/>
                <w:color w:val="auto"/>
                <w:szCs w:val="21"/>
                <w:highlight w:val="none"/>
              </w:rPr>
            </w:pPr>
          </w:p>
        </w:tc>
        <w:tc>
          <w:tcPr>
            <w:tcW w:w="1257" w:type="dxa"/>
            <w:noWrap w:val="0"/>
            <w:vAlign w:val="center"/>
          </w:tcPr>
          <w:p w14:paraId="712B0EA9">
            <w:pPr>
              <w:spacing w:line="360" w:lineRule="auto"/>
              <w:ind w:firstLine="388" w:firstLineChars="200"/>
              <w:rPr>
                <w:rFonts w:ascii="宋体" w:hAnsi="宋体"/>
                <w:color w:val="auto"/>
                <w:szCs w:val="21"/>
                <w:highlight w:val="none"/>
              </w:rPr>
            </w:pPr>
          </w:p>
        </w:tc>
        <w:tc>
          <w:tcPr>
            <w:tcW w:w="1037" w:type="dxa"/>
            <w:noWrap w:val="0"/>
            <w:vAlign w:val="center"/>
          </w:tcPr>
          <w:p w14:paraId="48DB4BCA">
            <w:pPr>
              <w:spacing w:line="360" w:lineRule="auto"/>
              <w:ind w:firstLine="388" w:firstLineChars="200"/>
              <w:rPr>
                <w:rFonts w:ascii="宋体" w:hAnsi="宋体"/>
                <w:color w:val="auto"/>
                <w:szCs w:val="21"/>
                <w:highlight w:val="none"/>
              </w:rPr>
            </w:pPr>
          </w:p>
        </w:tc>
        <w:tc>
          <w:tcPr>
            <w:tcW w:w="1276" w:type="dxa"/>
            <w:noWrap w:val="0"/>
            <w:vAlign w:val="center"/>
          </w:tcPr>
          <w:p w14:paraId="6A22AD8E">
            <w:pPr>
              <w:spacing w:line="360" w:lineRule="auto"/>
              <w:ind w:firstLine="388" w:firstLineChars="200"/>
              <w:rPr>
                <w:rFonts w:ascii="宋体" w:hAnsi="宋体"/>
                <w:color w:val="auto"/>
                <w:szCs w:val="21"/>
                <w:highlight w:val="none"/>
              </w:rPr>
            </w:pPr>
          </w:p>
        </w:tc>
        <w:tc>
          <w:tcPr>
            <w:tcW w:w="1134" w:type="dxa"/>
            <w:noWrap w:val="0"/>
            <w:vAlign w:val="center"/>
          </w:tcPr>
          <w:p w14:paraId="0CA63C79">
            <w:pPr>
              <w:spacing w:line="360" w:lineRule="auto"/>
              <w:ind w:firstLine="388" w:firstLineChars="200"/>
              <w:rPr>
                <w:rFonts w:ascii="宋体" w:hAnsi="宋体"/>
                <w:color w:val="auto"/>
                <w:szCs w:val="21"/>
                <w:highlight w:val="none"/>
              </w:rPr>
            </w:pPr>
          </w:p>
        </w:tc>
      </w:tr>
      <w:tr w14:paraId="6B7BAC2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46" w:type="dxa"/>
            <w:noWrap w:val="0"/>
            <w:vAlign w:val="center"/>
          </w:tcPr>
          <w:p w14:paraId="318B1AD2">
            <w:pPr>
              <w:spacing w:line="360" w:lineRule="auto"/>
              <w:ind w:firstLine="388" w:firstLineChars="200"/>
              <w:rPr>
                <w:rFonts w:ascii="宋体" w:hAnsi="宋体"/>
                <w:color w:val="auto"/>
                <w:szCs w:val="21"/>
                <w:highlight w:val="none"/>
              </w:rPr>
            </w:pPr>
          </w:p>
        </w:tc>
        <w:tc>
          <w:tcPr>
            <w:tcW w:w="1257" w:type="dxa"/>
            <w:noWrap w:val="0"/>
            <w:vAlign w:val="center"/>
          </w:tcPr>
          <w:p w14:paraId="09DEE792">
            <w:pPr>
              <w:spacing w:line="360" w:lineRule="auto"/>
              <w:ind w:firstLine="388" w:firstLineChars="200"/>
              <w:rPr>
                <w:rFonts w:ascii="宋体" w:hAnsi="宋体"/>
                <w:color w:val="auto"/>
                <w:szCs w:val="21"/>
                <w:highlight w:val="none"/>
              </w:rPr>
            </w:pPr>
          </w:p>
        </w:tc>
        <w:tc>
          <w:tcPr>
            <w:tcW w:w="1257" w:type="dxa"/>
            <w:noWrap w:val="0"/>
            <w:vAlign w:val="center"/>
          </w:tcPr>
          <w:p w14:paraId="39244DC8">
            <w:pPr>
              <w:spacing w:line="360" w:lineRule="auto"/>
              <w:ind w:firstLine="388" w:firstLineChars="200"/>
              <w:rPr>
                <w:rFonts w:ascii="宋体" w:hAnsi="宋体"/>
                <w:color w:val="auto"/>
                <w:szCs w:val="21"/>
                <w:highlight w:val="none"/>
              </w:rPr>
            </w:pPr>
          </w:p>
        </w:tc>
        <w:tc>
          <w:tcPr>
            <w:tcW w:w="1258" w:type="dxa"/>
            <w:noWrap w:val="0"/>
            <w:vAlign w:val="center"/>
          </w:tcPr>
          <w:p w14:paraId="139ECA37">
            <w:pPr>
              <w:spacing w:line="360" w:lineRule="auto"/>
              <w:ind w:firstLine="388" w:firstLineChars="200"/>
              <w:rPr>
                <w:rFonts w:ascii="宋体" w:hAnsi="宋体"/>
                <w:color w:val="auto"/>
                <w:szCs w:val="21"/>
                <w:highlight w:val="none"/>
              </w:rPr>
            </w:pPr>
          </w:p>
        </w:tc>
        <w:tc>
          <w:tcPr>
            <w:tcW w:w="1257" w:type="dxa"/>
            <w:noWrap w:val="0"/>
            <w:vAlign w:val="center"/>
          </w:tcPr>
          <w:p w14:paraId="6F927C57">
            <w:pPr>
              <w:spacing w:line="360" w:lineRule="auto"/>
              <w:ind w:firstLine="388" w:firstLineChars="200"/>
              <w:rPr>
                <w:rFonts w:ascii="宋体" w:hAnsi="宋体"/>
                <w:color w:val="auto"/>
                <w:szCs w:val="21"/>
                <w:highlight w:val="none"/>
              </w:rPr>
            </w:pPr>
          </w:p>
        </w:tc>
        <w:tc>
          <w:tcPr>
            <w:tcW w:w="1037" w:type="dxa"/>
            <w:noWrap w:val="0"/>
            <w:vAlign w:val="center"/>
          </w:tcPr>
          <w:p w14:paraId="10CB7365">
            <w:pPr>
              <w:spacing w:line="360" w:lineRule="auto"/>
              <w:ind w:firstLine="388" w:firstLineChars="200"/>
              <w:rPr>
                <w:rFonts w:ascii="宋体" w:hAnsi="宋体"/>
                <w:color w:val="auto"/>
                <w:szCs w:val="21"/>
                <w:highlight w:val="none"/>
              </w:rPr>
            </w:pPr>
          </w:p>
        </w:tc>
        <w:tc>
          <w:tcPr>
            <w:tcW w:w="1276" w:type="dxa"/>
            <w:noWrap w:val="0"/>
            <w:vAlign w:val="center"/>
          </w:tcPr>
          <w:p w14:paraId="3C062EAD">
            <w:pPr>
              <w:spacing w:line="360" w:lineRule="auto"/>
              <w:ind w:firstLine="388" w:firstLineChars="200"/>
              <w:rPr>
                <w:rFonts w:ascii="宋体" w:hAnsi="宋体"/>
                <w:color w:val="auto"/>
                <w:szCs w:val="21"/>
                <w:highlight w:val="none"/>
              </w:rPr>
            </w:pPr>
          </w:p>
        </w:tc>
        <w:tc>
          <w:tcPr>
            <w:tcW w:w="1134" w:type="dxa"/>
            <w:noWrap w:val="0"/>
            <w:vAlign w:val="center"/>
          </w:tcPr>
          <w:p w14:paraId="6DE951FC">
            <w:pPr>
              <w:spacing w:line="360" w:lineRule="auto"/>
              <w:ind w:firstLine="388" w:firstLineChars="200"/>
              <w:rPr>
                <w:rFonts w:ascii="宋体" w:hAnsi="宋体"/>
                <w:color w:val="auto"/>
                <w:szCs w:val="21"/>
                <w:highlight w:val="none"/>
              </w:rPr>
            </w:pPr>
          </w:p>
        </w:tc>
      </w:tr>
      <w:tr w14:paraId="2D91EDB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46" w:type="dxa"/>
            <w:noWrap w:val="0"/>
            <w:vAlign w:val="center"/>
          </w:tcPr>
          <w:p w14:paraId="707AE522">
            <w:pPr>
              <w:spacing w:line="360" w:lineRule="auto"/>
              <w:ind w:firstLine="388" w:firstLineChars="200"/>
              <w:rPr>
                <w:rFonts w:ascii="宋体" w:hAnsi="宋体"/>
                <w:color w:val="auto"/>
                <w:szCs w:val="21"/>
                <w:highlight w:val="none"/>
              </w:rPr>
            </w:pPr>
          </w:p>
        </w:tc>
        <w:tc>
          <w:tcPr>
            <w:tcW w:w="1257" w:type="dxa"/>
            <w:noWrap w:val="0"/>
            <w:vAlign w:val="center"/>
          </w:tcPr>
          <w:p w14:paraId="2E01D759">
            <w:pPr>
              <w:spacing w:line="360" w:lineRule="auto"/>
              <w:ind w:firstLine="388" w:firstLineChars="200"/>
              <w:rPr>
                <w:rFonts w:ascii="宋体" w:hAnsi="宋体"/>
                <w:color w:val="auto"/>
                <w:szCs w:val="21"/>
                <w:highlight w:val="none"/>
              </w:rPr>
            </w:pPr>
          </w:p>
        </w:tc>
        <w:tc>
          <w:tcPr>
            <w:tcW w:w="1257" w:type="dxa"/>
            <w:noWrap w:val="0"/>
            <w:vAlign w:val="center"/>
          </w:tcPr>
          <w:p w14:paraId="2B2C6088">
            <w:pPr>
              <w:spacing w:line="360" w:lineRule="auto"/>
              <w:ind w:firstLine="388" w:firstLineChars="200"/>
              <w:rPr>
                <w:rFonts w:ascii="宋体" w:hAnsi="宋体"/>
                <w:color w:val="auto"/>
                <w:szCs w:val="21"/>
                <w:highlight w:val="none"/>
              </w:rPr>
            </w:pPr>
          </w:p>
        </w:tc>
        <w:tc>
          <w:tcPr>
            <w:tcW w:w="1258" w:type="dxa"/>
            <w:noWrap w:val="0"/>
            <w:vAlign w:val="center"/>
          </w:tcPr>
          <w:p w14:paraId="1E23FF9C">
            <w:pPr>
              <w:spacing w:line="360" w:lineRule="auto"/>
              <w:ind w:firstLine="388" w:firstLineChars="200"/>
              <w:rPr>
                <w:rFonts w:ascii="宋体" w:hAnsi="宋体"/>
                <w:color w:val="auto"/>
                <w:szCs w:val="21"/>
                <w:highlight w:val="none"/>
              </w:rPr>
            </w:pPr>
          </w:p>
        </w:tc>
        <w:tc>
          <w:tcPr>
            <w:tcW w:w="1257" w:type="dxa"/>
            <w:noWrap w:val="0"/>
            <w:vAlign w:val="center"/>
          </w:tcPr>
          <w:p w14:paraId="0138C5D9">
            <w:pPr>
              <w:spacing w:line="360" w:lineRule="auto"/>
              <w:ind w:firstLine="388" w:firstLineChars="200"/>
              <w:rPr>
                <w:rFonts w:ascii="宋体" w:hAnsi="宋体"/>
                <w:color w:val="auto"/>
                <w:szCs w:val="21"/>
                <w:highlight w:val="none"/>
              </w:rPr>
            </w:pPr>
          </w:p>
        </w:tc>
        <w:tc>
          <w:tcPr>
            <w:tcW w:w="1037" w:type="dxa"/>
            <w:noWrap w:val="0"/>
            <w:vAlign w:val="center"/>
          </w:tcPr>
          <w:p w14:paraId="01462316">
            <w:pPr>
              <w:spacing w:line="360" w:lineRule="auto"/>
              <w:ind w:firstLine="388" w:firstLineChars="200"/>
              <w:rPr>
                <w:rFonts w:ascii="宋体" w:hAnsi="宋体"/>
                <w:color w:val="auto"/>
                <w:szCs w:val="21"/>
                <w:highlight w:val="none"/>
              </w:rPr>
            </w:pPr>
          </w:p>
        </w:tc>
        <w:tc>
          <w:tcPr>
            <w:tcW w:w="1276" w:type="dxa"/>
            <w:noWrap w:val="0"/>
            <w:vAlign w:val="center"/>
          </w:tcPr>
          <w:p w14:paraId="5F080E71">
            <w:pPr>
              <w:spacing w:line="360" w:lineRule="auto"/>
              <w:ind w:firstLine="388" w:firstLineChars="200"/>
              <w:rPr>
                <w:rFonts w:ascii="宋体" w:hAnsi="宋体"/>
                <w:color w:val="auto"/>
                <w:szCs w:val="21"/>
                <w:highlight w:val="none"/>
              </w:rPr>
            </w:pPr>
          </w:p>
        </w:tc>
        <w:tc>
          <w:tcPr>
            <w:tcW w:w="1134" w:type="dxa"/>
            <w:noWrap w:val="0"/>
            <w:vAlign w:val="center"/>
          </w:tcPr>
          <w:p w14:paraId="0DD7FD7E">
            <w:pPr>
              <w:spacing w:line="360" w:lineRule="auto"/>
              <w:ind w:firstLine="388" w:firstLineChars="200"/>
              <w:rPr>
                <w:rFonts w:ascii="宋体" w:hAnsi="宋体"/>
                <w:color w:val="auto"/>
                <w:szCs w:val="21"/>
                <w:highlight w:val="none"/>
              </w:rPr>
            </w:pPr>
          </w:p>
        </w:tc>
      </w:tr>
      <w:tr w14:paraId="23E2BF4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46" w:type="dxa"/>
            <w:noWrap w:val="0"/>
            <w:vAlign w:val="center"/>
          </w:tcPr>
          <w:p w14:paraId="65E53880">
            <w:pPr>
              <w:spacing w:line="360" w:lineRule="auto"/>
              <w:ind w:firstLine="388" w:firstLineChars="200"/>
              <w:rPr>
                <w:rFonts w:ascii="宋体" w:hAnsi="宋体"/>
                <w:color w:val="auto"/>
                <w:szCs w:val="21"/>
                <w:highlight w:val="none"/>
              </w:rPr>
            </w:pPr>
          </w:p>
        </w:tc>
        <w:tc>
          <w:tcPr>
            <w:tcW w:w="1257" w:type="dxa"/>
            <w:noWrap w:val="0"/>
            <w:vAlign w:val="center"/>
          </w:tcPr>
          <w:p w14:paraId="7996CE40">
            <w:pPr>
              <w:spacing w:line="360" w:lineRule="auto"/>
              <w:ind w:firstLine="388" w:firstLineChars="200"/>
              <w:rPr>
                <w:rFonts w:ascii="宋体" w:hAnsi="宋体"/>
                <w:color w:val="auto"/>
                <w:szCs w:val="21"/>
                <w:highlight w:val="none"/>
              </w:rPr>
            </w:pPr>
          </w:p>
        </w:tc>
        <w:tc>
          <w:tcPr>
            <w:tcW w:w="1257" w:type="dxa"/>
            <w:noWrap w:val="0"/>
            <w:vAlign w:val="center"/>
          </w:tcPr>
          <w:p w14:paraId="556D143A">
            <w:pPr>
              <w:spacing w:line="360" w:lineRule="auto"/>
              <w:ind w:firstLine="388" w:firstLineChars="200"/>
              <w:rPr>
                <w:rFonts w:ascii="宋体" w:hAnsi="宋体"/>
                <w:color w:val="auto"/>
                <w:szCs w:val="21"/>
                <w:highlight w:val="none"/>
              </w:rPr>
            </w:pPr>
          </w:p>
        </w:tc>
        <w:tc>
          <w:tcPr>
            <w:tcW w:w="1258" w:type="dxa"/>
            <w:noWrap w:val="0"/>
            <w:vAlign w:val="center"/>
          </w:tcPr>
          <w:p w14:paraId="2208336B">
            <w:pPr>
              <w:spacing w:line="360" w:lineRule="auto"/>
              <w:ind w:firstLine="388" w:firstLineChars="200"/>
              <w:rPr>
                <w:rFonts w:ascii="宋体" w:hAnsi="宋体"/>
                <w:color w:val="auto"/>
                <w:szCs w:val="21"/>
                <w:highlight w:val="none"/>
              </w:rPr>
            </w:pPr>
          </w:p>
        </w:tc>
        <w:tc>
          <w:tcPr>
            <w:tcW w:w="1257" w:type="dxa"/>
            <w:noWrap w:val="0"/>
            <w:vAlign w:val="center"/>
          </w:tcPr>
          <w:p w14:paraId="6704502C">
            <w:pPr>
              <w:spacing w:line="360" w:lineRule="auto"/>
              <w:ind w:firstLine="388" w:firstLineChars="200"/>
              <w:rPr>
                <w:rFonts w:ascii="宋体" w:hAnsi="宋体"/>
                <w:color w:val="auto"/>
                <w:szCs w:val="21"/>
                <w:highlight w:val="none"/>
              </w:rPr>
            </w:pPr>
          </w:p>
        </w:tc>
        <w:tc>
          <w:tcPr>
            <w:tcW w:w="1037" w:type="dxa"/>
            <w:noWrap w:val="0"/>
            <w:vAlign w:val="center"/>
          </w:tcPr>
          <w:p w14:paraId="721405F7">
            <w:pPr>
              <w:spacing w:line="360" w:lineRule="auto"/>
              <w:ind w:firstLine="388" w:firstLineChars="200"/>
              <w:rPr>
                <w:rFonts w:ascii="宋体" w:hAnsi="宋体"/>
                <w:color w:val="auto"/>
                <w:szCs w:val="21"/>
                <w:highlight w:val="none"/>
              </w:rPr>
            </w:pPr>
          </w:p>
        </w:tc>
        <w:tc>
          <w:tcPr>
            <w:tcW w:w="1276" w:type="dxa"/>
            <w:noWrap w:val="0"/>
            <w:vAlign w:val="center"/>
          </w:tcPr>
          <w:p w14:paraId="693B59AE">
            <w:pPr>
              <w:spacing w:line="360" w:lineRule="auto"/>
              <w:ind w:firstLine="388" w:firstLineChars="200"/>
              <w:rPr>
                <w:rFonts w:ascii="宋体" w:hAnsi="宋体"/>
                <w:color w:val="auto"/>
                <w:szCs w:val="21"/>
                <w:highlight w:val="none"/>
              </w:rPr>
            </w:pPr>
          </w:p>
        </w:tc>
        <w:tc>
          <w:tcPr>
            <w:tcW w:w="1134" w:type="dxa"/>
            <w:noWrap w:val="0"/>
            <w:vAlign w:val="center"/>
          </w:tcPr>
          <w:p w14:paraId="18CDAEBE">
            <w:pPr>
              <w:spacing w:line="360" w:lineRule="auto"/>
              <w:ind w:firstLine="388" w:firstLineChars="200"/>
              <w:rPr>
                <w:rFonts w:ascii="宋体" w:hAnsi="宋体"/>
                <w:color w:val="auto"/>
                <w:szCs w:val="21"/>
                <w:highlight w:val="none"/>
              </w:rPr>
            </w:pPr>
          </w:p>
        </w:tc>
      </w:tr>
      <w:tr w14:paraId="1D74B45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46" w:type="dxa"/>
            <w:noWrap w:val="0"/>
            <w:vAlign w:val="center"/>
          </w:tcPr>
          <w:p w14:paraId="0B4676B6">
            <w:pPr>
              <w:spacing w:line="360" w:lineRule="auto"/>
              <w:ind w:firstLine="388" w:firstLineChars="200"/>
              <w:rPr>
                <w:rFonts w:ascii="宋体" w:hAnsi="宋体"/>
                <w:color w:val="auto"/>
                <w:szCs w:val="21"/>
                <w:highlight w:val="none"/>
              </w:rPr>
            </w:pPr>
          </w:p>
        </w:tc>
        <w:tc>
          <w:tcPr>
            <w:tcW w:w="1257" w:type="dxa"/>
            <w:noWrap w:val="0"/>
            <w:vAlign w:val="center"/>
          </w:tcPr>
          <w:p w14:paraId="7FCB86C7">
            <w:pPr>
              <w:spacing w:line="360" w:lineRule="auto"/>
              <w:ind w:firstLine="388" w:firstLineChars="200"/>
              <w:rPr>
                <w:rFonts w:ascii="宋体" w:hAnsi="宋体"/>
                <w:color w:val="auto"/>
                <w:szCs w:val="21"/>
                <w:highlight w:val="none"/>
              </w:rPr>
            </w:pPr>
          </w:p>
        </w:tc>
        <w:tc>
          <w:tcPr>
            <w:tcW w:w="1257" w:type="dxa"/>
            <w:noWrap w:val="0"/>
            <w:vAlign w:val="center"/>
          </w:tcPr>
          <w:p w14:paraId="7EBA60A2">
            <w:pPr>
              <w:spacing w:line="360" w:lineRule="auto"/>
              <w:ind w:firstLine="388" w:firstLineChars="200"/>
              <w:rPr>
                <w:rFonts w:ascii="宋体" w:hAnsi="宋体"/>
                <w:color w:val="auto"/>
                <w:szCs w:val="21"/>
                <w:highlight w:val="none"/>
              </w:rPr>
            </w:pPr>
          </w:p>
        </w:tc>
        <w:tc>
          <w:tcPr>
            <w:tcW w:w="1258" w:type="dxa"/>
            <w:noWrap w:val="0"/>
            <w:vAlign w:val="center"/>
          </w:tcPr>
          <w:p w14:paraId="46E1B32A">
            <w:pPr>
              <w:spacing w:line="360" w:lineRule="auto"/>
              <w:ind w:firstLine="388" w:firstLineChars="200"/>
              <w:rPr>
                <w:rFonts w:ascii="宋体" w:hAnsi="宋体"/>
                <w:color w:val="auto"/>
                <w:szCs w:val="21"/>
                <w:highlight w:val="none"/>
              </w:rPr>
            </w:pPr>
          </w:p>
        </w:tc>
        <w:tc>
          <w:tcPr>
            <w:tcW w:w="1257" w:type="dxa"/>
            <w:noWrap w:val="0"/>
            <w:vAlign w:val="center"/>
          </w:tcPr>
          <w:p w14:paraId="1D5FA0F0">
            <w:pPr>
              <w:spacing w:line="360" w:lineRule="auto"/>
              <w:ind w:firstLine="388" w:firstLineChars="200"/>
              <w:rPr>
                <w:rFonts w:ascii="宋体" w:hAnsi="宋体"/>
                <w:color w:val="auto"/>
                <w:szCs w:val="21"/>
                <w:highlight w:val="none"/>
              </w:rPr>
            </w:pPr>
          </w:p>
        </w:tc>
        <w:tc>
          <w:tcPr>
            <w:tcW w:w="1037" w:type="dxa"/>
            <w:noWrap w:val="0"/>
            <w:vAlign w:val="center"/>
          </w:tcPr>
          <w:p w14:paraId="3227B3DC">
            <w:pPr>
              <w:spacing w:line="360" w:lineRule="auto"/>
              <w:ind w:firstLine="388" w:firstLineChars="200"/>
              <w:rPr>
                <w:rFonts w:ascii="宋体" w:hAnsi="宋体"/>
                <w:color w:val="auto"/>
                <w:szCs w:val="21"/>
                <w:highlight w:val="none"/>
              </w:rPr>
            </w:pPr>
          </w:p>
        </w:tc>
        <w:tc>
          <w:tcPr>
            <w:tcW w:w="1276" w:type="dxa"/>
            <w:noWrap w:val="0"/>
            <w:vAlign w:val="center"/>
          </w:tcPr>
          <w:p w14:paraId="3B6322F9">
            <w:pPr>
              <w:spacing w:line="360" w:lineRule="auto"/>
              <w:ind w:firstLine="388" w:firstLineChars="200"/>
              <w:rPr>
                <w:rFonts w:ascii="宋体" w:hAnsi="宋体"/>
                <w:color w:val="auto"/>
                <w:szCs w:val="21"/>
                <w:highlight w:val="none"/>
              </w:rPr>
            </w:pPr>
          </w:p>
        </w:tc>
        <w:tc>
          <w:tcPr>
            <w:tcW w:w="1134" w:type="dxa"/>
            <w:noWrap w:val="0"/>
            <w:vAlign w:val="center"/>
          </w:tcPr>
          <w:p w14:paraId="3C4C9265">
            <w:pPr>
              <w:spacing w:line="360" w:lineRule="auto"/>
              <w:ind w:firstLine="388" w:firstLineChars="200"/>
              <w:rPr>
                <w:rFonts w:ascii="宋体" w:hAnsi="宋体"/>
                <w:color w:val="auto"/>
                <w:szCs w:val="21"/>
                <w:highlight w:val="none"/>
              </w:rPr>
            </w:pPr>
          </w:p>
        </w:tc>
      </w:tr>
      <w:tr w14:paraId="03D5485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46" w:type="dxa"/>
            <w:noWrap w:val="0"/>
            <w:vAlign w:val="center"/>
          </w:tcPr>
          <w:p w14:paraId="056D0D14">
            <w:pPr>
              <w:spacing w:line="360" w:lineRule="auto"/>
              <w:ind w:firstLine="388" w:firstLineChars="200"/>
              <w:rPr>
                <w:rFonts w:ascii="宋体" w:hAnsi="宋体"/>
                <w:color w:val="auto"/>
                <w:szCs w:val="21"/>
                <w:highlight w:val="none"/>
              </w:rPr>
            </w:pPr>
          </w:p>
        </w:tc>
        <w:tc>
          <w:tcPr>
            <w:tcW w:w="1257" w:type="dxa"/>
            <w:noWrap w:val="0"/>
            <w:vAlign w:val="center"/>
          </w:tcPr>
          <w:p w14:paraId="5893411B">
            <w:pPr>
              <w:spacing w:line="360" w:lineRule="auto"/>
              <w:ind w:firstLine="388" w:firstLineChars="200"/>
              <w:rPr>
                <w:rFonts w:ascii="宋体" w:hAnsi="宋体"/>
                <w:color w:val="auto"/>
                <w:szCs w:val="21"/>
                <w:highlight w:val="none"/>
              </w:rPr>
            </w:pPr>
          </w:p>
        </w:tc>
        <w:tc>
          <w:tcPr>
            <w:tcW w:w="1257" w:type="dxa"/>
            <w:noWrap w:val="0"/>
            <w:vAlign w:val="center"/>
          </w:tcPr>
          <w:p w14:paraId="3134067F">
            <w:pPr>
              <w:spacing w:line="360" w:lineRule="auto"/>
              <w:ind w:firstLine="388" w:firstLineChars="200"/>
              <w:rPr>
                <w:rFonts w:ascii="宋体" w:hAnsi="宋体"/>
                <w:color w:val="auto"/>
                <w:szCs w:val="21"/>
                <w:highlight w:val="none"/>
              </w:rPr>
            </w:pPr>
          </w:p>
        </w:tc>
        <w:tc>
          <w:tcPr>
            <w:tcW w:w="1258" w:type="dxa"/>
            <w:noWrap w:val="0"/>
            <w:vAlign w:val="center"/>
          </w:tcPr>
          <w:p w14:paraId="1949378C">
            <w:pPr>
              <w:spacing w:line="360" w:lineRule="auto"/>
              <w:ind w:firstLine="388" w:firstLineChars="200"/>
              <w:rPr>
                <w:rFonts w:ascii="宋体" w:hAnsi="宋体"/>
                <w:color w:val="auto"/>
                <w:szCs w:val="21"/>
                <w:highlight w:val="none"/>
              </w:rPr>
            </w:pPr>
          </w:p>
        </w:tc>
        <w:tc>
          <w:tcPr>
            <w:tcW w:w="1257" w:type="dxa"/>
            <w:noWrap w:val="0"/>
            <w:vAlign w:val="center"/>
          </w:tcPr>
          <w:p w14:paraId="12E32023">
            <w:pPr>
              <w:spacing w:line="360" w:lineRule="auto"/>
              <w:ind w:firstLine="388" w:firstLineChars="200"/>
              <w:rPr>
                <w:rFonts w:ascii="宋体" w:hAnsi="宋体"/>
                <w:color w:val="auto"/>
                <w:szCs w:val="21"/>
                <w:highlight w:val="none"/>
              </w:rPr>
            </w:pPr>
          </w:p>
        </w:tc>
        <w:tc>
          <w:tcPr>
            <w:tcW w:w="1037" w:type="dxa"/>
            <w:noWrap w:val="0"/>
            <w:vAlign w:val="center"/>
          </w:tcPr>
          <w:p w14:paraId="6D14982D">
            <w:pPr>
              <w:spacing w:line="360" w:lineRule="auto"/>
              <w:ind w:firstLine="388" w:firstLineChars="200"/>
              <w:rPr>
                <w:rFonts w:ascii="宋体" w:hAnsi="宋体"/>
                <w:color w:val="auto"/>
                <w:szCs w:val="21"/>
                <w:highlight w:val="none"/>
              </w:rPr>
            </w:pPr>
          </w:p>
        </w:tc>
        <w:tc>
          <w:tcPr>
            <w:tcW w:w="1276" w:type="dxa"/>
            <w:noWrap w:val="0"/>
            <w:vAlign w:val="center"/>
          </w:tcPr>
          <w:p w14:paraId="44C3529E">
            <w:pPr>
              <w:spacing w:line="360" w:lineRule="auto"/>
              <w:ind w:firstLine="388" w:firstLineChars="200"/>
              <w:rPr>
                <w:rFonts w:ascii="宋体" w:hAnsi="宋体"/>
                <w:color w:val="auto"/>
                <w:szCs w:val="21"/>
                <w:highlight w:val="none"/>
              </w:rPr>
            </w:pPr>
          </w:p>
        </w:tc>
        <w:tc>
          <w:tcPr>
            <w:tcW w:w="1134" w:type="dxa"/>
            <w:noWrap w:val="0"/>
            <w:vAlign w:val="center"/>
          </w:tcPr>
          <w:p w14:paraId="49DC16D7">
            <w:pPr>
              <w:spacing w:line="360" w:lineRule="auto"/>
              <w:ind w:firstLine="388" w:firstLineChars="200"/>
              <w:rPr>
                <w:rFonts w:ascii="宋体" w:hAnsi="宋体"/>
                <w:color w:val="auto"/>
                <w:szCs w:val="21"/>
                <w:highlight w:val="none"/>
              </w:rPr>
            </w:pPr>
          </w:p>
        </w:tc>
      </w:tr>
      <w:tr w14:paraId="36858A4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46" w:type="dxa"/>
            <w:noWrap w:val="0"/>
            <w:vAlign w:val="center"/>
          </w:tcPr>
          <w:p w14:paraId="0BB74232">
            <w:pPr>
              <w:spacing w:line="360" w:lineRule="auto"/>
              <w:ind w:firstLine="388" w:firstLineChars="200"/>
              <w:rPr>
                <w:rFonts w:ascii="宋体" w:hAnsi="宋体"/>
                <w:color w:val="auto"/>
                <w:szCs w:val="21"/>
                <w:highlight w:val="none"/>
              </w:rPr>
            </w:pPr>
          </w:p>
        </w:tc>
        <w:tc>
          <w:tcPr>
            <w:tcW w:w="1257" w:type="dxa"/>
            <w:noWrap w:val="0"/>
            <w:vAlign w:val="center"/>
          </w:tcPr>
          <w:p w14:paraId="0F405F59">
            <w:pPr>
              <w:spacing w:line="360" w:lineRule="auto"/>
              <w:ind w:firstLine="388" w:firstLineChars="200"/>
              <w:rPr>
                <w:rFonts w:ascii="宋体" w:hAnsi="宋体"/>
                <w:color w:val="auto"/>
                <w:szCs w:val="21"/>
                <w:highlight w:val="none"/>
              </w:rPr>
            </w:pPr>
          </w:p>
        </w:tc>
        <w:tc>
          <w:tcPr>
            <w:tcW w:w="1257" w:type="dxa"/>
            <w:noWrap w:val="0"/>
            <w:vAlign w:val="center"/>
          </w:tcPr>
          <w:p w14:paraId="6E6821C3">
            <w:pPr>
              <w:spacing w:line="360" w:lineRule="auto"/>
              <w:ind w:firstLine="388" w:firstLineChars="200"/>
              <w:rPr>
                <w:rFonts w:ascii="宋体" w:hAnsi="宋体"/>
                <w:color w:val="auto"/>
                <w:szCs w:val="21"/>
                <w:highlight w:val="none"/>
              </w:rPr>
            </w:pPr>
          </w:p>
        </w:tc>
        <w:tc>
          <w:tcPr>
            <w:tcW w:w="1258" w:type="dxa"/>
            <w:noWrap w:val="0"/>
            <w:vAlign w:val="center"/>
          </w:tcPr>
          <w:p w14:paraId="13F7CE63">
            <w:pPr>
              <w:spacing w:line="360" w:lineRule="auto"/>
              <w:ind w:firstLine="388" w:firstLineChars="200"/>
              <w:rPr>
                <w:rFonts w:ascii="宋体" w:hAnsi="宋体"/>
                <w:color w:val="auto"/>
                <w:szCs w:val="21"/>
                <w:highlight w:val="none"/>
              </w:rPr>
            </w:pPr>
          </w:p>
        </w:tc>
        <w:tc>
          <w:tcPr>
            <w:tcW w:w="1257" w:type="dxa"/>
            <w:noWrap w:val="0"/>
            <w:vAlign w:val="center"/>
          </w:tcPr>
          <w:p w14:paraId="1F1C33B3">
            <w:pPr>
              <w:spacing w:line="360" w:lineRule="auto"/>
              <w:ind w:firstLine="388" w:firstLineChars="200"/>
              <w:rPr>
                <w:rFonts w:ascii="宋体" w:hAnsi="宋体"/>
                <w:color w:val="auto"/>
                <w:szCs w:val="21"/>
                <w:highlight w:val="none"/>
              </w:rPr>
            </w:pPr>
          </w:p>
        </w:tc>
        <w:tc>
          <w:tcPr>
            <w:tcW w:w="1037" w:type="dxa"/>
            <w:noWrap w:val="0"/>
            <w:vAlign w:val="center"/>
          </w:tcPr>
          <w:p w14:paraId="5A1FC8BC">
            <w:pPr>
              <w:spacing w:line="360" w:lineRule="auto"/>
              <w:ind w:firstLine="388" w:firstLineChars="200"/>
              <w:rPr>
                <w:rFonts w:ascii="宋体" w:hAnsi="宋体"/>
                <w:color w:val="auto"/>
                <w:szCs w:val="21"/>
                <w:highlight w:val="none"/>
              </w:rPr>
            </w:pPr>
          </w:p>
        </w:tc>
        <w:tc>
          <w:tcPr>
            <w:tcW w:w="1276" w:type="dxa"/>
            <w:noWrap w:val="0"/>
            <w:vAlign w:val="center"/>
          </w:tcPr>
          <w:p w14:paraId="7F77974C">
            <w:pPr>
              <w:spacing w:line="360" w:lineRule="auto"/>
              <w:ind w:firstLine="388" w:firstLineChars="200"/>
              <w:rPr>
                <w:rFonts w:ascii="宋体" w:hAnsi="宋体"/>
                <w:color w:val="auto"/>
                <w:szCs w:val="21"/>
                <w:highlight w:val="none"/>
              </w:rPr>
            </w:pPr>
          </w:p>
        </w:tc>
        <w:tc>
          <w:tcPr>
            <w:tcW w:w="1134" w:type="dxa"/>
            <w:noWrap w:val="0"/>
            <w:vAlign w:val="center"/>
          </w:tcPr>
          <w:p w14:paraId="30EB34E4">
            <w:pPr>
              <w:spacing w:line="360" w:lineRule="auto"/>
              <w:ind w:firstLine="388" w:firstLineChars="200"/>
              <w:rPr>
                <w:rFonts w:ascii="宋体" w:hAnsi="宋体"/>
                <w:color w:val="auto"/>
                <w:szCs w:val="21"/>
                <w:highlight w:val="none"/>
              </w:rPr>
            </w:pPr>
          </w:p>
        </w:tc>
      </w:tr>
      <w:tr w14:paraId="2A9A1AE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46" w:type="dxa"/>
            <w:noWrap w:val="0"/>
            <w:vAlign w:val="center"/>
          </w:tcPr>
          <w:p w14:paraId="509CDC7F">
            <w:pPr>
              <w:spacing w:line="360" w:lineRule="auto"/>
              <w:ind w:firstLine="388" w:firstLineChars="200"/>
              <w:rPr>
                <w:rFonts w:ascii="宋体" w:hAnsi="宋体"/>
                <w:color w:val="auto"/>
                <w:szCs w:val="21"/>
                <w:highlight w:val="none"/>
              </w:rPr>
            </w:pPr>
          </w:p>
        </w:tc>
        <w:tc>
          <w:tcPr>
            <w:tcW w:w="1257" w:type="dxa"/>
            <w:noWrap w:val="0"/>
            <w:vAlign w:val="center"/>
          </w:tcPr>
          <w:p w14:paraId="4B603E77">
            <w:pPr>
              <w:spacing w:line="360" w:lineRule="auto"/>
              <w:ind w:firstLine="388" w:firstLineChars="200"/>
              <w:rPr>
                <w:rFonts w:ascii="宋体" w:hAnsi="宋体"/>
                <w:color w:val="auto"/>
                <w:szCs w:val="21"/>
                <w:highlight w:val="none"/>
              </w:rPr>
            </w:pPr>
          </w:p>
        </w:tc>
        <w:tc>
          <w:tcPr>
            <w:tcW w:w="1257" w:type="dxa"/>
            <w:noWrap w:val="0"/>
            <w:vAlign w:val="center"/>
          </w:tcPr>
          <w:p w14:paraId="0EAE096C">
            <w:pPr>
              <w:spacing w:line="360" w:lineRule="auto"/>
              <w:ind w:firstLine="388" w:firstLineChars="200"/>
              <w:rPr>
                <w:rFonts w:ascii="宋体" w:hAnsi="宋体"/>
                <w:color w:val="auto"/>
                <w:szCs w:val="21"/>
                <w:highlight w:val="none"/>
              </w:rPr>
            </w:pPr>
          </w:p>
        </w:tc>
        <w:tc>
          <w:tcPr>
            <w:tcW w:w="1258" w:type="dxa"/>
            <w:noWrap w:val="0"/>
            <w:vAlign w:val="center"/>
          </w:tcPr>
          <w:p w14:paraId="5C6C297D">
            <w:pPr>
              <w:spacing w:line="360" w:lineRule="auto"/>
              <w:ind w:firstLine="388" w:firstLineChars="200"/>
              <w:rPr>
                <w:rFonts w:ascii="宋体" w:hAnsi="宋体"/>
                <w:color w:val="auto"/>
                <w:szCs w:val="21"/>
                <w:highlight w:val="none"/>
              </w:rPr>
            </w:pPr>
          </w:p>
        </w:tc>
        <w:tc>
          <w:tcPr>
            <w:tcW w:w="1257" w:type="dxa"/>
            <w:noWrap w:val="0"/>
            <w:vAlign w:val="center"/>
          </w:tcPr>
          <w:p w14:paraId="7A23691C">
            <w:pPr>
              <w:spacing w:line="360" w:lineRule="auto"/>
              <w:ind w:firstLine="388" w:firstLineChars="200"/>
              <w:rPr>
                <w:rFonts w:ascii="宋体" w:hAnsi="宋体"/>
                <w:color w:val="auto"/>
                <w:szCs w:val="21"/>
                <w:highlight w:val="none"/>
              </w:rPr>
            </w:pPr>
          </w:p>
        </w:tc>
        <w:tc>
          <w:tcPr>
            <w:tcW w:w="1037" w:type="dxa"/>
            <w:noWrap w:val="0"/>
            <w:vAlign w:val="center"/>
          </w:tcPr>
          <w:p w14:paraId="1C183AE0">
            <w:pPr>
              <w:spacing w:line="360" w:lineRule="auto"/>
              <w:ind w:firstLine="388" w:firstLineChars="200"/>
              <w:rPr>
                <w:rFonts w:ascii="宋体" w:hAnsi="宋体"/>
                <w:color w:val="auto"/>
                <w:szCs w:val="21"/>
                <w:highlight w:val="none"/>
              </w:rPr>
            </w:pPr>
          </w:p>
        </w:tc>
        <w:tc>
          <w:tcPr>
            <w:tcW w:w="1276" w:type="dxa"/>
            <w:noWrap w:val="0"/>
            <w:vAlign w:val="center"/>
          </w:tcPr>
          <w:p w14:paraId="00BB18E7">
            <w:pPr>
              <w:spacing w:line="360" w:lineRule="auto"/>
              <w:ind w:firstLine="388" w:firstLineChars="200"/>
              <w:rPr>
                <w:rFonts w:ascii="宋体" w:hAnsi="宋体"/>
                <w:color w:val="auto"/>
                <w:szCs w:val="21"/>
                <w:highlight w:val="none"/>
              </w:rPr>
            </w:pPr>
          </w:p>
        </w:tc>
        <w:tc>
          <w:tcPr>
            <w:tcW w:w="1134" w:type="dxa"/>
            <w:noWrap w:val="0"/>
            <w:vAlign w:val="center"/>
          </w:tcPr>
          <w:p w14:paraId="1F474AFF">
            <w:pPr>
              <w:spacing w:line="360" w:lineRule="auto"/>
              <w:ind w:firstLine="388" w:firstLineChars="200"/>
              <w:rPr>
                <w:rFonts w:ascii="宋体" w:hAnsi="宋体"/>
                <w:color w:val="auto"/>
                <w:szCs w:val="21"/>
                <w:highlight w:val="none"/>
              </w:rPr>
            </w:pPr>
          </w:p>
        </w:tc>
      </w:tr>
      <w:tr w14:paraId="62B10D3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46" w:type="dxa"/>
            <w:noWrap w:val="0"/>
            <w:vAlign w:val="center"/>
          </w:tcPr>
          <w:p w14:paraId="4D67A6C7">
            <w:pPr>
              <w:spacing w:line="360" w:lineRule="auto"/>
              <w:ind w:firstLine="388" w:firstLineChars="200"/>
              <w:rPr>
                <w:rFonts w:ascii="宋体" w:hAnsi="宋体"/>
                <w:color w:val="auto"/>
                <w:szCs w:val="21"/>
                <w:highlight w:val="none"/>
              </w:rPr>
            </w:pPr>
          </w:p>
        </w:tc>
        <w:tc>
          <w:tcPr>
            <w:tcW w:w="1257" w:type="dxa"/>
            <w:noWrap w:val="0"/>
            <w:vAlign w:val="center"/>
          </w:tcPr>
          <w:p w14:paraId="0CC592A8">
            <w:pPr>
              <w:spacing w:line="360" w:lineRule="auto"/>
              <w:ind w:firstLine="388" w:firstLineChars="200"/>
              <w:rPr>
                <w:rFonts w:ascii="宋体" w:hAnsi="宋体"/>
                <w:color w:val="auto"/>
                <w:szCs w:val="21"/>
                <w:highlight w:val="none"/>
              </w:rPr>
            </w:pPr>
          </w:p>
        </w:tc>
        <w:tc>
          <w:tcPr>
            <w:tcW w:w="1257" w:type="dxa"/>
            <w:noWrap w:val="0"/>
            <w:vAlign w:val="center"/>
          </w:tcPr>
          <w:p w14:paraId="0BB28D3C">
            <w:pPr>
              <w:spacing w:line="360" w:lineRule="auto"/>
              <w:ind w:firstLine="388" w:firstLineChars="200"/>
              <w:rPr>
                <w:rFonts w:ascii="宋体" w:hAnsi="宋体"/>
                <w:color w:val="auto"/>
                <w:szCs w:val="21"/>
                <w:highlight w:val="none"/>
              </w:rPr>
            </w:pPr>
          </w:p>
        </w:tc>
        <w:tc>
          <w:tcPr>
            <w:tcW w:w="1258" w:type="dxa"/>
            <w:noWrap w:val="0"/>
            <w:vAlign w:val="center"/>
          </w:tcPr>
          <w:p w14:paraId="3601B472">
            <w:pPr>
              <w:spacing w:line="360" w:lineRule="auto"/>
              <w:ind w:firstLine="388" w:firstLineChars="200"/>
              <w:rPr>
                <w:rFonts w:ascii="宋体" w:hAnsi="宋体"/>
                <w:color w:val="auto"/>
                <w:szCs w:val="21"/>
                <w:highlight w:val="none"/>
              </w:rPr>
            </w:pPr>
          </w:p>
        </w:tc>
        <w:tc>
          <w:tcPr>
            <w:tcW w:w="1257" w:type="dxa"/>
            <w:noWrap w:val="0"/>
            <w:vAlign w:val="center"/>
          </w:tcPr>
          <w:p w14:paraId="1000BEBD">
            <w:pPr>
              <w:spacing w:line="360" w:lineRule="auto"/>
              <w:ind w:firstLine="388" w:firstLineChars="200"/>
              <w:rPr>
                <w:rFonts w:ascii="宋体" w:hAnsi="宋体"/>
                <w:color w:val="auto"/>
                <w:szCs w:val="21"/>
                <w:highlight w:val="none"/>
              </w:rPr>
            </w:pPr>
          </w:p>
        </w:tc>
        <w:tc>
          <w:tcPr>
            <w:tcW w:w="1037" w:type="dxa"/>
            <w:noWrap w:val="0"/>
            <w:vAlign w:val="center"/>
          </w:tcPr>
          <w:p w14:paraId="1CC82944">
            <w:pPr>
              <w:spacing w:line="360" w:lineRule="auto"/>
              <w:ind w:firstLine="388" w:firstLineChars="200"/>
              <w:rPr>
                <w:rFonts w:ascii="宋体" w:hAnsi="宋体"/>
                <w:color w:val="auto"/>
                <w:szCs w:val="21"/>
                <w:highlight w:val="none"/>
              </w:rPr>
            </w:pPr>
          </w:p>
        </w:tc>
        <w:tc>
          <w:tcPr>
            <w:tcW w:w="1276" w:type="dxa"/>
            <w:noWrap w:val="0"/>
            <w:vAlign w:val="center"/>
          </w:tcPr>
          <w:p w14:paraId="3218C6BF">
            <w:pPr>
              <w:spacing w:line="360" w:lineRule="auto"/>
              <w:ind w:firstLine="388" w:firstLineChars="200"/>
              <w:rPr>
                <w:rFonts w:ascii="宋体" w:hAnsi="宋体"/>
                <w:color w:val="auto"/>
                <w:szCs w:val="21"/>
                <w:highlight w:val="none"/>
              </w:rPr>
            </w:pPr>
          </w:p>
        </w:tc>
        <w:tc>
          <w:tcPr>
            <w:tcW w:w="1134" w:type="dxa"/>
            <w:noWrap w:val="0"/>
            <w:vAlign w:val="center"/>
          </w:tcPr>
          <w:p w14:paraId="5DA01B93">
            <w:pPr>
              <w:spacing w:line="360" w:lineRule="auto"/>
              <w:ind w:firstLine="388" w:firstLineChars="200"/>
              <w:rPr>
                <w:rFonts w:ascii="宋体" w:hAnsi="宋体"/>
                <w:color w:val="auto"/>
                <w:szCs w:val="21"/>
                <w:highlight w:val="none"/>
              </w:rPr>
            </w:pPr>
          </w:p>
        </w:tc>
      </w:tr>
      <w:tr w14:paraId="3DE8DEF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46" w:type="dxa"/>
            <w:noWrap w:val="0"/>
            <w:vAlign w:val="center"/>
          </w:tcPr>
          <w:p w14:paraId="7E981FEC">
            <w:pPr>
              <w:spacing w:line="360" w:lineRule="auto"/>
              <w:ind w:firstLine="388" w:firstLineChars="200"/>
              <w:rPr>
                <w:rFonts w:ascii="宋体" w:hAnsi="宋体"/>
                <w:color w:val="auto"/>
                <w:szCs w:val="21"/>
                <w:highlight w:val="none"/>
              </w:rPr>
            </w:pPr>
          </w:p>
        </w:tc>
        <w:tc>
          <w:tcPr>
            <w:tcW w:w="1257" w:type="dxa"/>
            <w:noWrap w:val="0"/>
            <w:vAlign w:val="center"/>
          </w:tcPr>
          <w:p w14:paraId="18A41F58">
            <w:pPr>
              <w:spacing w:line="360" w:lineRule="auto"/>
              <w:ind w:firstLine="388" w:firstLineChars="200"/>
              <w:rPr>
                <w:rFonts w:ascii="宋体" w:hAnsi="宋体"/>
                <w:color w:val="auto"/>
                <w:szCs w:val="21"/>
                <w:highlight w:val="none"/>
              </w:rPr>
            </w:pPr>
          </w:p>
        </w:tc>
        <w:tc>
          <w:tcPr>
            <w:tcW w:w="1257" w:type="dxa"/>
            <w:noWrap w:val="0"/>
            <w:vAlign w:val="center"/>
          </w:tcPr>
          <w:p w14:paraId="10263721">
            <w:pPr>
              <w:spacing w:line="360" w:lineRule="auto"/>
              <w:ind w:firstLine="388" w:firstLineChars="200"/>
              <w:rPr>
                <w:rFonts w:ascii="宋体" w:hAnsi="宋体"/>
                <w:color w:val="auto"/>
                <w:szCs w:val="21"/>
                <w:highlight w:val="none"/>
              </w:rPr>
            </w:pPr>
          </w:p>
        </w:tc>
        <w:tc>
          <w:tcPr>
            <w:tcW w:w="1258" w:type="dxa"/>
            <w:noWrap w:val="0"/>
            <w:vAlign w:val="center"/>
          </w:tcPr>
          <w:p w14:paraId="6C80278F">
            <w:pPr>
              <w:spacing w:line="360" w:lineRule="auto"/>
              <w:ind w:firstLine="388" w:firstLineChars="200"/>
              <w:rPr>
                <w:rFonts w:ascii="宋体" w:hAnsi="宋体"/>
                <w:color w:val="auto"/>
                <w:szCs w:val="21"/>
                <w:highlight w:val="none"/>
              </w:rPr>
            </w:pPr>
          </w:p>
        </w:tc>
        <w:tc>
          <w:tcPr>
            <w:tcW w:w="1257" w:type="dxa"/>
            <w:noWrap w:val="0"/>
            <w:vAlign w:val="center"/>
          </w:tcPr>
          <w:p w14:paraId="093DE27D">
            <w:pPr>
              <w:spacing w:line="360" w:lineRule="auto"/>
              <w:ind w:firstLine="388" w:firstLineChars="200"/>
              <w:rPr>
                <w:rFonts w:ascii="宋体" w:hAnsi="宋体"/>
                <w:color w:val="auto"/>
                <w:szCs w:val="21"/>
                <w:highlight w:val="none"/>
              </w:rPr>
            </w:pPr>
          </w:p>
        </w:tc>
        <w:tc>
          <w:tcPr>
            <w:tcW w:w="1037" w:type="dxa"/>
            <w:noWrap w:val="0"/>
            <w:vAlign w:val="center"/>
          </w:tcPr>
          <w:p w14:paraId="2D41A173">
            <w:pPr>
              <w:spacing w:line="360" w:lineRule="auto"/>
              <w:ind w:firstLine="388" w:firstLineChars="200"/>
              <w:rPr>
                <w:rFonts w:ascii="宋体" w:hAnsi="宋体"/>
                <w:color w:val="auto"/>
                <w:szCs w:val="21"/>
                <w:highlight w:val="none"/>
              </w:rPr>
            </w:pPr>
          </w:p>
        </w:tc>
        <w:tc>
          <w:tcPr>
            <w:tcW w:w="1276" w:type="dxa"/>
            <w:noWrap w:val="0"/>
            <w:vAlign w:val="center"/>
          </w:tcPr>
          <w:p w14:paraId="4D5FC594">
            <w:pPr>
              <w:spacing w:line="360" w:lineRule="auto"/>
              <w:ind w:firstLine="388" w:firstLineChars="200"/>
              <w:rPr>
                <w:rFonts w:ascii="宋体" w:hAnsi="宋体"/>
                <w:color w:val="auto"/>
                <w:szCs w:val="21"/>
                <w:highlight w:val="none"/>
              </w:rPr>
            </w:pPr>
          </w:p>
        </w:tc>
        <w:tc>
          <w:tcPr>
            <w:tcW w:w="1134" w:type="dxa"/>
            <w:noWrap w:val="0"/>
            <w:vAlign w:val="center"/>
          </w:tcPr>
          <w:p w14:paraId="707DC132">
            <w:pPr>
              <w:spacing w:line="360" w:lineRule="auto"/>
              <w:ind w:firstLine="388" w:firstLineChars="200"/>
              <w:rPr>
                <w:rFonts w:ascii="宋体" w:hAnsi="宋体"/>
                <w:color w:val="auto"/>
                <w:szCs w:val="21"/>
                <w:highlight w:val="none"/>
              </w:rPr>
            </w:pPr>
          </w:p>
        </w:tc>
      </w:tr>
      <w:tr w14:paraId="7F75E1F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46" w:type="dxa"/>
            <w:noWrap w:val="0"/>
            <w:vAlign w:val="center"/>
          </w:tcPr>
          <w:p w14:paraId="347E1544">
            <w:pPr>
              <w:spacing w:line="360" w:lineRule="auto"/>
              <w:ind w:firstLine="388" w:firstLineChars="200"/>
              <w:rPr>
                <w:rFonts w:ascii="宋体" w:hAnsi="宋体"/>
                <w:color w:val="auto"/>
                <w:szCs w:val="21"/>
                <w:highlight w:val="none"/>
              </w:rPr>
            </w:pPr>
          </w:p>
        </w:tc>
        <w:tc>
          <w:tcPr>
            <w:tcW w:w="1257" w:type="dxa"/>
            <w:noWrap w:val="0"/>
            <w:vAlign w:val="center"/>
          </w:tcPr>
          <w:p w14:paraId="798DDE7C">
            <w:pPr>
              <w:spacing w:line="360" w:lineRule="auto"/>
              <w:ind w:firstLine="388" w:firstLineChars="200"/>
              <w:rPr>
                <w:rFonts w:ascii="宋体" w:hAnsi="宋体"/>
                <w:color w:val="auto"/>
                <w:szCs w:val="21"/>
                <w:highlight w:val="none"/>
              </w:rPr>
            </w:pPr>
          </w:p>
        </w:tc>
        <w:tc>
          <w:tcPr>
            <w:tcW w:w="1257" w:type="dxa"/>
            <w:noWrap w:val="0"/>
            <w:vAlign w:val="center"/>
          </w:tcPr>
          <w:p w14:paraId="2FEC28DB">
            <w:pPr>
              <w:spacing w:line="360" w:lineRule="auto"/>
              <w:ind w:firstLine="388" w:firstLineChars="200"/>
              <w:rPr>
                <w:rFonts w:ascii="宋体" w:hAnsi="宋体"/>
                <w:color w:val="auto"/>
                <w:szCs w:val="21"/>
                <w:highlight w:val="none"/>
              </w:rPr>
            </w:pPr>
          </w:p>
        </w:tc>
        <w:tc>
          <w:tcPr>
            <w:tcW w:w="1258" w:type="dxa"/>
            <w:noWrap w:val="0"/>
            <w:vAlign w:val="center"/>
          </w:tcPr>
          <w:p w14:paraId="1DC1A974">
            <w:pPr>
              <w:spacing w:line="360" w:lineRule="auto"/>
              <w:ind w:firstLine="388" w:firstLineChars="200"/>
              <w:rPr>
                <w:rFonts w:ascii="宋体" w:hAnsi="宋体"/>
                <w:color w:val="auto"/>
                <w:szCs w:val="21"/>
                <w:highlight w:val="none"/>
              </w:rPr>
            </w:pPr>
          </w:p>
        </w:tc>
        <w:tc>
          <w:tcPr>
            <w:tcW w:w="1257" w:type="dxa"/>
            <w:noWrap w:val="0"/>
            <w:vAlign w:val="center"/>
          </w:tcPr>
          <w:p w14:paraId="46BFCF1B">
            <w:pPr>
              <w:spacing w:line="360" w:lineRule="auto"/>
              <w:ind w:firstLine="388" w:firstLineChars="200"/>
              <w:rPr>
                <w:rFonts w:ascii="宋体" w:hAnsi="宋体"/>
                <w:color w:val="auto"/>
                <w:szCs w:val="21"/>
                <w:highlight w:val="none"/>
              </w:rPr>
            </w:pPr>
          </w:p>
        </w:tc>
        <w:tc>
          <w:tcPr>
            <w:tcW w:w="1037" w:type="dxa"/>
            <w:noWrap w:val="0"/>
            <w:vAlign w:val="center"/>
          </w:tcPr>
          <w:p w14:paraId="01216B1A">
            <w:pPr>
              <w:spacing w:line="360" w:lineRule="auto"/>
              <w:ind w:firstLine="388" w:firstLineChars="200"/>
              <w:rPr>
                <w:rFonts w:ascii="宋体" w:hAnsi="宋体"/>
                <w:color w:val="auto"/>
                <w:szCs w:val="21"/>
                <w:highlight w:val="none"/>
              </w:rPr>
            </w:pPr>
          </w:p>
        </w:tc>
        <w:tc>
          <w:tcPr>
            <w:tcW w:w="1276" w:type="dxa"/>
            <w:noWrap w:val="0"/>
            <w:vAlign w:val="center"/>
          </w:tcPr>
          <w:p w14:paraId="23BCD25A">
            <w:pPr>
              <w:spacing w:line="360" w:lineRule="auto"/>
              <w:ind w:firstLine="388" w:firstLineChars="200"/>
              <w:rPr>
                <w:rFonts w:ascii="宋体" w:hAnsi="宋体"/>
                <w:color w:val="auto"/>
                <w:szCs w:val="21"/>
                <w:highlight w:val="none"/>
              </w:rPr>
            </w:pPr>
          </w:p>
        </w:tc>
        <w:tc>
          <w:tcPr>
            <w:tcW w:w="1134" w:type="dxa"/>
            <w:noWrap w:val="0"/>
            <w:vAlign w:val="center"/>
          </w:tcPr>
          <w:p w14:paraId="1BA2DE2F">
            <w:pPr>
              <w:spacing w:line="360" w:lineRule="auto"/>
              <w:ind w:firstLine="388" w:firstLineChars="200"/>
              <w:rPr>
                <w:rFonts w:ascii="宋体" w:hAnsi="宋体"/>
                <w:color w:val="auto"/>
                <w:szCs w:val="21"/>
                <w:highlight w:val="none"/>
              </w:rPr>
            </w:pPr>
          </w:p>
        </w:tc>
      </w:tr>
      <w:tr w14:paraId="193BA32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46" w:type="dxa"/>
            <w:noWrap w:val="0"/>
            <w:vAlign w:val="center"/>
          </w:tcPr>
          <w:p w14:paraId="29C5C02E">
            <w:pPr>
              <w:spacing w:line="360" w:lineRule="auto"/>
              <w:ind w:firstLine="388" w:firstLineChars="200"/>
              <w:rPr>
                <w:rFonts w:ascii="宋体" w:hAnsi="宋体"/>
                <w:color w:val="auto"/>
                <w:szCs w:val="21"/>
                <w:highlight w:val="none"/>
              </w:rPr>
            </w:pPr>
          </w:p>
        </w:tc>
        <w:tc>
          <w:tcPr>
            <w:tcW w:w="1257" w:type="dxa"/>
            <w:noWrap w:val="0"/>
            <w:vAlign w:val="center"/>
          </w:tcPr>
          <w:p w14:paraId="5E5C0FA8">
            <w:pPr>
              <w:spacing w:line="360" w:lineRule="auto"/>
              <w:ind w:firstLine="388" w:firstLineChars="200"/>
              <w:rPr>
                <w:rFonts w:ascii="宋体" w:hAnsi="宋体"/>
                <w:color w:val="auto"/>
                <w:szCs w:val="21"/>
                <w:highlight w:val="none"/>
              </w:rPr>
            </w:pPr>
          </w:p>
        </w:tc>
        <w:tc>
          <w:tcPr>
            <w:tcW w:w="1257" w:type="dxa"/>
            <w:noWrap w:val="0"/>
            <w:vAlign w:val="center"/>
          </w:tcPr>
          <w:p w14:paraId="7DFD5758">
            <w:pPr>
              <w:spacing w:line="360" w:lineRule="auto"/>
              <w:ind w:firstLine="388" w:firstLineChars="200"/>
              <w:rPr>
                <w:rFonts w:ascii="宋体" w:hAnsi="宋体"/>
                <w:color w:val="auto"/>
                <w:szCs w:val="21"/>
                <w:highlight w:val="none"/>
              </w:rPr>
            </w:pPr>
          </w:p>
        </w:tc>
        <w:tc>
          <w:tcPr>
            <w:tcW w:w="1258" w:type="dxa"/>
            <w:noWrap w:val="0"/>
            <w:vAlign w:val="center"/>
          </w:tcPr>
          <w:p w14:paraId="78D68511">
            <w:pPr>
              <w:spacing w:line="360" w:lineRule="auto"/>
              <w:ind w:firstLine="388" w:firstLineChars="200"/>
              <w:rPr>
                <w:rFonts w:ascii="宋体" w:hAnsi="宋体"/>
                <w:color w:val="auto"/>
                <w:szCs w:val="21"/>
                <w:highlight w:val="none"/>
              </w:rPr>
            </w:pPr>
          </w:p>
        </w:tc>
        <w:tc>
          <w:tcPr>
            <w:tcW w:w="1257" w:type="dxa"/>
            <w:noWrap w:val="0"/>
            <w:vAlign w:val="center"/>
          </w:tcPr>
          <w:p w14:paraId="1B4F470E">
            <w:pPr>
              <w:spacing w:line="360" w:lineRule="auto"/>
              <w:ind w:firstLine="388" w:firstLineChars="200"/>
              <w:rPr>
                <w:rFonts w:ascii="宋体" w:hAnsi="宋体"/>
                <w:color w:val="auto"/>
                <w:szCs w:val="21"/>
                <w:highlight w:val="none"/>
              </w:rPr>
            </w:pPr>
          </w:p>
        </w:tc>
        <w:tc>
          <w:tcPr>
            <w:tcW w:w="1037" w:type="dxa"/>
            <w:noWrap w:val="0"/>
            <w:vAlign w:val="center"/>
          </w:tcPr>
          <w:p w14:paraId="15682609">
            <w:pPr>
              <w:spacing w:line="360" w:lineRule="auto"/>
              <w:ind w:firstLine="388" w:firstLineChars="200"/>
              <w:rPr>
                <w:rFonts w:ascii="宋体" w:hAnsi="宋体"/>
                <w:color w:val="auto"/>
                <w:szCs w:val="21"/>
                <w:highlight w:val="none"/>
              </w:rPr>
            </w:pPr>
          </w:p>
        </w:tc>
        <w:tc>
          <w:tcPr>
            <w:tcW w:w="1276" w:type="dxa"/>
            <w:noWrap w:val="0"/>
            <w:vAlign w:val="center"/>
          </w:tcPr>
          <w:p w14:paraId="09D6B7B9">
            <w:pPr>
              <w:spacing w:line="360" w:lineRule="auto"/>
              <w:ind w:firstLine="388" w:firstLineChars="200"/>
              <w:rPr>
                <w:rFonts w:ascii="宋体" w:hAnsi="宋体"/>
                <w:color w:val="auto"/>
                <w:szCs w:val="21"/>
                <w:highlight w:val="none"/>
              </w:rPr>
            </w:pPr>
          </w:p>
        </w:tc>
        <w:tc>
          <w:tcPr>
            <w:tcW w:w="1134" w:type="dxa"/>
            <w:noWrap w:val="0"/>
            <w:vAlign w:val="center"/>
          </w:tcPr>
          <w:p w14:paraId="6DBEA469">
            <w:pPr>
              <w:spacing w:line="360" w:lineRule="auto"/>
              <w:ind w:firstLine="388" w:firstLineChars="200"/>
              <w:rPr>
                <w:rFonts w:ascii="宋体" w:hAnsi="宋体"/>
                <w:color w:val="auto"/>
                <w:szCs w:val="21"/>
                <w:highlight w:val="none"/>
              </w:rPr>
            </w:pPr>
          </w:p>
        </w:tc>
      </w:tr>
      <w:tr w14:paraId="4F3F57B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46" w:type="dxa"/>
            <w:noWrap w:val="0"/>
            <w:vAlign w:val="center"/>
          </w:tcPr>
          <w:p w14:paraId="621B4208">
            <w:pPr>
              <w:spacing w:line="360" w:lineRule="auto"/>
              <w:ind w:firstLine="388" w:firstLineChars="200"/>
              <w:rPr>
                <w:rFonts w:ascii="宋体" w:hAnsi="宋体"/>
                <w:color w:val="auto"/>
                <w:szCs w:val="21"/>
                <w:highlight w:val="none"/>
              </w:rPr>
            </w:pPr>
          </w:p>
        </w:tc>
        <w:tc>
          <w:tcPr>
            <w:tcW w:w="1257" w:type="dxa"/>
            <w:noWrap w:val="0"/>
            <w:vAlign w:val="center"/>
          </w:tcPr>
          <w:p w14:paraId="0D7A178A">
            <w:pPr>
              <w:spacing w:line="360" w:lineRule="auto"/>
              <w:ind w:firstLine="388" w:firstLineChars="200"/>
              <w:rPr>
                <w:rFonts w:ascii="宋体" w:hAnsi="宋体"/>
                <w:color w:val="auto"/>
                <w:szCs w:val="21"/>
                <w:highlight w:val="none"/>
              </w:rPr>
            </w:pPr>
          </w:p>
        </w:tc>
        <w:tc>
          <w:tcPr>
            <w:tcW w:w="1257" w:type="dxa"/>
            <w:noWrap w:val="0"/>
            <w:vAlign w:val="center"/>
          </w:tcPr>
          <w:p w14:paraId="0DD06D70">
            <w:pPr>
              <w:spacing w:line="360" w:lineRule="auto"/>
              <w:ind w:firstLine="388" w:firstLineChars="200"/>
              <w:rPr>
                <w:rFonts w:ascii="宋体" w:hAnsi="宋体"/>
                <w:color w:val="auto"/>
                <w:szCs w:val="21"/>
                <w:highlight w:val="none"/>
              </w:rPr>
            </w:pPr>
          </w:p>
        </w:tc>
        <w:tc>
          <w:tcPr>
            <w:tcW w:w="1258" w:type="dxa"/>
            <w:noWrap w:val="0"/>
            <w:vAlign w:val="center"/>
          </w:tcPr>
          <w:p w14:paraId="5E612F63">
            <w:pPr>
              <w:spacing w:line="360" w:lineRule="auto"/>
              <w:ind w:firstLine="388" w:firstLineChars="200"/>
              <w:rPr>
                <w:rFonts w:ascii="宋体" w:hAnsi="宋体"/>
                <w:color w:val="auto"/>
                <w:szCs w:val="21"/>
                <w:highlight w:val="none"/>
              </w:rPr>
            </w:pPr>
          </w:p>
        </w:tc>
        <w:tc>
          <w:tcPr>
            <w:tcW w:w="1257" w:type="dxa"/>
            <w:noWrap w:val="0"/>
            <w:vAlign w:val="center"/>
          </w:tcPr>
          <w:p w14:paraId="1597C222">
            <w:pPr>
              <w:spacing w:line="360" w:lineRule="auto"/>
              <w:ind w:firstLine="388" w:firstLineChars="200"/>
              <w:rPr>
                <w:rFonts w:ascii="宋体" w:hAnsi="宋体"/>
                <w:color w:val="auto"/>
                <w:szCs w:val="21"/>
                <w:highlight w:val="none"/>
              </w:rPr>
            </w:pPr>
          </w:p>
        </w:tc>
        <w:tc>
          <w:tcPr>
            <w:tcW w:w="1037" w:type="dxa"/>
            <w:noWrap w:val="0"/>
            <w:vAlign w:val="center"/>
          </w:tcPr>
          <w:p w14:paraId="765C75EF">
            <w:pPr>
              <w:spacing w:line="360" w:lineRule="auto"/>
              <w:ind w:firstLine="388" w:firstLineChars="200"/>
              <w:rPr>
                <w:rFonts w:ascii="宋体" w:hAnsi="宋体"/>
                <w:color w:val="auto"/>
                <w:szCs w:val="21"/>
                <w:highlight w:val="none"/>
              </w:rPr>
            </w:pPr>
          </w:p>
        </w:tc>
        <w:tc>
          <w:tcPr>
            <w:tcW w:w="1276" w:type="dxa"/>
            <w:noWrap w:val="0"/>
            <w:vAlign w:val="center"/>
          </w:tcPr>
          <w:p w14:paraId="767AE059">
            <w:pPr>
              <w:spacing w:line="360" w:lineRule="auto"/>
              <w:ind w:firstLine="388" w:firstLineChars="200"/>
              <w:rPr>
                <w:rFonts w:ascii="宋体" w:hAnsi="宋体"/>
                <w:color w:val="auto"/>
                <w:szCs w:val="21"/>
                <w:highlight w:val="none"/>
              </w:rPr>
            </w:pPr>
          </w:p>
        </w:tc>
        <w:tc>
          <w:tcPr>
            <w:tcW w:w="1134" w:type="dxa"/>
            <w:noWrap w:val="0"/>
            <w:vAlign w:val="center"/>
          </w:tcPr>
          <w:p w14:paraId="692E5A8F">
            <w:pPr>
              <w:spacing w:line="360" w:lineRule="auto"/>
              <w:ind w:firstLine="388" w:firstLineChars="200"/>
              <w:rPr>
                <w:rFonts w:ascii="宋体" w:hAnsi="宋体"/>
                <w:color w:val="auto"/>
                <w:szCs w:val="21"/>
                <w:highlight w:val="none"/>
              </w:rPr>
            </w:pPr>
          </w:p>
        </w:tc>
      </w:tr>
      <w:tr w14:paraId="2FB6ABE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46" w:type="dxa"/>
            <w:noWrap w:val="0"/>
            <w:vAlign w:val="center"/>
          </w:tcPr>
          <w:p w14:paraId="398B8F20">
            <w:pPr>
              <w:spacing w:line="360" w:lineRule="auto"/>
              <w:ind w:firstLine="388" w:firstLineChars="200"/>
              <w:rPr>
                <w:rFonts w:ascii="宋体" w:hAnsi="宋体"/>
                <w:color w:val="auto"/>
                <w:szCs w:val="21"/>
                <w:highlight w:val="none"/>
              </w:rPr>
            </w:pPr>
          </w:p>
        </w:tc>
        <w:tc>
          <w:tcPr>
            <w:tcW w:w="1257" w:type="dxa"/>
            <w:noWrap w:val="0"/>
            <w:vAlign w:val="center"/>
          </w:tcPr>
          <w:p w14:paraId="36085F03">
            <w:pPr>
              <w:spacing w:line="360" w:lineRule="auto"/>
              <w:ind w:firstLine="388" w:firstLineChars="200"/>
              <w:rPr>
                <w:rFonts w:ascii="宋体" w:hAnsi="宋体"/>
                <w:color w:val="auto"/>
                <w:szCs w:val="21"/>
                <w:highlight w:val="none"/>
              </w:rPr>
            </w:pPr>
          </w:p>
        </w:tc>
        <w:tc>
          <w:tcPr>
            <w:tcW w:w="1257" w:type="dxa"/>
            <w:noWrap w:val="0"/>
            <w:vAlign w:val="center"/>
          </w:tcPr>
          <w:p w14:paraId="0C5E4E07">
            <w:pPr>
              <w:spacing w:line="360" w:lineRule="auto"/>
              <w:ind w:firstLine="388" w:firstLineChars="200"/>
              <w:rPr>
                <w:rFonts w:ascii="宋体" w:hAnsi="宋体"/>
                <w:color w:val="auto"/>
                <w:szCs w:val="21"/>
                <w:highlight w:val="none"/>
              </w:rPr>
            </w:pPr>
          </w:p>
        </w:tc>
        <w:tc>
          <w:tcPr>
            <w:tcW w:w="1258" w:type="dxa"/>
            <w:noWrap w:val="0"/>
            <w:vAlign w:val="center"/>
          </w:tcPr>
          <w:p w14:paraId="18018F90">
            <w:pPr>
              <w:spacing w:line="360" w:lineRule="auto"/>
              <w:ind w:firstLine="388" w:firstLineChars="200"/>
              <w:rPr>
                <w:rFonts w:ascii="宋体" w:hAnsi="宋体"/>
                <w:color w:val="auto"/>
                <w:szCs w:val="21"/>
                <w:highlight w:val="none"/>
              </w:rPr>
            </w:pPr>
          </w:p>
        </w:tc>
        <w:tc>
          <w:tcPr>
            <w:tcW w:w="1257" w:type="dxa"/>
            <w:noWrap w:val="0"/>
            <w:vAlign w:val="center"/>
          </w:tcPr>
          <w:p w14:paraId="7F53A69D">
            <w:pPr>
              <w:spacing w:line="360" w:lineRule="auto"/>
              <w:ind w:firstLine="388" w:firstLineChars="200"/>
              <w:rPr>
                <w:rFonts w:ascii="宋体" w:hAnsi="宋体"/>
                <w:color w:val="auto"/>
                <w:szCs w:val="21"/>
                <w:highlight w:val="none"/>
              </w:rPr>
            </w:pPr>
          </w:p>
        </w:tc>
        <w:tc>
          <w:tcPr>
            <w:tcW w:w="1037" w:type="dxa"/>
            <w:noWrap w:val="0"/>
            <w:vAlign w:val="center"/>
          </w:tcPr>
          <w:p w14:paraId="0D497C14">
            <w:pPr>
              <w:spacing w:line="360" w:lineRule="auto"/>
              <w:ind w:firstLine="388" w:firstLineChars="200"/>
              <w:rPr>
                <w:rFonts w:ascii="宋体" w:hAnsi="宋体"/>
                <w:color w:val="auto"/>
                <w:szCs w:val="21"/>
                <w:highlight w:val="none"/>
              </w:rPr>
            </w:pPr>
          </w:p>
        </w:tc>
        <w:tc>
          <w:tcPr>
            <w:tcW w:w="1276" w:type="dxa"/>
            <w:noWrap w:val="0"/>
            <w:vAlign w:val="center"/>
          </w:tcPr>
          <w:p w14:paraId="15CDD2B6">
            <w:pPr>
              <w:spacing w:line="360" w:lineRule="auto"/>
              <w:ind w:firstLine="388" w:firstLineChars="200"/>
              <w:rPr>
                <w:rFonts w:ascii="宋体" w:hAnsi="宋体"/>
                <w:color w:val="auto"/>
                <w:szCs w:val="21"/>
                <w:highlight w:val="none"/>
              </w:rPr>
            </w:pPr>
          </w:p>
        </w:tc>
        <w:tc>
          <w:tcPr>
            <w:tcW w:w="1134" w:type="dxa"/>
            <w:noWrap w:val="0"/>
            <w:vAlign w:val="center"/>
          </w:tcPr>
          <w:p w14:paraId="1ED506C6">
            <w:pPr>
              <w:spacing w:line="360" w:lineRule="auto"/>
              <w:ind w:firstLine="388" w:firstLineChars="200"/>
              <w:rPr>
                <w:rFonts w:ascii="宋体" w:hAnsi="宋体"/>
                <w:color w:val="auto"/>
                <w:szCs w:val="21"/>
                <w:highlight w:val="none"/>
              </w:rPr>
            </w:pPr>
          </w:p>
        </w:tc>
      </w:tr>
      <w:tr w14:paraId="5F99243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46" w:type="dxa"/>
            <w:noWrap w:val="0"/>
            <w:vAlign w:val="center"/>
          </w:tcPr>
          <w:p w14:paraId="28A7F5E5">
            <w:pPr>
              <w:spacing w:line="360" w:lineRule="auto"/>
              <w:ind w:firstLine="388" w:firstLineChars="200"/>
              <w:rPr>
                <w:rFonts w:ascii="宋体" w:hAnsi="宋体"/>
                <w:color w:val="auto"/>
                <w:szCs w:val="21"/>
                <w:highlight w:val="none"/>
              </w:rPr>
            </w:pPr>
          </w:p>
        </w:tc>
        <w:tc>
          <w:tcPr>
            <w:tcW w:w="1257" w:type="dxa"/>
            <w:noWrap w:val="0"/>
            <w:vAlign w:val="center"/>
          </w:tcPr>
          <w:p w14:paraId="2CBCB0E5">
            <w:pPr>
              <w:spacing w:line="360" w:lineRule="auto"/>
              <w:ind w:firstLine="388" w:firstLineChars="200"/>
              <w:rPr>
                <w:rFonts w:ascii="宋体" w:hAnsi="宋体"/>
                <w:color w:val="auto"/>
                <w:szCs w:val="21"/>
                <w:highlight w:val="none"/>
              </w:rPr>
            </w:pPr>
          </w:p>
        </w:tc>
        <w:tc>
          <w:tcPr>
            <w:tcW w:w="1257" w:type="dxa"/>
            <w:noWrap w:val="0"/>
            <w:vAlign w:val="center"/>
          </w:tcPr>
          <w:p w14:paraId="6D96365C">
            <w:pPr>
              <w:spacing w:line="360" w:lineRule="auto"/>
              <w:ind w:firstLine="388" w:firstLineChars="200"/>
              <w:rPr>
                <w:rFonts w:ascii="宋体" w:hAnsi="宋体"/>
                <w:color w:val="auto"/>
                <w:szCs w:val="21"/>
                <w:highlight w:val="none"/>
              </w:rPr>
            </w:pPr>
          </w:p>
        </w:tc>
        <w:tc>
          <w:tcPr>
            <w:tcW w:w="1258" w:type="dxa"/>
            <w:noWrap w:val="0"/>
            <w:vAlign w:val="center"/>
          </w:tcPr>
          <w:p w14:paraId="594B4909">
            <w:pPr>
              <w:spacing w:line="360" w:lineRule="auto"/>
              <w:ind w:firstLine="388" w:firstLineChars="200"/>
              <w:rPr>
                <w:rFonts w:ascii="宋体" w:hAnsi="宋体"/>
                <w:color w:val="auto"/>
                <w:szCs w:val="21"/>
                <w:highlight w:val="none"/>
              </w:rPr>
            </w:pPr>
          </w:p>
        </w:tc>
        <w:tc>
          <w:tcPr>
            <w:tcW w:w="1257" w:type="dxa"/>
            <w:noWrap w:val="0"/>
            <w:vAlign w:val="center"/>
          </w:tcPr>
          <w:p w14:paraId="40C8EC3B">
            <w:pPr>
              <w:spacing w:line="360" w:lineRule="auto"/>
              <w:ind w:firstLine="388" w:firstLineChars="200"/>
              <w:rPr>
                <w:rFonts w:ascii="宋体" w:hAnsi="宋体"/>
                <w:color w:val="auto"/>
                <w:szCs w:val="21"/>
                <w:highlight w:val="none"/>
              </w:rPr>
            </w:pPr>
          </w:p>
        </w:tc>
        <w:tc>
          <w:tcPr>
            <w:tcW w:w="1037" w:type="dxa"/>
            <w:noWrap w:val="0"/>
            <w:vAlign w:val="center"/>
          </w:tcPr>
          <w:p w14:paraId="09C5CD3F">
            <w:pPr>
              <w:spacing w:line="360" w:lineRule="auto"/>
              <w:ind w:firstLine="388" w:firstLineChars="200"/>
              <w:rPr>
                <w:rFonts w:ascii="宋体" w:hAnsi="宋体"/>
                <w:color w:val="auto"/>
                <w:szCs w:val="21"/>
                <w:highlight w:val="none"/>
              </w:rPr>
            </w:pPr>
          </w:p>
        </w:tc>
        <w:tc>
          <w:tcPr>
            <w:tcW w:w="1276" w:type="dxa"/>
            <w:noWrap w:val="0"/>
            <w:vAlign w:val="center"/>
          </w:tcPr>
          <w:p w14:paraId="3DF5E97A">
            <w:pPr>
              <w:spacing w:line="360" w:lineRule="auto"/>
              <w:ind w:firstLine="388" w:firstLineChars="200"/>
              <w:rPr>
                <w:rFonts w:ascii="宋体" w:hAnsi="宋体"/>
                <w:color w:val="auto"/>
                <w:szCs w:val="21"/>
                <w:highlight w:val="none"/>
              </w:rPr>
            </w:pPr>
          </w:p>
        </w:tc>
        <w:tc>
          <w:tcPr>
            <w:tcW w:w="1134" w:type="dxa"/>
            <w:noWrap w:val="0"/>
            <w:vAlign w:val="center"/>
          </w:tcPr>
          <w:p w14:paraId="5A3ABD5B">
            <w:pPr>
              <w:spacing w:line="360" w:lineRule="auto"/>
              <w:ind w:firstLine="388" w:firstLineChars="200"/>
              <w:rPr>
                <w:rFonts w:ascii="宋体" w:hAnsi="宋体"/>
                <w:color w:val="auto"/>
                <w:szCs w:val="21"/>
                <w:highlight w:val="none"/>
              </w:rPr>
            </w:pPr>
          </w:p>
        </w:tc>
      </w:tr>
      <w:tr w14:paraId="5FAEA59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46" w:type="dxa"/>
            <w:noWrap w:val="0"/>
            <w:vAlign w:val="center"/>
          </w:tcPr>
          <w:p w14:paraId="481B35BB">
            <w:pPr>
              <w:spacing w:line="360" w:lineRule="auto"/>
              <w:ind w:firstLine="388" w:firstLineChars="200"/>
              <w:rPr>
                <w:rFonts w:ascii="宋体" w:hAnsi="宋体"/>
                <w:color w:val="auto"/>
                <w:szCs w:val="21"/>
                <w:highlight w:val="none"/>
              </w:rPr>
            </w:pPr>
          </w:p>
        </w:tc>
        <w:tc>
          <w:tcPr>
            <w:tcW w:w="1257" w:type="dxa"/>
            <w:noWrap w:val="0"/>
            <w:vAlign w:val="center"/>
          </w:tcPr>
          <w:p w14:paraId="4FA0F8F8">
            <w:pPr>
              <w:spacing w:line="360" w:lineRule="auto"/>
              <w:ind w:firstLine="388" w:firstLineChars="200"/>
              <w:rPr>
                <w:rFonts w:ascii="宋体" w:hAnsi="宋体"/>
                <w:color w:val="auto"/>
                <w:szCs w:val="21"/>
                <w:highlight w:val="none"/>
              </w:rPr>
            </w:pPr>
          </w:p>
        </w:tc>
        <w:tc>
          <w:tcPr>
            <w:tcW w:w="1257" w:type="dxa"/>
            <w:noWrap w:val="0"/>
            <w:vAlign w:val="center"/>
          </w:tcPr>
          <w:p w14:paraId="77A4A39B">
            <w:pPr>
              <w:spacing w:line="360" w:lineRule="auto"/>
              <w:ind w:firstLine="388" w:firstLineChars="200"/>
              <w:rPr>
                <w:rFonts w:ascii="宋体" w:hAnsi="宋体"/>
                <w:color w:val="auto"/>
                <w:szCs w:val="21"/>
                <w:highlight w:val="none"/>
              </w:rPr>
            </w:pPr>
          </w:p>
        </w:tc>
        <w:tc>
          <w:tcPr>
            <w:tcW w:w="1258" w:type="dxa"/>
            <w:noWrap w:val="0"/>
            <w:vAlign w:val="center"/>
          </w:tcPr>
          <w:p w14:paraId="12AEAD43">
            <w:pPr>
              <w:spacing w:line="360" w:lineRule="auto"/>
              <w:ind w:firstLine="388" w:firstLineChars="200"/>
              <w:rPr>
                <w:rFonts w:ascii="宋体" w:hAnsi="宋体"/>
                <w:color w:val="auto"/>
                <w:szCs w:val="21"/>
                <w:highlight w:val="none"/>
              </w:rPr>
            </w:pPr>
          </w:p>
        </w:tc>
        <w:tc>
          <w:tcPr>
            <w:tcW w:w="1257" w:type="dxa"/>
            <w:noWrap w:val="0"/>
            <w:vAlign w:val="center"/>
          </w:tcPr>
          <w:p w14:paraId="17A16CBA">
            <w:pPr>
              <w:spacing w:line="360" w:lineRule="auto"/>
              <w:ind w:firstLine="388" w:firstLineChars="200"/>
              <w:rPr>
                <w:rFonts w:ascii="宋体" w:hAnsi="宋体"/>
                <w:color w:val="auto"/>
                <w:szCs w:val="21"/>
                <w:highlight w:val="none"/>
              </w:rPr>
            </w:pPr>
          </w:p>
        </w:tc>
        <w:tc>
          <w:tcPr>
            <w:tcW w:w="1037" w:type="dxa"/>
            <w:noWrap w:val="0"/>
            <w:vAlign w:val="center"/>
          </w:tcPr>
          <w:p w14:paraId="4A1B9B03">
            <w:pPr>
              <w:spacing w:line="360" w:lineRule="auto"/>
              <w:ind w:firstLine="388" w:firstLineChars="200"/>
              <w:rPr>
                <w:rFonts w:ascii="宋体" w:hAnsi="宋体"/>
                <w:color w:val="auto"/>
                <w:szCs w:val="21"/>
                <w:highlight w:val="none"/>
              </w:rPr>
            </w:pPr>
          </w:p>
        </w:tc>
        <w:tc>
          <w:tcPr>
            <w:tcW w:w="1276" w:type="dxa"/>
            <w:noWrap w:val="0"/>
            <w:vAlign w:val="center"/>
          </w:tcPr>
          <w:p w14:paraId="55669FAF">
            <w:pPr>
              <w:spacing w:line="360" w:lineRule="auto"/>
              <w:ind w:firstLine="388" w:firstLineChars="200"/>
              <w:rPr>
                <w:rFonts w:ascii="宋体" w:hAnsi="宋体"/>
                <w:color w:val="auto"/>
                <w:szCs w:val="21"/>
                <w:highlight w:val="none"/>
              </w:rPr>
            </w:pPr>
          </w:p>
        </w:tc>
        <w:tc>
          <w:tcPr>
            <w:tcW w:w="1134" w:type="dxa"/>
            <w:noWrap w:val="0"/>
            <w:vAlign w:val="center"/>
          </w:tcPr>
          <w:p w14:paraId="102AB01E">
            <w:pPr>
              <w:spacing w:line="360" w:lineRule="auto"/>
              <w:ind w:firstLine="388" w:firstLineChars="200"/>
              <w:rPr>
                <w:rFonts w:ascii="宋体" w:hAnsi="宋体"/>
                <w:color w:val="auto"/>
                <w:szCs w:val="21"/>
                <w:highlight w:val="none"/>
              </w:rPr>
            </w:pPr>
          </w:p>
        </w:tc>
      </w:tr>
    </w:tbl>
    <w:p w14:paraId="6B57AE9E">
      <w:pPr>
        <w:spacing w:line="360" w:lineRule="auto"/>
        <w:ind w:firstLine="388" w:firstLineChars="200"/>
        <w:rPr>
          <w:rFonts w:ascii="宋体" w:hAnsi="宋体"/>
          <w:color w:val="auto"/>
          <w:szCs w:val="21"/>
          <w:highlight w:val="none"/>
        </w:rPr>
        <w:sectPr>
          <w:pgSz w:w="11907" w:h="16840"/>
          <w:pgMar w:top="1440" w:right="1803" w:bottom="1440" w:left="1803" w:header="851" w:footer="850" w:gutter="0"/>
          <w:pgNumType w:fmt="decimal"/>
          <w:cols w:space="720" w:num="1"/>
          <w:titlePg/>
          <w:docGrid w:type="linesAndChars" w:linePitch="312" w:charSpace="-3473"/>
        </w:sectPr>
      </w:pPr>
    </w:p>
    <w:p w14:paraId="34E00941">
      <w:pPr>
        <w:pStyle w:val="4"/>
        <w:rPr>
          <w:rFonts w:ascii="宋体" w:hAnsi="宋体"/>
          <w:bCs w:val="0"/>
          <w:color w:val="auto"/>
          <w:sz w:val="24"/>
          <w:szCs w:val="24"/>
          <w:highlight w:val="none"/>
        </w:rPr>
      </w:pPr>
      <w:bookmarkStart w:id="778" w:name="_Toc28139"/>
      <w:r>
        <w:rPr>
          <w:rFonts w:hint="eastAsia" w:ascii="宋体" w:hAnsi="宋体"/>
          <w:bCs w:val="0"/>
          <w:color w:val="auto"/>
          <w:sz w:val="24"/>
          <w:szCs w:val="24"/>
          <w:highlight w:val="none"/>
        </w:rPr>
        <w:t>格式13</w:t>
      </w:r>
      <w:bookmarkEnd w:id="778"/>
    </w:p>
    <w:p w14:paraId="4532F6BC">
      <w:pPr>
        <w:pStyle w:val="4"/>
        <w:rPr>
          <w:rFonts w:ascii="宋体" w:hAnsi="宋体"/>
          <w:color w:val="auto"/>
          <w:sz w:val="28"/>
          <w:highlight w:val="none"/>
        </w:rPr>
      </w:pPr>
      <w:bookmarkStart w:id="779" w:name="_Toc515894165"/>
      <w:bookmarkStart w:id="780" w:name="_Toc14696"/>
      <w:bookmarkStart w:id="781" w:name="_Toc211162739"/>
      <w:bookmarkStart w:id="782" w:name="_Toc311205854"/>
      <w:bookmarkStart w:id="783" w:name="_Toc247079402"/>
      <w:r>
        <w:rPr>
          <w:rFonts w:hint="eastAsia" w:ascii="宋体" w:hAnsi="宋体"/>
          <w:color w:val="auto"/>
          <w:sz w:val="28"/>
          <w:highlight w:val="none"/>
        </w:rPr>
        <w:t>附图一：计划开工日期、完工日期和施工进度计划横道图</w:t>
      </w:r>
      <w:bookmarkEnd w:id="779"/>
      <w:bookmarkEnd w:id="780"/>
      <w:bookmarkEnd w:id="781"/>
      <w:bookmarkEnd w:id="782"/>
      <w:bookmarkEnd w:id="783"/>
    </w:p>
    <w:p w14:paraId="5715C376">
      <w:pPr>
        <w:spacing w:line="360" w:lineRule="auto"/>
        <w:ind w:firstLine="388" w:firstLineChars="200"/>
        <w:rPr>
          <w:rFonts w:ascii="宋体" w:hAnsi="宋体"/>
          <w:color w:val="auto"/>
          <w:szCs w:val="21"/>
          <w:highlight w:val="none"/>
        </w:rPr>
      </w:pPr>
    </w:p>
    <w:p w14:paraId="1DB0F824">
      <w:pPr>
        <w:spacing w:line="360" w:lineRule="auto"/>
        <w:ind w:firstLine="388" w:firstLineChars="200"/>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供应商</w:t>
      </w:r>
      <w:r>
        <w:rPr>
          <w:rFonts w:hint="eastAsia" w:ascii="宋体" w:hAnsi="宋体"/>
          <w:color w:val="auto"/>
          <w:szCs w:val="21"/>
          <w:highlight w:val="none"/>
        </w:rPr>
        <w:t>应递交</w:t>
      </w:r>
      <w:r>
        <w:rPr>
          <w:rFonts w:hint="eastAsia" w:ascii="宋体" w:hAnsi="宋体"/>
          <w:color w:val="auto"/>
          <w:szCs w:val="21"/>
          <w:highlight w:val="none"/>
          <w:lang w:eastAsia="zh-CN"/>
        </w:rPr>
        <w:t>施工</w:t>
      </w:r>
      <w:r>
        <w:rPr>
          <w:rFonts w:hint="eastAsia" w:ascii="宋体" w:hAnsi="宋体"/>
          <w:color w:val="auto"/>
          <w:szCs w:val="21"/>
          <w:highlight w:val="none"/>
        </w:rPr>
        <w:t>进度表，说明按</w:t>
      </w:r>
      <w:r>
        <w:rPr>
          <w:rFonts w:hint="eastAsia" w:ascii="宋体" w:hAnsi="宋体"/>
          <w:color w:val="auto"/>
          <w:szCs w:val="21"/>
          <w:highlight w:val="none"/>
          <w:lang w:eastAsia="zh-CN"/>
        </w:rPr>
        <w:t>磋商文件</w:t>
      </w:r>
      <w:r>
        <w:rPr>
          <w:rFonts w:hint="eastAsia" w:ascii="宋体" w:hAnsi="宋体"/>
          <w:color w:val="auto"/>
          <w:szCs w:val="21"/>
          <w:highlight w:val="none"/>
        </w:rPr>
        <w:t>要求的</w:t>
      </w:r>
      <w:r>
        <w:rPr>
          <w:rFonts w:hint="eastAsia" w:ascii="宋体" w:hAnsi="宋体"/>
          <w:color w:val="auto"/>
          <w:szCs w:val="21"/>
          <w:highlight w:val="none"/>
          <w:lang w:eastAsia="zh-CN"/>
        </w:rPr>
        <w:t>合同履行期限</w:t>
      </w:r>
      <w:r>
        <w:rPr>
          <w:rFonts w:hint="eastAsia" w:ascii="宋体" w:hAnsi="宋体"/>
          <w:color w:val="auto"/>
          <w:szCs w:val="21"/>
          <w:highlight w:val="none"/>
        </w:rPr>
        <w:t>进行施工的各个关键日期。</w:t>
      </w:r>
    </w:p>
    <w:p w14:paraId="31E2E469">
      <w:pPr>
        <w:spacing w:line="360" w:lineRule="auto"/>
        <w:ind w:firstLine="388" w:firstLineChars="200"/>
        <w:rPr>
          <w:rFonts w:ascii="宋体" w:hAnsi="宋体"/>
          <w:color w:val="auto"/>
          <w:szCs w:val="21"/>
          <w:highlight w:val="none"/>
        </w:rPr>
      </w:pPr>
      <w:r>
        <w:rPr>
          <w:rFonts w:hint="eastAsia" w:ascii="宋体" w:hAnsi="宋体"/>
          <w:color w:val="auto"/>
          <w:szCs w:val="21"/>
          <w:highlight w:val="none"/>
        </w:rPr>
        <w:t>2．施工进度表采用横道图表示。</w:t>
      </w:r>
    </w:p>
    <w:p w14:paraId="5ACDE550">
      <w:pPr>
        <w:spacing w:line="360" w:lineRule="auto"/>
        <w:ind w:firstLine="388" w:firstLineChars="200"/>
        <w:rPr>
          <w:rFonts w:ascii="宋体" w:hAnsi="宋体"/>
          <w:color w:val="auto"/>
          <w:szCs w:val="21"/>
          <w:highlight w:val="none"/>
        </w:rPr>
      </w:pPr>
    </w:p>
    <w:p w14:paraId="3098E009">
      <w:pPr>
        <w:spacing w:line="360" w:lineRule="auto"/>
        <w:ind w:firstLine="388" w:firstLineChars="200"/>
        <w:rPr>
          <w:rFonts w:ascii="宋体" w:hAnsi="宋体"/>
          <w:color w:val="auto"/>
          <w:szCs w:val="21"/>
          <w:highlight w:val="none"/>
        </w:rPr>
      </w:pPr>
    </w:p>
    <w:p w14:paraId="7490E091">
      <w:pPr>
        <w:spacing w:line="360" w:lineRule="auto"/>
        <w:ind w:firstLine="388" w:firstLineChars="200"/>
        <w:rPr>
          <w:rFonts w:ascii="宋体" w:hAnsi="宋体"/>
          <w:color w:val="auto"/>
          <w:szCs w:val="21"/>
          <w:highlight w:val="none"/>
        </w:rPr>
        <w:sectPr>
          <w:pgSz w:w="11907" w:h="16840"/>
          <w:pgMar w:top="1440" w:right="1803" w:bottom="1440" w:left="1803" w:header="851" w:footer="850" w:gutter="0"/>
          <w:pgNumType w:fmt="decimal"/>
          <w:cols w:space="720" w:num="1"/>
          <w:titlePg/>
          <w:docGrid w:type="linesAndChars" w:linePitch="312" w:charSpace="-3473"/>
        </w:sectPr>
      </w:pPr>
    </w:p>
    <w:p w14:paraId="0E05FC3B">
      <w:pPr>
        <w:pStyle w:val="4"/>
        <w:outlineLvl w:val="1"/>
        <w:rPr>
          <w:rFonts w:ascii="宋体" w:hAnsi="宋体"/>
          <w:bCs w:val="0"/>
          <w:color w:val="auto"/>
          <w:sz w:val="24"/>
          <w:szCs w:val="24"/>
          <w:highlight w:val="none"/>
        </w:rPr>
      </w:pPr>
      <w:bookmarkStart w:id="784" w:name="_Toc29061"/>
      <w:r>
        <w:rPr>
          <w:rFonts w:hint="eastAsia" w:ascii="宋体" w:hAnsi="宋体"/>
          <w:bCs w:val="0"/>
          <w:color w:val="auto"/>
          <w:sz w:val="24"/>
          <w:szCs w:val="24"/>
          <w:highlight w:val="none"/>
        </w:rPr>
        <w:t>格式14</w:t>
      </w:r>
      <w:bookmarkEnd w:id="784"/>
    </w:p>
    <w:p w14:paraId="3CBEC227">
      <w:pPr>
        <w:pStyle w:val="4"/>
        <w:rPr>
          <w:rFonts w:ascii="宋体" w:hAnsi="宋体"/>
          <w:color w:val="auto"/>
          <w:sz w:val="28"/>
          <w:highlight w:val="none"/>
        </w:rPr>
      </w:pPr>
      <w:bookmarkStart w:id="785" w:name="_Toc211162740"/>
      <w:bookmarkStart w:id="786" w:name="_Toc311205855"/>
      <w:bookmarkStart w:id="787" w:name="_Toc247079403"/>
      <w:bookmarkStart w:id="788" w:name="_Toc515894166"/>
      <w:bookmarkStart w:id="789" w:name="_Toc740"/>
      <w:r>
        <w:rPr>
          <w:rFonts w:hint="eastAsia" w:ascii="宋体" w:hAnsi="宋体"/>
          <w:color w:val="auto"/>
          <w:sz w:val="28"/>
          <w:highlight w:val="none"/>
        </w:rPr>
        <w:t>附图二：施工总平面图</w:t>
      </w:r>
      <w:bookmarkEnd w:id="785"/>
      <w:bookmarkEnd w:id="786"/>
      <w:bookmarkEnd w:id="787"/>
      <w:bookmarkEnd w:id="788"/>
      <w:bookmarkEnd w:id="789"/>
    </w:p>
    <w:p w14:paraId="0D6F4DC4">
      <w:pPr>
        <w:spacing w:line="360" w:lineRule="auto"/>
        <w:ind w:firstLine="388" w:firstLineChars="200"/>
        <w:rPr>
          <w:rFonts w:ascii="宋体" w:hAnsi="宋体"/>
          <w:color w:val="auto"/>
          <w:szCs w:val="21"/>
          <w:highlight w:val="none"/>
        </w:rPr>
      </w:pPr>
    </w:p>
    <w:p w14:paraId="0776A850">
      <w:pPr>
        <w:spacing w:line="360" w:lineRule="auto"/>
        <w:ind w:firstLine="388" w:firstLineChars="200"/>
        <w:rPr>
          <w:rFonts w:ascii="宋体" w:hAnsi="宋体"/>
          <w:color w:val="auto"/>
          <w:szCs w:val="21"/>
          <w:highlight w:val="none"/>
        </w:rPr>
      </w:pPr>
      <w:r>
        <w:rPr>
          <w:rFonts w:hint="eastAsia" w:ascii="宋体" w:hAnsi="宋体"/>
          <w:color w:val="auto"/>
          <w:szCs w:val="21"/>
          <w:highlight w:val="none"/>
          <w:lang w:eastAsia="zh-CN"/>
        </w:rPr>
        <w:t>供应商</w:t>
      </w:r>
      <w:r>
        <w:rPr>
          <w:rFonts w:hint="eastAsia" w:ascii="宋体" w:hAnsi="宋体"/>
          <w:color w:val="auto"/>
          <w:szCs w:val="21"/>
          <w:highlight w:val="none"/>
        </w:rPr>
        <w:t>应递交一份施工总平面图，绘出现场临时设施布置图表并附文字说明，说明临时设施、加工车间、现场办公、设备及仓储、供电、供水、卫生、生活、道路、消防等设施的情况和布置。</w:t>
      </w:r>
    </w:p>
    <w:p w14:paraId="51700071">
      <w:pPr>
        <w:spacing w:line="360" w:lineRule="auto"/>
        <w:ind w:firstLine="388" w:firstLineChars="200"/>
        <w:rPr>
          <w:rFonts w:ascii="宋体" w:hAnsi="宋体"/>
          <w:color w:val="auto"/>
          <w:szCs w:val="21"/>
          <w:highlight w:val="none"/>
        </w:rPr>
      </w:pPr>
    </w:p>
    <w:p w14:paraId="45EB7263">
      <w:pPr>
        <w:spacing w:line="360" w:lineRule="auto"/>
        <w:ind w:firstLine="388" w:firstLineChars="200"/>
        <w:rPr>
          <w:rFonts w:ascii="宋体" w:hAnsi="宋体"/>
          <w:color w:val="auto"/>
          <w:szCs w:val="21"/>
          <w:highlight w:val="none"/>
        </w:rPr>
      </w:pPr>
    </w:p>
    <w:p w14:paraId="65258A75">
      <w:pPr>
        <w:spacing w:line="360" w:lineRule="auto"/>
        <w:ind w:firstLine="388" w:firstLineChars="200"/>
        <w:rPr>
          <w:rFonts w:ascii="宋体" w:hAnsi="宋体"/>
          <w:color w:val="auto"/>
          <w:szCs w:val="21"/>
          <w:highlight w:val="none"/>
        </w:rPr>
      </w:pPr>
    </w:p>
    <w:p w14:paraId="1CA245B6">
      <w:pPr>
        <w:spacing w:line="360" w:lineRule="auto"/>
        <w:ind w:firstLine="388" w:firstLineChars="200"/>
        <w:rPr>
          <w:rFonts w:ascii="宋体" w:hAnsi="宋体"/>
          <w:color w:val="auto"/>
          <w:szCs w:val="21"/>
          <w:highlight w:val="none"/>
        </w:rPr>
      </w:pPr>
    </w:p>
    <w:p w14:paraId="51D15155">
      <w:pPr>
        <w:autoSpaceDE w:val="0"/>
        <w:autoSpaceDN w:val="0"/>
        <w:spacing w:line="337" w:lineRule="exact"/>
        <w:jc w:val="left"/>
        <w:outlineLvl w:val="6"/>
        <w:rPr>
          <w:rFonts w:hint="eastAsia" w:ascii="宋体" w:hAnsi="宋体" w:cs="宋体"/>
          <w:bCs/>
          <w:color w:val="auto"/>
          <w:sz w:val="32"/>
          <w:szCs w:val="18"/>
          <w:highlight w:val="none"/>
        </w:rPr>
      </w:pPr>
      <w:r>
        <w:rPr>
          <w:rFonts w:ascii="宋体" w:hAnsi="宋体"/>
          <w:color w:val="auto"/>
          <w:szCs w:val="21"/>
          <w:highlight w:val="none"/>
        </w:rPr>
        <w:br w:type="page"/>
      </w:r>
      <w:bookmarkStart w:id="790" w:name="_Toc476153619"/>
      <w:r>
        <w:rPr>
          <w:rFonts w:hint="eastAsia" w:ascii="宋体" w:hAnsi="宋体" w:cs="宋体"/>
          <w:bCs/>
          <w:color w:val="auto"/>
          <w:sz w:val="32"/>
          <w:szCs w:val="18"/>
          <w:highlight w:val="none"/>
        </w:rPr>
        <w:t>附</w:t>
      </w:r>
      <w:r>
        <w:rPr>
          <w:rFonts w:hint="eastAsia" w:ascii="宋体" w:hAnsi="宋体" w:cs="宋体"/>
          <w:bCs/>
          <w:color w:val="auto"/>
          <w:sz w:val="32"/>
          <w:szCs w:val="18"/>
          <w:highlight w:val="none"/>
          <w:lang w:val="en-US" w:eastAsia="zh-CN"/>
        </w:rPr>
        <w:t>件</w:t>
      </w:r>
      <w:r>
        <w:rPr>
          <w:rFonts w:hint="eastAsia" w:ascii="宋体" w:hAnsi="宋体" w:cs="宋体"/>
          <w:bCs/>
          <w:color w:val="auto"/>
          <w:sz w:val="32"/>
          <w:szCs w:val="18"/>
          <w:highlight w:val="none"/>
        </w:rPr>
        <w:t>：</w:t>
      </w:r>
    </w:p>
    <w:p w14:paraId="2F9BAEB9">
      <w:pPr>
        <w:spacing w:line="360" w:lineRule="auto"/>
        <w:ind w:firstLine="388" w:firstLineChars="200"/>
        <w:rPr>
          <w:rFonts w:ascii="黑体" w:hAnsi="黑体" w:eastAsia="黑体"/>
          <w:b w:val="0"/>
          <w:bCs w:val="0"/>
          <w:color w:val="auto"/>
          <w:kern w:val="0"/>
          <w:sz w:val="30"/>
          <w:szCs w:val="30"/>
          <w:highlight w:val="none"/>
        </w:rPr>
      </w:pPr>
      <w:r>
        <w:rPr>
          <w:rFonts w:hint="eastAsia" w:ascii="宋体" w:hAnsi="宋体" w:cs="宋体"/>
          <w:color w:val="auto"/>
          <w:highlight w:val="none"/>
          <w:lang w:val="en-US" w:eastAsia="zh-CN"/>
        </w:rPr>
        <w:t xml:space="preserve">                              </w:t>
      </w:r>
      <w:r>
        <w:rPr>
          <w:rFonts w:hint="eastAsia" w:ascii="黑体" w:hAnsi="黑体" w:eastAsia="黑体"/>
          <w:b w:val="0"/>
          <w:bCs w:val="0"/>
          <w:color w:val="auto"/>
          <w:kern w:val="0"/>
          <w:sz w:val="30"/>
          <w:szCs w:val="30"/>
          <w:highlight w:val="none"/>
        </w:rPr>
        <w:t>中小企业声明函</w:t>
      </w:r>
    </w:p>
    <w:p w14:paraId="780CF95E">
      <w:pPr>
        <w:tabs>
          <w:tab w:val="left" w:pos="1573"/>
        </w:tabs>
        <w:autoSpaceDN w:val="0"/>
        <w:ind w:firstLine="672" w:firstLineChars="300"/>
        <w:rPr>
          <w:rFonts w:ascii="宋体" w:hAnsi="宋体" w:cs="宋体"/>
          <w:snapToGrid w:val="0"/>
          <w:color w:val="auto"/>
          <w:sz w:val="24"/>
          <w:highlight w:val="none"/>
        </w:rPr>
      </w:pPr>
    </w:p>
    <w:p w14:paraId="71E8A8E1">
      <w:pPr>
        <w:spacing w:before="75" w:line="379" w:lineRule="auto"/>
        <w:ind w:right="63" w:firstLine="361"/>
        <w:rPr>
          <w:rFonts w:ascii="宋体" w:hAnsi="宋体" w:eastAsia="宋体" w:cs="宋体"/>
          <w:color w:val="auto"/>
          <w:sz w:val="23"/>
          <w:szCs w:val="23"/>
          <w:highlight w:val="none"/>
        </w:rPr>
      </w:pPr>
      <w:r>
        <w:rPr>
          <w:rFonts w:ascii="宋体" w:hAnsi="宋体" w:eastAsia="宋体" w:cs="宋体"/>
          <w:color w:val="auto"/>
          <w:spacing w:val="14"/>
          <w:sz w:val="23"/>
          <w:szCs w:val="23"/>
          <w:highlight w:val="none"/>
        </w:rPr>
        <w:t>本</w:t>
      </w:r>
      <w:r>
        <w:rPr>
          <w:rFonts w:ascii="宋体" w:hAnsi="宋体" w:eastAsia="宋体" w:cs="宋体"/>
          <w:color w:val="auto"/>
          <w:spacing w:val="8"/>
          <w:sz w:val="23"/>
          <w:szCs w:val="23"/>
          <w:highlight w:val="none"/>
        </w:rPr>
        <w:t>公</w:t>
      </w:r>
      <w:r>
        <w:rPr>
          <w:rFonts w:ascii="宋体" w:hAnsi="宋体" w:eastAsia="宋体" w:cs="宋体"/>
          <w:color w:val="auto"/>
          <w:spacing w:val="7"/>
          <w:sz w:val="23"/>
          <w:szCs w:val="23"/>
          <w:highlight w:val="none"/>
        </w:rPr>
        <w:t>司</w:t>
      </w:r>
      <w:r>
        <w:rPr>
          <w:rFonts w:hint="eastAsia" w:ascii="宋体" w:hAnsi="宋体" w:eastAsia="宋体" w:cs="宋体"/>
          <w:color w:val="auto"/>
          <w:spacing w:val="7"/>
          <w:sz w:val="23"/>
          <w:szCs w:val="23"/>
          <w:highlight w:val="none"/>
          <w:lang w:eastAsia="zh-CN"/>
        </w:rPr>
        <w:t>（</w:t>
      </w:r>
      <w:r>
        <w:rPr>
          <w:rFonts w:ascii="宋体" w:hAnsi="宋体" w:eastAsia="宋体" w:cs="宋体"/>
          <w:color w:val="auto"/>
          <w:spacing w:val="7"/>
          <w:sz w:val="23"/>
          <w:szCs w:val="23"/>
          <w:highlight w:val="none"/>
        </w:rPr>
        <w:t>联合体</w:t>
      </w:r>
      <w:r>
        <w:rPr>
          <w:rFonts w:hint="eastAsia" w:ascii="宋体" w:hAnsi="宋体" w:eastAsia="宋体" w:cs="宋体"/>
          <w:color w:val="auto"/>
          <w:spacing w:val="7"/>
          <w:sz w:val="23"/>
          <w:szCs w:val="23"/>
          <w:highlight w:val="none"/>
          <w:lang w:eastAsia="zh-CN"/>
        </w:rPr>
        <w:t>）</w:t>
      </w:r>
      <w:r>
        <w:rPr>
          <w:rFonts w:hint="eastAsia" w:ascii="宋体" w:hAnsi="宋体" w:cs="宋体"/>
          <w:color w:val="auto"/>
          <w:spacing w:val="7"/>
          <w:sz w:val="23"/>
          <w:szCs w:val="23"/>
          <w:highlight w:val="none"/>
          <w:u w:val="single"/>
          <w:lang w:val="en-US" w:eastAsia="zh-CN"/>
        </w:rPr>
        <w:t xml:space="preserve">     </w:t>
      </w:r>
      <w:r>
        <w:rPr>
          <w:rFonts w:ascii="宋体" w:hAnsi="宋体" w:eastAsia="宋体" w:cs="宋体"/>
          <w:color w:val="auto"/>
          <w:spacing w:val="7"/>
          <w:sz w:val="23"/>
          <w:szCs w:val="23"/>
          <w:highlight w:val="none"/>
        </w:rPr>
        <w:t xml:space="preserve">郑重声明，根据《政府采购促进中小企业发展管理办法》 </w:t>
      </w:r>
      <w:r>
        <w:rPr>
          <w:rFonts w:hint="eastAsia" w:ascii="宋体" w:hAnsi="宋体" w:eastAsia="宋体" w:cs="宋体"/>
          <w:color w:val="auto"/>
          <w:spacing w:val="7"/>
          <w:sz w:val="23"/>
          <w:szCs w:val="23"/>
          <w:highlight w:val="none"/>
          <w:lang w:eastAsia="zh-CN"/>
        </w:rPr>
        <w:t>（</w:t>
      </w:r>
      <w:r>
        <w:rPr>
          <w:rFonts w:ascii="宋体" w:hAnsi="宋体" w:eastAsia="宋体" w:cs="宋体"/>
          <w:color w:val="auto"/>
          <w:spacing w:val="7"/>
          <w:sz w:val="23"/>
          <w:szCs w:val="23"/>
          <w:highlight w:val="none"/>
        </w:rPr>
        <w:t>财库</w:t>
      </w:r>
      <w:r>
        <w:rPr>
          <w:rFonts w:ascii="宋体" w:hAnsi="宋体" w:eastAsia="宋体" w:cs="宋体"/>
          <w:color w:val="auto"/>
          <w:sz w:val="23"/>
          <w:szCs w:val="23"/>
          <w:highlight w:val="none"/>
        </w:rPr>
        <w:t xml:space="preserve"> </w:t>
      </w:r>
      <w:r>
        <w:rPr>
          <w:rFonts w:ascii="宋体" w:hAnsi="宋体" w:eastAsia="宋体" w:cs="宋体"/>
          <w:color w:val="auto"/>
          <w:spacing w:val="10"/>
          <w:sz w:val="23"/>
          <w:szCs w:val="23"/>
          <w:highlight w:val="none"/>
        </w:rPr>
        <w:t>(</w:t>
      </w:r>
      <w:r>
        <w:rPr>
          <w:rFonts w:ascii="宋体" w:hAnsi="宋体" w:eastAsia="宋体" w:cs="宋体"/>
          <w:color w:val="auto"/>
          <w:spacing w:val="9"/>
          <w:sz w:val="23"/>
          <w:szCs w:val="23"/>
          <w:highlight w:val="none"/>
        </w:rPr>
        <w:t>2020)46 号</w:t>
      </w:r>
      <w:r>
        <w:rPr>
          <w:rFonts w:hint="eastAsia" w:ascii="宋体" w:hAnsi="宋体" w:eastAsia="宋体" w:cs="宋体"/>
          <w:color w:val="auto"/>
          <w:spacing w:val="9"/>
          <w:sz w:val="23"/>
          <w:szCs w:val="23"/>
          <w:highlight w:val="none"/>
          <w:lang w:eastAsia="zh-CN"/>
        </w:rPr>
        <w:t>）</w:t>
      </w:r>
      <w:r>
        <w:rPr>
          <w:rFonts w:ascii="宋体" w:hAnsi="宋体" w:eastAsia="宋体" w:cs="宋体"/>
          <w:color w:val="auto"/>
          <w:spacing w:val="9"/>
          <w:sz w:val="23"/>
          <w:szCs w:val="23"/>
          <w:highlight w:val="none"/>
        </w:rPr>
        <w:t>的规定，本公司</w:t>
      </w:r>
      <w:r>
        <w:rPr>
          <w:rFonts w:hint="eastAsia" w:ascii="宋体" w:hAnsi="宋体" w:eastAsia="宋体" w:cs="宋体"/>
          <w:color w:val="auto"/>
          <w:spacing w:val="9"/>
          <w:sz w:val="23"/>
          <w:szCs w:val="23"/>
          <w:highlight w:val="none"/>
          <w:lang w:eastAsia="zh-CN"/>
        </w:rPr>
        <w:t>（</w:t>
      </w:r>
      <w:r>
        <w:rPr>
          <w:rFonts w:ascii="宋体" w:hAnsi="宋体" w:eastAsia="宋体" w:cs="宋体"/>
          <w:color w:val="auto"/>
          <w:spacing w:val="9"/>
          <w:sz w:val="23"/>
          <w:szCs w:val="23"/>
          <w:highlight w:val="none"/>
        </w:rPr>
        <w:t>联合体</w:t>
      </w:r>
      <w:r>
        <w:rPr>
          <w:rFonts w:hint="eastAsia" w:ascii="宋体" w:hAnsi="宋体" w:eastAsia="宋体" w:cs="宋体"/>
          <w:color w:val="auto"/>
          <w:spacing w:val="9"/>
          <w:sz w:val="23"/>
          <w:szCs w:val="23"/>
          <w:highlight w:val="none"/>
          <w:lang w:eastAsia="zh-CN"/>
        </w:rPr>
        <w:t>）</w:t>
      </w:r>
      <w:r>
        <w:rPr>
          <w:rFonts w:hint="eastAsia" w:ascii="宋体" w:hAnsi="宋体" w:cs="宋体"/>
          <w:color w:val="auto"/>
          <w:spacing w:val="9"/>
          <w:sz w:val="23"/>
          <w:szCs w:val="23"/>
          <w:highlight w:val="none"/>
          <w:u w:val="single"/>
          <w:lang w:val="en-US" w:eastAsia="zh-CN"/>
        </w:rPr>
        <w:t xml:space="preserve">      </w:t>
      </w:r>
      <w:r>
        <w:rPr>
          <w:rFonts w:ascii="宋体" w:hAnsi="宋体" w:eastAsia="宋体" w:cs="宋体"/>
          <w:color w:val="auto"/>
          <w:spacing w:val="9"/>
          <w:sz w:val="23"/>
          <w:szCs w:val="23"/>
          <w:highlight w:val="none"/>
        </w:rPr>
        <w:t>参加</w:t>
      </w:r>
      <w:r>
        <w:rPr>
          <w:rFonts w:hint="eastAsia" w:ascii="宋体" w:hAnsi="宋体" w:eastAsia="宋体" w:cs="宋体"/>
          <w:color w:val="auto"/>
          <w:spacing w:val="9"/>
          <w:sz w:val="23"/>
          <w:szCs w:val="23"/>
          <w:highlight w:val="none"/>
          <w:lang w:eastAsia="zh-CN"/>
        </w:rPr>
        <w:t>（</w:t>
      </w:r>
      <w:r>
        <w:rPr>
          <w:rFonts w:ascii="宋体" w:hAnsi="宋体" w:eastAsia="宋体" w:cs="宋体"/>
          <w:color w:val="auto"/>
          <w:spacing w:val="9"/>
          <w:sz w:val="23"/>
          <w:szCs w:val="23"/>
          <w:highlight w:val="none"/>
        </w:rPr>
        <w:t>单位名称</w:t>
      </w:r>
      <w:r>
        <w:rPr>
          <w:rFonts w:hint="eastAsia" w:ascii="宋体" w:hAnsi="宋体" w:eastAsia="宋体" w:cs="宋体"/>
          <w:color w:val="auto"/>
          <w:spacing w:val="9"/>
          <w:sz w:val="23"/>
          <w:szCs w:val="23"/>
          <w:highlight w:val="none"/>
          <w:lang w:eastAsia="zh-CN"/>
        </w:rPr>
        <w:t>）</w:t>
      </w:r>
      <w:r>
        <w:rPr>
          <w:rFonts w:hint="eastAsia" w:ascii="宋体" w:hAnsi="宋体" w:cs="宋体"/>
          <w:color w:val="auto"/>
          <w:spacing w:val="9"/>
          <w:sz w:val="23"/>
          <w:szCs w:val="23"/>
          <w:highlight w:val="none"/>
          <w:u w:val="single"/>
          <w:lang w:val="en-US" w:eastAsia="zh-CN"/>
        </w:rPr>
        <w:t xml:space="preserve">      </w:t>
      </w:r>
      <w:r>
        <w:rPr>
          <w:rFonts w:ascii="宋体" w:hAnsi="宋体" w:eastAsia="宋体" w:cs="宋体"/>
          <w:color w:val="auto"/>
          <w:spacing w:val="9"/>
          <w:sz w:val="23"/>
          <w:szCs w:val="23"/>
          <w:highlight w:val="none"/>
        </w:rPr>
        <w:t>的</w:t>
      </w:r>
      <w:r>
        <w:rPr>
          <w:rFonts w:hint="eastAsia" w:ascii="宋体" w:hAnsi="宋体" w:eastAsia="宋体" w:cs="宋体"/>
          <w:color w:val="auto"/>
          <w:spacing w:val="9"/>
          <w:sz w:val="23"/>
          <w:szCs w:val="23"/>
          <w:highlight w:val="none"/>
          <w:lang w:eastAsia="zh-CN"/>
        </w:rPr>
        <w:t>（</w:t>
      </w:r>
      <w:r>
        <w:rPr>
          <w:rFonts w:ascii="宋体" w:hAnsi="宋体" w:eastAsia="宋体" w:cs="宋体"/>
          <w:color w:val="auto"/>
          <w:spacing w:val="9"/>
          <w:sz w:val="23"/>
          <w:szCs w:val="23"/>
          <w:highlight w:val="none"/>
        </w:rPr>
        <w:t>项目名称</w:t>
      </w:r>
      <w:r>
        <w:rPr>
          <w:rFonts w:hint="eastAsia" w:ascii="宋体" w:hAnsi="宋体" w:eastAsia="宋体" w:cs="宋体"/>
          <w:color w:val="auto"/>
          <w:spacing w:val="9"/>
          <w:sz w:val="23"/>
          <w:szCs w:val="23"/>
          <w:highlight w:val="none"/>
          <w:lang w:eastAsia="zh-CN"/>
        </w:rPr>
        <w:t>）</w:t>
      </w:r>
      <w:r>
        <w:rPr>
          <w:rFonts w:hint="eastAsia" w:ascii="宋体" w:hAnsi="宋体" w:cs="宋体"/>
          <w:color w:val="auto"/>
          <w:spacing w:val="9"/>
          <w:sz w:val="23"/>
          <w:szCs w:val="23"/>
          <w:highlight w:val="none"/>
          <w:u w:val="single"/>
          <w:lang w:val="en-US" w:eastAsia="zh-CN"/>
        </w:rPr>
        <w:t xml:space="preserve">        </w:t>
      </w:r>
      <w:r>
        <w:rPr>
          <w:rFonts w:ascii="宋体" w:hAnsi="宋体" w:eastAsia="宋体" w:cs="宋体"/>
          <w:color w:val="auto"/>
          <w:spacing w:val="9"/>
          <w:sz w:val="23"/>
          <w:szCs w:val="23"/>
          <w:highlight w:val="none"/>
        </w:rPr>
        <w:t>采购活动，工</w:t>
      </w:r>
      <w:r>
        <w:rPr>
          <w:rFonts w:ascii="宋体" w:hAnsi="宋体" w:eastAsia="宋体" w:cs="宋体"/>
          <w:color w:val="auto"/>
          <w:spacing w:val="20"/>
          <w:sz w:val="23"/>
          <w:szCs w:val="23"/>
          <w:highlight w:val="none"/>
        </w:rPr>
        <w:t>程的</w:t>
      </w:r>
      <w:r>
        <w:rPr>
          <w:rFonts w:ascii="宋体" w:hAnsi="宋体" w:eastAsia="宋体" w:cs="宋体"/>
          <w:color w:val="auto"/>
          <w:spacing w:val="19"/>
          <w:sz w:val="23"/>
          <w:szCs w:val="23"/>
          <w:highlight w:val="none"/>
        </w:rPr>
        <w:t>施</w:t>
      </w:r>
      <w:r>
        <w:rPr>
          <w:rFonts w:ascii="宋体" w:hAnsi="宋体" w:eastAsia="宋体" w:cs="宋体"/>
          <w:color w:val="auto"/>
          <w:spacing w:val="10"/>
          <w:sz w:val="23"/>
          <w:szCs w:val="23"/>
          <w:highlight w:val="none"/>
        </w:rPr>
        <w:t>工单位全部为符合政策要求的中小企业</w:t>
      </w:r>
      <w:r>
        <w:rPr>
          <w:rFonts w:hint="eastAsia" w:ascii="宋体" w:hAnsi="宋体" w:cs="宋体"/>
          <w:color w:val="auto"/>
          <w:spacing w:val="10"/>
          <w:sz w:val="23"/>
          <w:szCs w:val="23"/>
          <w:highlight w:val="none"/>
          <w:lang w:eastAsia="zh-CN"/>
        </w:rPr>
        <w:t>（</w:t>
      </w:r>
      <w:r>
        <w:rPr>
          <w:rFonts w:ascii="宋体" w:hAnsi="宋体" w:eastAsia="宋体" w:cs="宋体"/>
          <w:color w:val="auto"/>
          <w:spacing w:val="10"/>
          <w:sz w:val="23"/>
          <w:szCs w:val="23"/>
          <w:highlight w:val="none"/>
        </w:rPr>
        <w:t>或者</w:t>
      </w:r>
      <w:r>
        <w:rPr>
          <w:rFonts w:hint="eastAsia" w:ascii="宋体" w:hAnsi="宋体" w:eastAsia="宋体" w:cs="宋体"/>
          <w:color w:val="auto"/>
          <w:spacing w:val="10"/>
          <w:sz w:val="23"/>
          <w:szCs w:val="23"/>
          <w:highlight w:val="none"/>
          <w:lang w:eastAsia="zh-CN"/>
        </w:rPr>
        <w:t>：</w:t>
      </w:r>
      <w:r>
        <w:rPr>
          <w:rFonts w:ascii="宋体" w:hAnsi="宋体" w:eastAsia="宋体" w:cs="宋体"/>
          <w:color w:val="auto"/>
          <w:spacing w:val="10"/>
          <w:sz w:val="23"/>
          <w:szCs w:val="23"/>
          <w:highlight w:val="none"/>
        </w:rPr>
        <w:t>服务全部由符合政策要求的中</w:t>
      </w:r>
      <w:r>
        <w:rPr>
          <w:rFonts w:ascii="宋体" w:hAnsi="宋体" w:eastAsia="宋体" w:cs="宋体"/>
          <w:color w:val="auto"/>
          <w:sz w:val="23"/>
          <w:szCs w:val="23"/>
          <w:highlight w:val="none"/>
        </w:rPr>
        <w:t xml:space="preserve"> </w:t>
      </w:r>
      <w:r>
        <w:rPr>
          <w:rFonts w:ascii="宋体" w:hAnsi="宋体" w:eastAsia="宋体" w:cs="宋体"/>
          <w:color w:val="auto"/>
          <w:spacing w:val="20"/>
          <w:sz w:val="23"/>
          <w:szCs w:val="23"/>
          <w:highlight w:val="none"/>
        </w:rPr>
        <w:t>小企</w:t>
      </w:r>
      <w:r>
        <w:rPr>
          <w:rFonts w:ascii="宋体" w:hAnsi="宋体" w:eastAsia="宋体" w:cs="宋体"/>
          <w:color w:val="auto"/>
          <w:spacing w:val="19"/>
          <w:sz w:val="23"/>
          <w:szCs w:val="23"/>
          <w:highlight w:val="none"/>
        </w:rPr>
        <w:t>业</w:t>
      </w:r>
      <w:r>
        <w:rPr>
          <w:rFonts w:ascii="宋体" w:hAnsi="宋体" w:eastAsia="宋体" w:cs="宋体"/>
          <w:color w:val="auto"/>
          <w:spacing w:val="10"/>
          <w:sz w:val="23"/>
          <w:szCs w:val="23"/>
          <w:highlight w:val="none"/>
        </w:rPr>
        <w:t>承接。相关企业</w:t>
      </w:r>
      <w:r>
        <w:rPr>
          <w:rFonts w:hint="eastAsia" w:ascii="宋体" w:hAnsi="宋体" w:eastAsia="宋体" w:cs="宋体"/>
          <w:color w:val="auto"/>
          <w:spacing w:val="10"/>
          <w:sz w:val="23"/>
          <w:szCs w:val="23"/>
          <w:highlight w:val="none"/>
          <w:lang w:eastAsia="zh-CN"/>
        </w:rPr>
        <w:t>（</w:t>
      </w:r>
      <w:r>
        <w:rPr>
          <w:rFonts w:ascii="宋体" w:hAnsi="宋体" w:eastAsia="宋体" w:cs="宋体"/>
          <w:color w:val="auto"/>
          <w:spacing w:val="10"/>
          <w:sz w:val="23"/>
          <w:szCs w:val="23"/>
          <w:highlight w:val="none"/>
        </w:rPr>
        <w:t>含联合体中的中小企业、签订分包意向协议的中小企业</w:t>
      </w:r>
      <w:r>
        <w:rPr>
          <w:rFonts w:hint="eastAsia" w:ascii="宋体" w:hAnsi="宋体" w:eastAsia="宋体" w:cs="宋体"/>
          <w:color w:val="auto"/>
          <w:spacing w:val="10"/>
          <w:sz w:val="23"/>
          <w:szCs w:val="23"/>
          <w:highlight w:val="none"/>
          <w:lang w:eastAsia="zh-CN"/>
        </w:rPr>
        <w:t>）</w:t>
      </w:r>
      <w:r>
        <w:rPr>
          <w:rFonts w:ascii="宋体" w:hAnsi="宋体" w:eastAsia="宋体" w:cs="宋体"/>
          <w:color w:val="auto"/>
          <w:sz w:val="23"/>
          <w:szCs w:val="23"/>
          <w:highlight w:val="none"/>
        </w:rPr>
        <w:t xml:space="preserve"> </w:t>
      </w:r>
      <w:r>
        <w:rPr>
          <w:rFonts w:ascii="宋体" w:hAnsi="宋体" w:eastAsia="宋体" w:cs="宋体"/>
          <w:color w:val="auto"/>
          <w:spacing w:val="10"/>
          <w:sz w:val="23"/>
          <w:szCs w:val="23"/>
          <w:highlight w:val="none"/>
        </w:rPr>
        <w:t>的</w:t>
      </w:r>
      <w:r>
        <w:rPr>
          <w:rFonts w:ascii="宋体" w:hAnsi="宋体" w:eastAsia="宋体" w:cs="宋体"/>
          <w:color w:val="auto"/>
          <w:spacing w:val="8"/>
          <w:sz w:val="23"/>
          <w:szCs w:val="23"/>
          <w:highlight w:val="none"/>
        </w:rPr>
        <w:t>具体情况如下</w:t>
      </w:r>
      <w:r>
        <w:rPr>
          <w:rFonts w:hint="eastAsia" w:ascii="宋体" w:hAnsi="宋体" w:eastAsia="宋体" w:cs="宋体"/>
          <w:color w:val="auto"/>
          <w:spacing w:val="8"/>
          <w:sz w:val="23"/>
          <w:szCs w:val="23"/>
          <w:highlight w:val="none"/>
          <w:lang w:eastAsia="zh-CN"/>
        </w:rPr>
        <w:t>：</w:t>
      </w:r>
    </w:p>
    <w:p w14:paraId="71FF51CA">
      <w:pPr>
        <w:spacing w:line="371" w:lineRule="auto"/>
        <w:rPr>
          <w:rFonts w:ascii="Arial"/>
          <w:color w:val="auto"/>
          <w:sz w:val="21"/>
          <w:highlight w:val="none"/>
        </w:rPr>
      </w:pPr>
    </w:p>
    <w:p w14:paraId="14C24617">
      <w:pPr>
        <w:spacing w:before="75" w:line="376" w:lineRule="auto"/>
        <w:ind w:left="3" w:firstLine="14"/>
        <w:rPr>
          <w:rFonts w:ascii="宋体" w:hAnsi="宋体" w:eastAsia="宋体" w:cs="宋体"/>
          <w:color w:val="auto"/>
          <w:sz w:val="23"/>
          <w:szCs w:val="23"/>
          <w:highlight w:val="none"/>
        </w:rPr>
      </w:pPr>
      <w:r>
        <w:rPr>
          <w:rFonts w:ascii="宋体" w:hAnsi="宋体" w:eastAsia="宋体" w:cs="宋体"/>
          <w:color w:val="auto"/>
          <w:spacing w:val="-1"/>
          <w:sz w:val="23"/>
          <w:szCs w:val="23"/>
          <w:highlight w:val="none"/>
        </w:rPr>
        <w:t xml:space="preserve">1. </w:t>
      </w:r>
      <w:r>
        <w:rPr>
          <w:rFonts w:hint="eastAsia" w:ascii="宋体" w:hAnsi="宋体" w:eastAsia="宋体" w:cs="宋体"/>
          <w:color w:val="auto"/>
          <w:spacing w:val="-1"/>
          <w:sz w:val="23"/>
          <w:szCs w:val="23"/>
          <w:highlight w:val="none"/>
          <w:lang w:eastAsia="zh-CN"/>
        </w:rPr>
        <w:t>（</w:t>
      </w:r>
      <w:r>
        <w:rPr>
          <w:rFonts w:ascii="宋体" w:hAnsi="宋体" w:eastAsia="宋体" w:cs="宋体"/>
          <w:color w:val="auto"/>
          <w:spacing w:val="-1"/>
          <w:sz w:val="23"/>
          <w:szCs w:val="23"/>
          <w:highlight w:val="none"/>
          <w:u w:val="single" w:color="auto"/>
        </w:rPr>
        <w:t>标的名称</w:t>
      </w:r>
      <w:r>
        <w:rPr>
          <w:rFonts w:hint="eastAsia" w:ascii="宋体" w:hAnsi="宋体" w:eastAsia="宋体" w:cs="宋体"/>
          <w:color w:val="auto"/>
          <w:spacing w:val="-1"/>
          <w:sz w:val="23"/>
          <w:szCs w:val="23"/>
          <w:highlight w:val="none"/>
          <w:u w:val="single" w:color="auto"/>
          <w:lang w:eastAsia="zh-CN"/>
        </w:rPr>
        <w:t>）</w:t>
      </w:r>
      <w:r>
        <w:rPr>
          <w:rFonts w:hint="eastAsia" w:ascii="宋体" w:hAnsi="宋体" w:cs="宋体"/>
          <w:color w:val="auto"/>
          <w:spacing w:val="-1"/>
          <w:sz w:val="23"/>
          <w:szCs w:val="23"/>
          <w:highlight w:val="none"/>
          <w:u w:val="single" w:color="auto"/>
          <w:lang w:val="en-US" w:eastAsia="zh-CN"/>
        </w:rPr>
        <w:t xml:space="preserve">    </w:t>
      </w:r>
      <w:r>
        <w:rPr>
          <w:rFonts w:ascii="宋体" w:hAnsi="宋体" w:eastAsia="宋体" w:cs="宋体"/>
          <w:color w:val="auto"/>
          <w:spacing w:val="-1"/>
          <w:sz w:val="23"/>
          <w:szCs w:val="23"/>
          <w:highlight w:val="none"/>
          <w:u w:val="single" w:color="auto"/>
        </w:rPr>
        <w:t>，</w:t>
      </w:r>
      <w:r>
        <w:rPr>
          <w:rFonts w:ascii="宋体" w:hAnsi="宋体" w:eastAsia="宋体" w:cs="宋体"/>
          <w:color w:val="auto"/>
          <w:spacing w:val="-1"/>
          <w:sz w:val="23"/>
          <w:szCs w:val="23"/>
          <w:highlight w:val="none"/>
        </w:rPr>
        <w:t>属于</w:t>
      </w:r>
      <w:r>
        <w:rPr>
          <w:rFonts w:hint="eastAsia" w:ascii="宋体" w:hAnsi="宋体" w:eastAsia="宋体" w:cs="宋体"/>
          <w:color w:val="auto"/>
          <w:spacing w:val="-1"/>
          <w:sz w:val="23"/>
          <w:szCs w:val="23"/>
          <w:highlight w:val="none"/>
          <w:lang w:eastAsia="zh-CN"/>
        </w:rPr>
        <w:t>（其他未列明行业</w:t>
      </w:r>
      <w:r>
        <w:rPr>
          <w:rFonts w:hint="eastAsia" w:ascii="宋体" w:hAnsi="宋体" w:eastAsia="宋体" w:cs="宋体"/>
          <w:color w:val="auto"/>
          <w:sz w:val="23"/>
          <w:szCs w:val="23"/>
          <w:highlight w:val="none"/>
          <w:lang w:eastAsia="zh-CN"/>
        </w:rPr>
        <w:t>）</w:t>
      </w:r>
      <w:r>
        <w:rPr>
          <w:rFonts w:ascii="宋体" w:hAnsi="宋体" w:eastAsia="宋体" w:cs="宋体"/>
          <w:color w:val="auto"/>
          <w:sz w:val="23"/>
          <w:szCs w:val="23"/>
          <w:highlight w:val="none"/>
        </w:rPr>
        <w:t>；承建</w:t>
      </w:r>
      <w:r>
        <w:rPr>
          <w:rFonts w:hint="eastAsia" w:ascii="宋体" w:hAnsi="宋体" w:eastAsia="宋体" w:cs="宋体"/>
          <w:color w:val="auto"/>
          <w:sz w:val="23"/>
          <w:szCs w:val="23"/>
          <w:highlight w:val="none"/>
          <w:lang w:eastAsia="zh-CN"/>
        </w:rPr>
        <w:t>（</w:t>
      </w:r>
      <w:r>
        <w:rPr>
          <w:rFonts w:ascii="宋体" w:hAnsi="宋体" w:eastAsia="宋体" w:cs="宋体"/>
          <w:color w:val="auto"/>
          <w:sz w:val="23"/>
          <w:szCs w:val="23"/>
          <w:highlight w:val="none"/>
        </w:rPr>
        <w:t>承接</w:t>
      </w:r>
      <w:r>
        <w:rPr>
          <w:rFonts w:hint="eastAsia" w:ascii="宋体" w:hAnsi="宋体" w:eastAsia="宋体" w:cs="宋体"/>
          <w:color w:val="auto"/>
          <w:sz w:val="23"/>
          <w:szCs w:val="23"/>
          <w:highlight w:val="none"/>
          <w:lang w:eastAsia="zh-CN"/>
        </w:rPr>
        <w:t>）</w:t>
      </w:r>
      <w:r>
        <w:rPr>
          <w:rFonts w:ascii="宋体" w:hAnsi="宋体" w:eastAsia="宋体" w:cs="宋体"/>
          <w:color w:val="auto"/>
          <w:sz w:val="23"/>
          <w:szCs w:val="23"/>
          <w:highlight w:val="none"/>
        </w:rPr>
        <w:t>企业为</w:t>
      </w:r>
      <w:r>
        <w:rPr>
          <w:rFonts w:ascii="宋体" w:hAnsi="宋体" w:eastAsia="宋体" w:cs="宋体"/>
          <w:color w:val="auto"/>
          <w:sz w:val="23"/>
          <w:szCs w:val="23"/>
          <w:highlight w:val="none"/>
          <w:u w:val="single" w:color="auto"/>
        </w:rPr>
        <w:t xml:space="preserve"> </w:t>
      </w:r>
      <w:r>
        <w:rPr>
          <w:rFonts w:hint="eastAsia" w:ascii="宋体" w:hAnsi="宋体" w:cs="宋体"/>
          <w:color w:val="auto"/>
          <w:sz w:val="23"/>
          <w:szCs w:val="23"/>
          <w:highlight w:val="none"/>
          <w:u w:val="single" w:color="auto"/>
          <w:lang w:val="en-US" w:eastAsia="zh-CN"/>
        </w:rPr>
        <w:t xml:space="preserve">  </w:t>
      </w:r>
      <w:r>
        <w:rPr>
          <w:rFonts w:hint="eastAsia" w:ascii="宋体" w:hAnsi="宋体" w:eastAsia="宋体" w:cs="宋体"/>
          <w:color w:val="auto"/>
          <w:sz w:val="23"/>
          <w:szCs w:val="23"/>
          <w:highlight w:val="none"/>
          <w:u w:val="single" w:color="auto"/>
          <w:lang w:eastAsia="zh-CN"/>
        </w:rPr>
        <w:t>（</w:t>
      </w:r>
      <w:r>
        <w:rPr>
          <w:rFonts w:ascii="宋体" w:hAnsi="宋体" w:eastAsia="宋体" w:cs="宋体"/>
          <w:color w:val="auto"/>
          <w:sz w:val="23"/>
          <w:szCs w:val="23"/>
          <w:highlight w:val="none"/>
          <w:u w:val="single" w:color="auto"/>
        </w:rPr>
        <w:t>企业名称</w:t>
      </w:r>
      <w:r>
        <w:rPr>
          <w:rFonts w:hint="eastAsia" w:ascii="宋体" w:hAnsi="宋体" w:eastAsia="宋体" w:cs="宋体"/>
          <w:color w:val="auto"/>
          <w:sz w:val="23"/>
          <w:szCs w:val="23"/>
          <w:highlight w:val="none"/>
          <w:u w:val="single" w:color="auto"/>
          <w:lang w:eastAsia="zh-CN"/>
        </w:rPr>
        <w:t>）</w:t>
      </w:r>
      <w:r>
        <w:rPr>
          <w:rFonts w:ascii="宋体" w:hAnsi="宋体" w:eastAsia="宋体" w:cs="宋体"/>
          <w:color w:val="auto"/>
          <w:sz w:val="23"/>
          <w:szCs w:val="23"/>
          <w:highlight w:val="none"/>
        </w:rPr>
        <w:t xml:space="preserve">， </w:t>
      </w:r>
      <w:r>
        <w:rPr>
          <w:rFonts w:ascii="宋体" w:hAnsi="宋体" w:eastAsia="宋体" w:cs="宋体"/>
          <w:color w:val="auto"/>
          <w:spacing w:val="2"/>
          <w:sz w:val="23"/>
          <w:szCs w:val="23"/>
          <w:highlight w:val="none"/>
        </w:rPr>
        <w:t>从业人</w:t>
      </w:r>
      <w:r>
        <w:rPr>
          <w:rFonts w:ascii="宋体" w:hAnsi="宋体" w:eastAsia="宋体" w:cs="宋体"/>
          <w:color w:val="auto"/>
          <w:spacing w:val="1"/>
          <w:sz w:val="23"/>
          <w:szCs w:val="23"/>
          <w:highlight w:val="none"/>
        </w:rPr>
        <w:t>员</w:t>
      </w:r>
      <w:r>
        <w:rPr>
          <w:rFonts w:ascii="宋体" w:hAnsi="宋体" w:eastAsia="宋体" w:cs="宋体"/>
          <w:color w:val="auto"/>
          <w:spacing w:val="1"/>
          <w:sz w:val="23"/>
          <w:szCs w:val="23"/>
          <w:highlight w:val="none"/>
          <w:u w:val="single" w:color="auto"/>
        </w:rPr>
        <w:t xml:space="preserve">   </w:t>
      </w:r>
      <w:r>
        <w:rPr>
          <w:rFonts w:hint="eastAsia" w:ascii="宋体" w:hAnsi="宋体" w:cs="宋体"/>
          <w:color w:val="auto"/>
          <w:spacing w:val="1"/>
          <w:sz w:val="23"/>
          <w:szCs w:val="23"/>
          <w:highlight w:val="none"/>
          <w:u w:val="single" w:color="auto"/>
          <w:lang w:val="en-US" w:eastAsia="zh-CN"/>
        </w:rPr>
        <w:t xml:space="preserve"> </w:t>
      </w:r>
      <w:r>
        <w:rPr>
          <w:rFonts w:ascii="宋体" w:hAnsi="宋体" w:eastAsia="宋体" w:cs="宋体"/>
          <w:color w:val="auto"/>
          <w:spacing w:val="1"/>
          <w:sz w:val="23"/>
          <w:szCs w:val="23"/>
          <w:highlight w:val="none"/>
        </w:rPr>
        <w:t xml:space="preserve"> 人，营业收入为</w:t>
      </w:r>
      <w:r>
        <w:rPr>
          <w:rFonts w:ascii="宋体" w:hAnsi="宋体" w:eastAsia="宋体" w:cs="宋体"/>
          <w:color w:val="auto"/>
          <w:spacing w:val="1"/>
          <w:sz w:val="23"/>
          <w:szCs w:val="23"/>
          <w:highlight w:val="none"/>
          <w:u w:val="single" w:color="auto"/>
        </w:rPr>
        <w:t xml:space="preserve">  </w:t>
      </w:r>
      <w:r>
        <w:rPr>
          <w:rFonts w:hint="eastAsia" w:ascii="宋体" w:hAnsi="宋体" w:cs="宋体"/>
          <w:color w:val="auto"/>
          <w:spacing w:val="1"/>
          <w:sz w:val="23"/>
          <w:szCs w:val="23"/>
          <w:highlight w:val="none"/>
          <w:u w:val="single" w:color="auto"/>
          <w:lang w:val="en-US" w:eastAsia="zh-CN"/>
        </w:rPr>
        <w:t xml:space="preserve"> </w:t>
      </w:r>
      <w:r>
        <w:rPr>
          <w:rFonts w:ascii="宋体" w:hAnsi="宋体" w:eastAsia="宋体" w:cs="宋体"/>
          <w:color w:val="auto"/>
          <w:spacing w:val="1"/>
          <w:sz w:val="23"/>
          <w:szCs w:val="23"/>
          <w:highlight w:val="none"/>
          <w:u w:val="single" w:color="auto"/>
        </w:rPr>
        <w:t xml:space="preserve"> </w:t>
      </w:r>
      <w:r>
        <w:rPr>
          <w:rFonts w:ascii="宋体" w:hAnsi="宋体" w:eastAsia="宋体" w:cs="宋体"/>
          <w:color w:val="auto"/>
          <w:spacing w:val="1"/>
          <w:sz w:val="23"/>
          <w:szCs w:val="23"/>
          <w:highlight w:val="none"/>
        </w:rPr>
        <w:t>万元，资产总额为</w:t>
      </w:r>
      <w:r>
        <w:rPr>
          <w:rFonts w:ascii="宋体" w:hAnsi="宋体" w:eastAsia="宋体" w:cs="宋体"/>
          <w:color w:val="auto"/>
          <w:spacing w:val="1"/>
          <w:sz w:val="23"/>
          <w:szCs w:val="23"/>
          <w:highlight w:val="none"/>
          <w:u w:val="single" w:color="auto"/>
        </w:rPr>
        <w:t xml:space="preserve">    </w:t>
      </w:r>
      <w:r>
        <w:rPr>
          <w:rFonts w:ascii="宋体" w:hAnsi="宋体" w:eastAsia="宋体" w:cs="宋体"/>
          <w:color w:val="auto"/>
          <w:spacing w:val="1"/>
          <w:sz w:val="23"/>
          <w:szCs w:val="23"/>
          <w:highlight w:val="none"/>
        </w:rPr>
        <w:t xml:space="preserve">万元，属于 </w:t>
      </w:r>
      <w:r>
        <w:rPr>
          <w:rFonts w:hint="eastAsia" w:ascii="宋体" w:hAnsi="宋体" w:cs="宋体"/>
          <w:color w:val="auto"/>
          <w:spacing w:val="1"/>
          <w:sz w:val="23"/>
          <w:szCs w:val="23"/>
          <w:highlight w:val="none"/>
          <w:lang w:eastAsia="zh-CN"/>
        </w:rPr>
        <w:t>（</w:t>
      </w:r>
      <w:r>
        <w:rPr>
          <w:rFonts w:ascii="宋体" w:hAnsi="宋体" w:eastAsia="宋体" w:cs="宋体"/>
          <w:color w:val="auto"/>
          <w:spacing w:val="1"/>
          <w:sz w:val="23"/>
          <w:szCs w:val="23"/>
          <w:highlight w:val="none"/>
        </w:rPr>
        <w:t xml:space="preserve"> </w:t>
      </w:r>
      <w:r>
        <w:rPr>
          <w:rFonts w:ascii="宋体" w:hAnsi="宋体" w:eastAsia="宋体" w:cs="宋体"/>
          <w:color w:val="auto"/>
          <w:spacing w:val="1"/>
          <w:sz w:val="23"/>
          <w:szCs w:val="23"/>
          <w:highlight w:val="none"/>
          <w:u w:val="single" w:color="auto"/>
        </w:rPr>
        <w:t xml:space="preserve"> 中型企业、小</w:t>
      </w:r>
      <w:r>
        <w:rPr>
          <w:rFonts w:ascii="宋体" w:hAnsi="宋体" w:eastAsia="宋体" w:cs="宋体"/>
          <w:color w:val="auto"/>
          <w:sz w:val="23"/>
          <w:szCs w:val="23"/>
          <w:highlight w:val="none"/>
        </w:rPr>
        <w:t xml:space="preserve"> </w:t>
      </w:r>
      <w:r>
        <w:rPr>
          <w:rFonts w:ascii="宋体" w:hAnsi="宋体" w:eastAsia="宋体" w:cs="宋体"/>
          <w:color w:val="auto"/>
          <w:spacing w:val="9"/>
          <w:sz w:val="23"/>
          <w:szCs w:val="23"/>
          <w:highlight w:val="none"/>
          <w:u w:val="single" w:color="auto"/>
        </w:rPr>
        <w:t>型</w:t>
      </w:r>
      <w:r>
        <w:rPr>
          <w:rFonts w:ascii="宋体" w:hAnsi="宋体" w:eastAsia="宋体" w:cs="宋体"/>
          <w:color w:val="auto"/>
          <w:spacing w:val="7"/>
          <w:sz w:val="23"/>
          <w:szCs w:val="23"/>
          <w:highlight w:val="none"/>
          <w:u w:val="single" w:color="auto"/>
        </w:rPr>
        <w:t>企业、微型企业</w:t>
      </w:r>
      <w:r>
        <w:rPr>
          <w:rFonts w:hint="eastAsia" w:ascii="宋体" w:hAnsi="宋体" w:eastAsia="宋体" w:cs="宋体"/>
          <w:color w:val="auto"/>
          <w:spacing w:val="7"/>
          <w:sz w:val="23"/>
          <w:szCs w:val="23"/>
          <w:highlight w:val="none"/>
          <w:u w:val="single" w:color="auto"/>
          <w:lang w:eastAsia="zh-CN"/>
        </w:rPr>
        <w:t>）</w:t>
      </w:r>
      <w:r>
        <w:rPr>
          <w:rFonts w:ascii="宋体" w:hAnsi="宋体" w:eastAsia="宋体" w:cs="宋体"/>
          <w:color w:val="auto"/>
          <w:spacing w:val="7"/>
          <w:sz w:val="23"/>
          <w:szCs w:val="23"/>
          <w:highlight w:val="none"/>
          <w:u w:val="single" w:color="auto"/>
        </w:rPr>
        <w:t xml:space="preserve"> </w:t>
      </w:r>
      <w:r>
        <w:rPr>
          <w:rFonts w:ascii="宋体" w:hAnsi="宋体" w:eastAsia="宋体" w:cs="宋体"/>
          <w:color w:val="auto"/>
          <w:spacing w:val="7"/>
          <w:sz w:val="23"/>
          <w:szCs w:val="23"/>
          <w:highlight w:val="none"/>
        </w:rPr>
        <w:t>；</w:t>
      </w:r>
    </w:p>
    <w:p w14:paraId="6B1B9C3E">
      <w:pPr>
        <w:spacing w:before="2" w:line="375" w:lineRule="auto"/>
        <w:ind w:right="63" w:firstLine="3"/>
        <w:rPr>
          <w:rFonts w:ascii="宋体" w:hAnsi="宋体" w:eastAsia="宋体" w:cs="宋体"/>
          <w:color w:val="auto"/>
          <w:sz w:val="23"/>
          <w:szCs w:val="23"/>
          <w:highlight w:val="none"/>
        </w:rPr>
      </w:pPr>
    </w:p>
    <w:p w14:paraId="6299B584">
      <w:pPr>
        <w:spacing w:line="371" w:lineRule="exact"/>
        <w:ind w:left="16"/>
        <w:rPr>
          <w:rFonts w:ascii="宋体" w:hAnsi="宋体" w:eastAsia="宋体" w:cs="宋体"/>
          <w:color w:val="auto"/>
          <w:sz w:val="23"/>
          <w:szCs w:val="23"/>
          <w:highlight w:val="none"/>
        </w:rPr>
      </w:pPr>
      <w:r>
        <w:rPr>
          <w:rFonts w:ascii="宋体" w:hAnsi="宋体" w:eastAsia="宋体" w:cs="宋体"/>
          <w:color w:val="auto"/>
          <w:spacing w:val="5"/>
          <w:position w:val="3"/>
          <w:sz w:val="23"/>
          <w:szCs w:val="23"/>
          <w:highlight w:val="none"/>
        </w:rPr>
        <w:t>……</w:t>
      </w:r>
    </w:p>
    <w:p w14:paraId="60FDD84E">
      <w:pPr>
        <w:spacing w:before="95" w:line="376" w:lineRule="auto"/>
        <w:ind w:right="63" w:firstLine="388"/>
        <w:rPr>
          <w:rFonts w:ascii="宋体" w:hAnsi="宋体" w:eastAsia="宋体" w:cs="宋体"/>
          <w:color w:val="auto"/>
          <w:sz w:val="23"/>
          <w:szCs w:val="23"/>
          <w:highlight w:val="none"/>
        </w:rPr>
      </w:pPr>
      <w:r>
        <w:rPr>
          <w:rFonts w:ascii="宋体" w:hAnsi="宋体" w:eastAsia="宋体" w:cs="宋体"/>
          <w:color w:val="auto"/>
          <w:spacing w:val="7"/>
          <w:sz w:val="23"/>
          <w:szCs w:val="23"/>
          <w:highlight w:val="none"/>
        </w:rPr>
        <w:t>以上企业，不属于大企业的分支机构、不存在控股股东为大企业的情形，也不</w:t>
      </w:r>
      <w:r>
        <w:rPr>
          <w:rFonts w:ascii="宋体" w:hAnsi="宋体" w:eastAsia="宋体" w:cs="宋体"/>
          <w:color w:val="auto"/>
          <w:spacing w:val="3"/>
          <w:sz w:val="23"/>
          <w:szCs w:val="23"/>
          <w:highlight w:val="none"/>
        </w:rPr>
        <w:t>存</w:t>
      </w:r>
      <w:r>
        <w:rPr>
          <w:rFonts w:ascii="宋体" w:hAnsi="宋体" w:eastAsia="宋体" w:cs="宋体"/>
          <w:color w:val="auto"/>
          <w:sz w:val="23"/>
          <w:szCs w:val="23"/>
          <w:highlight w:val="none"/>
        </w:rPr>
        <w:t xml:space="preserve"> </w:t>
      </w:r>
      <w:r>
        <w:rPr>
          <w:rFonts w:ascii="宋体" w:hAnsi="宋体" w:eastAsia="宋体" w:cs="宋体"/>
          <w:color w:val="auto"/>
          <w:spacing w:val="9"/>
          <w:sz w:val="23"/>
          <w:szCs w:val="23"/>
          <w:highlight w:val="none"/>
        </w:rPr>
        <w:t>在与大企业的负责人为同一人的情形</w:t>
      </w:r>
      <w:r>
        <w:rPr>
          <w:rFonts w:ascii="宋体" w:hAnsi="宋体" w:eastAsia="宋体" w:cs="宋体"/>
          <w:color w:val="auto"/>
          <w:spacing w:val="7"/>
          <w:sz w:val="23"/>
          <w:szCs w:val="23"/>
          <w:highlight w:val="none"/>
        </w:rPr>
        <w:t>。</w:t>
      </w:r>
    </w:p>
    <w:p w14:paraId="24539A7A">
      <w:pPr>
        <w:spacing w:before="1" w:line="224" w:lineRule="auto"/>
        <w:ind w:left="361"/>
        <w:rPr>
          <w:rFonts w:ascii="宋体" w:hAnsi="宋体" w:eastAsia="宋体" w:cs="宋体"/>
          <w:color w:val="auto"/>
          <w:sz w:val="23"/>
          <w:szCs w:val="23"/>
          <w:highlight w:val="none"/>
        </w:rPr>
      </w:pPr>
      <w:r>
        <w:rPr>
          <w:rFonts w:ascii="宋体" w:hAnsi="宋体" w:eastAsia="宋体" w:cs="宋体"/>
          <w:color w:val="auto"/>
          <w:spacing w:val="18"/>
          <w:sz w:val="23"/>
          <w:szCs w:val="23"/>
          <w:highlight w:val="none"/>
        </w:rPr>
        <w:t>本</w:t>
      </w:r>
      <w:r>
        <w:rPr>
          <w:rFonts w:ascii="宋体" w:hAnsi="宋体" w:eastAsia="宋体" w:cs="宋体"/>
          <w:color w:val="auto"/>
          <w:spacing w:val="11"/>
          <w:sz w:val="23"/>
          <w:szCs w:val="23"/>
          <w:highlight w:val="none"/>
        </w:rPr>
        <w:t>企</w:t>
      </w:r>
      <w:r>
        <w:rPr>
          <w:rFonts w:ascii="宋体" w:hAnsi="宋体" w:eastAsia="宋体" w:cs="宋体"/>
          <w:color w:val="auto"/>
          <w:spacing w:val="9"/>
          <w:sz w:val="23"/>
          <w:szCs w:val="23"/>
          <w:highlight w:val="none"/>
        </w:rPr>
        <w:t>业对上述声明内容的真实性负责，如有虚假，将依法承担相应责任。</w:t>
      </w:r>
    </w:p>
    <w:p w14:paraId="20A63785">
      <w:pPr>
        <w:spacing w:line="260" w:lineRule="auto"/>
        <w:rPr>
          <w:rFonts w:ascii="Arial"/>
          <w:color w:val="auto"/>
          <w:sz w:val="21"/>
          <w:highlight w:val="none"/>
        </w:rPr>
      </w:pPr>
    </w:p>
    <w:p w14:paraId="34E37C18">
      <w:pPr>
        <w:spacing w:line="261" w:lineRule="auto"/>
        <w:rPr>
          <w:rFonts w:ascii="Arial"/>
          <w:color w:val="auto"/>
          <w:sz w:val="21"/>
          <w:highlight w:val="none"/>
        </w:rPr>
      </w:pPr>
    </w:p>
    <w:p w14:paraId="65503578">
      <w:pPr>
        <w:spacing w:line="261" w:lineRule="auto"/>
        <w:rPr>
          <w:rFonts w:ascii="Arial"/>
          <w:color w:val="auto"/>
          <w:sz w:val="21"/>
          <w:highlight w:val="none"/>
        </w:rPr>
      </w:pPr>
    </w:p>
    <w:p w14:paraId="7E3688BF">
      <w:pPr>
        <w:spacing w:line="261" w:lineRule="auto"/>
        <w:rPr>
          <w:rFonts w:ascii="Arial"/>
          <w:color w:val="auto"/>
          <w:sz w:val="21"/>
          <w:highlight w:val="none"/>
        </w:rPr>
      </w:pPr>
    </w:p>
    <w:p w14:paraId="2B3254A1">
      <w:pPr>
        <w:spacing w:before="75" w:line="227" w:lineRule="auto"/>
        <w:ind w:left="5044"/>
        <w:rPr>
          <w:rFonts w:ascii="宋体" w:hAnsi="宋体" w:eastAsia="宋体" w:cs="宋体"/>
          <w:color w:val="auto"/>
          <w:sz w:val="23"/>
          <w:szCs w:val="23"/>
          <w:highlight w:val="none"/>
        </w:rPr>
      </w:pPr>
      <w:r>
        <w:rPr>
          <w:rFonts w:ascii="宋体" w:hAnsi="宋体" w:eastAsia="宋体" w:cs="宋体"/>
          <w:color w:val="auto"/>
          <w:spacing w:val="8"/>
          <w:sz w:val="23"/>
          <w:szCs w:val="23"/>
          <w:highlight w:val="none"/>
        </w:rPr>
        <w:t>企</w:t>
      </w:r>
      <w:r>
        <w:rPr>
          <w:rFonts w:ascii="宋体" w:hAnsi="宋体" w:eastAsia="宋体" w:cs="宋体"/>
          <w:color w:val="auto"/>
          <w:spacing w:val="6"/>
          <w:sz w:val="23"/>
          <w:szCs w:val="23"/>
          <w:highlight w:val="none"/>
        </w:rPr>
        <w:t xml:space="preserve">业名称 </w:t>
      </w:r>
      <w:r>
        <w:rPr>
          <w:rFonts w:hint="eastAsia" w:ascii="宋体" w:hAnsi="宋体" w:eastAsia="宋体" w:cs="宋体"/>
          <w:color w:val="auto"/>
          <w:spacing w:val="6"/>
          <w:sz w:val="23"/>
          <w:szCs w:val="23"/>
          <w:highlight w:val="none"/>
          <w:lang w:eastAsia="zh-CN"/>
        </w:rPr>
        <w:t>（</w:t>
      </w:r>
      <w:r>
        <w:rPr>
          <w:rFonts w:hint="eastAsia" w:ascii="宋体"/>
          <w:color w:val="auto"/>
          <w:sz w:val="24"/>
          <w:highlight w:val="none"/>
        </w:rPr>
        <w:t>签章</w:t>
      </w:r>
      <w:r>
        <w:rPr>
          <w:rFonts w:hint="eastAsia" w:ascii="宋体" w:hAnsi="宋体" w:eastAsia="宋体" w:cs="宋体"/>
          <w:color w:val="auto"/>
          <w:spacing w:val="6"/>
          <w:sz w:val="23"/>
          <w:szCs w:val="23"/>
          <w:highlight w:val="none"/>
          <w:lang w:eastAsia="zh-CN"/>
        </w:rPr>
        <w:t>）</w:t>
      </w:r>
      <w:r>
        <w:rPr>
          <w:rFonts w:ascii="宋体" w:hAnsi="宋体" w:eastAsia="宋体" w:cs="宋体"/>
          <w:color w:val="auto"/>
          <w:spacing w:val="6"/>
          <w:sz w:val="23"/>
          <w:szCs w:val="23"/>
          <w:highlight w:val="none"/>
        </w:rPr>
        <w:t xml:space="preserve"> ：</w:t>
      </w:r>
    </w:p>
    <w:p w14:paraId="4ED286CE">
      <w:pPr>
        <w:spacing w:before="184" w:line="229" w:lineRule="auto"/>
        <w:ind w:left="5802"/>
        <w:rPr>
          <w:rFonts w:ascii="宋体" w:hAnsi="宋体" w:eastAsia="宋体" w:cs="宋体"/>
          <w:color w:val="auto"/>
          <w:sz w:val="23"/>
          <w:szCs w:val="23"/>
          <w:highlight w:val="none"/>
        </w:rPr>
      </w:pPr>
      <w:r>
        <w:rPr>
          <w:rFonts w:ascii="宋体" w:hAnsi="宋体" w:eastAsia="宋体" w:cs="宋体"/>
          <w:color w:val="auto"/>
          <w:spacing w:val="-11"/>
          <w:sz w:val="23"/>
          <w:szCs w:val="23"/>
          <w:highlight w:val="none"/>
        </w:rPr>
        <w:t>日</w:t>
      </w:r>
      <w:r>
        <w:rPr>
          <w:rFonts w:ascii="宋体" w:hAnsi="宋体" w:eastAsia="宋体" w:cs="宋体"/>
          <w:color w:val="auto"/>
          <w:spacing w:val="-10"/>
          <w:sz w:val="23"/>
          <w:szCs w:val="23"/>
          <w:highlight w:val="none"/>
        </w:rPr>
        <w:t>期：</w:t>
      </w:r>
    </w:p>
    <w:p w14:paraId="34355A04">
      <w:pPr>
        <w:ind w:right="-60" w:rightChars="-31"/>
        <w:rPr>
          <w:rFonts w:ascii="宋体" w:hAnsi="宋体"/>
          <w:b/>
          <w:color w:val="auto"/>
          <w:sz w:val="30"/>
          <w:szCs w:val="30"/>
          <w:highlight w:val="none"/>
        </w:rPr>
      </w:pPr>
    </w:p>
    <w:p w14:paraId="2BA86AD1">
      <w:pPr>
        <w:rPr>
          <w:rFonts w:ascii="宋体" w:hAnsi="宋体"/>
          <w:b/>
          <w:color w:val="auto"/>
          <w:sz w:val="30"/>
          <w:szCs w:val="30"/>
          <w:highlight w:val="none"/>
        </w:rPr>
      </w:pPr>
      <w:r>
        <w:rPr>
          <w:rFonts w:ascii="宋体" w:hAnsi="宋体"/>
          <w:b/>
          <w:color w:val="auto"/>
          <w:sz w:val="30"/>
          <w:szCs w:val="30"/>
          <w:highlight w:val="none"/>
        </w:rPr>
        <w:br w:type="page"/>
      </w:r>
    </w:p>
    <w:p w14:paraId="7223F0F1">
      <w:pPr>
        <w:ind w:right="-60" w:rightChars="-31"/>
        <w:rPr>
          <w:rFonts w:ascii="宋体" w:hAnsi="宋体"/>
          <w:b/>
          <w:color w:val="auto"/>
          <w:sz w:val="30"/>
          <w:szCs w:val="30"/>
          <w:highlight w:val="none"/>
        </w:rPr>
        <w:sectPr>
          <w:pgSz w:w="11907" w:h="16840"/>
          <w:pgMar w:top="1440" w:right="1803" w:bottom="1440" w:left="1803" w:header="851" w:footer="850" w:gutter="0"/>
          <w:pgNumType w:fmt="decimal"/>
          <w:cols w:space="720" w:num="1"/>
          <w:titlePg/>
          <w:docGrid w:type="linesAndChars" w:linePitch="312" w:charSpace="-3473"/>
        </w:sectPr>
      </w:pPr>
    </w:p>
    <w:bookmarkEnd w:id="790"/>
    <w:p w14:paraId="25BF860A">
      <w:pPr>
        <w:pStyle w:val="4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textAlignment w:val="center"/>
        <w:rPr>
          <w:rFonts w:ascii="微软雅黑" w:hAnsi="微软雅黑" w:eastAsia="微软雅黑" w:cs="微软雅黑"/>
          <w:i w:val="0"/>
          <w:iCs w:val="0"/>
          <w:caps w:val="0"/>
          <w:color w:val="auto"/>
          <w:spacing w:val="0"/>
          <w:sz w:val="21"/>
          <w:szCs w:val="21"/>
          <w:highlight w:val="none"/>
        </w:rPr>
      </w:pPr>
      <w:r>
        <w:rPr>
          <w:rStyle w:val="52"/>
          <w:rFonts w:hint="eastAsia" w:ascii="微软雅黑" w:hAnsi="微软雅黑" w:eastAsia="微软雅黑" w:cs="微软雅黑"/>
          <w:i w:val="0"/>
          <w:iCs w:val="0"/>
          <w:caps w:val="0"/>
          <w:color w:val="auto"/>
          <w:spacing w:val="0"/>
          <w:sz w:val="36"/>
          <w:szCs w:val="36"/>
          <w:highlight w:val="none"/>
        </w:rPr>
        <w:t>中小企业划型标准规定</w:t>
      </w:r>
    </w:p>
    <w:p w14:paraId="15CB1E65">
      <w:pPr>
        <w:pStyle w:val="4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textAlignment w:val="center"/>
        <w:rPr>
          <w:rFonts w:hint="eastAsia" w:ascii="微软雅黑" w:hAnsi="微软雅黑" w:eastAsia="微软雅黑" w:cs="微软雅黑"/>
          <w:i w:val="0"/>
          <w:iCs w:val="0"/>
          <w:caps w:val="0"/>
          <w:color w:val="auto"/>
          <w:spacing w:val="0"/>
          <w:sz w:val="21"/>
          <w:szCs w:val="21"/>
          <w:highlight w:val="none"/>
          <w:lang w:eastAsia="zh-CN"/>
        </w:rPr>
      </w:pPr>
      <w:r>
        <w:rPr>
          <w:rFonts w:hint="eastAsia" w:ascii="微软雅黑" w:hAnsi="微软雅黑" w:eastAsia="微软雅黑" w:cs="微软雅黑"/>
          <w:i w:val="0"/>
          <w:iCs w:val="0"/>
          <w:caps w:val="0"/>
          <w:color w:val="auto"/>
          <w:spacing w:val="0"/>
          <w:sz w:val="21"/>
          <w:szCs w:val="21"/>
          <w:highlight w:val="none"/>
        </w:rPr>
        <w:t>　　一、根据《中华人民共和国中小企业促进法》和《国务院关于进一步促进中小企业发展的若干意见》</w:t>
      </w:r>
      <w:r>
        <w:rPr>
          <w:rFonts w:hint="eastAsia" w:ascii="微软雅黑" w:hAnsi="微软雅黑" w:eastAsia="微软雅黑" w:cs="微软雅黑"/>
          <w:i w:val="0"/>
          <w:iCs w:val="0"/>
          <w:caps w:val="0"/>
          <w:color w:val="auto"/>
          <w:spacing w:val="0"/>
          <w:sz w:val="21"/>
          <w:szCs w:val="21"/>
          <w:highlight w:val="none"/>
          <w:lang w:eastAsia="zh-CN"/>
        </w:rPr>
        <w:t>（</w:t>
      </w:r>
      <w:r>
        <w:rPr>
          <w:rFonts w:hint="eastAsia" w:ascii="微软雅黑" w:hAnsi="微软雅黑" w:eastAsia="微软雅黑" w:cs="微软雅黑"/>
          <w:i w:val="0"/>
          <w:iCs w:val="0"/>
          <w:caps w:val="0"/>
          <w:color w:val="auto"/>
          <w:spacing w:val="0"/>
          <w:sz w:val="21"/>
          <w:szCs w:val="21"/>
          <w:highlight w:val="none"/>
        </w:rPr>
        <w:t>国发〔2009〕36号</w:t>
      </w:r>
      <w:r>
        <w:rPr>
          <w:rFonts w:hint="eastAsia" w:ascii="微软雅黑" w:hAnsi="微软雅黑" w:eastAsia="微软雅黑" w:cs="微软雅黑"/>
          <w:i w:val="0"/>
          <w:iCs w:val="0"/>
          <w:caps w:val="0"/>
          <w:color w:val="auto"/>
          <w:spacing w:val="0"/>
          <w:sz w:val="21"/>
          <w:szCs w:val="21"/>
          <w:highlight w:val="none"/>
          <w:lang w:eastAsia="zh-CN"/>
        </w:rPr>
        <w:t>）</w:t>
      </w:r>
      <w:r>
        <w:rPr>
          <w:rFonts w:hint="eastAsia" w:ascii="微软雅黑" w:hAnsi="微软雅黑" w:eastAsia="微软雅黑" w:cs="微软雅黑"/>
          <w:i w:val="0"/>
          <w:iCs w:val="0"/>
          <w:caps w:val="0"/>
          <w:color w:val="auto"/>
          <w:spacing w:val="0"/>
          <w:sz w:val="21"/>
          <w:szCs w:val="21"/>
          <w:highlight w:val="none"/>
        </w:rPr>
        <w:t>，制定本规定。</w:t>
      </w:r>
    </w:p>
    <w:p w14:paraId="5B4CA85F">
      <w:pPr>
        <w:pStyle w:val="4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textAlignment w:val="center"/>
        <w:rPr>
          <w:rFonts w:hint="eastAsia" w:ascii="微软雅黑" w:hAnsi="微软雅黑" w:eastAsia="微软雅黑" w:cs="微软雅黑"/>
          <w:i w:val="0"/>
          <w:iCs w:val="0"/>
          <w:caps w:val="0"/>
          <w:color w:val="auto"/>
          <w:spacing w:val="0"/>
          <w:sz w:val="21"/>
          <w:szCs w:val="21"/>
          <w:highlight w:val="none"/>
          <w:lang w:eastAsia="zh-CN"/>
        </w:rPr>
      </w:pPr>
      <w:r>
        <w:rPr>
          <w:rFonts w:hint="eastAsia" w:ascii="微软雅黑" w:hAnsi="微软雅黑" w:eastAsia="微软雅黑" w:cs="微软雅黑"/>
          <w:i w:val="0"/>
          <w:iCs w:val="0"/>
          <w:caps w:val="0"/>
          <w:color w:val="auto"/>
          <w:spacing w:val="0"/>
          <w:sz w:val="21"/>
          <w:szCs w:val="21"/>
          <w:highlight w:val="none"/>
        </w:rPr>
        <w:t>　　二、中小企业划分为中型、小型、微型三种类型，具体标准根据企业从业人员、营业收入、资产总额等指标，结合行业特点制定。</w:t>
      </w:r>
    </w:p>
    <w:p w14:paraId="6E712546">
      <w:pPr>
        <w:pStyle w:val="4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textAlignment w:val="center"/>
        <w:rPr>
          <w:rFonts w:hint="eastAsia" w:ascii="微软雅黑" w:hAnsi="微软雅黑" w:eastAsia="微软雅黑" w:cs="微软雅黑"/>
          <w:i w:val="0"/>
          <w:iCs w:val="0"/>
          <w:caps w:val="0"/>
          <w:color w:val="auto"/>
          <w:spacing w:val="0"/>
          <w:sz w:val="21"/>
          <w:szCs w:val="21"/>
          <w:highlight w:val="none"/>
          <w:lang w:eastAsia="zh-CN"/>
        </w:rPr>
      </w:pPr>
      <w:r>
        <w:rPr>
          <w:rFonts w:hint="eastAsia" w:ascii="微软雅黑" w:hAnsi="微软雅黑" w:eastAsia="微软雅黑" w:cs="微软雅黑"/>
          <w:i w:val="0"/>
          <w:iCs w:val="0"/>
          <w:caps w:val="0"/>
          <w:color w:val="auto"/>
          <w:spacing w:val="0"/>
          <w:sz w:val="21"/>
          <w:szCs w:val="21"/>
          <w:highlight w:val="none"/>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4C79485E">
      <w:pPr>
        <w:pStyle w:val="4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textAlignment w:val="center"/>
        <w:rPr>
          <w:rFonts w:hint="eastAsia" w:ascii="微软雅黑" w:hAnsi="微软雅黑" w:eastAsia="微软雅黑" w:cs="微软雅黑"/>
          <w:i w:val="0"/>
          <w:iCs w:val="0"/>
          <w:caps w:val="0"/>
          <w:color w:val="auto"/>
          <w:spacing w:val="0"/>
          <w:sz w:val="21"/>
          <w:szCs w:val="21"/>
          <w:highlight w:val="none"/>
          <w:lang w:eastAsia="zh-CN"/>
        </w:rPr>
      </w:pPr>
      <w:r>
        <w:rPr>
          <w:rFonts w:hint="eastAsia" w:ascii="微软雅黑" w:hAnsi="微软雅黑" w:eastAsia="微软雅黑" w:cs="微软雅黑"/>
          <w:i w:val="0"/>
          <w:iCs w:val="0"/>
          <w:caps w:val="0"/>
          <w:color w:val="auto"/>
          <w:spacing w:val="0"/>
          <w:sz w:val="21"/>
          <w:szCs w:val="21"/>
          <w:highlight w:val="none"/>
        </w:rPr>
        <w:t>　　四、各行业划型标准为：</w:t>
      </w:r>
    </w:p>
    <w:p w14:paraId="6C1D9740">
      <w:pPr>
        <w:pStyle w:val="4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textAlignment w:val="center"/>
        <w:rPr>
          <w:rFonts w:hint="eastAsia" w:ascii="微软雅黑" w:hAnsi="微软雅黑" w:eastAsia="微软雅黑" w:cs="微软雅黑"/>
          <w:i w:val="0"/>
          <w:iCs w:val="0"/>
          <w:caps w:val="0"/>
          <w:color w:val="auto"/>
          <w:spacing w:val="0"/>
          <w:sz w:val="21"/>
          <w:szCs w:val="21"/>
          <w:highlight w:val="none"/>
          <w:lang w:eastAsia="zh-CN"/>
        </w:rPr>
      </w:pPr>
      <w:r>
        <w:rPr>
          <w:rFonts w:hint="eastAsia" w:ascii="微软雅黑" w:hAnsi="微软雅黑" w:eastAsia="微软雅黑" w:cs="微软雅黑"/>
          <w:i w:val="0"/>
          <w:iCs w:val="0"/>
          <w:caps w:val="0"/>
          <w:color w:val="auto"/>
          <w:spacing w:val="0"/>
          <w:sz w:val="21"/>
          <w:szCs w:val="21"/>
          <w:highlight w:val="none"/>
        </w:rPr>
        <w:t>　　（一）农、林、牧、渔业。营业收入20000万元以下的为中小微型企业。其中，营业收入500万元及以上的为中型企业，营业收入50万元及以上的为小型企业，营业收入50万元以下的为微型企业。</w:t>
      </w:r>
    </w:p>
    <w:p w14:paraId="3376978C">
      <w:pPr>
        <w:pStyle w:val="4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textAlignment w:val="center"/>
        <w:rPr>
          <w:rFonts w:hint="eastAsia" w:ascii="微软雅黑" w:hAnsi="微软雅黑" w:eastAsia="微软雅黑" w:cs="微软雅黑"/>
          <w:i w:val="0"/>
          <w:iCs w:val="0"/>
          <w:caps w:val="0"/>
          <w:color w:val="auto"/>
          <w:spacing w:val="0"/>
          <w:sz w:val="21"/>
          <w:szCs w:val="21"/>
          <w:highlight w:val="none"/>
          <w:lang w:eastAsia="zh-CN"/>
        </w:rPr>
      </w:pPr>
      <w:r>
        <w:rPr>
          <w:rFonts w:hint="eastAsia" w:ascii="微软雅黑" w:hAnsi="微软雅黑" w:eastAsia="微软雅黑" w:cs="微软雅黑"/>
          <w:i w:val="0"/>
          <w:iCs w:val="0"/>
          <w:caps w:val="0"/>
          <w:color w:val="auto"/>
          <w:spacing w:val="0"/>
          <w:sz w:val="21"/>
          <w:szCs w:val="21"/>
          <w:highlight w:val="none"/>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2CDD96F4">
      <w:pPr>
        <w:pStyle w:val="4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textAlignment w:val="center"/>
        <w:rPr>
          <w:rFonts w:hint="eastAsia" w:ascii="微软雅黑" w:hAnsi="微软雅黑" w:eastAsia="微软雅黑" w:cs="微软雅黑"/>
          <w:i w:val="0"/>
          <w:iCs w:val="0"/>
          <w:caps w:val="0"/>
          <w:color w:val="auto"/>
          <w:spacing w:val="0"/>
          <w:sz w:val="21"/>
          <w:szCs w:val="21"/>
          <w:highlight w:val="none"/>
          <w:lang w:eastAsia="zh-CN"/>
        </w:rPr>
      </w:pPr>
      <w:r>
        <w:rPr>
          <w:rFonts w:hint="eastAsia" w:ascii="微软雅黑" w:hAnsi="微软雅黑" w:eastAsia="微软雅黑" w:cs="微软雅黑"/>
          <w:i w:val="0"/>
          <w:iCs w:val="0"/>
          <w:caps w:val="0"/>
          <w:color w:val="auto"/>
          <w:spacing w:val="0"/>
          <w:sz w:val="21"/>
          <w:szCs w:val="21"/>
          <w:highlight w:val="none"/>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0D795BF4">
      <w:pPr>
        <w:pStyle w:val="4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textAlignment w:val="center"/>
        <w:rPr>
          <w:rFonts w:hint="eastAsia" w:ascii="微软雅黑" w:hAnsi="微软雅黑" w:eastAsia="微软雅黑" w:cs="微软雅黑"/>
          <w:i w:val="0"/>
          <w:iCs w:val="0"/>
          <w:caps w:val="0"/>
          <w:color w:val="auto"/>
          <w:spacing w:val="0"/>
          <w:sz w:val="21"/>
          <w:szCs w:val="21"/>
          <w:highlight w:val="none"/>
          <w:lang w:eastAsia="zh-CN"/>
        </w:rPr>
      </w:pPr>
      <w:r>
        <w:rPr>
          <w:rFonts w:hint="eastAsia" w:ascii="微软雅黑" w:hAnsi="微软雅黑" w:eastAsia="微软雅黑" w:cs="微软雅黑"/>
          <w:i w:val="0"/>
          <w:iCs w:val="0"/>
          <w:caps w:val="0"/>
          <w:color w:val="auto"/>
          <w:spacing w:val="0"/>
          <w:sz w:val="21"/>
          <w:szCs w:val="21"/>
          <w:highlight w:val="none"/>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2E39E389">
      <w:pPr>
        <w:pStyle w:val="4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textAlignment w:val="center"/>
        <w:rPr>
          <w:rFonts w:hint="eastAsia" w:ascii="微软雅黑" w:hAnsi="微软雅黑" w:eastAsia="微软雅黑" w:cs="微软雅黑"/>
          <w:i w:val="0"/>
          <w:iCs w:val="0"/>
          <w:caps w:val="0"/>
          <w:color w:val="auto"/>
          <w:spacing w:val="0"/>
          <w:sz w:val="21"/>
          <w:szCs w:val="21"/>
          <w:highlight w:val="none"/>
          <w:lang w:eastAsia="zh-CN"/>
        </w:rPr>
      </w:pPr>
      <w:r>
        <w:rPr>
          <w:rFonts w:hint="eastAsia" w:ascii="微软雅黑" w:hAnsi="微软雅黑" w:eastAsia="微软雅黑" w:cs="微软雅黑"/>
          <w:i w:val="0"/>
          <w:iCs w:val="0"/>
          <w:caps w:val="0"/>
          <w:color w:val="auto"/>
          <w:spacing w:val="0"/>
          <w:sz w:val="21"/>
          <w:szCs w:val="21"/>
          <w:highlight w:val="none"/>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4F51E9EF">
      <w:pPr>
        <w:pStyle w:val="4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textAlignment w:val="center"/>
        <w:rPr>
          <w:rFonts w:hint="eastAsia" w:ascii="微软雅黑" w:hAnsi="微软雅黑" w:eastAsia="微软雅黑" w:cs="微软雅黑"/>
          <w:i w:val="0"/>
          <w:iCs w:val="0"/>
          <w:caps w:val="0"/>
          <w:color w:val="auto"/>
          <w:spacing w:val="0"/>
          <w:sz w:val="21"/>
          <w:szCs w:val="21"/>
          <w:highlight w:val="none"/>
          <w:lang w:eastAsia="zh-CN"/>
        </w:rPr>
      </w:pPr>
      <w:r>
        <w:rPr>
          <w:rFonts w:hint="eastAsia" w:ascii="微软雅黑" w:hAnsi="微软雅黑" w:eastAsia="微软雅黑" w:cs="微软雅黑"/>
          <w:i w:val="0"/>
          <w:iCs w:val="0"/>
          <w:caps w:val="0"/>
          <w:color w:val="auto"/>
          <w:spacing w:val="0"/>
          <w:sz w:val="21"/>
          <w:szCs w:val="21"/>
          <w:highlight w:val="none"/>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0390E7A1">
      <w:pPr>
        <w:pStyle w:val="4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textAlignment w:val="center"/>
        <w:rPr>
          <w:rFonts w:hint="eastAsia" w:ascii="微软雅黑" w:hAnsi="微软雅黑" w:eastAsia="微软雅黑" w:cs="微软雅黑"/>
          <w:i w:val="0"/>
          <w:iCs w:val="0"/>
          <w:caps w:val="0"/>
          <w:color w:val="auto"/>
          <w:spacing w:val="0"/>
          <w:sz w:val="21"/>
          <w:szCs w:val="21"/>
          <w:highlight w:val="none"/>
          <w:lang w:eastAsia="zh-CN"/>
        </w:rPr>
      </w:pPr>
      <w:r>
        <w:rPr>
          <w:rFonts w:hint="eastAsia" w:ascii="微软雅黑" w:hAnsi="微软雅黑" w:eastAsia="微软雅黑" w:cs="微软雅黑"/>
          <w:i w:val="0"/>
          <w:iCs w:val="0"/>
          <w:caps w:val="0"/>
          <w:color w:val="auto"/>
          <w:spacing w:val="0"/>
          <w:sz w:val="21"/>
          <w:szCs w:val="21"/>
          <w:highlight w:val="none"/>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004BEB66">
      <w:pPr>
        <w:pStyle w:val="4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textAlignment w:val="center"/>
        <w:rPr>
          <w:rFonts w:hint="eastAsia" w:ascii="微软雅黑" w:hAnsi="微软雅黑" w:eastAsia="微软雅黑" w:cs="微软雅黑"/>
          <w:i w:val="0"/>
          <w:iCs w:val="0"/>
          <w:caps w:val="0"/>
          <w:color w:val="auto"/>
          <w:spacing w:val="0"/>
          <w:sz w:val="21"/>
          <w:szCs w:val="21"/>
          <w:highlight w:val="none"/>
          <w:lang w:eastAsia="zh-CN"/>
        </w:rPr>
      </w:pPr>
      <w:r>
        <w:rPr>
          <w:rFonts w:hint="eastAsia" w:ascii="微软雅黑" w:hAnsi="微软雅黑" w:eastAsia="微软雅黑" w:cs="微软雅黑"/>
          <w:i w:val="0"/>
          <w:iCs w:val="0"/>
          <w:caps w:val="0"/>
          <w:color w:val="auto"/>
          <w:spacing w:val="0"/>
          <w:sz w:val="21"/>
          <w:szCs w:val="21"/>
          <w:highlight w:val="none"/>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41B91BEF">
      <w:pPr>
        <w:pStyle w:val="4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textAlignment w:val="center"/>
        <w:rPr>
          <w:rFonts w:hint="eastAsia" w:ascii="微软雅黑" w:hAnsi="微软雅黑" w:eastAsia="微软雅黑" w:cs="微软雅黑"/>
          <w:i w:val="0"/>
          <w:iCs w:val="0"/>
          <w:caps w:val="0"/>
          <w:color w:val="auto"/>
          <w:spacing w:val="0"/>
          <w:sz w:val="21"/>
          <w:szCs w:val="21"/>
          <w:highlight w:val="none"/>
          <w:lang w:eastAsia="zh-CN"/>
        </w:rPr>
      </w:pPr>
      <w:r>
        <w:rPr>
          <w:rFonts w:hint="eastAsia" w:ascii="微软雅黑" w:hAnsi="微软雅黑" w:eastAsia="微软雅黑" w:cs="微软雅黑"/>
          <w:i w:val="0"/>
          <w:iCs w:val="0"/>
          <w:caps w:val="0"/>
          <w:color w:val="auto"/>
          <w:spacing w:val="0"/>
          <w:sz w:val="21"/>
          <w:szCs w:val="21"/>
          <w:highlight w:val="none"/>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ABC5203">
      <w:pPr>
        <w:pStyle w:val="4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textAlignment w:val="center"/>
        <w:rPr>
          <w:rFonts w:hint="eastAsia" w:ascii="微软雅黑" w:hAnsi="微软雅黑" w:eastAsia="微软雅黑" w:cs="微软雅黑"/>
          <w:i w:val="0"/>
          <w:iCs w:val="0"/>
          <w:caps w:val="0"/>
          <w:color w:val="auto"/>
          <w:spacing w:val="0"/>
          <w:sz w:val="21"/>
          <w:szCs w:val="21"/>
          <w:highlight w:val="none"/>
          <w:lang w:eastAsia="zh-CN"/>
        </w:rPr>
      </w:pPr>
      <w:r>
        <w:rPr>
          <w:rFonts w:hint="eastAsia" w:ascii="微软雅黑" w:hAnsi="微软雅黑" w:eastAsia="微软雅黑" w:cs="微软雅黑"/>
          <w:i w:val="0"/>
          <w:iCs w:val="0"/>
          <w:caps w:val="0"/>
          <w:color w:val="auto"/>
          <w:spacing w:val="0"/>
          <w:sz w:val="21"/>
          <w:szCs w:val="21"/>
          <w:highlight w:val="none"/>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37C99C4">
      <w:pPr>
        <w:pStyle w:val="4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textAlignment w:val="center"/>
        <w:rPr>
          <w:rFonts w:hint="eastAsia" w:ascii="微软雅黑" w:hAnsi="微软雅黑" w:eastAsia="微软雅黑" w:cs="微软雅黑"/>
          <w:i w:val="0"/>
          <w:iCs w:val="0"/>
          <w:caps w:val="0"/>
          <w:color w:val="auto"/>
          <w:spacing w:val="0"/>
          <w:sz w:val="21"/>
          <w:szCs w:val="21"/>
          <w:highlight w:val="none"/>
          <w:lang w:eastAsia="zh-CN"/>
        </w:rPr>
      </w:pPr>
      <w:r>
        <w:rPr>
          <w:rFonts w:hint="eastAsia" w:ascii="微软雅黑" w:hAnsi="微软雅黑" w:eastAsia="微软雅黑" w:cs="微软雅黑"/>
          <w:i w:val="0"/>
          <w:iCs w:val="0"/>
          <w:caps w:val="0"/>
          <w:color w:val="auto"/>
          <w:spacing w:val="0"/>
          <w:sz w:val="21"/>
          <w:szCs w:val="21"/>
          <w:highlight w:val="none"/>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29350750">
      <w:pPr>
        <w:pStyle w:val="4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textAlignment w:val="center"/>
        <w:rPr>
          <w:rFonts w:hint="eastAsia" w:ascii="微软雅黑" w:hAnsi="微软雅黑" w:eastAsia="微软雅黑" w:cs="微软雅黑"/>
          <w:i w:val="0"/>
          <w:iCs w:val="0"/>
          <w:caps w:val="0"/>
          <w:color w:val="auto"/>
          <w:spacing w:val="0"/>
          <w:sz w:val="21"/>
          <w:szCs w:val="21"/>
          <w:highlight w:val="none"/>
          <w:lang w:eastAsia="zh-CN"/>
        </w:rPr>
      </w:pPr>
      <w:r>
        <w:rPr>
          <w:rFonts w:hint="eastAsia" w:ascii="微软雅黑" w:hAnsi="微软雅黑" w:eastAsia="微软雅黑" w:cs="微软雅黑"/>
          <w:i w:val="0"/>
          <w:iCs w:val="0"/>
          <w:caps w:val="0"/>
          <w:color w:val="auto"/>
          <w:spacing w:val="0"/>
          <w:sz w:val="21"/>
          <w:szCs w:val="21"/>
          <w:highlight w:val="none"/>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6567735E">
      <w:pPr>
        <w:pStyle w:val="4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textAlignment w:val="center"/>
        <w:rPr>
          <w:rFonts w:hint="eastAsia" w:ascii="微软雅黑" w:hAnsi="微软雅黑" w:eastAsia="微软雅黑" w:cs="微软雅黑"/>
          <w:i w:val="0"/>
          <w:iCs w:val="0"/>
          <w:caps w:val="0"/>
          <w:color w:val="auto"/>
          <w:spacing w:val="0"/>
          <w:sz w:val="21"/>
          <w:szCs w:val="21"/>
          <w:highlight w:val="none"/>
          <w:lang w:eastAsia="zh-CN"/>
        </w:rPr>
      </w:pPr>
      <w:r>
        <w:rPr>
          <w:rFonts w:hint="eastAsia" w:ascii="微软雅黑" w:hAnsi="微软雅黑" w:eastAsia="微软雅黑" w:cs="微软雅黑"/>
          <w:i w:val="0"/>
          <w:iCs w:val="0"/>
          <w:caps w:val="0"/>
          <w:color w:val="auto"/>
          <w:spacing w:val="0"/>
          <w:sz w:val="21"/>
          <w:szCs w:val="21"/>
          <w:highlight w:val="none"/>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7DE14050">
      <w:pPr>
        <w:pStyle w:val="4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textAlignment w:val="center"/>
        <w:rPr>
          <w:rFonts w:hint="eastAsia" w:ascii="微软雅黑" w:hAnsi="微软雅黑" w:eastAsia="微软雅黑" w:cs="微软雅黑"/>
          <w:i w:val="0"/>
          <w:iCs w:val="0"/>
          <w:caps w:val="0"/>
          <w:color w:val="auto"/>
          <w:spacing w:val="0"/>
          <w:sz w:val="21"/>
          <w:szCs w:val="21"/>
          <w:highlight w:val="none"/>
          <w:lang w:eastAsia="zh-CN"/>
        </w:rPr>
      </w:pPr>
      <w:r>
        <w:rPr>
          <w:rFonts w:hint="eastAsia" w:ascii="微软雅黑" w:hAnsi="微软雅黑" w:eastAsia="微软雅黑" w:cs="微软雅黑"/>
          <w:i w:val="0"/>
          <w:iCs w:val="0"/>
          <w:caps w:val="0"/>
          <w:color w:val="auto"/>
          <w:spacing w:val="0"/>
          <w:sz w:val="21"/>
          <w:szCs w:val="21"/>
          <w:highlight w:val="none"/>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63E4850B">
      <w:pPr>
        <w:pStyle w:val="4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textAlignment w:val="center"/>
        <w:rPr>
          <w:rFonts w:hint="eastAsia" w:ascii="微软雅黑" w:hAnsi="微软雅黑" w:eastAsia="微软雅黑" w:cs="微软雅黑"/>
          <w:i w:val="0"/>
          <w:iCs w:val="0"/>
          <w:caps w:val="0"/>
          <w:color w:val="auto"/>
          <w:spacing w:val="0"/>
          <w:sz w:val="21"/>
          <w:szCs w:val="21"/>
          <w:highlight w:val="none"/>
          <w:lang w:eastAsia="zh-CN"/>
        </w:rPr>
      </w:pPr>
      <w:r>
        <w:rPr>
          <w:rFonts w:hint="eastAsia" w:ascii="微软雅黑" w:hAnsi="微软雅黑" w:eastAsia="微软雅黑" w:cs="微软雅黑"/>
          <w:i w:val="0"/>
          <w:iCs w:val="0"/>
          <w:caps w:val="0"/>
          <w:color w:val="auto"/>
          <w:spacing w:val="0"/>
          <w:sz w:val="21"/>
          <w:szCs w:val="21"/>
          <w:highlight w:val="none"/>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3B91284E">
      <w:pPr>
        <w:pStyle w:val="4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textAlignment w:val="center"/>
        <w:rPr>
          <w:rFonts w:ascii="宋体" w:hAnsi="宋体"/>
          <w:b/>
          <w:bCs/>
          <w:color w:val="auto"/>
          <w:kern w:val="0"/>
          <w:sz w:val="30"/>
          <w:szCs w:val="30"/>
          <w:highlight w:val="none"/>
        </w:rPr>
      </w:pPr>
      <w:r>
        <w:rPr>
          <w:rFonts w:hint="eastAsia" w:ascii="微软雅黑" w:hAnsi="微软雅黑" w:eastAsia="微软雅黑" w:cs="微软雅黑"/>
          <w:i w:val="0"/>
          <w:iCs w:val="0"/>
          <w:caps w:val="0"/>
          <w:color w:val="auto"/>
          <w:spacing w:val="0"/>
          <w:sz w:val="21"/>
          <w:szCs w:val="21"/>
          <w:highlight w:val="none"/>
        </w:rPr>
        <w:t>　　（十六）其他未列明行业。从业人员300人以下的为中小微型企业。其中，从业人员100人及以上的为中型企业；从业人员10人及以上的为小型企业；从业人员10人以下的为微型企业。</w:t>
      </w:r>
    </w:p>
    <w:p w14:paraId="21C14D70">
      <w:pPr>
        <w:autoSpaceDE w:val="0"/>
        <w:autoSpaceDN w:val="0"/>
        <w:adjustRightInd w:val="0"/>
        <w:spacing w:before="159" w:beforeLines="50" w:after="159" w:afterLines="50"/>
        <w:rPr>
          <w:rFonts w:ascii="宋体" w:hAnsi="宋体"/>
          <w:b/>
          <w:bCs/>
          <w:color w:val="auto"/>
          <w:kern w:val="0"/>
          <w:sz w:val="30"/>
          <w:szCs w:val="30"/>
          <w:highlight w:val="none"/>
        </w:rPr>
        <w:sectPr>
          <w:type w:val="continuous"/>
          <w:pgSz w:w="11907" w:h="16840"/>
          <w:pgMar w:top="1440" w:right="1803" w:bottom="1440" w:left="1803" w:header="851" w:footer="850" w:gutter="0"/>
          <w:pgNumType w:fmt="decimal"/>
          <w:cols w:space="720" w:num="1"/>
          <w:titlePg/>
          <w:docGrid w:type="linesAndChars" w:linePitch="319" w:charSpace="-3473"/>
        </w:sectPr>
      </w:pPr>
    </w:p>
    <w:p w14:paraId="7D7369CE">
      <w:pPr>
        <w:pStyle w:val="4"/>
        <w:jc w:val="center"/>
        <w:outlineLvl w:val="1"/>
        <w:rPr>
          <w:rFonts w:ascii="黑体" w:hAnsi="黑体" w:eastAsia="黑体"/>
          <w:b w:val="0"/>
          <w:bCs w:val="0"/>
          <w:color w:val="auto"/>
          <w:kern w:val="0"/>
          <w:sz w:val="30"/>
          <w:szCs w:val="30"/>
          <w:highlight w:val="none"/>
        </w:rPr>
      </w:pPr>
      <w:bookmarkStart w:id="791" w:name="_Toc3984"/>
      <w:bookmarkStart w:id="792" w:name="_Toc17751"/>
      <w:r>
        <w:rPr>
          <w:rFonts w:hint="eastAsia" w:ascii="黑体" w:hAnsi="黑体" w:eastAsia="黑体"/>
          <w:b w:val="0"/>
          <w:bCs w:val="0"/>
          <w:color w:val="auto"/>
          <w:kern w:val="0"/>
          <w:sz w:val="30"/>
          <w:szCs w:val="30"/>
          <w:highlight w:val="none"/>
        </w:rPr>
        <w:t>残疾人福利性单位声明函</w:t>
      </w:r>
      <w:bookmarkEnd w:id="791"/>
      <w:bookmarkEnd w:id="792"/>
    </w:p>
    <w:p w14:paraId="050E1A9C">
      <w:pPr>
        <w:autoSpaceDE w:val="0"/>
        <w:autoSpaceDN w:val="0"/>
        <w:adjustRightInd w:val="0"/>
        <w:spacing w:before="159" w:beforeLines="50" w:after="159" w:afterLines="50"/>
        <w:ind w:firstLine="480" w:firstLineChars="200"/>
        <w:jc w:val="center"/>
        <w:rPr>
          <w:rFonts w:ascii="宋体" w:hAnsi="宋体"/>
          <w:snapToGrid w:val="0"/>
          <w:color w:val="auto"/>
          <w:kern w:val="0"/>
          <w:sz w:val="24"/>
          <w:highlight w:val="none"/>
        </w:rPr>
      </w:pPr>
      <w:r>
        <w:rPr>
          <w:rFonts w:hint="eastAsia" w:ascii="宋体" w:hAnsi="宋体"/>
          <w:snapToGrid w:val="0"/>
          <w:color w:val="auto"/>
          <w:kern w:val="0"/>
          <w:sz w:val="24"/>
          <w:highlight w:val="none"/>
        </w:rPr>
        <w:t>（如果是，提供）</w:t>
      </w:r>
    </w:p>
    <w:p w14:paraId="081377B2">
      <w:pPr>
        <w:autoSpaceDE w:val="0"/>
        <w:autoSpaceDN w:val="0"/>
        <w:adjustRightInd w:val="0"/>
        <w:spacing w:before="159" w:beforeLines="50" w:after="159" w:afterLines="50"/>
        <w:ind w:firstLine="480" w:firstLineChars="200"/>
        <w:rPr>
          <w:rFonts w:ascii="宋体" w:hAnsi="宋体"/>
          <w:snapToGrid w:val="0"/>
          <w:color w:val="auto"/>
          <w:kern w:val="0"/>
          <w:sz w:val="24"/>
          <w:highlight w:val="none"/>
        </w:rPr>
      </w:pPr>
      <w:r>
        <w:rPr>
          <w:rFonts w:hint="eastAsia" w:ascii="宋体" w:hAnsi="宋体"/>
          <w:snapToGrid w:val="0"/>
          <w:color w:val="auto"/>
          <w:kern w:val="0"/>
          <w:sz w:val="24"/>
          <w:highlight w:val="none"/>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01B0C2B5">
      <w:pPr>
        <w:autoSpaceDE w:val="0"/>
        <w:autoSpaceDN w:val="0"/>
        <w:adjustRightInd w:val="0"/>
        <w:spacing w:before="159" w:beforeLines="50" w:after="159" w:afterLines="50"/>
        <w:ind w:firstLine="480" w:firstLineChars="200"/>
        <w:rPr>
          <w:rFonts w:ascii="宋体" w:hAnsi="宋体"/>
          <w:snapToGrid w:val="0"/>
          <w:color w:val="auto"/>
          <w:kern w:val="0"/>
          <w:sz w:val="24"/>
          <w:highlight w:val="none"/>
        </w:rPr>
      </w:pPr>
      <w:r>
        <w:rPr>
          <w:rFonts w:hint="eastAsia" w:ascii="宋体" w:hAnsi="宋体"/>
          <w:snapToGrid w:val="0"/>
          <w:color w:val="auto"/>
          <w:kern w:val="0"/>
          <w:sz w:val="24"/>
          <w:highlight w:val="none"/>
        </w:rPr>
        <w:t>本单位对上述声明的真实性负责。如有虚假，将依法承担相应责任。</w:t>
      </w:r>
    </w:p>
    <w:p w14:paraId="1DA9C73C">
      <w:pPr>
        <w:adjustRightInd w:val="0"/>
        <w:snapToGrid w:val="0"/>
        <w:ind w:firstLine="480" w:firstLineChars="200"/>
        <w:rPr>
          <w:rFonts w:ascii="宋体" w:hAnsi="宋体"/>
          <w:snapToGrid w:val="0"/>
          <w:color w:val="auto"/>
          <w:kern w:val="0"/>
          <w:sz w:val="24"/>
          <w:highlight w:val="none"/>
        </w:rPr>
      </w:pPr>
    </w:p>
    <w:p w14:paraId="4B734AB7">
      <w:pPr>
        <w:adjustRightInd w:val="0"/>
        <w:snapToGrid w:val="0"/>
        <w:ind w:firstLine="480" w:firstLineChars="200"/>
        <w:rPr>
          <w:rFonts w:ascii="宋体" w:hAnsi="宋体"/>
          <w:snapToGrid w:val="0"/>
          <w:color w:val="auto"/>
          <w:kern w:val="0"/>
          <w:sz w:val="24"/>
          <w:highlight w:val="none"/>
        </w:rPr>
      </w:pPr>
    </w:p>
    <w:p w14:paraId="29F63762">
      <w:pPr>
        <w:adjustRightInd w:val="0"/>
        <w:snapToGrid w:val="0"/>
        <w:ind w:firstLine="480" w:firstLineChars="200"/>
        <w:rPr>
          <w:rFonts w:ascii="宋体" w:hAnsi="宋体"/>
          <w:snapToGrid w:val="0"/>
          <w:color w:val="auto"/>
          <w:kern w:val="0"/>
          <w:sz w:val="24"/>
          <w:highlight w:val="none"/>
        </w:rPr>
      </w:pPr>
      <w:r>
        <w:rPr>
          <w:rFonts w:hint="eastAsia" w:ascii="宋体" w:hAnsi="宋体"/>
          <w:snapToGrid w:val="0"/>
          <w:color w:val="auto"/>
          <w:kern w:val="0"/>
          <w:sz w:val="24"/>
          <w:highlight w:val="none"/>
        </w:rPr>
        <w:t xml:space="preserve">                                         </w:t>
      </w:r>
    </w:p>
    <w:p w14:paraId="4F88AEBA">
      <w:pPr>
        <w:tabs>
          <w:tab w:val="left" w:pos="1573"/>
        </w:tabs>
        <w:ind w:left="941" w:leftChars="448"/>
        <w:rPr>
          <w:rFonts w:ascii="宋体" w:hAnsi="宋体"/>
          <w:bCs/>
          <w:color w:val="auto"/>
          <w:sz w:val="24"/>
          <w:highlight w:val="none"/>
        </w:rPr>
      </w:pPr>
      <w:r>
        <w:rPr>
          <w:rFonts w:hint="eastAsia" w:ascii="宋体" w:hAnsi="宋体"/>
          <w:bCs/>
          <w:color w:val="auto"/>
          <w:sz w:val="24"/>
          <w:highlight w:val="none"/>
        </w:rPr>
        <w:t xml:space="preserve">    </w:t>
      </w:r>
    </w:p>
    <w:p w14:paraId="4E1FD27F">
      <w:pPr>
        <w:adjustRightInd w:val="0"/>
        <w:snapToGrid w:val="0"/>
        <w:ind w:firstLine="480" w:firstLineChars="200"/>
        <w:rPr>
          <w:rFonts w:ascii="宋体"/>
          <w:color w:val="auto"/>
          <w:sz w:val="24"/>
          <w:highlight w:val="none"/>
          <w:u w:val="single"/>
        </w:rPr>
      </w:pPr>
      <w:r>
        <w:rPr>
          <w:rFonts w:hint="eastAsia" w:ascii="宋体"/>
          <w:color w:val="auto"/>
          <w:sz w:val="24"/>
          <w:highlight w:val="none"/>
          <w:lang w:eastAsia="zh-CN"/>
        </w:rPr>
        <w:t>供应商</w:t>
      </w:r>
      <w:r>
        <w:rPr>
          <w:rFonts w:hint="eastAsia" w:ascii="宋体"/>
          <w:color w:val="auto"/>
          <w:sz w:val="24"/>
          <w:highlight w:val="none"/>
        </w:rPr>
        <w:t>名称（签章）：</w:t>
      </w:r>
      <w:r>
        <w:rPr>
          <w:rFonts w:hint="eastAsia" w:ascii="宋体"/>
          <w:color w:val="auto"/>
          <w:sz w:val="24"/>
          <w:highlight w:val="none"/>
          <w:u w:val="single"/>
        </w:rPr>
        <w:t xml:space="preserve">                                    </w:t>
      </w:r>
    </w:p>
    <w:p w14:paraId="3B955ED1">
      <w:pPr>
        <w:adjustRightInd w:val="0"/>
        <w:snapToGrid w:val="0"/>
        <w:ind w:firstLine="480" w:firstLineChars="200"/>
        <w:rPr>
          <w:rFonts w:ascii="宋体" w:hAnsi="宋体"/>
          <w:snapToGrid w:val="0"/>
          <w:color w:val="auto"/>
          <w:kern w:val="0"/>
          <w:sz w:val="24"/>
          <w:highlight w:val="none"/>
        </w:rPr>
      </w:pPr>
      <w:r>
        <w:rPr>
          <w:rFonts w:hint="eastAsia" w:ascii="宋体" w:hAnsi="宋体"/>
          <w:snapToGrid w:val="0"/>
          <w:color w:val="auto"/>
          <w:kern w:val="0"/>
          <w:sz w:val="24"/>
          <w:highlight w:val="none"/>
        </w:rPr>
        <w:t>法定代表人（单位负责人）</w:t>
      </w:r>
    </w:p>
    <w:p w14:paraId="3957EE77">
      <w:pPr>
        <w:adjustRightInd w:val="0"/>
        <w:snapToGrid w:val="0"/>
        <w:ind w:firstLine="480" w:firstLineChars="200"/>
        <w:rPr>
          <w:rFonts w:ascii="宋体" w:hAnsi="宋体"/>
          <w:snapToGrid w:val="0"/>
          <w:color w:val="auto"/>
          <w:kern w:val="0"/>
          <w:sz w:val="24"/>
          <w:highlight w:val="none"/>
        </w:rPr>
      </w:pPr>
      <w:r>
        <w:rPr>
          <w:rFonts w:hint="eastAsia" w:ascii="宋体" w:hAnsi="宋体"/>
          <w:snapToGrid w:val="0"/>
          <w:color w:val="auto"/>
          <w:kern w:val="0"/>
          <w:sz w:val="24"/>
          <w:highlight w:val="none"/>
        </w:rPr>
        <w:t>或授权代表（签章）</w:t>
      </w:r>
      <w:r>
        <w:rPr>
          <w:rFonts w:hint="eastAsia" w:ascii="宋体"/>
          <w:color w:val="auto"/>
          <w:sz w:val="24"/>
          <w:highlight w:val="none"/>
        </w:rPr>
        <w:t>：</w:t>
      </w:r>
      <w:r>
        <w:rPr>
          <w:rFonts w:hint="eastAsia" w:ascii="宋体"/>
          <w:color w:val="auto"/>
          <w:sz w:val="24"/>
          <w:highlight w:val="none"/>
          <w:u w:val="single"/>
        </w:rPr>
        <w:t xml:space="preserve">                                </w:t>
      </w:r>
    </w:p>
    <w:p w14:paraId="31FB33C1">
      <w:pPr>
        <w:tabs>
          <w:tab w:val="left" w:pos="1573"/>
        </w:tabs>
        <w:rPr>
          <w:rFonts w:ascii="宋体" w:hAnsi="宋体"/>
          <w:color w:val="auto"/>
          <w:sz w:val="24"/>
          <w:highlight w:val="none"/>
        </w:rPr>
      </w:pPr>
    </w:p>
    <w:p w14:paraId="7D3CD255">
      <w:pPr>
        <w:pStyle w:val="21"/>
        <w:adjustRightInd w:val="0"/>
        <w:snapToGrid w:val="0"/>
        <w:ind w:firstLine="0"/>
        <w:rPr>
          <w:rFonts w:ascii="宋体" w:hAnsi="宋体" w:eastAsia="宋体"/>
          <w:snapToGrid w:val="0"/>
          <w:color w:val="auto"/>
          <w:kern w:val="0"/>
          <w:sz w:val="24"/>
          <w:szCs w:val="24"/>
          <w:highlight w:val="none"/>
        </w:rPr>
      </w:pPr>
      <w:r>
        <w:rPr>
          <w:rFonts w:hint="eastAsia" w:ascii="宋体" w:hAnsi="宋体" w:eastAsia="宋体"/>
          <w:snapToGrid w:val="0"/>
          <w:color w:val="auto"/>
          <w:kern w:val="0"/>
          <w:sz w:val="24"/>
          <w:szCs w:val="24"/>
          <w:highlight w:val="none"/>
        </w:rPr>
        <w:t xml:space="preserve">                    </w:t>
      </w:r>
    </w:p>
    <w:p w14:paraId="7DE70928">
      <w:pPr>
        <w:pStyle w:val="21"/>
        <w:adjustRightInd w:val="0"/>
        <w:snapToGrid w:val="0"/>
        <w:ind w:firstLine="480" w:firstLineChars="200"/>
        <w:rPr>
          <w:rFonts w:ascii="宋体" w:hAnsi="宋体" w:eastAsia="宋体"/>
          <w:snapToGrid w:val="0"/>
          <w:color w:val="auto"/>
          <w:kern w:val="0"/>
          <w:sz w:val="24"/>
          <w:szCs w:val="24"/>
          <w:highlight w:val="none"/>
        </w:rPr>
      </w:pPr>
      <w:r>
        <w:rPr>
          <w:rFonts w:hint="eastAsia" w:ascii="宋体" w:hAnsi="宋体" w:eastAsia="宋体"/>
          <w:bCs/>
          <w:snapToGrid w:val="0"/>
          <w:color w:val="auto"/>
          <w:kern w:val="0"/>
          <w:sz w:val="24"/>
          <w:szCs w:val="24"/>
          <w:highlight w:val="none"/>
        </w:rPr>
        <w:t>日期</w:t>
      </w:r>
      <w:r>
        <w:rPr>
          <w:rFonts w:hint="eastAsia" w:ascii="宋体" w:hAnsi="宋体" w:eastAsia="宋体"/>
          <w:bCs/>
          <w:snapToGrid w:val="0"/>
          <w:color w:val="auto"/>
          <w:kern w:val="0"/>
          <w:sz w:val="24"/>
          <w:szCs w:val="24"/>
          <w:highlight w:val="none"/>
          <w:lang w:eastAsia="zh-CN"/>
        </w:rPr>
        <w:t>：</w:t>
      </w:r>
      <w:r>
        <w:rPr>
          <w:rFonts w:hint="eastAsia" w:ascii="宋体" w:hAnsi="宋体" w:eastAsia="宋体"/>
          <w:snapToGrid w:val="0"/>
          <w:color w:val="auto"/>
          <w:kern w:val="0"/>
          <w:sz w:val="24"/>
          <w:szCs w:val="24"/>
          <w:highlight w:val="none"/>
          <w:u w:val="single"/>
        </w:rPr>
        <w:t xml:space="preserve">     </w:t>
      </w:r>
      <w:r>
        <w:rPr>
          <w:rFonts w:hint="eastAsia" w:ascii="宋体" w:hAnsi="宋体" w:eastAsia="宋体"/>
          <w:snapToGrid w:val="0"/>
          <w:color w:val="auto"/>
          <w:kern w:val="0"/>
          <w:sz w:val="24"/>
          <w:szCs w:val="24"/>
          <w:highlight w:val="none"/>
        </w:rPr>
        <w:t>年</w:t>
      </w:r>
      <w:r>
        <w:rPr>
          <w:rFonts w:hint="eastAsia" w:ascii="宋体" w:hAnsi="宋体" w:eastAsia="宋体"/>
          <w:snapToGrid w:val="0"/>
          <w:color w:val="auto"/>
          <w:kern w:val="0"/>
          <w:sz w:val="24"/>
          <w:szCs w:val="24"/>
          <w:highlight w:val="none"/>
          <w:u w:val="single"/>
        </w:rPr>
        <w:t xml:space="preserve">   </w:t>
      </w:r>
      <w:r>
        <w:rPr>
          <w:rFonts w:hint="eastAsia" w:ascii="宋体" w:hAnsi="宋体" w:eastAsia="宋体"/>
          <w:snapToGrid w:val="0"/>
          <w:color w:val="auto"/>
          <w:kern w:val="0"/>
          <w:sz w:val="24"/>
          <w:szCs w:val="24"/>
          <w:highlight w:val="none"/>
        </w:rPr>
        <w:t>月</w:t>
      </w:r>
      <w:r>
        <w:rPr>
          <w:rFonts w:hint="eastAsia" w:ascii="宋体" w:hAnsi="宋体" w:eastAsia="宋体"/>
          <w:snapToGrid w:val="0"/>
          <w:color w:val="auto"/>
          <w:kern w:val="0"/>
          <w:sz w:val="24"/>
          <w:szCs w:val="24"/>
          <w:highlight w:val="none"/>
          <w:u w:val="single"/>
        </w:rPr>
        <w:t xml:space="preserve">   </w:t>
      </w:r>
      <w:r>
        <w:rPr>
          <w:rFonts w:hint="eastAsia" w:ascii="宋体" w:hAnsi="宋体" w:eastAsia="宋体"/>
          <w:snapToGrid w:val="0"/>
          <w:color w:val="auto"/>
          <w:kern w:val="0"/>
          <w:sz w:val="24"/>
          <w:szCs w:val="24"/>
          <w:highlight w:val="none"/>
        </w:rPr>
        <w:t>日</w:t>
      </w:r>
    </w:p>
    <w:p w14:paraId="6532EFB7">
      <w:pPr>
        <w:adjustRightInd w:val="0"/>
        <w:snapToGrid w:val="0"/>
        <w:ind w:firstLine="480" w:firstLineChars="200"/>
        <w:rPr>
          <w:rFonts w:ascii="宋体" w:hAnsi="宋体"/>
          <w:snapToGrid w:val="0"/>
          <w:color w:val="auto"/>
          <w:kern w:val="0"/>
          <w:sz w:val="24"/>
          <w:highlight w:val="none"/>
        </w:rPr>
      </w:pPr>
    </w:p>
    <w:p w14:paraId="107C13E7">
      <w:pPr>
        <w:rPr>
          <w:color w:val="auto"/>
          <w:highlight w:val="none"/>
        </w:rPr>
      </w:pPr>
    </w:p>
    <w:p w14:paraId="12051437">
      <w:pPr>
        <w:rPr>
          <w:b/>
          <w:bCs/>
          <w:color w:val="auto"/>
          <w:sz w:val="30"/>
          <w:szCs w:val="30"/>
          <w:highlight w:val="none"/>
        </w:rPr>
      </w:pPr>
    </w:p>
    <w:p w14:paraId="0B970C76">
      <w:pPr>
        <w:rPr>
          <w:rFonts w:ascii="黑体" w:hAnsi="黑体" w:eastAsia="黑体"/>
          <w:b w:val="0"/>
          <w:bCs w:val="0"/>
          <w:color w:val="auto"/>
          <w:kern w:val="0"/>
          <w:sz w:val="30"/>
          <w:szCs w:val="30"/>
          <w:highlight w:val="none"/>
        </w:rPr>
      </w:pPr>
      <w:r>
        <w:rPr>
          <w:rFonts w:hint="eastAsia" w:ascii="黑体" w:hAnsi="黑体" w:eastAsia="黑体"/>
          <w:color w:val="auto"/>
          <w:kern w:val="0"/>
          <w:sz w:val="30"/>
          <w:szCs w:val="30"/>
          <w:highlight w:val="none"/>
        </w:rPr>
        <w:br w:type="page"/>
      </w:r>
      <w:r>
        <w:rPr>
          <w:rFonts w:hint="eastAsia" w:ascii="黑体" w:hAnsi="黑体" w:eastAsia="黑体"/>
          <w:b w:val="0"/>
          <w:bCs w:val="0"/>
          <w:color w:val="auto"/>
          <w:kern w:val="0"/>
          <w:sz w:val="30"/>
          <w:szCs w:val="30"/>
          <w:highlight w:val="none"/>
        </w:rPr>
        <w:t>省级以上监狱管理局、戒毒管理局（含新疆生产建设兵团）出具的属于监狱企业的证明文件</w:t>
      </w:r>
    </w:p>
    <w:p w14:paraId="200B03D7">
      <w:pPr>
        <w:autoSpaceDE w:val="0"/>
        <w:autoSpaceDN w:val="0"/>
        <w:adjustRightInd w:val="0"/>
        <w:spacing w:before="159" w:beforeLines="50" w:after="159" w:afterLines="50"/>
        <w:jc w:val="center"/>
        <w:outlineLvl w:val="0"/>
        <w:rPr>
          <w:rFonts w:ascii="宋体" w:hAnsi="宋体"/>
          <w:color w:val="auto"/>
          <w:kern w:val="0"/>
          <w:sz w:val="24"/>
          <w:highlight w:val="none"/>
        </w:rPr>
      </w:pPr>
      <w:bookmarkStart w:id="793" w:name="_Toc28476"/>
      <w:r>
        <w:rPr>
          <w:rFonts w:hint="eastAsia" w:ascii="宋体" w:hAnsi="宋体"/>
          <w:color w:val="auto"/>
          <w:kern w:val="0"/>
          <w:sz w:val="24"/>
          <w:highlight w:val="none"/>
        </w:rPr>
        <w:t>（如果是，提供）</w:t>
      </w:r>
      <w:bookmarkEnd w:id="793"/>
      <w:r>
        <w:rPr>
          <w:rFonts w:hint="eastAsia" w:ascii="宋体" w:hAnsi="宋体"/>
          <w:color w:val="auto"/>
          <w:kern w:val="0"/>
          <w:sz w:val="24"/>
          <w:highlight w:val="none"/>
        </w:rPr>
        <w:tab/>
      </w:r>
    </w:p>
    <w:p w14:paraId="5BD28E60">
      <w:pPr>
        <w:bidi w:val="0"/>
        <w:rPr>
          <w:color w:val="auto"/>
          <w:highlight w:val="none"/>
        </w:rPr>
      </w:pPr>
    </w:p>
    <w:p w14:paraId="44D3D9A7">
      <w:pPr>
        <w:bidi w:val="0"/>
        <w:rPr>
          <w:color w:val="auto"/>
          <w:highlight w:val="none"/>
        </w:rPr>
        <w:sectPr>
          <w:headerReference r:id="rId8" w:type="default"/>
          <w:footerReference r:id="rId9" w:type="default"/>
          <w:pgSz w:w="11906" w:h="16838"/>
          <w:pgMar w:top="1247" w:right="1247" w:bottom="1247" w:left="1247" w:header="851" w:footer="992" w:gutter="397"/>
          <w:pgNumType w:fmt="decimal"/>
          <w:cols w:space="720" w:num="1"/>
          <w:docGrid w:linePitch="312" w:charSpace="0"/>
        </w:sectPr>
      </w:pPr>
    </w:p>
    <w:p w14:paraId="29FD80AA">
      <w:pPr>
        <w:autoSpaceDE w:val="0"/>
        <w:autoSpaceDN w:val="0"/>
        <w:spacing w:line="337" w:lineRule="exact"/>
        <w:jc w:val="left"/>
        <w:outlineLvl w:val="6"/>
        <w:rPr>
          <w:rFonts w:hint="eastAsia" w:ascii="宋体" w:hAnsi="宋体" w:cs="宋体"/>
          <w:bCs/>
          <w:color w:val="auto"/>
          <w:sz w:val="32"/>
          <w:szCs w:val="18"/>
          <w:highlight w:val="none"/>
        </w:rPr>
      </w:pPr>
      <w:r>
        <w:rPr>
          <w:rFonts w:hint="eastAsia" w:ascii="宋体" w:hAnsi="宋体" w:cs="宋体"/>
          <w:bCs/>
          <w:color w:val="auto"/>
          <w:sz w:val="32"/>
          <w:szCs w:val="18"/>
          <w:highlight w:val="none"/>
        </w:rPr>
        <w:t>附</w:t>
      </w:r>
      <w:r>
        <w:rPr>
          <w:rFonts w:hint="eastAsia" w:ascii="宋体" w:hAnsi="宋体" w:cs="宋体"/>
          <w:bCs/>
          <w:color w:val="auto"/>
          <w:sz w:val="32"/>
          <w:szCs w:val="18"/>
          <w:highlight w:val="none"/>
          <w:lang w:val="en-US" w:eastAsia="zh-CN"/>
        </w:rPr>
        <w:t>件</w:t>
      </w:r>
      <w:r>
        <w:rPr>
          <w:rFonts w:hint="eastAsia" w:ascii="宋体" w:hAnsi="宋体" w:cs="宋体"/>
          <w:bCs/>
          <w:color w:val="auto"/>
          <w:sz w:val="32"/>
          <w:szCs w:val="18"/>
          <w:highlight w:val="none"/>
        </w:rPr>
        <w:t>：</w:t>
      </w:r>
    </w:p>
    <w:p w14:paraId="0F1BE1EF">
      <w:pPr>
        <w:pStyle w:val="20"/>
        <w:jc w:val="center"/>
        <w:outlineLvl w:val="0"/>
        <w:rPr>
          <w:rFonts w:ascii="宋体" w:hAnsi="宋体" w:cs="宋体"/>
          <w:color w:val="auto"/>
          <w:sz w:val="36"/>
          <w:szCs w:val="36"/>
          <w:highlight w:val="none"/>
          <w:lang w:val="zh-CN"/>
        </w:rPr>
      </w:pPr>
      <w:r>
        <w:rPr>
          <w:rFonts w:hint="eastAsia" w:ascii="宋体" w:hAnsi="宋体" w:cs="宋体"/>
          <w:color w:val="auto"/>
          <w:sz w:val="36"/>
          <w:szCs w:val="36"/>
          <w:highlight w:val="none"/>
          <w:lang w:val="zh-CN"/>
        </w:rPr>
        <w:t>供应商</w:t>
      </w:r>
      <w:r>
        <w:rPr>
          <w:rFonts w:ascii="宋体" w:hAnsi="宋体" w:cs="宋体"/>
          <w:color w:val="auto"/>
          <w:sz w:val="36"/>
          <w:szCs w:val="36"/>
          <w:highlight w:val="none"/>
          <w:lang w:val="zh-CN"/>
        </w:rPr>
        <w:t xml:space="preserve">不参与涉黑涉恶承诺书 </w:t>
      </w:r>
    </w:p>
    <w:p w14:paraId="434D4600">
      <w:pPr>
        <w:autoSpaceDE w:val="0"/>
        <w:autoSpaceDN w:val="0"/>
        <w:jc w:val="left"/>
        <w:rPr>
          <w:rFonts w:ascii="宋体" w:hAnsi="宋体" w:cs="宋体"/>
          <w:color w:val="auto"/>
          <w:sz w:val="20"/>
          <w:szCs w:val="21"/>
          <w:highlight w:val="none"/>
          <w:lang w:val="zh-CN" w:bidi="zh-CN"/>
        </w:rPr>
      </w:pPr>
    </w:p>
    <w:p w14:paraId="6E02719F">
      <w:pPr>
        <w:autoSpaceDE w:val="0"/>
        <w:autoSpaceDN w:val="0"/>
        <w:spacing w:before="209" w:line="360" w:lineRule="auto"/>
        <w:jc w:val="left"/>
        <w:outlineLvl w:val="7"/>
        <w:rPr>
          <w:rFonts w:ascii="宋体" w:hAnsi="宋体" w:cs="宋体"/>
          <w:color w:val="auto"/>
          <w:sz w:val="28"/>
          <w:szCs w:val="21"/>
          <w:highlight w:val="none"/>
          <w:lang w:val="zh-CN" w:bidi="zh-CN"/>
        </w:rPr>
      </w:pPr>
      <w:r>
        <w:rPr>
          <w:rFonts w:ascii="宋体" w:hAnsi="宋体" w:cs="宋体"/>
          <w:color w:val="auto"/>
          <w:sz w:val="24"/>
          <w:highlight w:val="none"/>
          <w:lang w:val="zh-CN" w:bidi="zh-CN"/>
        </w:rPr>
        <w:t>（</w:t>
      </w:r>
      <w:r>
        <w:rPr>
          <w:rFonts w:hint="eastAsia" w:ascii="宋体" w:hAnsi="宋体" w:cs="宋体"/>
          <w:color w:val="auto"/>
          <w:sz w:val="24"/>
          <w:highlight w:val="none"/>
          <w:lang w:val="zh-CN" w:bidi="zh-CN"/>
        </w:rPr>
        <w:t>采购人</w:t>
      </w:r>
      <w:r>
        <w:rPr>
          <w:rFonts w:ascii="宋体" w:hAnsi="宋体" w:cs="宋体"/>
          <w:color w:val="auto"/>
          <w:sz w:val="24"/>
          <w:highlight w:val="none"/>
          <w:lang w:val="zh-CN" w:bidi="zh-CN"/>
        </w:rPr>
        <w:t>名称）：</w:t>
      </w:r>
    </w:p>
    <w:p w14:paraId="42D5F2F6">
      <w:pPr>
        <w:autoSpaceDE w:val="0"/>
        <w:autoSpaceDN w:val="0"/>
        <w:spacing w:line="360" w:lineRule="auto"/>
        <w:ind w:right="829" w:firstLine="480" w:firstLineChars="200"/>
        <w:jc w:val="left"/>
        <w:rPr>
          <w:rFonts w:ascii="宋体" w:hAnsi="宋体" w:cs="宋体"/>
          <w:color w:val="auto"/>
          <w:sz w:val="29"/>
          <w:szCs w:val="21"/>
          <w:highlight w:val="none"/>
          <w:lang w:val="zh-CN" w:bidi="zh-CN"/>
        </w:rPr>
      </w:pPr>
      <w:r>
        <w:rPr>
          <w:rFonts w:ascii="宋体" w:hAnsi="宋体" w:cs="宋体"/>
          <w:color w:val="auto"/>
          <w:kern w:val="0"/>
          <w:sz w:val="24"/>
          <w:szCs w:val="22"/>
          <w:highlight w:val="none"/>
          <w:lang w:val="zh-CN" w:bidi="zh-CN"/>
        </w:rPr>
        <w:t>我方承诺，在参与（项目名称）投标过程中以及中标的后续工作中，我方不存在下列任何情形：</w:t>
      </w:r>
    </w:p>
    <w:p w14:paraId="49E7A101">
      <w:pPr>
        <w:autoSpaceDE w:val="0"/>
        <w:autoSpaceDN w:val="0"/>
        <w:spacing w:line="360" w:lineRule="auto"/>
        <w:ind w:right="827"/>
        <w:jc w:val="left"/>
        <w:rPr>
          <w:rFonts w:ascii="宋体" w:hAnsi="宋体" w:cs="宋体"/>
          <w:color w:val="auto"/>
          <w:sz w:val="26"/>
          <w:szCs w:val="21"/>
          <w:highlight w:val="none"/>
          <w:lang w:val="zh-CN" w:bidi="zh-CN"/>
        </w:rPr>
      </w:pPr>
      <w:r>
        <w:rPr>
          <w:rFonts w:ascii="宋体" w:hAnsi="宋体" w:cs="宋体"/>
          <w:color w:val="auto"/>
          <w:kern w:val="0"/>
          <w:sz w:val="24"/>
          <w:szCs w:val="22"/>
          <w:highlight w:val="none"/>
          <w:lang w:val="zh-CN" w:bidi="zh-CN"/>
        </w:rPr>
        <w:t>（一）在工程项目招投标过程中，恶意竞标、强揽工程，强迫他人接受限制条件或退出竞争，恶意投诉、寻衅滋事，干扰正常招投标秩序，强迫</w:t>
      </w:r>
      <w:r>
        <w:rPr>
          <w:rFonts w:hint="eastAsia" w:ascii="宋体" w:hAnsi="宋体" w:cs="宋体"/>
          <w:color w:val="auto"/>
          <w:kern w:val="0"/>
          <w:sz w:val="24"/>
          <w:szCs w:val="22"/>
          <w:highlight w:val="none"/>
          <w:lang w:val="zh-CN" w:bidi="zh-CN"/>
        </w:rPr>
        <w:t>成交供应商</w:t>
      </w:r>
      <w:r>
        <w:rPr>
          <w:rFonts w:ascii="宋体" w:hAnsi="宋体" w:cs="宋体"/>
          <w:color w:val="auto"/>
          <w:kern w:val="0"/>
          <w:sz w:val="24"/>
          <w:szCs w:val="22"/>
          <w:highlight w:val="none"/>
          <w:lang w:val="zh-CN" w:bidi="zh-CN"/>
        </w:rPr>
        <w:t>放弃中标或转包。</w:t>
      </w:r>
    </w:p>
    <w:p w14:paraId="3AFFBA18">
      <w:pPr>
        <w:autoSpaceDE w:val="0"/>
        <w:autoSpaceDN w:val="0"/>
        <w:spacing w:line="360" w:lineRule="auto"/>
        <w:jc w:val="left"/>
        <w:rPr>
          <w:rFonts w:ascii="宋体" w:hAnsi="宋体" w:cs="宋体"/>
          <w:color w:val="auto"/>
          <w:sz w:val="26"/>
          <w:szCs w:val="21"/>
          <w:highlight w:val="none"/>
          <w:lang w:val="zh-CN" w:bidi="zh-CN"/>
        </w:rPr>
      </w:pPr>
      <w:r>
        <w:rPr>
          <w:rFonts w:ascii="宋体" w:hAnsi="宋体" w:cs="宋体"/>
          <w:color w:val="auto"/>
          <w:kern w:val="0"/>
          <w:sz w:val="24"/>
          <w:szCs w:val="22"/>
          <w:highlight w:val="none"/>
          <w:lang w:val="zh-CN" w:bidi="zh-CN"/>
        </w:rPr>
        <w:t>（二）利用围标、串标、虚假投标等违法违规方式投标或骗取中标。</w:t>
      </w:r>
    </w:p>
    <w:p w14:paraId="18A9D7D9">
      <w:pPr>
        <w:autoSpaceDE w:val="0"/>
        <w:autoSpaceDN w:val="0"/>
        <w:spacing w:line="360" w:lineRule="auto"/>
        <w:jc w:val="left"/>
        <w:rPr>
          <w:rFonts w:ascii="宋体" w:hAnsi="宋体" w:cs="宋体"/>
          <w:color w:val="auto"/>
          <w:sz w:val="25"/>
          <w:szCs w:val="21"/>
          <w:highlight w:val="none"/>
          <w:lang w:val="zh-CN" w:bidi="zh-CN"/>
        </w:rPr>
      </w:pPr>
      <w:r>
        <w:rPr>
          <w:rFonts w:ascii="宋体" w:hAnsi="宋体" w:cs="宋体"/>
          <w:color w:val="auto"/>
          <w:kern w:val="0"/>
          <w:sz w:val="24"/>
          <w:szCs w:val="22"/>
          <w:highlight w:val="none"/>
          <w:lang w:val="zh-CN" w:bidi="zh-CN"/>
        </w:rPr>
        <w:t>（三）借出、借用、伪造资质、证书等材料投标或骗取中标。</w:t>
      </w:r>
    </w:p>
    <w:p w14:paraId="30FAF088">
      <w:pPr>
        <w:autoSpaceDE w:val="0"/>
        <w:autoSpaceDN w:val="0"/>
        <w:spacing w:line="360" w:lineRule="auto"/>
        <w:jc w:val="left"/>
        <w:rPr>
          <w:rFonts w:ascii="宋体" w:hAnsi="宋体" w:cs="宋体"/>
          <w:color w:val="auto"/>
          <w:sz w:val="29"/>
          <w:szCs w:val="21"/>
          <w:highlight w:val="none"/>
          <w:lang w:val="zh-CN" w:bidi="zh-CN"/>
        </w:rPr>
      </w:pPr>
      <w:r>
        <w:rPr>
          <w:rFonts w:ascii="宋体" w:hAnsi="宋体" w:cs="宋体"/>
          <w:color w:val="auto"/>
          <w:kern w:val="0"/>
          <w:sz w:val="24"/>
          <w:szCs w:val="22"/>
          <w:highlight w:val="none"/>
          <w:lang w:val="zh-CN" w:bidi="zh-CN"/>
        </w:rPr>
        <w:t>（四）其他任何涉黑涉恶行为。</w:t>
      </w:r>
    </w:p>
    <w:p w14:paraId="4DC770E7">
      <w:pPr>
        <w:autoSpaceDE w:val="0"/>
        <w:autoSpaceDN w:val="0"/>
        <w:spacing w:line="360" w:lineRule="auto"/>
        <w:ind w:right="745" w:firstLine="480" w:firstLineChars="200"/>
        <w:rPr>
          <w:rFonts w:ascii="宋体" w:hAnsi="宋体" w:cs="宋体"/>
          <w:color w:val="auto"/>
          <w:sz w:val="27"/>
          <w:szCs w:val="21"/>
          <w:highlight w:val="none"/>
          <w:lang w:val="zh-CN" w:bidi="zh-CN"/>
        </w:rPr>
      </w:pPr>
      <w:r>
        <w:rPr>
          <w:rFonts w:ascii="宋体" w:hAnsi="宋体" w:cs="宋体"/>
          <w:color w:val="auto"/>
          <w:kern w:val="0"/>
          <w:sz w:val="24"/>
          <w:szCs w:val="22"/>
          <w:highlight w:val="none"/>
          <w:lang w:val="zh-CN" w:bidi="zh-CN"/>
        </w:rPr>
        <w:t>我方承诺上述内容的真实和准确，并承担因我方存在上述情形所引起的一切法律后果。同时我方承诺在招投标过程中，发现其他人员涉黑涉恶线索的及时向有关部门举报并协助调查取证。</w:t>
      </w:r>
    </w:p>
    <w:p w14:paraId="3910B52B">
      <w:pPr>
        <w:autoSpaceDE w:val="0"/>
        <w:autoSpaceDN w:val="0"/>
        <w:spacing w:before="1" w:line="360" w:lineRule="auto"/>
        <w:ind w:firstLine="480" w:firstLineChars="200"/>
        <w:jc w:val="left"/>
        <w:rPr>
          <w:rFonts w:ascii="宋体" w:hAnsi="宋体" w:cs="宋体"/>
          <w:color w:val="auto"/>
          <w:kern w:val="0"/>
          <w:sz w:val="24"/>
          <w:szCs w:val="22"/>
          <w:highlight w:val="none"/>
          <w:lang w:val="zh-CN" w:bidi="zh-CN"/>
        </w:rPr>
      </w:pPr>
      <w:r>
        <w:rPr>
          <w:rFonts w:ascii="宋体" w:hAnsi="宋体" w:cs="宋体"/>
          <w:color w:val="auto"/>
          <w:kern w:val="0"/>
          <w:sz w:val="24"/>
          <w:szCs w:val="22"/>
          <w:highlight w:val="none"/>
          <w:lang w:val="zh-CN" w:bidi="zh-CN"/>
        </w:rPr>
        <w:t>特此承诺</w:t>
      </w:r>
      <w:r>
        <w:rPr>
          <w:rFonts w:hint="eastAsia" w:ascii="宋体" w:hAnsi="宋体" w:cs="宋体"/>
          <w:color w:val="auto"/>
          <w:kern w:val="0"/>
          <w:sz w:val="24"/>
          <w:szCs w:val="22"/>
          <w:highlight w:val="none"/>
          <w:lang w:val="zh-CN" w:bidi="zh-CN"/>
        </w:rPr>
        <w:t>！</w:t>
      </w:r>
    </w:p>
    <w:p w14:paraId="24BC5ADB">
      <w:pPr>
        <w:autoSpaceDE w:val="0"/>
        <w:autoSpaceDN w:val="0"/>
        <w:spacing w:line="360" w:lineRule="auto"/>
        <w:jc w:val="left"/>
        <w:rPr>
          <w:rFonts w:ascii="宋体" w:hAnsi="宋体" w:cs="宋体"/>
          <w:color w:val="auto"/>
          <w:sz w:val="24"/>
          <w:szCs w:val="21"/>
          <w:highlight w:val="none"/>
          <w:lang w:val="zh-CN" w:bidi="zh-CN"/>
        </w:rPr>
      </w:pPr>
    </w:p>
    <w:p w14:paraId="73B4E13D">
      <w:pPr>
        <w:autoSpaceDE w:val="0"/>
        <w:autoSpaceDN w:val="0"/>
        <w:spacing w:before="5" w:line="360" w:lineRule="auto"/>
        <w:jc w:val="left"/>
        <w:rPr>
          <w:rFonts w:ascii="宋体" w:hAnsi="宋体" w:cs="宋体"/>
          <w:color w:val="auto"/>
          <w:sz w:val="27"/>
          <w:szCs w:val="21"/>
          <w:highlight w:val="none"/>
          <w:lang w:val="zh-CN" w:bidi="zh-CN"/>
        </w:rPr>
      </w:pPr>
    </w:p>
    <w:p w14:paraId="6AAFC838">
      <w:pPr>
        <w:tabs>
          <w:tab w:val="left" w:pos="5985"/>
        </w:tabs>
        <w:autoSpaceDE w:val="0"/>
        <w:autoSpaceDN w:val="0"/>
        <w:spacing w:before="1" w:line="360" w:lineRule="auto"/>
        <w:ind w:firstLine="960" w:firstLineChars="400"/>
        <w:jc w:val="left"/>
        <w:rPr>
          <w:rFonts w:ascii="宋体" w:hAnsi="宋体" w:cs="宋体"/>
          <w:color w:val="auto"/>
          <w:kern w:val="0"/>
          <w:sz w:val="24"/>
          <w:szCs w:val="22"/>
          <w:highlight w:val="none"/>
          <w:lang w:val="zh-CN" w:bidi="zh-CN"/>
        </w:rPr>
      </w:pPr>
      <w:r>
        <w:rPr>
          <w:rFonts w:hint="eastAsia" w:ascii="宋体" w:hAnsi="宋体" w:cs="宋体"/>
          <w:color w:val="auto"/>
          <w:kern w:val="0"/>
          <w:sz w:val="24"/>
          <w:szCs w:val="22"/>
          <w:highlight w:val="none"/>
          <w:lang w:val="zh-CN" w:bidi="zh-CN"/>
        </w:rPr>
        <w:t>供应商</w:t>
      </w:r>
      <w:r>
        <w:rPr>
          <w:rFonts w:ascii="宋体" w:hAnsi="宋体" w:cs="宋体"/>
          <w:color w:val="auto"/>
          <w:kern w:val="0"/>
          <w:sz w:val="24"/>
          <w:szCs w:val="22"/>
          <w:highlight w:val="none"/>
          <w:lang w:val="zh-CN" w:bidi="zh-CN"/>
        </w:rPr>
        <w:t>（</w:t>
      </w:r>
      <w:r>
        <w:rPr>
          <w:rFonts w:hint="eastAsia" w:ascii="宋体"/>
          <w:color w:val="auto"/>
          <w:sz w:val="24"/>
          <w:highlight w:val="none"/>
        </w:rPr>
        <w:t>签章</w:t>
      </w:r>
      <w:r>
        <w:rPr>
          <w:rFonts w:ascii="宋体" w:hAnsi="宋体" w:cs="宋体"/>
          <w:color w:val="auto"/>
          <w:kern w:val="0"/>
          <w:sz w:val="24"/>
          <w:szCs w:val="22"/>
          <w:highlight w:val="none"/>
          <w:lang w:val="zh-CN" w:bidi="zh-CN"/>
        </w:rPr>
        <w:t>）：</w:t>
      </w:r>
      <w:r>
        <w:rPr>
          <w:rFonts w:hint="eastAsia" w:ascii="宋体" w:hAnsi="宋体" w:cs="宋体"/>
          <w:color w:val="auto"/>
          <w:kern w:val="0"/>
          <w:sz w:val="24"/>
          <w:szCs w:val="22"/>
          <w:highlight w:val="none"/>
          <w:lang w:bidi="zh-CN"/>
        </w:rPr>
        <w:t xml:space="preserve">                </w:t>
      </w:r>
      <w:r>
        <w:rPr>
          <w:rFonts w:ascii="宋体" w:hAnsi="宋体" w:cs="宋体"/>
          <w:color w:val="auto"/>
          <w:kern w:val="0"/>
          <w:sz w:val="24"/>
          <w:szCs w:val="22"/>
          <w:highlight w:val="none"/>
          <w:lang w:val="zh-CN" w:bidi="zh-CN"/>
        </w:rPr>
        <w:t>法定代表人（签字）：</w:t>
      </w:r>
    </w:p>
    <w:p w14:paraId="1353B9F9">
      <w:pPr>
        <w:pStyle w:val="436"/>
        <w:spacing w:line="360" w:lineRule="auto"/>
        <w:rPr>
          <w:rFonts w:hint="eastAsia" w:ascii="宋体" w:hAnsi="宋体" w:eastAsia="宋体" w:cs="宋体"/>
          <w:color w:val="auto"/>
          <w:kern w:val="0"/>
          <w:sz w:val="24"/>
          <w:szCs w:val="22"/>
          <w:highlight w:val="none"/>
          <w:lang w:val="zh-CN" w:eastAsia="zh-CN" w:bidi="zh-CN"/>
        </w:rPr>
      </w:pPr>
    </w:p>
    <w:p w14:paraId="3A244DEC">
      <w:pPr>
        <w:pStyle w:val="436"/>
        <w:jc w:val="right"/>
        <w:rPr>
          <w:rFonts w:hint="eastAsia" w:ascii="宋体" w:hAnsi="宋体" w:eastAsia="宋体" w:cs="宋体"/>
          <w:color w:val="auto"/>
          <w:kern w:val="0"/>
          <w:sz w:val="24"/>
          <w:szCs w:val="22"/>
          <w:highlight w:val="none"/>
          <w:lang w:val="zh-CN" w:eastAsia="zh-CN" w:bidi="zh-CN"/>
        </w:rPr>
      </w:pPr>
    </w:p>
    <w:p w14:paraId="40E9389B">
      <w:pPr>
        <w:pStyle w:val="436"/>
        <w:jc w:val="right"/>
        <w:rPr>
          <w:rFonts w:hint="eastAsia" w:ascii="宋体" w:hAnsi="宋体" w:eastAsia="宋体" w:cs="宋体"/>
          <w:color w:val="auto"/>
          <w:kern w:val="0"/>
          <w:sz w:val="24"/>
          <w:szCs w:val="22"/>
          <w:highlight w:val="none"/>
          <w:lang w:val="zh-CN" w:eastAsia="zh-CN" w:bidi="zh-CN"/>
        </w:rPr>
      </w:pPr>
      <w:r>
        <w:rPr>
          <w:rFonts w:hint="eastAsia" w:ascii="宋体" w:hAnsi="宋体" w:eastAsia="宋体" w:cs="宋体"/>
          <w:color w:val="auto"/>
          <w:kern w:val="0"/>
          <w:sz w:val="24"/>
          <w:szCs w:val="22"/>
          <w:highlight w:val="none"/>
          <w:lang w:val="zh-CN" w:eastAsia="zh-CN" w:bidi="zh-CN"/>
        </w:rPr>
        <w:t>年</w:t>
      </w:r>
      <w:r>
        <w:rPr>
          <w:rFonts w:hint="eastAsia" w:ascii="宋体" w:hAnsi="宋体" w:eastAsia="宋体" w:cs="宋体"/>
          <w:color w:val="auto"/>
          <w:kern w:val="0"/>
          <w:sz w:val="24"/>
          <w:szCs w:val="22"/>
          <w:highlight w:val="none"/>
          <w:lang w:val="en-US" w:eastAsia="zh-CN" w:bidi="zh-CN"/>
        </w:rPr>
        <w:t xml:space="preserve">  </w:t>
      </w:r>
      <w:r>
        <w:rPr>
          <w:rFonts w:hint="eastAsia" w:ascii="宋体" w:hAnsi="宋体" w:eastAsia="宋体" w:cs="宋体"/>
          <w:color w:val="auto"/>
          <w:kern w:val="0"/>
          <w:sz w:val="24"/>
          <w:szCs w:val="22"/>
          <w:highlight w:val="none"/>
          <w:lang w:val="zh-CN" w:eastAsia="zh-CN" w:bidi="zh-CN"/>
        </w:rPr>
        <w:t>月</w:t>
      </w:r>
      <w:r>
        <w:rPr>
          <w:rFonts w:hint="eastAsia" w:ascii="宋体" w:hAnsi="宋体" w:eastAsia="宋体" w:cs="宋体"/>
          <w:color w:val="auto"/>
          <w:kern w:val="0"/>
          <w:sz w:val="24"/>
          <w:szCs w:val="22"/>
          <w:highlight w:val="none"/>
          <w:lang w:val="en-US" w:eastAsia="zh-CN" w:bidi="zh-CN"/>
        </w:rPr>
        <w:t xml:space="preserve">  </w:t>
      </w:r>
      <w:r>
        <w:rPr>
          <w:rFonts w:hint="eastAsia" w:ascii="宋体" w:hAnsi="宋体" w:eastAsia="宋体" w:cs="宋体"/>
          <w:color w:val="auto"/>
          <w:kern w:val="0"/>
          <w:sz w:val="24"/>
          <w:szCs w:val="22"/>
          <w:highlight w:val="none"/>
          <w:lang w:val="zh-CN" w:eastAsia="zh-CN" w:bidi="zh-CN"/>
        </w:rPr>
        <w:t>日</w:t>
      </w:r>
    </w:p>
    <w:p w14:paraId="066DD0D3">
      <w:pPr>
        <w:pStyle w:val="436"/>
        <w:rPr>
          <w:rFonts w:hint="eastAsia" w:ascii="宋体" w:hAnsi="宋体" w:eastAsia="宋体" w:cs="宋体"/>
          <w:color w:val="auto"/>
          <w:kern w:val="0"/>
          <w:sz w:val="24"/>
          <w:szCs w:val="22"/>
          <w:highlight w:val="none"/>
          <w:lang w:val="zh-CN" w:eastAsia="zh-CN" w:bidi="zh-CN"/>
        </w:rPr>
      </w:pPr>
    </w:p>
    <w:p w14:paraId="06ACD612">
      <w:pPr>
        <w:pStyle w:val="436"/>
        <w:rPr>
          <w:rFonts w:hint="eastAsia" w:ascii="宋体" w:hAnsi="宋体" w:eastAsia="宋体" w:cs="宋体"/>
          <w:b/>
          <w:bCs/>
          <w:color w:val="auto"/>
          <w:szCs w:val="28"/>
          <w:highlight w:val="none"/>
        </w:rPr>
      </w:pPr>
    </w:p>
    <w:p w14:paraId="3005D996">
      <w:pPr>
        <w:pStyle w:val="436"/>
        <w:rPr>
          <w:rFonts w:hint="eastAsia" w:ascii="宋体" w:hAnsi="宋体" w:eastAsia="宋体" w:cs="宋体"/>
          <w:b/>
          <w:bCs/>
          <w:color w:val="auto"/>
          <w:szCs w:val="28"/>
          <w:highlight w:val="none"/>
        </w:rPr>
        <w:sectPr>
          <w:pgSz w:w="11906" w:h="16838"/>
          <w:pgMar w:top="1247" w:right="1247" w:bottom="1247" w:left="1247" w:header="851" w:footer="992" w:gutter="397"/>
          <w:pgNumType w:fmt="decimal"/>
          <w:cols w:space="720" w:num="1"/>
          <w:docGrid w:linePitch="312" w:charSpace="0"/>
        </w:sectPr>
      </w:pPr>
    </w:p>
    <w:p w14:paraId="0328F9B5">
      <w:pPr>
        <w:autoSpaceDE w:val="0"/>
        <w:autoSpaceDN w:val="0"/>
        <w:spacing w:line="337" w:lineRule="exact"/>
        <w:jc w:val="left"/>
        <w:outlineLvl w:val="6"/>
        <w:rPr>
          <w:rFonts w:hint="eastAsia" w:ascii="宋体" w:hAnsi="宋体" w:cs="宋体"/>
          <w:bCs/>
          <w:color w:val="auto"/>
          <w:sz w:val="32"/>
          <w:szCs w:val="18"/>
          <w:highlight w:val="none"/>
        </w:rPr>
      </w:pPr>
      <w:bookmarkStart w:id="794" w:name="_Toc4560"/>
      <w:r>
        <w:rPr>
          <w:rFonts w:hint="eastAsia" w:ascii="宋体" w:hAnsi="宋体" w:cs="宋体"/>
          <w:bCs/>
          <w:color w:val="auto"/>
          <w:sz w:val="32"/>
          <w:szCs w:val="18"/>
          <w:highlight w:val="none"/>
        </w:rPr>
        <w:t>附</w:t>
      </w:r>
      <w:r>
        <w:rPr>
          <w:rFonts w:hint="eastAsia" w:ascii="宋体" w:hAnsi="宋体" w:cs="宋体"/>
          <w:bCs/>
          <w:color w:val="auto"/>
          <w:sz w:val="32"/>
          <w:szCs w:val="18"/>
          <w:highlight w:val="none"/>
          <w:lang w:val="en-US" w:eastAsia="zh-CN"/>
        </w:rPr>
        <w:t>件</w:t>
      </w:r>
      <w:r>
        <w:rPr>
          <w:rFonts w:hint="eastAsia" w:ascii="宋体" w:hAnsi="宋体" w:cs="宋体"/>
          <w:bCs/>
          <w:color w:val="auto"/>
          <w:sz w:val="32"/>
          <w:szCs w:val="18"/>
          <w:highlight w:val="none"/>
        </w:rPr>
        <w:t>：</w:t>
      </w:r>
    </w:p>
    <w:p w14:paraId="67794E85">
      <w:pPr>
        <w:pStyle w:val="20"/>
        <w:jc w:val="center"/>
        <w:outlineLvl w:val="0"/>
        <w:rPr>
          <w:rFonts w:ascii="宋体" w:hAnsi="宋体" w:cs="宋体"/>
          <w:color w:val="auto"/>
          <w:sz w:val="36"/>
          <w:szCs w:val="36"/>
          <w:highlight w:val="none"/>
        </w:rPr>
      </w:pPr>
      <w:r>
        <w:rPr>
          <w:rFonts w:hint="eastAsia" w:ascii="宋体" w:hAnsi="宋体" w:cs="宋体"/>
          <w:color w:val="auto"/>
          <w:sz w:val="36"/>
          <w:szCs w:val="36"/>
          <w:highlight w:val="none"/>
          <w:lang w:eastAsia="zh-CN"/>
        </w:rPr>
        <w:t>供应商</w:t>
      </w:r>
      <w:r>
        <w:rPr>
          <w:rFonts w:ascii="宋体" w:hAnsi="宋体" w:cs="宋体"/>
          <w:color w:val="auto"/>
          <w:sz w:val="36"/>
          <w:szCs w:val="36"/>
          <w:highlight w:val="none"/>
        </w:rPr>
        <w:t>不弄虚作假承诺书</w:t>
      </w:r>
      <w:bookmarkEnd w:id="794"/>
    </w:p>
    <w:p w14:paraId="47E01F9E">
      <w:pPr>
        <w:pStyle w:val="20"/>
        <w:jc w:val="center"/>
        <w:rPr>
          <w:rFonts w:ascii="宋体" w:hAnsi="宋体" w:cs="宋体"/>
          <w:color w:val="auto"/>
          <w:sz w:val="36"/>
          <w:szCs w:val="36"/>
          <w:highlight w:val="none"/>
        </w:rPr>
      </w:pPr>
    </w:p>
    <w:p w14:paraId="2CAC1EB2">
      <w:pPr>
        <w:autoSpaceDE w:val="0"/>
        <w:autoSpaceDN w:val="0"/>
        <w:adjustRightInd w:val="0"/>
        <w:spacing w:line="360" w:lineRule="auto"/>
        <w:rPr>
          <w:rFonts w:hint="eastAsia" w:ascii="宋体" w:hAnsi="宋体" w:cs="宋体"/>
          <w:bCs/>
          <w:color w:val="auto"/>
          <w:sz w:val="24"/>
          <w:szCs w:val="24"/>
          <w:highlight w:val="none"/>
        </w:rPr>
      </w:pPr>
      <w:r>
        <w:rPr>
          <w:rFonts w:hint="eastAsia" w:ascii="宋体" w:hAnsi="宋体" w:cs="宋体"/>
          <w:bCs/>
          <w:color w:val="auto"/>
          <w:sz w:val="24"/>
          <w:szCs w:val="24"/>
          <w:highlight w:val="none"/>
        </w:rPr>
        <w:t>（</w:t>
      </w:r>
      <w:r>
        <w:rPr>
          <w:rFonts w:hint="eastAsia" w:ascii="宋体" w:hAnsi="宋体" w:cs="宋体"/>
          <w:bCs/>
          <w:color w:val="auto"/>
          <w:sz w:val="24"/>
          <w:szCs w:val="24"/>
          <w:highlight w:val="none"/>
          <w:lang w:eastAsia="zh-CN"/>
        </w:rPr>
        <w:t>采购人</w:t>
      </w:r>
      <w:r>
        <w:rPr>
          <w:rFonts w:hint="eastAsia" w:ascii="宋体" w:hAnsi="宋体" w:cs="宋体"/>
          <w:bCs/>
          <w:color w:val="auto"/>
          <w:sz w:val="24"/>
          <w:szCs w:val="24"/>
          <w:highlight w:val="none"/>
        </w:rPr>
        <w:t>名称）：</w:t>
      </w:r>
    </w:p>
    <w:p w14:paraId="2559836E">
      <w:pPr>
        <w:pStyle w:val="20"/>
        <w:spacing w:line="360" w:lineRule="auto"/>
        <w:ind w:firstLine="482" w:firstLineChars="200"/>
        <w:rPr>
          <w:rFonts w:hint="eastAsia"/>
          <w:bCs/>
          <w:color w:val="auto"/>
          <w:sz w:val="24"/>
          <w:szCs w:val="24"/>
          <w:highlight w:val="none"/>
        </w:rPr>
      </w:pPr>
    </w:p>
    <w:p w14:paraId="1A5821ED">
      <w:pPr>
        <w:pStyle w:val="20"/>
        <w:spacing w:line="360" w:lineRule="auto"/>
        <w:ind w:firstLine="482" w:firstLineChars="200"/>
        <w:rPr>
          <w:rFonts w:hint="eastAsia"/>
          <w:bCs/>
          <w:color w:val="auto"/>
          <w:sz w:val="24"/>
          <w:szCs w:val="24"/>
          <w:highlight w:val="none"/>
        </w:rPr>
      </w:pPr>
      <w:r>
        <w:rPr>
          <w:rFonts w:hint="eastAsia"/>
          <w:bCs/>
          <w:color w:val="auto"/>
          <w:sz w:val="24"/>
          <w:szCs w:val="24"/>
          <w:highlight w:val="none"/>
        </w:rPr>
        <w:t>我  </w:t>
      </w:r>
      <w:r>
        <w:rPr>
          <w:rFonts w:hint="eastAsia"/>
          <w:bCs/>
          <w:color w:val="auto"/>
          <w:sz w:val="24"/>
          <w:szCs w:val="24"/>
          <w:highlight w:val="none"/>
          <w:u w:val="single"/>
        </w:rPr>
        <w:t>                                            </w:t>
      </w:r>
      <w:r>
        <w:rPr>
          <w:rFonts w:hint="eastAsia"/>
          <w:bCs/>
          <w:color w:val="auto"/>
          <w:sz w:val="24"/>
          <w:szCs w:val="24"/>
          <w:highlight w:val="none"/>
        </w:rPr>
        <w:t>（单位名称）在</w:t>
      </w:r>
      <w:r>
        <w:rPr>
          <w:rFonts w:hint="eastAsia"/>
          <w:bCs/>
          <w:color w:val="auto"/>
          <w:sz w:val="24"/>
          <w:szCs w:val="24"/>
          <w:highlight w:val="none"/>
          <w:u w:val="single"/>
        </w:rPr>
        <w:t>                                   </w:t>
      </w:r>
      <w:r>
        <w:rPr>
          <w:rFonts w:hint="eastAsia"/>
          <w:bCs/>
          <w:color w:val="auto"/>
          <w:sz w:val="24"/>
          <w:szCs w:val="24"/>
          <w:highlight w:val="none"/>
        </w:rPr>
        <w:t>（项目名称）的投标中，不存在弄虚作假行为，所提供的所有证件及材料真实有效。如弄虚作假，我单位承担所有后果。</w:t>
      </w:r>
    </w:p>
    <w:p w14:paraId="32B34B00">
      <w:pPr>
        <w:autoSpaceDE w:val="0"/>
        <w:autoSpaceDN w:val="0"/>
        <w:spacing w:before="1" w:line="360" w:lineRule="auto"/>
        <w:ind w:firstLine="480" w:firstLineChars="200"/>
        <w:jc w:val="left"/>
        <w:rPr>
          <w:rFonts w:ascii="宋体" w:hAnsi="宋体" w:cs="宋体"/>
          <w:color w:val="auto"/>
          <w:kern w:val="0"/>
          <w:sz w:val="24"/>
          <w:szCs w:val="22"/>
          <w:highlight w:val="none"/>
          <w:lang w:val="zh-CN" w:bidi="zh-CN"/>
        </w:rPr>
      </w:pPr>
      <w:r>
        <w:rPr>
          <w:rFonts w:ascii="宋体" w:hAnsi="宋体" w:cs="宋体"/>
          <w:color w:val="auto"/>
          <w:kern w:val="0"/>
          <w:sz w:val="24"/>
          <w:szCs w:val="22"/>
          <w:highlight w:val="none"/>
          <w:lang w:val="zh-CN" w:bidi="zh-CN"/>
        </w:rPr>
        <w:t>特此承诺</w:t>
      </w:r>
      <w:r>
        <w:rPr>
          <w:rFonts w:hint="eastAsia" w:ascii="宋体" w:hAnsi="宋体" w:cs="宋体"/>
          <w:color w:val="auto"/>
          <w:kern w:val="0"/>
          <w:sz w:val="24"/>
          <w:szCs w:val="22"/>
          <w:highlight w:val="none"/>
          <w:lang w:val="zh-CN" w:bidi="zh-CN"/>
        </w:rPr>
        <w:t>！</w:t>
      </w:r>
    </w:p>
    <w:p w14:paraId="72E100B9">
      <w:pPr>
        <w:autoSpaceDE w:val="0"/>
        <w:autoSpaceDN w:val="0"/>
        <w:spacing w:line="360" w:lineRule="auto"/>
        <w:jc w:val="left"/>
        <w:rPr>
          <w:rFonts w:ascii="宋体" w:hAnsi="宋体" w:cs="宋体"/>
          <w:color w:val="auto"/>
          <w:sz w:val="24"/>
          <w:szCs w:val="21"/>
          <w:highlight w:val="none"/>
          <w:lang w:val="zh-CN" w:bidi="zh-CN"/>
        </w:rPr>
      </w:pPr>
    </w:p>
    <w:p w14:paraId="6B444801">
      <w:pPr>
        <w:autoSpaceDE w:val="0"/>
        <w:autoSpaceDN w:val="0"/>
        <w:spacing w:before="5" w:line="360" w:lineRule="auto"/>
        <w:jc w:val="left"/>
        <w:rPr>
          <w:rFonts w:ascii="宋体" w:hAnsi="宋体" w:cs="宋体"/>
          <w:color w:val="auto"/>
          <w:sz w:val="27"/>
          <w:szCs w:val="21"/>
          <w:highlight w:val="none"/>
          <w:lang w:val="zh-CN" w:bidi="zh-CN"/>
        </w:rPr>
      </w:pPr>
    </w:p>
    <w:p w14:paraId="3349C68F">
      <w:pPr>
        <w:tabs>
          <w:tab w:val="left" w:pos="5985"/>
        </w:tabs>
        <w:autoSpaceDE w:val="0"/>
        <w:autoSpaceDN w:val="0"/>
        <w:spacing w:before="1" w:line="360" w:lineRule="auto"/>
        <w:ind w:firstLine="960" w:firstLineChars="400"/>
        <w:jc w:val="left"/>
        <w:rPr>
          <w:rFonts w:ascii="宋体" w:hAnsi="宋体" w:cs="宋体"/>
          <w:color w:val="auto"/>
          <w:kern w:val="0"/>
          <w:sz w:val="24"/>
          <w:szCs w:val="22"/>
          <w:highlight w:val="none"/>
          <w:lang w:val="zh-CN" w:bidi="zh-CN"/>
        </w:rPr>
      </w:pPr>
      <w:r>
        <w:rPr>
          <w:rFonts w:hint="eastAsia" w:ascii="宋体" w:hAnsi="宋体" w:cs="宋体"/>
          <w:color w:val="auto"/>
          <w:kern w:val="0"/>
          <w:sz w:val="24"/>
          <w:szCs w:val="22"/>
          <w:highlight w:val="none"/>
          <w:lang w:val="zh-CN" w:bidi="zh-CN"/>
        </w:rPr>
        <w:t>供应商</w:t>
      </w:r>
      <w:r>
        <w:rPr>
          <w:rFonts w:ascii="宋体" w:hAnsi="宋体" w:cs="宋体"/>
          <w:color w:val="auto"/>
          <w:kern w:val="0"/>
          <w:sz w:val="24"/>
          <w:szCs w:val="22"/>
          <w:highlight w:val="none"/>
          <w:lang w:val="zh-CN" w:bidi="zh-CN"/>
        </w:rPr>
        <w:t>（</w:t>
      </w:r>
      <w:r>
        <w:rPr>
          <w:rFonts w:hint="eastAsia" w:ascii="宋体"/>
          <w:color w:val="auto"/>
          <w:sz w:val="24"/>
          <w:highlight w:val="none"/>
        </w:rPr>
        <w:t>签章</w:t>
      </w:r>
      <w:r>
        <w:rPr>
          <w:rFonts w:ascii="宋体" w:hAnsi="宋体" w:cs="宋体"/>
          <w:color w:val="auto"/>
          <w:kern w:val="0"/>
          <w:sz w:val="24"/>
          <w:szCs w:val="22"/>
          <w:highlight w:val="none"/>
          <w:lang w:val="zh-CN" w:bidi="zh-CN"/>
        </w:rPr>
        <w:t>）：</w:t>
      </w:r>
      <w:r>
        <w:rPr>
          <w:rFonts w:hint="eastAsia" w:ascii="宋体" w:hAnsi="宋体" w:cs="宋体"/>
          <w:color w:val="auto"/>
          <w:kern w:val="0"/>
          <w:sz w:val="24"/>
          <w:szCs w:val="22"/>
          <w:highlight w:val="none"/>
          <w:lang w:bidi="zh-CN"/>
        </w:rPr>
        <w:t xml:space="preserve">                </w:t>
      </w:r>
      <w:r>
        <w:rPr>
          <w:rFonts w:ascii="宋体" w:hAnsi="宋体" w:cs="宋体"/>
          <w:color w:val="auto"/>
          <w:kern w:val="0"/>
          <w:sz w:val="24"/>
          <w:szCs w:val="22"/>
          <w:highlight w:val="none"/>
          <w:lang w:val="zh-CN" w:bidi="zh-CN"/>
        </w:rPr>
        <w:t>法定代表人（签字）：</w:t>
      </w:r>
    </w:p>
    <w:p w14:paraId="7AE2EA24">
      <w:pPr>
        <w:pStyle w:val="436"/>
        <w:spacing w:line="360" w:lineRule="auto"/>
        <w:rPr>
          <w:rFonts w:hint="eastAsia" w:ascii="宋体" w:hAnsi="宋体" w:eastAsia="宋体" w:cs="宋体"/>
          <w:color w:val="auto"/>
          <w:kern w:val="0"/>
          <w:sz w:val="24"/>
          <w:szCs w:val="22"/>
          <w:highlight w:val="none"/>
          <w:lang w:val="zh-CN" w:eastAsia="zh-CN" w:bidi="zh-CN"/>
        </w:rPr>
      </w:pPr>
    </w:p>
    <w:p w14:paraId="7DBF2C6E">
      <w:pPr>
        <w:pStyle w:val="436"/>
        <w:jc w:val="right"/>
        <w:rPr>
          <w:rFonts w:hint="eastAsia" w:ascii="宋体" w:hAnsi="宋体" w:eastAsia="宋体" w:cs="宋体"/>
          <w:color w:val="auto"/>
          <w:kern w:val="0"/>
          <w:sz w:val="24"/>
          <w:szCs w:val="22"/>
          <w:highlight w:val="none"/>
          <w:lang w:val="zh-CN" w:eastAsia="zh-CN" w:bidi="zh-CN"/>
        </w:rPr>
      </w:pPr>
    </w:p>
    <w:p w14:paraId="0C13A39A">
      <w:pPr>
        <w:pStyle w:val="436"/>
        <w:jc w:val="right"/>
        <w:rPr>
          <w:color w:val="auto"/>
          <w:highlight w:val="none"/>
        </w:rPr>
        <w:sectPr>
          <w:pgSz w:w="11906" w:h="16838"/>
          <w:pgMar w:top="1247" w:right="1247" w:bottom="1247" w:left="1247" w:header="851" w:footer="992" w:gutter="397"/>
          <w:pgNumType w:fmt="decimal"/>
          <w:cols w:space="720" w:num="1"/>
          <w:docGrid w:linePitch="312" w:charSpace="0"/>
        </w:sectPr>
      </w:pPr>
      <w:r>
        <w:rPr>
          <w:rFonts w:hint="eastAsia" w:ascii="宋体" w:hAnsi="宋体" w:eastAsia="宋体" w:cs="宋体"/>
          <w:color w:val="auto"/>
          <w:kern w:val="0"/>
          <w:sz w:val="24"/>
          <w:szCs w:val="22"/>
          <w:highlight w:val="none"/>
          <w:lang w:val="zh-CN" w:eastAsia="zh-CN" w:bidi="zh-CN"/>
        </w:rPr>
        <w:t>年</w:t>
      </w:r>
      <w:r>
        <w:rPr>
          <w:rFonts w:hint="eastAsia" w:ascii="宋体" w:hAnsi="宋体" w:eastAsia="宋体" w:cs="宋体"/>
          <w:color w:val="auto"/>
          <w:kern w:val="0"/>
          <w:sz w:val="24"/>
          <w:szCs w:val="22"/>
          <w:highlight w:val="none"/>
          <w:lang w:val="en-US" w:eastAsia="zh-CN" w:bidi="zh-CN"/>
        </w:rPr>
        <w:t xml:space="preserve">   </w:t>
      </w:r>
      <w:r>
        <w:rPr>
          <w:rFonts w:hint="eastAsia" w:ascii="宋体" w:hAnsi="宋体" w:eastAsia="宋体" w:cs="宋体"/>
          <w:color w:val="auto"/>
          <w:kern w:val="0"/>
          <w:sz w:val="24"/>
          <w:szCs w:val="22"/>
          <w:highlight w:val="none"/>
          <w:lang w:val="zh-CN" w:eastAsia="zh-CN" w:bidi="zh-CN"/>
        </w:rPr>
        <w:t>月</w:t>
      </w:r>
      <w:r>
        <w:rPr>
          <w:rFonts w:hint="eastAsia" w:ascii="宋体" w:hAnsi="宋体" w:eastAsia="宋体" w:cs="宋体"/>
          <w:color w:val="auto"/>
          <w:kern w:val="0"/>
          <w:sz w:val="24"/>
          <w:szCs w:val="22"/>
          <w:highlight w:val="none"/>
          <w:lang w:val="en-US" w:eastAsia="zh-CN" w:bidi="zh-CN"/>
        </w:rPr>
        <w:t xml:space="preserve">   </w:t>
      </w:r>
      <w:r>
        <w:rPr>
          <w:rFonts w:hint="eastAsia" w:ascii="宋体" w:hAnsi="宋体" w:eastAsia="宋体" w:cs="宋体"/>
          <w:color w:val="auto"/>
          <w:kern w:val="0"/>
          <w:sz w:val="24"/>
          <w:szCs w:val="22"/>
          <w:highlight w:val="none"/>
          <w:lang w:val="zh-CN" w:eastAsia="zh-CN" w:bidi="zh-CN"/>
        </w:rPr>
        <w:t>日</w:t>
      </w:r>
    </w:p>
    <w:p w14:paraId="5D8A87BE">
      <w:pPr>
        <w:pStyle w:val="20"/>
        <w:rPr>
          <w:rFonts w:hint="eastAsia" w:eastAsia="宋体"/>
          <w:color w:val="auto"/>
          <w:highlight w:val="none"/>
          <w:lang w:val="en-US" w:eastAsia="zh-CN"/>
        </w:rPr>
      </w:pPr>
      <w:r>
        <w:rPr>
          <w:rFonts w:hint="eastAsia"/>
          <w:color w:val="auto"/>
          <w:highlight w:val="none"/>
          <w:lang w:val="en-US" w:eastAsia="zh-CN"/>
        </w:rPr>
        <w:t xml:space="preserve"> </w:t>
      </w:r>
    </w:p>
    <w:sectPr>
      <w:pgSz w:w="11906" w:h="16838"/>
      <w:pgMar w:top="1247" w:right="1247" w:bottom="1247" w:left="1247" w:header="851" w:footer="992" w:gutter="397"/>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monospace">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ˎ̥">
    <w:altName w:val="Times New Roman"/>
    <w:panose1 w:val="00000000000000000000"/>
    <w:charset w:val="00"/>
    <w:family w:val="roman"/>
    <w:pitch w:val="default"/>
    <w:sig w:usb0="00000000" w:usb1="00000000" w:usb2="00000000" w:usb3="00000000" w:csb0="00040001" w:csb1="00000000"/>
  </w:font>
  <w:font w:name="Arial Unicode MS">
    <w:altName w:val="宋体"/>
    <w:panose1 w:val="020B0604020202020204"/>
    <w:charset w:val="86"/>
    <w:family w:val="roman"/>
    <w:pitch w:val="default"/>
    <w:sig w:usb0="00000000" w:usb1="00000000" w:usb2="0000003F" w:usb3="00000000" w:csb0="603F01FF" w:csb1="FFFF0000"/>
  </w:font>
  <w:font w:name="华文中宋">
    <w:panose1 w:val="02010600040101010101"/>
    <w:charset w:val="86"/>
    <w:family w:val="auto"/>
    <w:pitch w:val="default"/>
    <w:sig w:usb0="00000287" w:usb1="080F0000" w:usb2="00000000" w:usb3="00000000" w:csb0="0004009F" w:csb1="DFD70000"/>
  </w:font>
  <w:font w:name="华文细黑">
    <w:panose1 w:val="02010600040101010101"/>
    <w:charset w:val="86"/>
    <w:family w:val="auto"/>
    <w:pitch w:val="default"/>
    <w:sig w:usb0="00000287" w:usb1="080F0000" w:usb2="00000000" w:usb3="00000000" w:csb0="0004009F" w:csb1="DFD70000"/>
  </w:font>
  <w:font w:name="微软简魏碑">
    <w:altName w:val="黑体"/>
    <w:panose1 w:val="00000000000000000000"/>
    <w:charset w:val="86"/>
    <w:family w:val="auto"/>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05DFFF">
    <w:pPr>
      <w:pStyle w:val="31"/>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AE5D1FF">
                          <w:pPr>
                            <w:pStyle w:val="31"/>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2AE5D1FF">
                    <w:pPr>
                      <w:pStyle w:val="31"/>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0687DC">
    <w:pPr>
      <w:pStyle w:val="31"/>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02AA799">
                          <w:pPr>
                            <w:pStyle w:val="31"/>
                          </w:pPr>
                          <w:r>
                            <w:fldChar w:fldCharType="begin"/>
                          </w:r>
                          <w:r>
                            <w:instrText xml:space="preserve"> PAGE  \* MERGEFORMAT </w:instrText>
                          </w:r>
                          <w:r>
                            <w:fldChar w:fldCharType="separate"/>
                          </w:r>
                          <w:r>
                            <w:t>1</w:t>
                          </w:r>
                          <w:r>
                            <w:fldChar w:fldCharType="end"/>
                          </w:r>
                        </w:p>
                      </w:txbxContent>
                    </wps:txbx>
                    <wps:bodyPr vert="horz" wrap="none" lIns="0" tIns="0" rIns="0" bIns="0" anchor="t" anchorCtr="0" upright="0">
                      <a:spAutoFit/>
                    </wps:bodyPr>
                  </wps:wsp>
                </a:graphicData>
              </a:graphic>
            </wp:anchor>
          </w:drawing>
        </mc:Choice>
        <mc:Fallback>
          <w:pict>
            <v:shape id="文本框 9"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zql5uc8AAAAFAQAADwAAAAAAAAABACAA&#10;AAAiAAAAZHJzL2Rvd25yZXYueG1sUEsBAhQAFAAAAAgAh07iQCva0P3dAQAAvgMAAA4AAAAAAAAA&#10;AQAgAAAAHgEAAGRycy9lMm9Eb2MueG1sUEsFBgAAAAAGAAYAWQEAAG0FAAAAAA==&#10;">
              <v:fill on="f" focussize="0,0"/>
              <v:stroke on="f"/>
              <v:imagedata o:title=""/>
              <o:lock v:ext="edit" aspectratio="f"/>
              <v:textbox inset="0mm,0mm,0mm,0mm" style="mso-fit-shape-to-text:t;">
                <w:txbxContent>
                  <w:p w14:paraId="302AA799">
                    <w:pPr>
                      <w:pStyle w:val="3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014453">
    <w:pPr>
      <w:pStyle w:val="31"/>
      <w:ind w:right="36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5516CB3">
                          <w:pPr>
                            <w:pStyle w:val="31"/>
                          </w:pPr>
                          <w:r>
                            <w:fldChar w:fldCharType="begin"/>
                          </w:r>
                          <w:r>
                            <w:instrText xml:space="preserve"> PAGE  \* MERGEFORMAT </w:instrText>
                          </w:r>
                          <w:r>
                            <w:fldChar w:fldCharType="separate"/>
                          </w:r>
                          <w:r>
                            <w:t>68</w:t>
                          </w:r>
                          <w:r>
                            <w:fldChar w:fldCharType="end"/>
                          </w:r>
                        </w:p>
                      </w:txbxContent>
                    </wps:txbx>
                    <wps:bodyPr vert="horz" wrap="none" lIns="0" tIns="0" rIns="0" bIns="0" anchor="t" anchorCtr="0" upright="0">
                      <a:spAutoFit/>
                    </wps:bodyPr>
                  </wps:wsp>
                </a:graphicData>
              </a:graphic>
            </wp:anchor>
          </w:drawing>
        </mc:Choice>
        <mc:Fallback>
          <w:pict>
            <v:shape id="文本框 10"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zql5uc8AAAAFAQAADwAAAAAAAAABACAA&#10;AAAiAAAAZHJzL2Rvd25yZXYueG1sUEsBAhQAFAAAAAgAh07iQFC8BEzdAQAAvwMAAA4AAAAAAAAA&#10;AQAgAAAAHgEAAGRycy9lMm9Eb2MueG1sUEsFBgAAAAAGAAYAWQEAAG0FAAAAAA==&#10;">
              <v:fill on="f" focussize="0,0"/>
              <v:stroke on="f"/>
              <v:imagedata o:title=""/>
              <o:lock v:ext="edit" aspectratio="f"/>
              <v:textbox inset="0mm,0mm,0mm,0mm" style="mso-fit-shape-to-text:t;">
                <w:txbxContent>
                  <w:p w14:paraId="45516CB3">
                    <w:pPr>
                      <w:pStyle w:val="31"/>
                    </w:pPr>
                    <w:r>
                      <w:fldChar w:fldCharType="begin"/>
                    </w:r>
                    <w:r>
                      <w:instrText xml:space="preserve"> PAGE  \* MERGEFORMAT </w:instrText>
                    </w:r>
                    <w:r>
                      <w:fldChar w:fldCharType="separate"/>
                    </w:r>
                    <w:r>
                      <w:t>68</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1EFADB">
    <w:pPr>
      <w:pStyle w:val="31"/>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E513356">
                          <w:pPr>
                            <w:pStyle w:val="31"/>
                          </w:pPr>
                          <w:r>
                            <w:fldChar w:fldCharType="begin"/>
                          </w:r>
                          <w:r>
                            <w:instrText xml:space="preserve"> PAGE  \* MERGEFORMAT </w:instrText>
                          </w:r>
                          <w:r>
                            <w:fldChar w:fldCharType="separate"/>
                          </w:r>
                          <w:r>
                            <w:t>97</w:t>
                          </w:r>
                          <w:r>
                            <w:fldChar w:fldCharType="end"/>
                          </w:r>
                        </w:p>
                      </w:txbxContent>
                    </wps:txbx>
                    <wps:bodyPr vert="horz" wrap="none" lIns="0" tIns="0" rIns="0" bIns="0" anchor="t" anchorCtr="0" upright="0">
                      <a:spAutoFit/>
                    </wps:bodyPr>
                  </wps:wsp>
                </a:graphicData>
              </a:graphic>
            </wp:anchor>
          </w:drawing>
        </mc:Choice>
        <mc:Fallback>
          <w:pict>
            <v:shape id="文本框 11"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M6pebnPAAAABQEAAA8AAAAAAAAAAQAg&#10;AAAAIgAAAGRycy9kb3ducmV2LnhtbFBLAQIUABQAAAAIAIdO4kBIExCD3gEAAL8DAAAOAAAAAAAA&#10;AAEAIAAAAB4BAABkcnMvZTJvRG9jLnhtbFBLBQYAAAAABgAGAFkBAABuBQAAAAA=&#10;">
              <v:fill on="f" focussize="0,0"/>
              <v:stroke on="f"/>
              <v:imagedata o:title=""/>
              <o:lock v:ext="edit" aspectratio="f"/>
              <v:textbox inset="0mm,0mm,0mm,0mm" style="mso-fit-shape-to-text:t;">
                <w:txbxContent>
                  <w:p w14:paraId="7E513356">
                    <w:pPr>
                      <w:pStyle w:val="31"/>
                    </w:pPr>
                    <w:r>
                      <w:fldChar w:fldCharType="begin"/>
                    </w:r>
                    <w:r>
                      <w:instrText xml:space="preserve"> PAGE  \* MERGEFORMAT </w:instrText>
                    </w:r>
                    <w:r>
                      <w:fldChar w:fldCharType="separate"/>
                    </w:r>
                    <w:r>
                      <w:t>97</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1888D0">
    <w:pPr>
      <w:pStyle w:val="32"/>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23FBD8">
    <w:pPr>
      <w:pStyle w:val="32"/>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9F6F3E">
    <w:pPr>
      <w:pStyle w:val="32"/>
      <w:pBdr>
        <w:bottom w:val="none" w:color="auto" w:sz="0" w:space="0"/>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DCD3E9A"/>
    <w:multiLevelType w:val="singleLevel"/>
    <w:tmpl w:val="DDCD3E9A"/>
    <w:lvl w:ilvl="0" w:tentative="0">
      <w:start w:val="4"/>
      <w:numFmt w:val="chineseCounting"/>
      <w:suff w:val="space"/>
      <w:lvlText w:val="第%1章"/>
      <w:lvlJc w:val="left"/>
      <w:rPr>
        <w:rFonts w:hint="eastAsia"/>
      </w:rPr>
    </w:lvl>
  </w:abstractNum>
  <w:abstractNum w:abstractNumId="1">
    <w:nsid w:val="ED213A7C"/>
    <w:multiLevelType w:val="singleLevel"/>
    <w:tmpl w:val="ED213A7C"/>
    <w:lvl w:ilvl="0" w:tentative="0">
      <w:start w:val="1"/>
      <w:numFmt w:val="decimal"/>
      <w:lvlText w:val="%1."/>
      <w:lvlJc w:val="left"/>
      <w:pPr>
        <w:tabs>
          <w:tab w:val="left" w:pos="312"/>
        </w:tabs>
      </w:pPr>
    </w:lvl>
  </w:abstractNum>
  <w:abstractNum w:abstractNumId="2">
    <w:nsid w:val="34F14DB0"/>
    <w:multiLevelType w:val="multilevel"/>
    <w:tmpl w:val="34F14DB0"/>
    <w:lvl w:ilvl="0" w:tentative="0">
      <w:start w:val="1"/>
      <w:numFmt w:val="decimal"/>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5B1E1560"/>
    <w:multiLevelType w:val="singleLevel"/>
    <w:tmpl w:val="5B1E1560"/>
    <w:lvl w:ilvl="0" w:tentative="0">
      <w:start w:val="5"/>
      <w:numFmt w:val="chineseCounting"/>
      <w:suff w:val="space"/>
      <w:lvlText w:val="第%1章"/>
      <w:lvlJc w:val="left"/>
    </w:lvl>
  </w:abstractNum>
  <w:abstractNum w:abstractNumId="4">
    <w:nsid w:val="74F68480"/>
    <w:multiLevelType w:val="singleLevel"/>
    <w:tmpl w:val="74F68480"/>
    <w:lvl w:ilvl="0" w:tentative="0">
      <w:start w:val="5"/>
      <w:numFmt w:val="chineseCounting"/>
      <w:suff w:val="nothing"/>
      <w:lvlText w:val="%1、"/>
      <w:lvlJc w:val="left"/>
      <w:rPr>
        <w:rFonts w:hint="eastAsia"/>
      </w:rPr>
    </w:lvl>
  </w:abstractNum>
  <w:num w:numId="1">
    <w:abstractNumId w:val="4"/>
  </w:num>
  <w:num w:numId="2">
    <w:abstractNumId w:val="0"/>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9"/>
  <w:bordersDoNotSurroundHeader w:val="0"/>
  <w:bordersDoNotSurroundFooter w:val="0"/>
  <w:documentProtection w:enforcement="0"/>
  <w:defaultTabStop w:val="420"/>
  <w:hyphenationZone w:val="36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Q3MzExNjhkZjkyYzJmOWJhOGUwMDEyZjRjNmY4ZjYifQ=="/>
  </w:docVars>
  <w:rsids>
    <w:rsidRoot w:val="00333D71"/>
    <w:rsid w:val="00001E9C"/>
    <w:rsid w:val="00003BD6"/>
    <w:rsid w:val="00005EA5"/>
    <w:rsid w:val="00015BA2"/>
    <w:rsid w:val="00032643"/>
    <w:rsid w:val="00032A53"/>
    <w:rsid w:val="00033750"/>
    <w:rsid w:val="00053399"/>
    <w:rsid w:val="000558EE"/>
    <w:rsid w:val="00070521"/>
    <w:rsid w:val="00070EE6"/>
    <w:rsid w:val="000948C5"/>
    <w:rsid w:val="000B6415"/>
    <w:rsid w:val="000D373A"/>
    <w:rsid w:val="000D7A92"/>
    <w:rsid w:val="000E083E"/>
    <w:rsid w:val="000E1AB4"/>
    <w:rsid w:val="000E30E4"/>
    <w:rsid w:val="000E585A"/>
    <w:rsid w:val="000F199E"/>
    <w:rsid w:val="000F683D"/>
    <w:rsid w:val="00102548"/>
    <w:rsid w:val="00110029"/>
    <w:rsid w:val="00112C44"/>
    <w:rsid w:val="00113678"/>
    <w:rsid w:val="001358CC"/>
    <w:rsid w:val="0014408B"/>
    <w:rsid w:val="00151ECA"/>
    <w:rsid w:val="00157009"/>
    <w:rsid w:val="001579A7"/>
    <w:rsid w:val="00160738"/>
    <w:rsid w:val="001706C9"/>
    <w:rsid w:val="00181ABC"/>
    <w:rsid w:val="00182A78"/>
    <w:rsid w:val="001909A6"/>
    <w:rsid w:val="00190BA7"/>
    <w:rsid w:val="001A208C"/>
    <w:rsid w:val="001B08AB"/>
    <w:rsid w:val="001B0E79"/>
    <w:rsid w:val="001B2396"/>
    <w:rsid w:val="001D663C"/>
    <w:rsid w:val="001E2239"/>
    <w:rsid w:val="001F58C6"/>
    <w:rsid w:val="00205013"/>
    <w:rsid w:val="00216247"/>
    <w:rsid w:val="00220E9E"/>
    <w:rsid w:val="002215B5"/>
    <w:rsid w:val="002218E7"/>
    <w:rsid w:val="0023212F"/>
    <w:rsid w:val="002364BD"/>
    <w:rsid w:val="00241C98"/>
    <w:rsid w:val="002504DE"/>
    <w:rsid w:val="00254CBB"/>
    <w:rsid w:val="00265955"/>
    <w:rsid w:val="002723DB"/>
    <w:rsid w:val="00275B7B"/>
    <w:rsid w:val="00283872"/>
    <w:rsid w:val="00286C03"/>
    <w:rsid w:val="00292DEB"/>
    <w:rsid w:val="002A018A"/>
    <w:rsid w:val="002A15D0"/>
    <w:rsid w:val="002A416F"/>
    <w:rsid w:val="002B7E8E"/>
    <w:rsid w:val="002C0BED"/>
    <w:rsid w:val="002C5B98"/>
    <w:rsid w:val="002D5C97"/>
    <w:rsid w:val="002E23C3"/>
    <w:rsid w:val="002F0895"/>
    <w:rsid w:val="002F6FFC"/>
    <w:rsid w:val="003026CD"/>
    <w:rsid w:val="00305997"/>
    <w:rsid w:val="003073D0"/>
    <w:rsid w:val="00307545"/>
    <w:rsid w:val="00313795"/>
    <w:rsid w:val="00320465"/>
    <w:rsid w:val="00324EAA"/>
    <w:rsid w:val="0032648E"/>
    <w:rsid w:val="003264D1"/>
    <w:rsid w:val="00327CB6"/>
    <w:rsid w:val="00333D71"/>
    <w:rsid w:val="003534A1"/>
    <w:rsid w:val="003560B0"/>
    <w:rsid w:val="00364181"/>
    <w:rsid w:val="00371580"/>
    <w:rsid w:val="0037206C"/>
    <w:rsid w:val="00374C65"/>
    <w:rsid w:val="00377352"/>
    <w:rsid w:val="00380E4D"/>
    <w:rsid w:val="00385B96"/>
    <w:rsid w:val="003A52C4"/>
    <w:rsid w:val="003A6D63"/>
    <w:rsid w:val="003B1D41"/>
    <w:rsid w:val="003B5B77"/>
    <w:rsid w:val="003B63C5"/>
    <w:rsid w:val="003C06FB"/>
    <w:rsid w:val="003C5E99"/>
    <w:rsid w:val="003C63F8"/>
    <w:rsid w:val="003D3F7F"/>
    <w:rsid w:val="003D63CB"/>
    <w:rsid w:val="003E5B63"/>
    <w:rsid w:val="003F058E"/>
    <w:rsid w:val="003F3E94"/>
    <w:rsid w:val="003F4661"/>
    <w:rsid w:val="003F55DB"/>
    <w:rsid w:val="00401F54"/>
    <w:rsid w:val="00404BF2"/>
    <w:rsid w:val="00422C95"/>
    <w:rsid w:val="004300D1"/>
    <w:rsid w:val="00430270"/>
    <w:rsid w:val="00431CC8"/>
    <w:rsid w:val="00433923"/>
    <w:rsid w:val="00442B3C"/>
    <w:rsid w:val="004466C5"/>
    <w:rsid w:val="004556E4"/>
    <w:rsid w:val="00466B2A"/>
    <w:rsid w:val="00466F56"/>
    <w:rsid w:val="004720A7"/>
    <w:rsid w:val="00477A5F"/>
    <w:rsid w:val="00482F74"/>
    <w:rsid w:val="004839F0"/>
    <w:rsid w:val="00493BF1"/>
    <w:rsid w:val="00494EE8"/>
    <w:rsid w:val="00496BFA"/>
    <w:rsid w:val="004A0953"/>
    <w:rsid w:val="004A0F94"/>
    <w:rsid w:val="004A357B"/>
    <w:rsid w:val="004A41B0"/>
    <w:rsid w:val="004B1539"/>
    <w:rsid w:val="004B52BB"/>
    <w:rsid w:val="004C28D9"/>
    <w:rsid w:val="004C3BCD"/>
    <w:rsid w:val="004C51F3"/>
    <w:rsid w:val="004D6C3E"/>
    <w:rsid w:val="004E264D"/>
    <w:rsid w:val="004E42BC"/>
    <w:rsid w:val="004F5738"/>
    <w:rsid w:val="004F5A0F"/>
    <w:rsid w:val="00500248"/>
    <w:rsid w:val="00500F4B"/>
    <w:rsid w:val="00517038"/>
    <w:rsid w:val="00517776"/>
    <w:rsid w:val="005327A4"/>
    <w:rsid w:val="00536C71"/>
    <w:rsid w:val="00536DEF"/>
    <w:rsid w:val="00537684"/>
    <w:rsid w:val="00537932"/>
    <w:rsid w:val="00541171"/>
    <w:rsid w:val="005439A0"/>
    <w:rsid w:val="00547964"/>
    <w:rsid w:val="005502A3"/>
    <w:rsid w:val="00550846"/>
    <w:rsid w:val="00561E38"/>
    <w:rsid w:val="00564CFE"/>
    <w:rsid w:val="0057017B"/>
    <w:rsid w:val="005763A3"/>
    <w:rsid w:val="00582E0E"/>
    <w:rsid w:val="005837E8"/>
    <w:rsid w:val="005979CD"/>
    <w:rsid w:val="005B2799"/>
    <w:rsid w:val="005B4500"/>
    <w:rsid w:val="005B50BB"/>
    <w:rsid w:val="005B7066"/>
    <w:rsid w:val="005C6AD1"/>
    <w:rsid w:val="005D05E8"/>
    <w:rsid w:val="005D56FA"/>
    <w:rsid w:val="005D643C"/>
    <w:rsid w:val="005E0297"/>
    <w:rsid w:val="005E629B"/>
    <w:rsid w:val="005E636A"/>
    <w:rsid w:val="005F5868"/>
    <w:rsid w:val="005F5ABD"/>
    <w:rsid w:val="006009FD"/>
    <w:rsid w:val="00602EDD"/>
    <w:rsid w:val="0061244A"/>
    <w:rsid w:val="006266B3"/>
    <w:rsid w:val="006267E8"/>
    <w:rsid w:val="00626CCB"/>
    <w:rsid w:val="0063471A"/>
    <w:rsid w:val="006539F4"/>
    <w:rsid w:val="006605ED"/>
    <w:rsid w:val="00663474"/>
    <w:rsid w:val="00671AA6"/>
    <w:rsid w:val="00674A7B"/>
    <w:rsid w:val="00675640"/>
    <w:rsid w:val="006811EE"/>
    <w:rsid w:val="006A4C02"/>
    <w:rsid w:val="006A5167"/>
    <w:rsid w:val="006A7238"/>
    <w:rsid w:val="006B61C8"/>
    <w:rsid w:val="006B6943"/>
    <w:rsid w:val="006C4369"/>
    <w:rsid w:val="006C796A"/>
    <w:rsid w:val="006D42D4"/>
    <w:rsid w:val="006D6405"/>
    <w:rsid w:val="006E5C93"/>
    <w:rsid w:val="006E5FD5"/>
    <w:rsid w:val="00703FE2"/>
    <w:rsid w:val="00707CD7"/>
    <w:rsid w:val="0071680F"/>
    <w:rsid w:val="00716B9C"/>
    <w:rsid w:val="00724FFD"/>
    <w:rsid w:val="00726E8A"/>
    <w:rsid w:val="00731BDD"/>
    <w:rsid w:val="00732843"/>
    <w:rsid w:val="007332AF"/>
    <w:rsid w:val="007368BE"/>
    <w:rsid w:val="00740651"/>
    <w:rsid w:val="007450E0"/>
    <w:rsid w:val="0076324C"/>
    <w:rsid w:val="00764969"/>
    <w:rsid w:val="0077079D"/>
    <w:rsid w:val="007707BD"/>
    <w:rsid w:val="00780995"/>
    <w:rsid w:val="0078220C"/>
    <w:rsid w:val="00782759"/>
    <w:rsid w:val="0078659A"/>
    <w:rsid w:val="007879EF"/>
    <w:rsid w:val="007950E3"/>
    <w:rsid w:val="0079684F"/>
    <w:rsid w:val="007A5A4F"/>
    <w:rsid w:val="007A5ADC"/>
    <w:rsid w:val="007B1303"/>
    <w:rsid w:val="007B7424"/>
    <w:rsid w:val="007B76AA"/>
    <w:rsid w:val="007C04F4"/>
    <w:rsid w:val="007C14EA"/>
    <w:rsid w:val="007C2BBE"/>
    <w:rsid w:val="007C41CF"/>
    <w:rsid w:val="007C71AF"/>
    <w:rsid w:val="007E2707"/>
    <w:rsid w:val="007E2E04"/>
    <w:rsid w:val="007F0A1D"/>
    <w:rsid w:val="007F5B31"/>
    <w:rsid w:val="00800A6B"/>
    <w:rsid w:val="00805C0F"/>
    <w:rsid w:val="00811509"/>
    <w:rsid w:val="00832823"/>
    <w:rsid w:val="00837AB8"/>
    <w:rsid w:val="00840318"/>
    <w:rsid w:val="00844B08"/>
    <w:rsid w:val="00870403"/>
    <w:rsid w:val="00875CE8"/>
    <w:rsid w:val="008814AD"/>
    <w:rsid w:val="00882F2D"/>
    <w:rsid w:val="008848FE"/>
    <w:rsid w:val="00885008"/>
    <w:rsid w:val="008865CD"/>
    <w:rsid w:val="00892246"/>
    <w:rsid w:val="008B4ACA"/>
    <w:rsid w:val="008C0362"/>
    <w:rsid w:val="008C234A"/>
    <w:rsid w:val="008C67EF"/>
    <w:rsid w:val="008D022E"/>
    <w:rsid w:val="008D3F0C"/>
    <w:rsid w:val="008E1B68"/>
    <w:rsid w:val="008E348D"/>
    <w:rsid w:val="008E5B1D"/>
    <w:rsid w:val="008F4400"/>
    <w:rsid w:val="00900066"/>
    <w:rsid w:val="009015B6"/>
    <w:rsid w:val="00902370"/>
    <w:rsid w:val="00906D9F"/>
    <w:rsid w:val="00912067"/>
    <w:rsid w:val="00913F95"/>
    <w:rsid w:val="00917011"/>
    <w:rsid w:val="00917488"/>
    <w:rsid w:val="0093201D"/>
    <w:rsid w:val="009339C0"/>
    <w:rsid w:val="009422C9"/>
    <w:rsid w:val="00942C2F"/>
    <w:rsid w:val="00945E6B"/>
    <w:rsid w:val="00956A1A"/>
    <w:rsid w:val="0096371D"/>
    <w:rsid w:val="009637B6"/>
    <w:rsid w:val="00965496"/>
    <w:rsid w:val="009664EF"/>
    <w:rsid w:val="00974761"/>
    <w:rsid w:val="00982724"/>
    <w:rsid w:val="00992A48"/>
    <w:rsid w:val="00992D80"/>
    <w:rsid w:val="00996741"/>
    <w:rsid w:val="009A1C48"/>
    <w:rsid w:val="009A4AFD"/>
    <w:rsid w:val="009A56D6"/>
    <w:rsid w:val="009A5F63"/>
    <w:rsid w:val="009A6DD7"/>
    <w:rsid w:val="009B0F41"/>
    <w:rsid w:val="009B27FE"/>
    <w:rsid w:val="009C0C72"/>
    <w:rsid w:val="009C512B"/>
    <w:rsid w:val="009D6A34"/>
    <w:rsid w:val="009D72AF"/>
    <w:rsid w:val="009D74AF"/>
    <w:rsid w:val="00A15546"/>
    <w:rsid w:val="00A17CA6"/>
    <w:rsid w:val="00A2201F"/>
    <w:rsid w:val="00A23873"/>
    <w:rsid w:val="00A25612"/>
    <w:rsid w:val="00A27EAA"/>
    <w:rsid w:val="00A305A7"/>
    <w:rsid w:val="00A31852"/>
    <w:rsid w:val="00A3572A"/>
    <w:rsid w:val="00A42231"/>
    <w:rsid w:val="00A453D3"/>
    <w:rsid w:val="00A4648E"/>
    <w:rsid w:val="00A50C98"/>
    <w:rsid w:val="00A6500F"/>
    <w:rsid w:val="00AB3894"/>
    <w:rsid w:val="00AB45EC"/>
    <w:rsid w:val="00AC0F3C"/>
    <w:rsid w:val="00AD1771"/>
    <w:rsid w:val="00AD4E63"/>
    <w:rsid w:val="00AD61A2"/>
    <w:rsid w:val="00AD6A1A"/>
    <w:rsid w:val="00AF341C"/>
    <w:rsid w:val="00AF5DDC"/>
    <w:rsid w:val="00B028DE"/>
    <w:rsid w:val="00B04499"/>
    <w:rsid w:val="00B108DC"/>
    <w:rsid w:val="00B117D5"/>
    <w:rsid w:val="00B1311A"/>
    <w:rsid w:val="00B15A97"/>
    <w:rsid w:val="00B17185"/>
    <w:rsid w:val="00B21CCB"/>
    <w:rsid w:val="00B262CA"/>
    <w:rsid w:val="00B42793"/>
    <w:rsid w:val="00B42936"/>
    <w:rsid w:val="00B448CC"/>
    <w:rsid w:val="00B55326"/>
    <w:rsid w:val="00B60FF6"/>
    <w:rsid w:val="00B6165C"/>
    <w:rsid w:val="00B64D9E"/>
    <w:rsid w:val="00B66088"/>
    <w:rsid w:val="00B70EC4"/>
    <w:rsid w:val="00B764BB"/>
    <w:rsid w:val="00B801E7"/>
    <w:rsid w:val="00B803FA"/>
    <w:rsid w:val="00B90302"/>
    <w:rsid w:val="00B91E1C"/>
    <w:rsid w:val="00B94C13"/>
    <w:rsid w:val="00B963AE"/>
    <w:rsid w:val="00BA66B9"/>
    <w:rsid w:val="00BB2525"/>
    <w:rsid w:val="00BB3093"/>
    <w:rsid w:val="00BC5C2B"/>
    <w:rsid w:val="00BD091E"/>
    <w:rsid w:val="00BD31D4"/>
    <w:rsid w:val="00BD498C"/>
    <w:rsid w:val="00BD5E35"/>
    <w:rsid w:val="00BF0296"/>
    <w:rsid w:val="00C033E7"/>
    <w:rsid w:val="00C03A89"/>
    <w:rsid w:val="00C17413"/>
    <w:rsid w:val="00C232C7"/>
    <w:rsid w:val="00C31BE0"/>
    <w:rsid w:val="00C4060F"/>
    <w:rsid w:val="00C50DC2"/>
    <w:rsid w:val="00C54894"/>
    <w:rsid w:val="00C55D2A"/>
    <w:rsid w:val="00C564C6"/>
    <w:rsid w:val="00C64E2F"/>
    <w:rsid w:val="00C92744"/>
    <w:rsid w:val="00C94317"/>
    <w:rsid w:val="00CA0EC1"/>
    <w:rsid w:val="00CA2DC0"/>
    <w:rsid w:val="00CB1B2B"/>
    <w:rsid w:val="00CB1E87"/>
    <w:rsid w:val="00CB7F32"/>
    <w:rsid w:val="00CC0F03"/>
    <w:rsid w:val="00CC1A97"/>
    <w:rsid w:val="00CC440B"/>
    <w:rsid w:val="00CD51EA"/>
    <w:rsid w:val="00CD7F3C"/>
    <w:rsid w:val="00D0012D"/>
    <w:rsid w:val="00D01EC3"/>
    <w:rsid w:val="00D039AF"/>
    <w:rsid w:val="00D03B41"/>
    <w:rsid w:val="00D040F5"/>
    <w:rsid w:val="00D12898"/>
    <w:rsid w:val="00D14316"/>
    <w:rsid w:val="00D24BBA"/>
    <w:rsid w:val="00D30FCC"/>
    <w:rsid w:val="00D34257"/>
    <w:rsid w:val="00D46BBB"/>
    <w:rsid w:val="00D6074E"/>
    <w:rsid w:val="00D81D01"/>
    <w:rsid w:val="00D84726"/>
    <w:rsid w:val="00D97990"/>
    <w:rsid w:val="00DA3111"/>
    <w:rsid w:val="00DA5D4A"/>
    <w:rsid w:val="00DB0D05"/>
    <w:rsid w:val="00DB4D73"/>
    <w:rsid w:val="00DB75A1"/>
    <w:rsid w:val="00DB7974"/>
    <w:rsid w:val="00DC1F82"/>
    <w:rsid w:val="00DC48C8"/>
    <w:rsid w:val="00DD20F4"/>
    <w:rsid w:val="00DF112F"/>
    <w:rsid w:val="00E06CA1"/>
    <w:rsid w:val="00E10C55"/>
    <w:rsid w:val="00E12A38"/>
    <w:rsid w:val="00E163CB"/>
    <w:rsid w:val="00E2428F"/>
    <w:rsid w:val="00E26C4F"/>
    <w:rsid w:val="00E34DC5"/>
    <w:rsid w:val="00E53850"/>
    <w:rsid w:val="00E57A61"/>
    <w:rsid w:val="00E615B5"/>
    <w:rsid w:val="00E75305"/>
    <w:rsid w:val="00E843A2"/>
    <w:rsid w:val="00E86B2E"/>
    <w:rsid w:val="00E86C63"/>
    <w:rsid w:val="00E90DDD"/>
    <w:rsid w:val="00E92A07"/>
    <w:rsid w:val="00E92F48"/>
    <w:rsid w:val="00E93C84"/>
    <w:rsid w:val="00EA1A89"/>
    <w:rsid w:val="00EA2256"/>
    <w:rsid w:val="00EA7A33"/>
    <w:rsid w:val="00EB3C32"/>
    <w:rsid w:val="00EC3FAA"/>
    <w:rsid w:val="00EC43BC"/>
    <w:rsid w:val="00EC7215"/>
    <w:rsid w:val="00ED2817"/>
    <w:rsid w:val="00EE2109"/>
    <w:rsid w:val="00EE4310"/>
    <w:rsid w:val="00EF5C66"/>
    <w:rsid w:val="00EF6120"/>
    <w:rsid w:val="00F0029E"/>
    <w:rsid w:val="00F022BE"/>
    <w:rsid w:val="00F06804"/>
    <w:rsid w:val="00F2343D"/>
    <w:rsid w:val="00F26580"/>
    <w:rsid w:val="00F27716"/>
    <w:rsid w:val="00F45164"/>
    <w:rsid w:val="00F4599C"/>
    <w:rsid w:val="00F50386"/>
    <w:rsid w:val="00F60BD0"/>
    <w:rsid w:val="00F6322E"/>
    <w:rsid w:val="00F83950"/>
    <w:rsid w:val="00F8700C"/>
    <w:rsid w:val="00FA1CEE"/>
    <w:rsid w:val="00FA3A0E"/>
    <w:rsid w:val="00FA6904"/>
    <w:rsid w:val="00FA6B75"/>
    <w:rsid w:val="00FA6D16"/>
    <w:rsid w:val="00FB2508"/>
    <w:rsid w:val="00FC5F5A"/>
    <w:rsid w:val="00FC69BC"/>
    <w:rsid w:val="00FC77F1"/>
    <w:rsid w:val="00FD1F27"/>
    <w:rsid w:val="00FD4594"/>
    <w:rsid w:val="00FD6B08"/>
    <w:rsid w:val="00FF3BCA"/>
    <w:rsid w:val="00FF5BAE"/>
    <w:rsid w:val="00FF6EB2"/>
    <w:rsid w:val="01154EDD"/>
    <w:rsid w:val="01230DE2"/>
    <w:rsid w:val="01341807"/>
    <w:rsid w:val="015B6D94"/>
    <w:rsid w:val="015E555C"/>
    <w:rsid w:val="016C71F3"/>
    <w:rsid w:val="016E54D2"/>
    <w:rsid w:val="017716F4"/>
    <w:rsid w:val="01883901"/>
    <w:rsid w:val="019422A6"/>
    <w:rsid w:val="01954D0D"/>
    <w:rsid w:val="01B6046E"/>
    <w:rsid w:val="01C103AB"/>
    <w:rsid w:val="01C25044"/>
    <w:rsid w:val="01C6511C"/>
    <w:rsid w:val="02160F0D"/>
    <w:rsid w:val="0216715F"/>
    <w:rsid w:val="02427F54"/>
    <w:rsid w:val="024A0BB7"/>
    <w:rsid w:val="02500E70"/>
    <w:rsid w:val="02511F45"/>
    <w:rsid w:val="0256755B"/>
    <w:rsid w:val="02702D13"/>
    <w:rsid w:val="027E3014"/>
    <w:rsid w:val="029C1412"/>
    <w:rsid w:val="02B524D4"/>
    <w:rsid w:val="03084CFA"/>
    <w:rsid w:val="03127926"/>
    <w:rsid w:val="033A3C60"/>
    <w:rsid w:val="03595555"/>
    <w:rsid w:val="036F6B27"/>
    <w:rsid w:val="03906A9D"/>
    <w:rsid w:val="03AF786B"/>
    <w:rsid w:val="03B15391"/>
    <w:rsid w:val="03B86720"/>
    <w:rsid w:val="03CA6453"/>
    <w:rsid w:val="03D60954"/>
    <w:rsid w:val="03DF1EFE"/>
    <w:rsid w:val="04001E75"/>
    <w:rsid w:val="04137DFA"/>
    <w:rsid w:val="04165A0A"/>
    <w:rsid w:val="04251DE7"/>
    <w:rsid w:val="044C0C16"/>
    <w:rsid w:val="04583A5F"/>
    <w:rsid w:val="0462668B"/>
    <w:rsid w:val="04675A50"/>
    <w:rsid w:val="04806B11"/>
    <w:rsid w:val="04812FB5"/>
    <w:rsid w:val="048B5BE2"/>
    <w:rsid w:val="04932CE9"/>
    <w:rsid w:val="04A930A7"/>
    <w:rsid w:val="04E2157A"/>
    <w:rsid w:val="04E83035"/>
    <w:rsid w:val="04EA78EB"/>
    <w:rsid w:val="04FB2F5A"/>
    <w:rsid w:val="05073B3B"/>
    <w:rsid w:val="05340028"/>
    <w:rsid w:val="05353DA0"/>
    <w:rsid w:val="05467D5B"/>
    <w:rsid w:val="054C6931"/>
    <w:rsid w:val="05502988"/>
    <w:rsid w:val="05551D4C"/>
    <w:rsid w:val="055A291C"/>
    <w:rsid w:val="05791EDF"/>
    <w:rsid w:val="058B1330"/>
    <w:rsid w:val="05A210E4"/>
    <w:rsid w:val="05BE20EC"/>
    <w:rsid w:val="05BE3D95"/>
    <w:rsid w:val="05BE5B43"/>
    <w:rsid w:val="06093262"/>
    <w:rsid w:val="061733FE"/>
    <w:rsid w:val="061E4834"/>
    <w:rsid w:val="06224324"/>
    <w:rsid w:val="062C51A3"/>
    <w:rsid w:val="063876A4"/>
    <w:rsid w:val="063B53E6"/>
    <w:rsid w:val="064A73D7"/>
    <w:rsid w:val="064C75F3"/>
    <w:rsid w:val="065038DE"/>
    <w:rsid w:val="06532730"/>
    <w:rsid w:val="065B3392"/>
    <w:rsid w:val="0662564C"/>
    <w:rsid w:val="069F5975"/>
    <w:rsid w:val="06AC55EE"/>
    <w:rsid w:val="06D422E1"/>
    <w:rsid w:val="06DA075B"/>
    <w:rsid w:val="06F2019A"/>
    <w:rsid w:val="07100621"/>
    <w:rsid w:val="071719AF"/>
    <w:rsid w:val="0717375D"/>
    <w:rsid w:val="07375BAD"/>
    <w:rsid w:val="073769B3"/>
    <w:rsid w:val="07451494"/>
    <w:rsid w:val="076242E9"/>
    <w:rsid w:val="07630750"/>
    <w:rsid w:val="077B10CD"/>
    <w:rsid w:val="078B7CA7"/>
    <w:rsid w:val="07A934A2"/>
    <w:rsid w:val="07C03DF5"/>
    <w:rsid w:val="07C9071C"/>
    <w:rsid w:val="07D55EFD"/>
    <w:rsid w:val="07E04497"/>
    <w:rsid w:val="07EA70C4"/>
    <w:rsid w:val="07EC2E3C"/>
    <w:rsid w:val="07ED2710"/>
    <w:rsid w:val="080D690E"/>
    <w:rsid w:val="081B102B"/>
    <w:rsid w:val="0849203C"/>
    <w:rsid w:val="085E716A"/>
    <w:rsid w:val="0878647D"/>
    <w:rsid w:val="089332B7"/>
    <w:rsid w:val="08F165C6"/>
    <w:rsid w:val="08F63846"/>
    <w:rsid w:val="08FA3336"/>
    <w:rsid w:val="08FF094D"/>
    <w:rsid w:val="09067F2D"/>
    <w:rsid w:val="09181A0E"/>
    <w:rsid w:val="091B505B"/>
    <w:rsid w:val="093305F6"/>
    <w:rsid w:val="094524A6"/>
    <w:rsid w:val="094620D8"/>
    <w:rsid w:val="094840A2"/>
    <w:rsid w:val="0958005D"/>
    <w:rsid w:val="096037AE"/>
    <w:rsid w:val="09694D17"/>
    <w:rsid w:val="09705D15"/>
    <w:rsid w:val="0975031F"/>
    <w:rsid w:val="09776735"/>
    <w:rsid w:val="097D3CF3"/>
    <w:rsid w:val="098552F6"/>
    <w:rsid w:val="09A60DC8"/>
    <w:rsid w:val="09C63218"/>
    <w:rsid w:val="09C7458A"/>
    <w:rsid w:val="09D04097"/>
    <w:rsid w:val="09D678FF"/>
    <w:rsid w:val="09DB55D8"/>
    <w:rsid w:val="0A073DCF"/>
    <w:rsid w:val="0A0D7099"/>
    <w:rsid w:val="0A2558B7"/>
    <w:rsid w:val="0A300921"/>
    <w:rsid w:val="0A430D0D"/>
    <w:rsid w:val="0A586566"/>
    <w:rsid w:val="0A8665A9"/>
    <w:rsid w:val="0A8A693C"/>
    <w:rsid w:val="0A9652E1"/>
    <w:rsid w:val="0AF21AC2"/>
    <w:rsid w:val="0AFD710E"/>
    <w:rsid w:val="0B1A3C4F"/>
    <w:rsid w:val="0B2B5A29"/>
    <w:rsid w:val="0B6E3170"/>
    <w:rsid w:val="0B754EF6"/>
    <w:rsid w:val="0BB84DE3"/>
    <w:rsid w:val="0BC72B31"/>
    <w:rsid w:val="0BC90695"/>
    <w:rsid w:val="0C0A695C"/>
    <w:rsid w:val="0C1D18AA"/>
    <w:rsid w:val="0C244C34"/>
    <w:rsid w:val="0C300E1D"/>
    <w:rsid w:val="0C41302A"/>
    <w:rsid w:val="0C4F3999"/>
    <w:rsid w:val="0C5C1C12"/>
    <w:rsid w:val="0C6F60BE"/>
    <w:rsid w:val="0C913FB2"/>
    <w:rsid w:val="0C936776"/>
    <w:rsid w:val="0C9413AC"/>
    <w:rsid w:val="0CA959F0"/>
    <w:rsid w:val="0CD12600"/>
    <w:rsid w:val="0D19311B"/>
    <w:rsid w:val="0D474670"/>
    <w:rsid w:val="0D533015"/>
    <w:rsid w:val="0D5C197C"/>
    <w:rsid w:val="0D6C2329"/>
    <w:rsid w:val="0D7D135C"/>
    <w:rsid w:val="0D841421"/>
    <w:rsid w:val="0D8D4779"/>
    <w:rsid w:val="0D921D8F"/>
    <w:rsid w:val="0DB43078"/>
    <w:rsid w:val="0DBC0BBA"/>
    <w:rsid w:val="0DC33876"/>
    <w:rsid w:val="0DC76F07"/>
    <w:rsid w:val="0DD20979"/>
    <w:rsid w:val="0DE46363"/>
    <w:rsid w:val="0DE819AF"/>
    <w:rsid w:val="0E0013EF"/>
    <w:rsid w:val="0E0E518E"/>
    <w:rsid w:val="0E237200"/>
    <w:rsid w:val="0E39045D"/>
    <w:rsid w:val="0E417312"/>
    <w:rsid w:val="0E464928"/>
    <w:rsid w:val="0E5232CD"/>
    <w:rsid w:val="0E6179B4"/>
    <w:rsid w:val="0E8A0CB9"/>
    <w:rsid w:val="0EAA4EB7"/>
    <w:rsid w:val="0EB2020F"/>
    <w:rsid w:val="0EB977F0"/>
    <w:rsid w:val="0ED774CD"/>
    <w:rsid w:val="0EE04D7C"/>
    <w:rsid w:val="0EF014FD"/>
    <w:rsid w:val="0EFD148A"/>
    <w:rsid w:val="0F07055B"/>
    <w:rsid w:val="0F242EBB"/>
    <w:rsid w:val="0F307E9F"/>
    <w:rsid w:val="0F40581B"/>
    <w:rsid w:val="0F436268"/>
    <w:rsid w:val="0F4C2412"/>
    <w:rsid w:val="0F88369C"/>
    <w:rsid w:val="0F985657"/>
    <w:rsid w:val="0FA97864"/>
    <w:rsid w:val="0FC1526F"/>
    <w:rsid w:val="0FC226D4"/>
    <w:rsid w:val="0FC54C0F"/>
    <w:rsid w:val="0FC621C4"/>
    <w:rsid w:val="0FC73A41"/>
    <w:rsid w:val="0FF54858"/>
    <w:rsid w:val="0FFC0270"/>
    <w:rsid w:val="10125409"/>
    <w:rsid w:val="10273E83"/>
    <w:rsid w:val="102869DB"/>
    <w:rsid w:val="10615A49"/>
    <w:rsid w:val="106C21ED"/>
    <w:rsid w:val="10844FC0"/>
    <w:rsid w:val="109B53FF"/>
    <w:rsid w:val="10A574F7"/>
    <w:rsid w:val="10AE640E"/>
    <w:rsid w:val="10C04426"/>
    <w:rsid w:val="10C2298C"/>
    <w:rsid w:val="10C61D50"/>
    <w:rsid w:val="10D66437"/>
    <w:rsid w:val="10EE19D3"/>
    <w:rsid w:val="10F34DD4"/>
    <w:rsid w:val="10F468BD"/>
    <w:rsid w:val="11020FDA"/>
    <w:rsid w:val="11131439"/>
    <w:rsid w:val="11140D0D"/>
    <w:rsid w:val="11183E0A"/>
    <w:rsid w:val="113849FC"/>
    <w:rsid w:val="11482254"/>
    <w:rsid w:val="11832B5F"/>
    <w:rsid w:val="11943BFC"/>
    <w:rsid w:val="119836EC"/>
    <w:rsid w:val="11AE7832"/>
    <w:rsid w:val="11C04EF9"/>
    <w:rsid w:val="11D566EF"/>
    <w:rsid w:val="11F8062F"/>
    <w:rsid w:val="12096398"/>
    <w:rsid w:val="12103BCB"/>
    <w:rsid w:val="1218443B"/>
    <w:rsid w:val="12241424"/>
    <w:rsid w:val="1235718D"/>
    <w:rsid w:val="123C49C0"/>
    <w:rsid w:val="127C6B6A"/>
    <w:rsid w:val="12810624"/>
    <w:rsid w:val="12865C3B"/>
    <w:rsid w:val="12933680"/>
    <w:rsid w:val="1299424E"/>
    <w:rsid w:val="12D02E3C"/>
    <w:rsid w:val="12D054ED"/>
    <w:rsid w:val="13023513"/>
    <w:rsid w:val="130C25E4"/>
    <w:rsid w:val="131D034D"/>
    <w:rsid w:val="133D5594"/>
    <w:rsid w:val="134778A2"/>
    <w:rsid w:val="13501E89"/>
    <w:rsid w:val="13516249"/>
    <w:rsid w:val="13533D6F"/>
    <w:rsid w:val="136917E4"/>
    <w:rsid w:val="137156FF"/>
    <w:rsid w:val="1384517A"/>
    <w:rsid w:val="13954387"/>
    <w:rsid w:val="13B37C18"/>
    <w:rsid w:val="13CA1B57"/>
    <w:rsid w:val="13D50C28"/>
    <w:rsid w:val="13F05A62"/>
    <w:rsid w:val="141352AC"/>
    <w:rsid w:val="14290F74"/>
    <w:rsid w:val="14441EBB"/>
    <w:rsid w:val="144A5757"/>
    <w:rsid w:val="145216BC"/>
    <w:rsid w:val="145E6E6F"/>
    <w:rsid w:val="149C63AB"/>
    <w:rsid w:val="14BA1BCC"/>
    <w:rsid w:val="14C03686"/>
    <w:rsid w:val="14C36CD2"/>
    <w:rsid w:val="14CB5B87"/>
    <w:rsid w:val="14D64C58"/>
    <w:rsid w:val="14F0383F"/>
    <w:rsid w:val="15172B65"/>
    <w:rsid w:val="151A266A"/>
    <w:rsid w:val="151C63E2"/>
    <w:rsid w:val="152359C3"/>
    <w:rsid w:val="153C0833"/>
    <w:rsid w:val="15593193"/>
    <w:rsid w:val="156C2EC6"/>
    <w:rsid w:val="15701EEA"/>
    <w:rsid w:val="158A5A42"/>
    <w:rsid w:val="15A20FDE"/>
    <w:rsid w:val="15C9656A"/>
    <w:rsid w:val="15D47B16"/>
    <w:rsid w:val="15E60702"/>
    <w:rsid w:val="15F438AC"/>
    <w:rsid w:val="15F555B1"/>
    <w:rsid w:val="15F70FBB"/>
    <w:rsid w:val="162241C0"/>
    <w:rsid w:val="16263F7A"/>
    <w:rsid w:val="162F5661"/>
    <w:rsid w:val="1641516B"/>
    <w:rsid w:val="16585C59"/>
    <w:rsid w:val="16610D9C"/>
    <w:rsid w:val="16781D3E"/>
    <w:rsid w:val="167C35DD"/>
    <w:rsid w:val="167F30CD"/>
    <w:rsid w:val="169F551D"/>
    <w:rsid w:val="16A03DCC"/>
    <w:rsid w:val="16AE3480"/>
    <w:rsid w:val="16BB289D"/>
    <w:rsid w:val="16BE1E47"/>
    <w:rsid w:val="17005FBC"/>
    <w:rsid w:val="17084E70"/>
    <w:rsid w:val="17173305"/>
    <w:rsid w:val="171952CF"/>
    <w:rsid w:val="17283764"/>
    <w:rsid w:val="172B0B5F"/>
    <w:rsid w:val="173A75A4"/>
    <w:rsid w:val="17683B61"/>
    <w:rsid w:val="176D1177"/>
    <w:rsid w:val="17813167"/>
    <w:rsid w:val="178F10EE"/>
    <w:rsid w:val="17AC1CA0"/>
    <w:rsid w:val="17BE19D3"/>
    <w:rsid w:val="17D82A95"/>
    <w:rsid w:val="17E9576D"/>
    <w:rsid w:val="17F526D8"/>
    <w:rsid w:val="17F673BF"/>
    <w:rsid w:val="17F70CE9"/>
    <w:rsid w:val="17F77D8F"/>
    <w:rsid w:val="183121A5"/>
    <w:rsid w:val="18332B6D"/>
    <w:rsid w:val="183D0B4A"/>
    <w:rsid w:val="18776F52"/>
    <w:rsid w:val="187E258F"/>
    <w:rsid w:val="18822A00"/>
    <w:rsid w:val="189664AC"/>
    <w:rsid w:val="189866C8"/>
    <w:rsid w:val="189A2440"/>
    <w:rsid w:val="18A1557C"/>
    <w:rsid w:val="18B352B0"/>
    <w:rsid w:val="18B90B18"/>
    <w:rsid w:val="18C748B7"/>
    <w:rsid w:val="18D55226"/>
    <w:rsid w:val="18E5190D"/>
    <w:rsid w:val="18EF453A"/>
    <w:rsid w:val="192B3098"/>
    <w:rsid w:val="193F4C05"/>
    <w:rsid w:val="194F322A"/>
    <w:rsid w:val="195720DF"/>
    <w:rsid w:val="195F2D42"/>
    <w:rsid w:val="196B16E7"/>
    <w:rsid w:val="198509FA"/>
    <w:rsid w:val="198D78AF"/>
    <w:rsid w:val="199B1FCC"/>
    <w:rsid w:val="19AF5A77"/>
    <w:rsid w:val="19B412DF"/>
    <w:rsid w:val="19C84D8B"/>
    <w:rsid w:val="1A0429D0"/>
    <w:rsid w:val="1A0C5F7E"/>
    <w:rsid w:val="1A165AF6"/>
    <w:rsid w:val="1A18186E"/>
    <w:rsid w:val="1A1B4EBB"/>
    <w:rsid w:val="1A3F504D"/>
    <w:rsid w:val="1A425930"/>
    <w:rsid w:val="1A711ACE"/>
    <w:rsid w:val="1A725422"/>
    <w:rsid w:val="1A756CC1"/>
    <w:rsid w:val="1A8B07F0"/>
    <w:rsid w:val="1A8B64E4"/>
    <w:rsid w:val="1AAE5D2F"/>
    <w:rsid w:val="1ABA2925"/>
    <w:rsid w:val="1ADC5523"/>
    <w:rsid w:val="1AE31E7C"/>
    <w:rsid w:val="1AEC7EAE"/>
    <w:rsid w:val="1AFA62A8"/>
    <w:rsid w:val="1B1D40CD"/>
    <w:rsid w:val="1B2B2D19"/>
    <w:rsid w:val="1B356450"/>
    <w:rsid w:val="1B6121A0"/>
    <w:rsid w:val="1B612DA1"/>
    <w:rsid w:val="1B723200"/>
    <w:rsid w:val="1BB6133F"/>
    <w:rsid w:val="1BC021BE"/>
    <w:rsid w:val="1BD21EF1"/>
    <w:rsid w:val="1BE0016A"/>
    <w:rsid w:val="1BEE6D2B"/>
    <w:rsid w:val="1BF12377"/>
    <w:rsid w:val="1BF606FF"/>
    <w:rsid w:val="1C057BD0"/>
    <w:rsid w:val="1C16002F"/>
    <w:rsid w:val="1C215AB2"/>
    <w:rsid w:val="1C244D2B"/>
    <w:rsid w:val="1C694E11"/>
    <w:rsid w:val="1C7A05BE"/>
    <w:rsid w:val="1C7B60E4"/>
    <w:rsid w:val="1C7C21F2"/>
    <w:rsid w:val="1C7C4FF9"/>
    <w:rsid w:val="1CBF06C7"/>
    <w:rsid w:val="1CD557F5"/>
    <w:rsid w:val="1CD83537"/>
    <w:rsid w:val="1CF4001A"/>
    <w:rsid w:val="1CFD2F9D"/>
    <w:rsid w:val="1CFF2872"/>
    <w:rsid w:val="1D04432C"/>
    <w:rsid w:val="1D061E52"/>
    <w:rsid w:val="1D071D92"/>
    <w:rsid w:val="1D175E0D"/>
    <w:rsid w:val="1D2404F5"/>
    <w:rsid w:val="1D344C11"/>
    <w:rsid w:val="1D58430D"/>
    <w:rsid w:val="1D960202"/>
    <w:rsid w:val="1DC51D0D"/>
    <w:rsid w:val="1DCB6BF8"/>
    <w:rsid w:val="1DEF28E6"/>
    <w:rsid w:val="1DF443A0"/>
    <w:rsid w:val="1E0019ED"/>
    <w:rsid w:val="1E162569"/>
    <w:rsid w:val="1E1B36DB"/>
    <w:rsid w:val="1E334EC9"/>
    <w:rsid w:val="1E450758"/>
    <w:rsid w:val="1E4513CD"/>
    <w:rsid w:val="1E551DC8"/>
    <w:rsid w:val="1E5733AC"/>
    <w:rsid w:val="1E5D1F46"/>
    <w:rsid w:val="1E8C45D9"/>
    <w:rsid w:val="1EA57449"/>
    <w:rsid w:val="1EB06519"/>
    <w:rsid w:val="1EC71AB5"/>
    <w:rsid w:val="1EFA3C38"/>
    <w:rsid w:val="1F0F5A94"/>
    <w:rsid w:val="1F225BA0"/>
    <w:rsid w:val="1F2A5376"/>
    <w:rsid w:val="1F30765A"/>
    <w:rsid w:val="1F645556"/>
    <w:rsid w:val="1F6D7F66"/>
    <w:rsid w:val="1F703EFB"/>
    <w:rsid w:val="1F78690B"/>
    <w:rsid w:val="1FA140B4"/>
    <w:rsid w:val="1FAD4807"/>
    <w:rsid w:val="1FBD4935"/>
    <w:rsid w:val="1FC41B50"/>
    <w:rsid w:val="1FD20711"/>
    <w:rsid w:val="1FEA6682"/>
    <w:rsid w:val="1FEC6DBA"/>
    <w:rsid w:val="1FEE4450"/>
    <w:rsid w:val="1FF144A4"/>
    <w:rsid w:val="20056A54"/>
    <w:rsid w:val="20284939"/>
    <w:rsid w:val="202A5650"/>
    <w:rsid w:val="20401B1F"/>
    <w:rsid w:val="204D1B46"/>
    <w:rsid w:val="20564E9E"/>
    <w:rsid w:val="20684BD2"/>
    <w:rsid w:val="20684D1E"/>
    <w:rsid w:val="209854B7"/>
    <w:rsid w:val="20CE0ED9"/>
    <w:rsid w:val="20E029BA"/>
    <w:rsid w:val="20F34546"/>
    <w:rsid w:val="21004E0A"/>
    <w:rsid w:val="210112AE"/>
    <w:rsid w:val="2107263D"/>
    <w:rsid w:val="212136FE"/>
    <w:rsid w:val="21244F9D"/>
    <w:rsid w:val="212D7572"/>
    <w:rsid w:val="213D605E"/>
    <w:rsid w:val="214C004F"/>
    <w:rsid w:val="215F7D83"/>
    <w:rsid w:val="21696E53"/>
    <w:rsid w:val="216E2C8F"/>
    <w:rsid w:val="219C3F16"/>
    <w:rsid w:val="21A63C04"/>
    <w:rsid w:val="21CD2F3E"/>
    <w:rsid w:val="21D00B45"/>
    <w:rsid w:val="21D3299F"/>
    <w:rsid w:val="21DA38AD"/>
    <w:rsid w:val="2221328A"/>
    <w:rsid w:val="22590FDF"/>
    <w:rsid w:val="22665141"/>
    <w:rsid w:val="22692E72"/>
    <w:rsid w:val="2269375C"/>
    <w:rsid w:val="227658F3"/>
    <w:rsid w:val="227710FC"/>
    <w:rsid w:val="229121BE"/>
    <w:rsid w:val="2299376E"/>
    <w:rsid w:val="22B27D2A"/>
    <w:rsid w:val="22CC31F6"/>
    <w:rsid w:val="22F75AFA"/>
    <w:rsid w:val="22F8223D"/>
    <w:rsid w:val="23056708"/>
    <w:rsid w:val="231057D9"/>
    <w:rsid w:val="23201794"/>
    <w:rsid w:val="2322375E"/>
    <w:rsid w:val="234279DB"/>
    <w:rsid w:val="237E06BD"/>
    <w:rsid w:val="23847F75"/>
    <w:rsid w:val="239D2DE4"/>
    <w:rsid w:val="23A45F21"/>
    <w:rsid w:val="23AE0B4E"/>
    <w:rsid w:val="23BC770E"/>
    <w:rsid w:val="23C64BEB"/>
    <w:rsid w:val="23C757EB"/>
    <w:rsid w:val="23FB6F10"/>
    <w:rsid w:val="23FB7527"/>
    <w:rsid w:val="23FC5074"/>
    <w:rsid w:val="24082954"/>
    <w:rsid w:val="240864B0"/>
    <w:rsid w:val="24111CD9"/>
    <w:rsid w:val="242332EA"/>
    <w:rsid w:val="24305A06"/>
    <w:rsid w:val="243A6885"/>
    <w:rsid w:val="243E0CB5"/>
    <w:rsid w:val="246F436D"/>
    <w:rsid w:val="24715A1B"/>
    <w:rsid w:val="24747FE9"/>
    <w:rsid w:val="24C22B02"/>
    <w:rsid w:val="24C85C3F"/>
    <w:rsid w:val="24D76CB0"/>
    <w:rsid w:val="24ED119F"/>
    <w:rsid w:val="24F37160"/>
    <w:rsid w:val="2531212B"/>
    <w:rsid w:val="2536529E"/>
    <w:rsid w:val="2541556A"/>
    <w:rsid w:val="255A71DF"/>
    <w:rsid w:val="25714529"/>
    <w:rsid w:val="257162D7"/>
    <w:rsid w:val="25AE3087"/>
    <w:rsid w:val="25B61C0F"/>
    <w:rsid w:val="25CC09DB"/>
    <w:rsid w:val="25E90563"/>
    <w:rsid w:val="25E92311"/>
    <w:rsid w:val="25FF1B34"/>
    <w:rsid w:val="26021DE7"/>
    <w:rsid w:val="26136AB5"/>
    <w:rsid w:val="261F5D33"/>
    <w:rsid w:val="26254931"/>
    <w:rsid w:val="263317DE"/>
    <w:rsid w:val="2645171E"/>
    <w:rsid w:val="265A4FBD"/>
    <w:rsid w:val="265E685B"/>
    <w:rsid w:val="267E514F"/>
    <w:rsid w:val="26966A8E"/>
    <w:rsid w:val="26A44365"/>
    <w:rsid w:val="26A526DC"/>
    <w:rsid w:val="26B20955"/>
    <w:rsid w:val="26E36D60"/>
    <w:rsid w:val="26E65A76"/>
    <w:rsid w:val="26EF5515"/>
    <w:rsid w:val="26FE003E"/>
    <w:rsid w:val="270513CC"/>
    <w:rsid w:val="27075144"/>
    <w:rsid w:val="271E2A8C"/>
    <w:rsid w:val="271E5FEA"/>
    <w:rsid w:val="27367610"/>
    <w:rsid w:val="273B094A"/>
    <w:rsid w:val="2744670F"/>
    <w:rsid w:val="27561C28"/>
    <w:rsid w:val="275F0825"/>
    <w:rsid w:val="276E51C4"/>
    <w:rsid w:val="276F6846"/>
    <w:rsid w:val="27736336"/>
    <w:rsid w:val="277B51EB"/>
    <w:rsid w:val="277D71B5"/>
    <w:rsid w:val="27D50520"/>
    <w:rsid w:val="27D65CA8"/>
    <w:rsid w:val="27D8088F"/>
    <w:rsid w:val="27EA056A"/>
    <w:rsid w:val="27EF5FE6"/>
    <w:rsid w:val="27F82CDF"/>
    <w:rsid w:val="280B656E"/>
    <w:rsid w:val="284E0B51"/>
    <w:rsid w:val="286363AA"/>
    <w:rsid w:val="28773C04"/>
    <w:rsid w:val="287E3B05"/>
    <w:rsid w:val="289B632E"/>
    <w:rsid w:val="28A013AD"/>
    <w:rsid w:val="28B74948"/>
    <w:rsid w:val="28C62208"/>
    <w:rsid w:val="28CA01D8"/>
    <w:rsid w:val="28F43781"/>
    <w:rsid w:val="28F73694"/>
    <w:rsid w:val="28FC05AD"/>
    <w:rsid w:val="291F5631"/>
    <w:rsid w:val="292D0766"/>
    <w:rsid w:val="29337AD7"/>
    <w:rsid w:val="29383CB9"/>
    <w:rsid w:val="293D5999"/>
    <w:rsid w:val="29422464"/>
    <w:rsid w:val="2944442E"/>
    <w:rsid w:val="29736AC1"/>
    <w:rsid w:val="297A0D1A"/>
    <w:rsid w:val="298011DE"/>
    <w:rsid w:val="29826D04"/>
    <w:rsid w:val="2987256D"/>
    <w:rsid w:val="298A5BB9"/>
    <w:rsid w:val="29B6075C"/>
    <w:rsid w:val="29C008E3"/>
    <w:rsid w:val="29D17712"/>
    <w:rsid w:val="29D51EAB"/>
    <w:rsid w:val="29DA2DC5"/>
    <w:rsid w:val="29DB4666"/>
    <w:rsid w:val="2A043BBD"/>
    <w:rsid w:val="2A0616E3"/>
    <w:rsid w:val="2A0C0919"/>
    <w:rsid w:val="2A111E36"/>
    <w:rsid w:val="2A21651D"/>
    <w:rsid w:val="2A226D87"/>
    <w:rsid w:val="2A391AB9"/>
    <w:rsid w:val="2A481CFC"/>
    <w:rsid w:val="2A4C2F4A"/>
    <w:rsid w:val="2A5C57A7"/>
    <w:rsid w:val="2A5E1420"/>
    <w:rsid w:val="2A97233B"/>
    <w:rsid w:val="2A9A007E"/>
    <w:rsid w:val="2AB0164F"/>
    <w:rsid w:val="2ACD2201"/>
    <w:rsid w:val="2AD76BDC"/>
    <w:rsid w:val="2AE32FAA"/>
    <w:rsid w:val="2AF228E6"/>
    <w:rsid w:val="2AFA0B1C"/>
    <w:rsid w:val="2B373F9A"/>
    <w:rsid w:val="2B400C25"/>
    <w:rsid w:val="2B430715"/>
    <w:rsid w:val="2B45448D"/>
    <w:rsid w:val="2B5F2F08"/>
    <w:rsid w:val="2B650FCD"/>
    <w:rsid w:val="2B6D12EE"/>
    <w:rsid w:val="2B822FEC"/>
    <w:rsid w:val="2B890F86"/>
    <w:rsid w:val="2B940F71"/>
    <w:rsid w:val="2BC43604"/>
    <w:rsid w:val="2BD33847"/>
    <w:rsid w:val="2BF33EE9"/>
    <w:rsid w:val="2BF57C61"/>
    <w:rsid w:val="2BF8505C"/>
    <w:rsid w:val="2C13571E"/>
    <w:rsid w:val="2C35005E"/>
    <w:rsid w:val="2C4254A7"/>
    <w:rsid w:val="2C4D4E96"/>
    <w:rsid w:val="2C5208AF"/>
    <w:rsid w:val="2C602C01"/>
    <w:rsid w:val="2C6E3570"/>
    <w:rsid w:val="2C6E531E"/>
    <w:rsid w:val="2C90798A"/>
    <w:rsid w:val="2C92725E"/>
    <w:rsid w:val="2C9B7C48"/>
    <w:rsid w:val="2C9F5E1F"/>
    <w:rsid w:val="2CAE7E10"/>
    <w:rsid w:val="2CB73169"/>
    <w:rsid w:val="2CBF5B79"/>
    <w:rsid w:val="2CC17B44"/>
    <w:rsid w:val="2CD11530"/>
    <w:rsid w:val="2CD23AFF"/>
    <w:rsid w:val="2CE657FC"/>
    <w:rsid w:val="2CEC36FF"/>
    <w:rsid w:val="2CF3331D"/>
    <w:rsid w:val="2D0D0FDB"/>
    <w:rsid w:val="2D122B4E"/>
    <w:rsid w:val="2D1E3F76"/>
    <w:rsid w:val="2D256407"/>
    <w:rsid w:val="2D546C0A"/>
    <w:rsid w:val="2D594220"/>
    <w:rsid w:val="2D7626DC"/>
    <w:rsid w:val="2D7B7CF2"/>
    <w:rsid w:val="2D8A4F9C"/>
    <w:rsid w:val="2D917516"/>
    <w:rsid w:val="2DB9081B"/>
    <w:rsid w:val="2DCC3372"/>
    <w:rsid w:val="2DE2605B"/>
    <w:rsid w:val="2DE75388"/>
    <w:rsid w:val="2DE97352"/>
    <w:rsid w:val="2DEA30CA"/>
    <w:rsid w:val="2DFB00D6"/>
    <w:rsid w:val="2E04418C"/>
    <w:rsid w:val="2E057F04"/>
    <w:rsid w:val="2E187A1D"/>
    <w:rsid w:val="2E24038A"/>
    <w:rsid w:val="2E291E44"/>
    <w:rsid w:val="2E32087B"/>
    <w:rsid w:val="2E3A195C"/>
    <w:rsid w:val="2E583C2E"/>
    <w:rsid w:val="2E921798"/>
    <w:rsid w:val="2EA27501"/>
    <w:rsid w:val="2EC13E2B"/>
    <w:rsid w:val="2ED31802"/>
    <w:rsid w:val="2EEF6BEA"/>
    <w:rsid w:val="2EF169A6"/>
    <w:rsid w:val="2F0D7101"/>
    <w:rsid w:val="2F157C3C"/>
    <w:rsid w:val="2F2B74F6"/>
    <w:rsid w:val="2F2E00E0"/>
    <w:rsid w:val="2F340AA1"/>
    <w:rsid w:val="2F3565C7"/>
    <w:rsid w:val="2F4831BD"/>
    <w:rsid w:val="2F610265"/>
    <w:rsid w:val="2F6418F1"/>
    <w:rsid w:val="2F642A08"/>
    <w:rsid w:val="2F6F3887"/>
    <w:rsid w:val="2F7E3ACA"/>
    <w:rsid w:val="2F994DA8"/>
    <w:rsid w:val="2FA642F6"/>
    <w:rsid w:val="2FBB4D1E"/>
    <w:rsid w:val="2FCA4F61"/>
    <w:rsid w:val="2FEC137B"/>
    <w:rsid w:val="2FED4E98"/>
    <w:rsid w:val="300512D8"/>
    <w:rsid w:val="300C60ED"/>
    <w:rsid w:val="301461DC"/>
    <w:rsid w:val="30183F1E"/>
    <w:rsid w:val="30202DD3"/>
    <w:rsid w:val="303960D5"/>
    <w:rsid w:val="303E1DBF"/>
    <w:rsid w:val="30801AC4"/>
    <w:rsid w:val="30A51CDE"/>
    <w:rsid w:val="30C4058C"/>
    <w:rsid w:val="30C6397A"/>
    <w:rsid w:val="30F027A5"/>
    <w:rsid w:val="30F767FE"/>
    <w:rsid w:val="310B75DF"/>
    <w:rsid w:val="31131B9E"/>
    <w:rsid w:val="311448EB"/>
    <w:rsid w:val="31440121"/>
    <w:rsid w:val="315B6CF4"/>
    <w:rsid w:val="3189052A"/>
    <w:rsid w:val="318D6246"/>
    <w:rsid w:val="319F5F79"/>
    <w:rsid w:val="31C559E0"/>
    <w:rsid w:val="31EA5447"/>
    <w:rsid w:val="31F35307"/>
    <w:rsid w:val="32036508"/>
    <w:rsid w:val="320C1861"/>
    <w:rsid w:val="32326DEE"/>
    <w:rsid w:val="323315CF"/>
    <w:rsid w:val="323B6619"/>
    <w:rsid w:val="32587A6F"/>
    <w:rsid w:val="32690A61"/>
    <w:rsid w:val="3276317E"/>
    <w:rsid w:val="32784FFC"/>
    <w:rsid w:val="327A2C6E"/>
    <w:rsid w:val="32807B59"/>
    <w:rsid w:val="32904240"/>
    <w:rsid w:val="32944A6A"/>
    <w:rsid w:val="32977180"/>
    <w:rsid w:val="32C0264D"/>
    <w:rsid w:val="32D54349"/>
    <w:rsid w:val="32DF0D23"/>
    <w:rsid w:val="331309CD"/>
    <w:rsid w:val="3317670F"/>
    <w:rsid w:val="3329528D"/>
    <w:rsid w:val="335A2AA0"/>
    <w:rsid w:val="337B4EF0"/>
    <w:rsid w:val="33802506"/>
    <w:rsid w:val="338418CB"/>
    <w:rsid w:val="339715FE"/>
    <w:rsid w:val="33E95A65"/>
    <w:rsid w:val="340F388A"/>
    <w:rsid w:val="341B3FDD"/>
    <w:rsid w:val="341C1B03"/>
    <w:rsid w:val="341E20DF"/>
    <w:rsid w:val="342168FA"/>
    <w:rsid w:val="342B1D46"/>
    <w:rsid w:val="34367069"/>
    <w:rsid w:val="34382244"/>
    <w:rsid w:val="34572B3B"/>
    <w:rsid w:val="347A51A8"/>
    <w:rsid w:val="348A2F11"/>
    <w:rsid w:val="349B511E"/>
    <w:rsid w:val="34A044E2"/>
    <w:rsid w:val="34A73AC3"/>
    <w:rsid w:val="34D07743"/>
    <w:rsid w:val="34D15916"/>
    <w:rsid w:val="34D523DE"/>
    <w:rsid w:val="34E14A5E"/>
    <w:rsid w:val="34E268A9"/>
    <w:rsid w:val="34EE16F2"/>
    <w:rsid w:val="34F82570"/>
    <w:rsid w:val="352769B2"/>
    <w:rsid w:val="352C5D76"/>
    <w:rsid w:val="3558300F"/>
    <w:rsid w:val="355C48AD"/>
    <w:rsid w:val="355F439E"/>
    <w:rsid w:val="355F7EFA"/>
    <w:rsid w:val="35AD6EB7"/>
    <w:rsid w:val="35D501BC"/>
    <w:rsid w:val="35DE3514"/>
    <w:rsid w:val="35DE63C5"/>
    <w:rsid w:val="35EB3E83"/>
    <w:rsid w:val="35EB5111"/>
    <w:rsid w:val="35ED7BFB"/>
    <w:rsid w:val="36062A6B"/>
    <w:rsid w:val="36170911"/>
    <w:rsid w:val="361C5B5C"/>
    <w:rsid w:val="363B4A32"/>
    <w:rsid w:val="363F5BD6"/>
    <w:rsid w:val="36415851"/>
    <w:rsid w:val="36486BE0"/>
    <w:rsid w:val="366F23BE"/>
    <w:rsid w:val="367479D5"/>
    <w:rsid w:val="36857E34"/>
    <w:rsid w:val="36873BAC"/>
    <w:rsid w:val="368972DC"/>
    <w:rsid w:val="36A14448"/>
    <w:rsid w:val="36A70E97"/>
    <w:rsid w:val="36D36DF1"/>
    <w:rsid w:val="36EA7C97"/>
    <w:rsid w:val="37070003"/>
    <w:rsid w:val="373A6E70"/>
    <w:rsid w:val="373B04F2"/>
    <w:rsid w:val="37427755"/>
    <w:rsid w:val="37462FFE"/>
    <w:rsid w:val="374B6987"/>
    <w:rsid w:val="374E6478"/>
    <w:rsid w:val="3752507A"/>
    <w:rsid w:val="375A4E1C"/>
    <w:rsid w:val="376B702A"/>
    <w:rsid w:val="3774452A"/>
    <w:rsid w:val="3776777C"/>
    <w:rsid w:val="377D0B0B"/>
    <w:rsid w:val="377D6C22"/>
    <w:rsid w:val="377D6D5D"/>
    <w:rsid w:val="37981005"/>
    <w:rsid w:val="37A157CC"/>
    <w:rsid w:val="37A21138"/>
    <w:rsid w:val="37B044FC"/>
    <w:rsid w:val="37B10506"/>
    <w:rsid w:val="37BA1D5F"/>
    <w:rsid w:val="37BA58BB"/>
    <w:rsid w:val="37C8447C"/>
    <w:rsid w:val="37E172EC"/>
    <w:rsid w:val="37E9695A"/>
    <w:rsid w:val="37EB798A"/>
    <w:rsid w:val="37FA5599"/>
    <w:rsid w:val="37FC5ED4"/>
    <w:rsid w:val="380B6117"/>
    <w:rsid w:val="38196D3C"/>
    <w:rsid w:val="38593326"/>
    <w:rsid w:val="38674496"/>
    <w:rsid w:val="38697CB5"/>
    <w:rsid w:val="38C42E95"/>
    <w:rsid w:val="38D62BC9"/>
    <w:rsid w:val="38DA24ED"/>
    <w:rsid w:val="38DD7AB3"/>
    <w:rsid w:val="38DE382B"/>
    <w:rsid w:val="3914549F"/>
    <w:rsid w:val="39317866"/>
    <w:rsid w:val="3949606A"/>
    <w:rsid w:val="39553AED"/>
    <w:rsid w:val="396E1053"/>
    <w:rsid w:val="39754190"/>
    <w:rsid w:val="3975784B"/>
    <w:rsid w:val="398B0DC3"/>
    <w:rsid w:val="3995213C"/>
    <w:rsid w:val="39A71C62"/>
    <w:rsid w:val="39B12CEE"/>
    <w:rsid w:val="39CE19CD"/>
    <w:rsid w:val="39E430C3"/>
    <w:rsid w:val="39F257E0"/>
    <w:rsid w:val="39F923BB"/>
    <w:rsid w:val="39FF1CAB"/>
    <w:rsid w:val="3A0E0140"/>
    <w:rsid w:val="3A184B1B"/>
    <w:rsid w:val="3A1E65D5"/>
    <w:rsid w:val="3A20342A"/>
    <w:rsid w:val="3A217E73"/>
    <w:rsid w:val="3A2A31CC"/>
    <w:rsid w:val="3A325BDD"/>
    <w:rsid w:val="3A3C2A31"/>
    <w:rsid w:val="3A3F55DF"/>
    <w:rsid w:val="3A43603C"/>
    <w:rsid w:val="3A5C0156"/>
    <w:rsid w:val="3A766D7C"/>
    <w:rsid w:val="3AB605BC"/>
    <w:rsid w:val="3AC4148A"/>
    <w:rsid w:val="3ACC0099"/>
    <w:rsid w:val="3AD273C0"/>
    <w:rsid w:val="3AE315CD"/>
    <w:rsid w:val="3AE55116"/>
    <w:rsid w:val="3AE74C19"/>
    <w:rsid w:val="3AEF5569"/>
    <w:rsid w:val="3AF31810"/>
    <w:rsid w:val="3B181276"/>
    <w:rsid w:val="3B2714BA"/>
    <w:rsid w:val="3B286FE0"/>
    <w:rsid w:val="3B2C087E"/>
    <w:rsid w:val="3B2D74D2"/>
    <w:rsid w:val="3B454218"/>
    <w:rsid w:val="3B4623CE"/>
    <w:rsid w:val="3B5D4EDB"/>
    <w:rsid w:val="3B7D0ACF"/>
    <w:rsid w:val="3B83561B"/>
    <w:rsid w:val="3B8C30E9"/>
    <w:rsid w:val="3B914B85"/>
    <w:rsid w:val="3BE23632"/>
    <w:rsid w:val="3BE757B2"/>
    <w:rsid w:val="3C017F5D"/>
    <w:rsid w:val="3C1E449C"/>
    <w:rsid w:val="3C333E8E"/>
    <w:rsid w:val="3C4E2A76"/>
    <w:rsid w:val="3C601127"/>
    <w:rsid w:val="3C9B215F"/>
    <w:rsid w:val="3CA01523"/>
    <w:rsid w:val="3CD94A35"/>
    <w:rsid w:val="3CF0102B"/>
    <w:rsid w:val="3CFE26EE"/>
    <w:rsid w:val="3D1C559F"/>
    <w:rsid w:val="3D2A703F"/>
    <w:rsid w:val="3D485717"/>
    <w:rsid w:val="3D6C58AA"/>
    <w:rsid w:val="3D74650C"/>
    <w:rsid w:val="3D8B36E7"/>
    <w:rsid w:val="3D98494E"/>
    <w:rsid w:val="3D9B618F"/>
    <w:rsid w:val="3DA00F41"/>
    <w:rsid w:val="3DBC05DF"/>
    <w:rsid w:val="3DC92CFC"/>
    <w:rsid w:val="3DCE29A8"/>
    <w:rsid w:val="3DCF0949"/>
    <w:rsid w:val="3DD82F3F"/>
    <w:rsid w:val="3DE10046"/>
    <w:rsid w:val="3DFF04CC"/>
    <w:rsid w:val="3E1075B5"/>
    <w:rsid w:val="3E693B97"/>
    <w:rsid w:val="3E6B1752"/>
    <w:rsid w:val="3E7013C9"/>
    <w:rsid w:val="3E7A3FF6"/>
    <w:rsid w:val="3E7E7642"/>
    <w:rsid w:val="3E895FE7"/>
    <w:rsid w:val="3E946E66"/>
    <w:rsid w:val="3E970704"/>
    <w:rsid w:val="3EA6703C"/>
    <w:rsid w:val="3EB61287"/>
    <w:rsid w:val="3EB70DA6"/>
    <w:rsid w:val="3EBE3EE3"/>
    <w:rsid w:val="3EC6723B"/>
    <w:rsid w:val="3ECA60A5"/>
    <w:rsid w:val="3F1B7587"/>
    <w:rsid w:val="3F360E43"/>
    <w:rsid w:val="3F395C5F"/>
    <w:rsid w:val="3F4C0D4D"/>
    <w:rsid w:val="3F5E1222"/>
    <w:rsid w:val="3F6D66E3"/>
    <w:rsid w:val="3F7136AB"/>
    <w:rsid w:val="3F7B5A35"/>
    <w:rsid w:val="3FAA4224"/>
    <w:rsid w:val="3FAC6431"/>
    <w:rsid w:val="3FBB6674"/>
    <w:rsid w:val="3FC62CF3"/>
    <w:rsid w:val="3FF541AD"/>
    <w:rsid w:val="3FFF0C57"/>
    <w:rsid w:val="4004380E"/>
    <w:rsid w:val="40126037"/>
    <w:rsid w:val="40251D40"/>
    <w:rsid w:val="402661E4"/>
    <w:rsid w:val="40300E10"/>
    <w:rsid w:val="4041664D"/>
    <w:rsid w:val="40442B0E"/>
    <w:rsid w:val="4048086C"/>
    <w:rsid w:val="40582115"/>
    <w:rsid w:val="405F2742"/>
    <w:rsid w:val="40672358"/>
    <w:rsid w:val="4093314D"/>
    <w:rsid w:val="409838D0"/>
    <w:rsid w:val="409A0980"/>
    <w:rsid w:val="40C8729B"/>
    <w:rsid w:val="40C96B6F"/>
    <w:rsid w:val="40D043A1"/>
    <w:rsid w:val="40DA42A8"/>
    <w:rsid w:val="40F233E5"/>
    <w:rsid w:val="410A340F"/>
    <w:rsid w:val="4116300F"/>
    <w:rsid w:val="411E335F"/>
    <w:rsid w:val="411E510D"/>
    <w:rsid w:val="41362456"/>
    <w:rsid w:val="41395AA3"/>
    <w:rsid w:val="414601C0"/>
    <w:rsid w:val="415B010F"/>
    <w:rsid w:val="418C651A"/>
    <w:rsid w:val="41935615"/>
    <w:rsid w:val="419B07A1"/>
    <w:rsid w:val="41A82C28"/>
    <w:rsid w:val="41AF4BFE"/>
    <w:rsid w:val="41BE2C81"/>
    <w:rsid w:val="41EC520B"/>
    <w:rsid w:val="41F67E38"/>
    <w:rsid w:val="41FC37BB"/>
    <w:rsid w:val="421107CE"/>
    <w:rsid w:val="42274495"/>
    <w:rsid w:val="423238DF"/>
    <w:rsid w:val="42530DE6"/>
    <w:rsid w:val="425863FC"/>
    <w:rsid w:val="426D634C"/>
    <w:rsid w:val="426F02C5"/>
    <w:rsid w:val="42701998"/>
    <w:rsid w:val="42925DB2"/>
    <w:rsid w:val="429E4757"/>
    <w:rsid w:val="42A72EE0"/>
    <w:rsid w:val="42B20202"/>
    <w:rsid w:val="42B44789"/>
    <w:rsid w:val="42CD46CB"/>
    <w:rsid w:val="42CE01DE"/>
    <w:rsid w:val="42D77C69"/>
    <w:rsid w:val="431C1B20"/>
    <w:rsid w:val="43252782"/>
    <w:rsid w:val="432B3B11"/>
    <w:rsid w:val="435117C9"/>
    <w:rsid w:val="4359067E"/>
    <w:rsid w:val="435D2383"/>
    <w:rsid w:val="436112E1"/>
    <w:rsid w:val="43616766"/>
    <w:rsid w:val="4379487C"/>
    <w:rsid w:val="437B23A2"/>
    <w:rsid w:val="438D3E96"/>
    <w:rsid w:val="43996CCD"/>
    <w:rsid w:val="439C056B"/>
    <w:rsid w:val="439D4A0F"/>
    <w:rsid w:val="43B753A5"/>
    <w:rsid w:val="43B81849"/>
    <w:rsid w:val="43C27FD1"/>
    <w:rsid w:val="43D16466"/>
    <w:rsid w:val="43DB4CF3"/>
    <w:rsid w:val="43E82C0B"/>
    <w:rsid w:val="43EA39CC"/>
    <w:rsid w:val="43ED34FE"/>
    <w:rsid w:val="440C56F0"/>
    <w:rsid w:val="441E0D0C"/>
    <w:rsid w:val="44250560"/>
    <w:rsid w:val="442A3DC9"/>
    <w:rsid w:val="44436E29"/>
    <w:rsid w:val="445D5F4C"/>
    <w:rsid w:val="44AE56AE"/>
    <w:rsid w:val="44B045B2"/>
    <w:rsid w:val="44B94E6A"/>
    <w:rsid w:val="44D05A62"/>
    <w:rsid w:val="44DC1567"/>
    <w:rsid w:val="44EE4DF6"/>
    <w:rsid w:val="44F00070"/>
    <w:rsid w:val="44F46A31"/>
    <w:rsid w:val="45294080"/>
    <w:rsid w:val="452B41B5"/>
    <w:rsid w:val="45390767"/>
    <w:rsid w:val="45507E04"/>
    <w:rsid w:val="455455A1"/>
    <w:rsid w:val="45561319"/>
    <w:rsid w:val="45754CF7"/>
    <w:rsid w:val="457E261E"/>
    <w:rsid w:val="45912351"/>
    <w:rsid w:val="45D466E2"/>
    <w:rsid w:val="45E375B3"/>
    <w:rsid w:val="45E561F9"/>
    <w:rsid w:val="460279A5"/>
    <w:rsid w:val="462C5BD6"/>
    <w:rsid w:val="462E7BA0"/>
    <w:rsid w:val="463330EF"/>
    <w:rsid w:val="463C7618"/>
    <w:rsid w:val="467D28D5"/>
    <w:rsid w:val="468553FD"/>
    <w:rsid w:val="469E3489"/>
    <w:rsid w:val="469F45FA"/>
    <w:rsid w:val="46A74458"/>
    <w:rsid w:val="46B5206F"/>
    <w:rsid w:val="46BA58D8"/>
    <w:rsid w:val="4712301E"/>
    <w:rsid w:val="471C20EE"/>
    <w:rsid w:val="474D4056"/>
    <w:rsid w:val="47571378"/>
    <w:rsid w:val="475C698F"/>
    <w:rsid w:val="476B1F0D"/>
    <w:rsid w:val="476B5D14"/>
    <w:rsid w:val="47C22C96"/>
    <w:rsid w:val="47C6205A"/>
    <w:rsid w:val="47DC0A17"/>
    <w:rsid w:val="47DE73A4"/>
    <w:rsid w:val="481D7ECC"/>
    <w:rsid w:val="48390A7E"/>
    <w:rsid w:val="485123D7"/>
    <w:rsid w:val="486431C6"/>
    <w:rsid w:val="486A50DB"/>
    <w:rsid w:val="4871646A"/>
    <w:rsid w:val="489F7C90"/>
    <w:rsid w:val="48B6587F"/>
    <w:rsid w:val="48C93BB0"/>
    <w:rsid w:val="48DC7D87"/>
    <w:rsid w:val="48E704DA"/>
    <w:rsid w:val="49065BB0"/>
    <w:rsid w:val="490E3CB9"/>
    <w:rsid w:val="491A08FA"/>
    <w:rsid w:val="491C63D6"/>
    <w:rsid w:val="49224B68"/>
    <w:rsid w:val="492F40D5"/>
    <w:rsid w:val="495C67D2"/>
    <w:rsid w:val="497A134E"/>
    <w:rsid w:val="499D3DD0"/>
    <w:rsid w:val="49A4776C"/>
    <w:rsid w:val="49A563CB"/>
    <w:rsid w:val="49D92519"/>
    <w:rsid w:val="49E62540"/>
    <w:rsid w:val="49EA5DBA"/>
    <w:rsid w:val="49F70BF1"/>
    <w:rsid w:val="4A037596"/>
    <w:rsid w:val="4A064990"/>
    <w:rsid w:val="4A2C089A"/>
    <w:rsid w:val="4A3F26D0"/>
    <w:rsid w:val="4A6022F2"/>
    <w:rsid w:val="4A621AA2"/>
    <w:rsid w:val="4A722025"/>
    <w:rsid w:val="4A843DC7"/>
    <w:rsid w:val="4A897A9B"/>
    <w:rsid w:val="4AAD006D"/>
    <w:rsid w:val="4AB663B6"/>
    <w:rsid w:val="4AD54A8E"/>
    <w:rsid w:val="4AE41175"/>
    <w:rsid w:val="4AF07B1A"/>
    <w:rsid w:val="4B112D69"/>
    <w:rsid w:val="4B245A16"/>
    <w:rsid w:val="4B2D47E9"/>
    <w:rsid w:val="4B455699"/>
    <w:rsid w:val="4B6422B6"/>
    <w:rsid w:val="4B6B53F2"/>
    <w:rsid w:val="4B9A7BAA"/>
    <w:rsid w:val="4B9B3471"/>
    <w:rsid w:val="4B9D30D2"/>
    <w:rsid w:val="4BB52B12"/>
    <w:rsid w:val="4BC121DA"/>
    <w:rsid w:val="4BC62629"/>
    <w:rsid w:val="4BCC437D"/>
    <w:rsid w:val="4BFA2679"/>
    <w:rsid w:val="4BFC429C"/>
    <w:rsid w:val="4C312198"/>
    <w:rsid w:val="4C3C0B3D"/>
    <w:rsid w:val="4C582596"/>
    <w:rsid w:val="4C6226F5"/>
    <w:rsid w:val="4C714C8A"/>
    <w:rsid w:val="4C810714"/>
    <w:rsid w:val="4C87625C"/>
    <w:rsid w:val="4C8D3147"/>
    <w:rsid w:val="4C9F78A6"/>
    <w:rsid w:val="4CA87F80"/>
    <w:rsid w:val="4CCF375F"/>
    <w:rsid w:val="4CD35BF3"/>
    <w:rsid w:val="4CD9305C"/>
    <w:rsid w:val="4CE51E03"/>
    <w:rsid w:val="4CEA1CD9"/>
    <w:rsid w:val="4D027691"/>
    <w:rsid w:val="4D0A4797"/>
    <w:rsid w:val="4D1473C4"/>
    <w:rsid w:val="4D297313"/>
    <w:rsid w:val="4D8E7176"/>
    <w:rsid w:val="4DA30E74"/>
    <w:rsid w:val="4DB27309"/>
    <w:rsid w:val="4DB841F3"/>
    <w:rsid w:val="4DD23507"/>
    <w:rsid w:val="4DD454D1"/>
    <w:rsid w:val="4DED6593"/>
    <w:rsid w:val="4DF0398D"/>
    <w:rsid w:val="4DF25957"/>
    <w:rsid w:val="4E031912"/>
    <w:rsid w:val="4E08517B"/>
    <w:rsid w:val="4E0D3CBB"/>
    <w:rsid w:val="4E1458CD"/>
    <w:rsid w:val="4E487C6D"/>
    <w:rsid w:val="4E4B32B9"/>
    <w:rsid w:val="4E531A6F"/>
    <w:rsid w:val="4E9C33C1"/>
    <w:rsid w:val="4ED35788"/>
    <w:rsid w:val="4EED611E"/>
    <w:rsid w:val="4EF86F9D"/>
    <w:rsid w:val="4F0771E0"/>
    <w:rsid w:val="4F146169"/>
    <w:rsid w:val="4F18763F"/>
    <w:rsid w:val="4F4162B9"/>
    <w:rsid w:val="4F781E8C"/>
    <w:rsid w:val="4F8922EB"/>
    <w:rsid w:val="4F8D54D9"/>
    <w:rsid w:val="4FA40ED3"/>
    <w:rsid w:val="4FC155E1"/>
    <w:rsid w:val="4FD07F1A"/>
    <w:rsid w:val="4FF359B6"/>
    <w:rsid w:val="5009124B"/>
    <w:rsid w:val="500B0F52"/>
    <w:rsid w:val="500E27F0"/>
    <w:rsid w:val="501E4797"/>
    <w:rsid w:val="502F4C40"/>
    <w:rsid w:val="503C110B"/>
    <w:rsid w:val="5064008A"/>
    <w:rsid w:val="507561E4"/>
    <w:rsid w:val="507F2241"/>
    <w:rsid w:val="508F3931"/>
    <w:rsid w:val="50944D86"/>
    <w:rsid w:val="50AF18DD"/>
    <w:rsid w:val="50D17AA6"/>
    <w:rsid w:val="50E13A61"/>
    <w:rsid w:val="50FB4B23"/>
    <w:rsid w:val="510C6D30"/>
    <w:rsid w:val="51161220"/>
    <w:rsid w:val="511E6A63"/>
    <w:rsid w:val="515E50B1"/>
    <w:rsid w:val="516A4EFD"/>
    <w:rsid w:val="516F72BF"/>
    <w:rsid w:val="517D7C2E"/>
    <w:rsid w:val="518441B3"/>
    <w:rsid w:val="51874608"/>
    <w:rsid w:val="51C63383"/>
    <w:rsid w:val="51E12783"/>
    <w:rsid w:val="51E8133D"/>
    <w:rsid w:val="51EA7F58"/>
    <w:rsid w:val="51EB2DE9"/>
    <w:rsid w:val="5212481A"/>
    <w:rsid w:val="521343FD"/>
    <w:rsid w:val="521A36CE"/>
    <w:rsid w:val="52310016"/>
    <w:rsid w:val="52473542"/>
    <w:rsid w:val="524F709C"/>
    <w:rsid w:val="5253273C"/>
    <w:rsid w:val="526B5CD8"/>
    <w:rsid w:val="52754DA9"/>
    <w:rsid w:val="527B35FE"/>
    <w:rsid w:val="52862B12"/>
    <w:rsid w:val="52AD009F"/>
    <w:rsid w:val="52B96A43"/>
    <w:rsid w:val="52BB6C5F"/>
    <w:rsid w:val="52BC6534"/>
    <w:rsid w:val="52C61160"/>
    <w:rsid w:val="52D65847"/>
    <w:rsid w:val="52DC6BD6"/>
    <w:rsid w:val="52EF06B7"/>
    <w:rsid w:val="52F43F1F"/>
    <w:rsid w:val="52F9182A"/>
    <w:rsid w:val="52F97788"/>
    <w:rsid w:val="52FC2DD4"/>
    <w:rsid w:val="53373A5D"/>
    <w:rsid w:val="53876EC9"/>
    <w:rsid w:val="538C23AA"/>
    <w:rsid w:val="53A40ECA"/>
    <w:rsid w:val="53D841B5"/>
    <w:rsid w:val="542645AC"/>
    <w:rsid w:val="542A5D83"/>
    <w:rsid w:val="543E202D"/>
    <w:rsid w:val="547E3B49"/>
    <w:rsid w:val="547F1F0F"/>
    <w:rsid w:val="54905ECA"/>
    <w:rsid w:val="549C661D"/>
    <w:rsid w:val="54B576DE"/>
    <w:rsid w:val="54B90F7D"/>
    <w:rsid w:val="54FC530D"/>
    <w:rsid w:val="550541C2"/>
    <w:rsid w:val="55301C22"/>
    <w:rsid w:val="553700F3"/>
    <w:rsid w:val="55654C60"/>
    <w:rsid w:val="55784DE4"/>
    <w:rsid w:val="55823A64"/>
    <w:rsid w:val="558E2409"/>
    <w:rsid w:val="55A66DA3"/>
    <w:rsid w:val="55AA6B17"/>
    <w:rsid w:val="55B856D8"/>
    <w:rsid w:val="55E464CD"/>
    <w:rsid w:val="5604081D"/>
    <w:rsid w:val="56066443"/>
    <w:rsid w:val="56095F34"/>
    <w:rsid w:val="56097CE2"/>
    <w:rsid w:val="5621502B"/>
    <w:rsid w:val="56336B0D"/>
    <w:rsid w:val="563C00B7"/>
    <w:rsid w:val="56494582"/>
    <w:rsid w:val="564D4072"/>
    <w:rsid w:val="5653376B"/>
    <w:rsid w:val="565847C5"/>
    <w:rsid w:val="56680EAC"/>
    <w:rsid w:val="566C3476"/>
    <w:rsid w:val="567F1D52"/>
    <w:rsid w:val="56901C00"/>
    <w:rsid w:val="56B37C4E"/>
    <w:rsid w:val="56C67981"/>
    <w:rsid w:val="56FE14E7"/>
    <w:rsid w:val="57392849"/>
    <w:rsid w:val="574A526E"/>
    <w:rsid w:val="575F0FAE"/>
    <w:rsid w:val="57723665"/>
    <w:rsid w:val="577E6D98"/>
    <w:rsid w:val="578A129D"/>
    <w:rsid w:val="57904E7E"/>
    <w:rsid w:val="579E445A"/>
    <w:rsid w:val="57BB500C"/>
    <w:rsid w:val="57BE59DB"/>
    <w:rsid w:val="57C06AC6"/>
    <w:rsid w:val="57CD0549"/>
    <w:rsid w:val="57CD4D3F"/>
    <w:rsid w:val="57CE11E3"/>
    <w:rsid w:val="57D52571"/>
    <w:rsid w:val="57E75E01"/>
    <w:rsid w:val="58020E8D"/>
    <w:rsid w:val="581D5CC6"/>
    <w:rsid w:val="582307E9"/>
    <w:rsid w:val="582C5F09"/>
    <w:rsid w:val="585B059D"/>
    <w:rsid w:val="5862192B"/>
    <w:rsid w:val="58816255"/>
    <w:rsid w:val="58BF7467"/>
    <w:rsid w:val="58C45E8A"/>
    <w:rsid w:val="58C719F5"/>
    <w:rsid w:val="58CC445F"/>
    <w:rsid w:val="58D4636D"/>
    <w:rsid w:val="58DA27A4"/>
    <w:rsid w:val="58E93DFA"/>
    <w:rsid w:val="58EE4FB5"/>
    <w:rsid w:val="58F22CAF"/>
    <w:rsid w:val="59103135"/>
    <w:rsid w:val="591305FD"/>
    <w:rsid w:val="59201273"/>
    <w:rsid w:val="593121D4"/>
    <w:rsid w:val="59413C36"/>
    <w:rsid w:val="59417793"/>
    <w:rsid w:val="59444C41"/>
    <w:rsid w:val="596811C3"/>
    <w:rsid w:val="59771406"/>
    <w:rsid w:val="597D4C6F"/>
    <w:rsid w:val="597E09E7"/>
    <w:rsid w:val="598231F3"/>
    <w:rsid w:val="59853B23"/>
    <w:rsid w:val="59875AED"/>
    <w:rsid w:val="59AC7E18"/>
    <w:rsid w:val="59C12681"/>
    <w:rsid w:val="59FE7432"/>
    <w:rsid w:val="5A0A0EF4"/>
    <w:rsid w:val="5A1035F7"/>
    <w:rsid w:val="5A13174A"/>
    <w:rsid w:val="5A1B7FE4"/>
    <w:rsid w:val="5A326F97"/>
    <w:rsid w:val="5A3440F0"/>
    <w:rsid w:val="5A3612C1"/>
    <w:rsid w:val="5A366BCB"/>
    <w:rsid w:val="5A47432D"/>
    <w:rsid w:val="5A566598"/>
    <w:rsid w:val="5A5A0B0C"/>
    <w:rsid w:val="5A5D23AA"/>
    <w:rsid w:val="5A7F7679"/>
    <w:rsid w:val="5A907813"/>
    <w:rsid w:val="5A9164F8"/>
    <w:rsid w:val="5A963B0E"/>
    <w:rsid w:val="5AB53F94"/>
    <w:rsid w:val="5AD14B46"/>
    <w:rsid w:val="5ADF3707"/>
    <w:rsid w:val="5AE446EE"/>
    <w:rsid w:val="5AEB5C08"/>
    <w:rsid w:val="5B0D5B7E"/>
    <w:rsid w:val="5B3A093D"/>
    <w:rsid w:val="5B4812AC"/>
    <w:rsid w:val="5B6A2FD1"/>
    <w:rsid w:val="5B6B1F7B"/>
    <w:rsid w:val="5B756312"/>
    <w:rsid w:val="5B8A13DD"/>
    <w:rsid w:val="5B9718EC"/>
    <w:rsid w:val="5B994669"/>
    <w:rsid w:val="5BAD55B3"/>
    <w:rsid w:val="5BBA55DA"/>
    <w:rsid w:val="5BCA3A6F"/>
    <w:rsid w:val="5BD62414"/>
    <w:rsid w:val="5C110F9F"/>
    <w:rsid w:val="5C2F421A"/>
    <w:rsid w:val="5C4557EC"/>
    <w:rsid w:val="5C594DF3"/>
    <w:rsid w:val="5C761285"/>
    <w:rsid w:val="5C7A3771"/>
    <w:rsid w:val="5C7D31D8"/>
    <w:rsid w:val="5C8F6A67"/>
    <w:rsid w:val="5CA5484E"/>
    <w:rsid w:val="5CF40474"/>
    <w:rsid w:val="5CF86384"/>
    <w:rsid w:val="5D01694D"/>
    <w:rsid w:val="5D4810F0"/>
    <w:rsid w:val="5D5757D7"/>
    <w:rsid w:val="5D6B3030"/>
    <w:rsid w:val="5D7E2D63"/>
    <w:rsid w:val="5D813110"/>
    <w:rsid w:val="5D990C43"/>
    <w:rsid w:val="5D9E1657"/>
    <w:rsid w:val="5D9F4BC1"/>
    <w:rsid w:val="5DD92690"/>
    <w:rsid w:val="5DDC7FDE"/>
    <w:rsid w:val="5DE545D8"/>
    <w:rsid w:val="5E0B036F"/>
    <w:rsid w:val="5E167440"/>
    <w:rsid w:val="5E174F66"/>
    <w:rsid w:val="5E27164D"/>
    <w:rsid w:val="5E2943D6"/>
    <w:rsid w:val="5E465887"/>
    <w:rsid w:val="5E512967"/>
    <w:rsid w:val="5E5B4E53"/>
    <w:rsid w:val="5E781EA8"/>
    <w:rsid w:val="5E8425FB"/>
    <w:rsid w:val="5E950D52"/>
    <w:rsid w:val="5EA37DCB"/>
    <w:rsid w:val="5ECE1AC8"/>
    <w:rsid w:val="5ED2780B"/>
    <w:rsid w:val="5ED2799C"/>
    <w:rsid w:val="5EF62DCD"/>
    <w:rsid w:val="5EF74F60"/>
    <w:rsid w:val="5EF77271"/>
    <w:rsid w:val="5F0059FA"/>
    <w:rsid w:val="5F381638"/>
    <w:rsid w:val="5F4678B1"/>
    <w:rsid w:val="5F580060"/>
    <w:rsid w:val="5F634AC5"/>
    <w:rsid w:val="5F6D308F"/>
    <w:rsid w:val="5F775CBC"/>
    <w:rsid w:val="5F8623A3"/>
    <w:rsid w:val="5FB644C5"/>
    <w:rsid w:val="5FC353A5"/>
    <w:rsid w:val="5FD650D9"/>
    <w:rsid w:val="5FF94923"/>
    <w:rsid w:val="602001C2"/>
    <w:rsid w:val="603D5158"/>
    <w:rsid w:val="604007A4"/>
    <w:rsid w:val="604E4C0A"/>
    <w:rsid w:val="605517D3"/>
    <w:rsid w:val="60567FC7"/>
    <w:rsid w:val="6067458E"/>
    <w:rsid w:val="60695F4D"/>
    <w:rsid w:val="606D70BF"/>
    <w:rsid w:val="607425D4"/>
    <w:rsid w:val="607D5554"/>
    <w:rsid w:val="609861F2"/>
    <w:rsid w:val="609C6D7D"/>
    <w:rsid w:val="60D26DB6"/>
    <w:rsid w:val="60FF240D"/>
    <w:rsid w:val="61096DE8"/>
    <w:rsid w:val="611237E0"/>
    <w:rsid w:val="611B5F6B"/>
    <w:rsid w:val="6129748A"/>
    <w:rsid w:val="612C2AD6"/>
    <w:rsid w:val="61330309"/>
    <w:rsid w:val="615E35D8"/>
    <w:rsid w:val="6170634E"/>
    <w:rsid w:val="618648DC"/>
    <w:rsid w:val="61C947C9"/>
    <w:rsid w:val="61CD6067"/>
    <w:rsid w:val="61DE64C6"/>
    <w:rsid w:val="61E57855"/>
    <w:rsid w:val="620E021A"/>
    <w:rsid w:val="622639C9"/>
    <w:rsid w:val="623B7475"/>
    <w:rsid w:val="623E319E"/>
    <w:rsid w:val="624520A2"/>
    <w:rsid w:val="624D0F56"/>
    <w:rsid w:val="625340B1"/>
    <w:rsid w:val="625978FB"/>
    <w:rsid w:val="625C3754"/>
    <w:rsid w:val="626C35C6"/>
    <w:rsid w:val="627209BD"/>
    <w:rsid w:val="627E7362"/>
    <w:rsid w:val="62913539"/>
    <w:rsid w:val="62922E0D"/>
    <w:rsid w:val="629B1784"/>
    <w:rsid w:val="629D467C"/>
    <w:rsid w:val="62A50D92"/>
    <w:rsid w:val="62A76162"/>
    <w:rsid w:val="62AC2121"/>
    <w:rsid w:val="62B15989"/>
    <w:rsid w:val="62B876B2"/>
    <w:rsid w:val="62BF275C"/>
    <w:rsid w:val="62C54F90"/>
    <w:rsid w:val="62C638B5"/>
    <w:rsid w:val="62CF7BBD"/>
    <w:rsid w:val="62E17944"/>
    <w:rsid w:val="62EA49F7"/>
    <w:rsid w:val="62F06569"/>
    <w:rsid w:val="62FA09F1"/>
    <w:rsid w:val="62FE44DE"/>
    <w:rsid w:val="6301344B"/>
    <w:rsid w:val="630A5099"/>
    <w:rsid w:val="630E4B89"/>
    <w:rsid w:val="632C14B3"/>
    <w:rsid w:val="63312626"/>
    <w:rsid w:val="634E142A"/>
    <w:rsid w:val="63620A31"/>
    <w:rsid w:val="63627240"/>
    <w:rsid w:val="63750765"/>
    <w:rsid w:val="637644DD"/>
    <w:rsid w:val="63873C08"/>
    <w:rsid w:val="639056AE"/>
    <w:rsid w:val="639A01CB"/>
    <w:rsid w:val="63A4104A"/>
    <w:rsid w:val="63A9609A"/>
    <w:rsid w:val="63AB687C"/>
    <w:rsid w:val="63AD43A2"/>
    <w:rsid w:val="63C71DB7"/>
    <w:rsid w:val="63F773CC"/>
    <w:rsid w:val="64073455"/>
    <w:rsid w:val="64095351"/>
    <w:rsid w:val="64281C7B"/>
    <w:rsid w:val="644D3C9F"/>
    <w:rsid w:val="645E569D"/>
    <w:rsid w:val="64610CE9"/>
    <w:rsid w:val="64AF2FC2"/>
    <w:rsid w:val="64AF7CA6"/>
    <w:rsid w:val="64C01EB3"/>
    <w:rsid w:val="64CA3DD2"/>
    <w:rsid w:val="64CA4AE0"/>
    <w:rsid w:val="64DE2339"/>
    <w:rsid w:val="64E94B33"/>
    <w:rsid w:val="64F47DAF"/>
    <w:rsid w:val="64F733FB"/>
    <w:rsid w:val="64FB738F"/>
    <w:rsid w:val="650F5B2F"/>
    <w:rsid w:val="65174C5C"/>
    <w:rsid w:val="652555E6"/>
    <w:rsid w:val="65557809"/>
    <w:rsid w:val="65640A91"/>
    <w:rsid w:val="656A1E1F"/>
    <w:rsid w:val="65A05841"/>
    <w:rsid w:val="65BE6466"/>
    <w:rsid w:val="65E816C2"/>
    <w:rsid w:val="661F0E5C"/>
    <w:rsid w:val="66214BD4"/>
    <w:rsid w:val="66400603"/>
    <w:rsid w:val="66410DD2"/>
    <w:rsid w:val="664803B2"/>
    <w:rsid w:val="666D7E19"/>
    <w:rsid w:val="66AA6977"/>
    <w:rsid w:val="66EA228C"/>
    <w:rsid w:val="67177D85"/>
    <w:rsid w:val="6728672F"/>
    <w:rsid w:val="67401089"/>
    <w:rsid w:val="67433523"/>
    <w:rsid w:val="67486190"/>
    <w:rsid w:val="674F5770"/>
    <w:rsid w:val="675B5EC3"/>
    <w:rsid w:val="675F3C06"/>
    <w:rsid w:val="676809BD"/>
    <w:rsid w:val="67766731"/>
    <w:rsid w:val="677D22DE"/>
    <w:rsid w:val="67A94E81"/>
    <w:rsid w:val="67B51A77"/>
    <w:rsid w:val="67B84FE8"/>
    <w:rsid w:val="67F670C0"/>
    <w:rsid w:val="67FB3202"/>
    <w:rsid w:val="682D5AB2"/>
    <w:rsid w:val="68340388"/>
    <w:rsid w:val="6841155D"/>
    <w:rsid w:val="685813DE"/>
    <w:rsid w:val="688D7174"/>
    <w:rsid w:val="68C7295A"/>
    <w:rsid w:val="68CA77A4"/>
    <w:rsid w:val="68D221B5"/>
    <w:rsid w:val="68D67EF7"/>
    <w:rsid w:val="68D75A1D"/>
    <w:rsid w:val="68E962D5"/>
    <w:rsid w:val="68F43584"/>
    <w:rsid w:val="691044D2"/>
    <w:rsid w:val="69201173"/>
    <w:rsid w:val="69472BA3"/>
    <w:rsid w:val="69862BE9"/>
    <w:rsid w:val="698F1514"/>
    <w:rsid w:val="699021C4"/>
    <w:rsid w:val="69AC0C58"/>
    <w:rsid w:val="69C53AC8"/>
    <w:rsid w:val="69F521CD"/>
    <w:rsid w:val="6A107439"/>
    <w:rsid w:val="6A2F2EB0"/>
    <w:rsid w:val="6A4610AD"/>
    <w:rsid w:val="6A7B71B2"/>
    <w:rsid w:val="6A9736B6"/>
    <w:rsid w:val="6ABA55F7"/>
    <w:rsid w:val="6ACB76BC"/>
    <w:rsid w:val="6AF208ED"/>
    <w:rsid w:val="6AFE53B6"/>
    <w:rsid w:val="6B0845B4"/>
    <w:rsid w:val="6B0C0FC3"/>
    <w:rsid w:val="6B1D005F"/>
    <w:rsid w:val="6B4371A6"/>
    <w:rsid w:val="6B460C38"/>
    <w:rsid w:val="6B4A697B"/>
    <w:rsid w:val="6B525ABB"/>
    <w:rsid w:val="6B56531F"/>
    <w:rsid w:val="6B89571A"/>
    <w:rsid w:val="6B9A0C37"/>
    <w:rsid w:val="6B9E2823"/>
    <w:rsid w:val="6BA95569"/>
    <w:rsid w:val="6BA97705"/>
    <w:rsid w:val="6BAA7419"/>
    <w:rsid w:val="6BAC4F3F"/>
    <w:rsid w:val="6BAE6F0A"/>
    <w:rsid w:val="6BC93D43"/>
    <w:rsid w:val="6BD10E4A"/>
    <w:rsid w:val="6BD13429"/>
    <w:rsid w:val="6BFE79C0"/>
    <w:rsid w:val="6C150887"/>
    <w:rsid w:val="6C2947E2"/>
    <w:rsid w:val="6C4909E0"/>
    <w:rsid w:val="6C580C23"/>
    <w:rsid w:val="6C641928"/>
    <w:rsid w:val="6C7672FB"/>
    <w:rsid w:val="6C7C394A"/>
    <w:rsid w:val="6C7D100F"/>
    <w:rsid w:val="6C832144"/>
    <w:rsid w:val="6C88775B"/>
    <w:rsid w:val="6C8934D3"/>
    <w:rsid w:val="6C9A123C"/>
    <w:rsid w:val="6C9A56E0"/>
    <w:rsid w:val="6CAB51F7"/>
    <w:rsid w:val="6CBA368C"/>
    <w:rsid w:val="6CC83FFB"/>
    <w:rsid w:val="6CEA3569"/>
    <w:rsid w:val="6CEF7A3F"/>
    <w:rsid w:val="6CF110A1"/>
    <w:rsid w:val="6CF62339"/>
    <w:rsid w:val="6D156B14"/>
    <w:rsid w:val="6D2154B9"/>
    <w:rsid w:val="6D2D3E5E"/>
    <w:rsid w:val="6D2F0F12"/>
    <w:rsid w:val="6D40778C"/>
    <w:rsid w:val="6D5E2269"/>
    <w:rsid w:val="6D65184A"/>
    <w:rsid w:val="6D6974F3"/>
    <w:rsid w:val="6D6B4986"/>
    <w:rsid w:val="6D6C0E2A"/>
    <w:rsid w:val="6DCA78FF"/>
    <w:rsid w:val="6DCE746D"/>
    <w:rsid w:val="6DF73C37"/>
    <w:rsid w:val="6E0108B9"/>
    <w:rsid w:val="6E0472B5"/>
    <w:rsid w:val="6E0934DC"/>
    <w:rsid w:val="6E120CEF"/>
    <w:rsid w:val="6E511DCE"/>
    <w:rsid w:val="6E5813AF"/>
    <w:rsid w:val="6E681606"/>
    <w:rsid w:val="6E985C4F"/>
    <w:rsid w:val="6EC64CFC"/>
    <w:rsid w:val="6EC86534"/>
    <w:rsid w:val="6EDA6267"/>
    <w:rsid w:val="6EEB0ADF"/>
    <w:rsid w:val="6EF452C6"/>
    <w:rsid w:val="6EFF182A"/>
    <w:rsid w:val="6F215351"/>
    <w:rsid w:val="6F2179F2"/>
    <w:rsid w:val="6F3C2A7E"/>
    <w:rsid w:val="6F3F7210"/>
    <w:rsid w:val="6F490CF7"/>
    <w:rsid w:val="6F524050"/>
    <w:rsid w:val="6F611CBD"/>
    <w:rsid w:val="6F63000B"/>
    <w:rsid w:val="6F6C3363"/>
    <w:rsid w:val="6F810491"/>
    <w:rsid w:val="6F8942E0"/>
    <w:rsid w:val="6F8A30D3"/>
    <w:rsid w:val="6FA75B73"/>
    <w:rsid w:val="6FAB7C99"/>
    <w:rsid w:val="6FB62831"/>
    <w:rsid w:val="6FC211D5"/>
    <w:rsid w:val="6FCD1928"/>
    <w:rsid w:val="70147557"/>
    <w:rsid w:val="70161521"/>
    <w:rsid w:val="70343755"/>
    <w:rsid w:val="704716DB"/>
    <w:rsid w:val="70477F07"/>
    <w:rsid w:val="705D4A5A"/>
    <w:rsid w:val="70657647"/>
    <w:rsid w:val="707B3132"/>
    <w:rsid w:val="70A97C32"/>
    <w:rsid w:val="70D2369A"/>
    <w:rsid w:val="71257C6E"/>
    <w:rsid w:val="7128150C"/>
    <w:rsid w:val="714D2D21"/>
    <w:rsid w:val="7150636D"/>
    <w:rsid w:val="71662034"/>
    <w:rsid w:val="71771EA0"/>
    <w:rsid w:val="71793B16"/>
    <w:rsid w:val="718B3849"/>
    <w:rsid w:val="718F3339"/>
    <w:rsid w:val="71A1306D"/>
    <w:rsid w:val="71A7726A"/>
    <w:rsid w:val="71A843FB"/>
    <w:rsid w:val="71C64881"/>
    <w:rsid w:val="71C950A6"/>
    <w:rsid w:val="71D55CAE"/>
    <w:rsid w:val="71EC4C4C"/>
    <w:rsid w:val="71F92EA9"/>
    <w:rsid w:val="72001B41"/>
    <w:rsid w:val="721B4BCD"/>
    <w:rsid w:val="72435ED2"/>
    <w:rsid w:val="726F7C81"/>
    <w:rsid w:val="72712A3F"/>
    <w:rsid w:val="728C7879"/>
    <w:rsid w:val="72936E59"/>
    <w:rsid w:val="729713D8"/>
    <w:rsid w:val="72CD33C4"/>
    <w:rsid w:val="72D51220"/>
    <w:rsid w:val="72D82ABE"/>
    <w:rsid w:val="72FF44EF"/>
    <w:rsid w:val="7300257E"/>
    <w:rsid w:val="73076EFF"/>
    <w:rsid w:val="7310153A"/>
    <w:rsid w:val="73102258"/>
    <w:rsid w:val="73137F9A"/>
    <w:rsid w:val="73247AB1"/>
    <w:rsid w:val="73347929"/>
    <w:rsid w:val="73351CBE"/>
    <w:rsid w:val="733E6DC5"/>
    <w:rsid w:val="73572D10"/>
    <w:rsid w:val="73593BFF"/>
    <w:rsid w:val="735F0AE9"/>
    <w:rsid w:val="736507F6"/>
    <w:rsid w:val="738859C1"/>
    <w:rsid w:val="738F5872"/>
    <w:rsid w:val="73A6496A"/>
    <w:rsid w:val="73A74567"/>
    <w:rsid w:val="73AF288C"/>
    <w:rsid w:val="73E3171A"/>
    <w:rsid w:val="73EF4563"/>
    <w:rsid w:val="73F531FC"/>
    <w:rsid w:val="74043BEE"/>
    <w:rsid w:val="740E6060"/>
    <w:rsid w:val="74161AF0"/>
    <w:rsid w:val="7419338E"/>
    <w:rsid w:val="742A7349"/>
    <w:rsid w:val="742F02EA"/>
    <w:rsid w:val="742F670E"/>
    <w:rsid w:val="74341F76"/>
    <w:rsid w:val="744321B9"/>
    <w:rsid w:val="74654825"/>
    <w:rsid w:val="74685D53"/>
    <w:rsid w:val="74A77BC0"/>
    <w:rsid w:val="74AE1D28"/>
    <w:rsid w:val="74B52644"/>
    <w:rsid w:val="74B65508"/>
    <w:rsid w:val="74BE269F"/>
    <w:rsid w:val="74D86DA5"/>
    <w:rsid w:val="74E27C24"/>
    <w:rsid w:val="750556C0"/>
    <w:rsid w:val="750B0F29"/>
    <w:rsid w:val="7530273D"/>
    <w:rsid w:val="753A35BC"/>
    <w:rsid w:val="75475CD9"/>
    <w:rsid w:val="755328D0"/>
    <w:rsid w:val="75596138"/>
    <w:rsid w:val="75612F9F"/>
    <w:rsid w:val="757E794D"/>
    <w:rsid w:val="75834BD0"/>
    <w:rsid w:val="759058D2"/>
    <w:rsid w:val="75C15A8B"/>
    <w:rsid w:val="75D719C8"/>
    <w:rsid w:val="75DC0B17"/>
    <w:rsid w:val="75E8126A"/>
    <w:rsid w:val="75ED062E"/>
    <w:rsid w:val="76064021"/>
    <w:rsid w:val="761107C1"/>
    <w:rsid w:val="7666784F"/>
    <w:rsid w:val="766F3739"/>
    <w:rsid w:val="76876CD5"/>
    <w:rsid w:val="768B737F"/>
    <w:rsid w:val="76951D2A"/>
    <w:rsid w:val="76C66ADA"/>
    <w:rsid w:val="76DC3D2B"/>
    <w:rsid w:val="76F31C74"/>
    <w:rsid w:val="76F51E90"/>
    <w:rsid w:val="76FC4E0F"/>
    <w:rsid w:val="77075C84"/>
    <w:rsid w:val="7709593C"/>
    <w:rsid w:val="771B11CB"/>
    <w:rsid w:val="77471FC0"/>
    <w:rsid w:val="77495D38"/>
    <w:rsid w:val="7762175D"/>
    <w:rsid w:val="77690189"/>
    <w:rsid w:val="77752FD1"/>
    <w:rsid w:val="77921091"/>
    <w:rsid w:val="779927F1"/>
    <w:rsid w:val="779A6594"/>
    <w:rsid w:val="77A318EC"/>
    <w:rsid w:val="77A70FD8"/>
    <w:rsid w:val="77AE203F"/>
    <w:rsid w:val="77BB1B57"/>
    <w:rsid w:val="77D00208"/>
    <w:rsid w:val="78017DD0"/>
    <w:rsid w:val="780600CD"/>
    <w:rsid w:val="78061E7B"/>
    <w:rsid w:val="782F7E2C"/>
    <w:rsid w:val="784F737E"/>
    <w:rsid w:val="787768D5"/>
    <w:rsid w:val="788B412A"/>
    <w:rsid w:val="788B412F"/>
    <w:rsid w:val="78931961"/>
    <w:rsid w:val="78CC4E73"/>
    <w:rsid w:val="78F13B18"/>
    <w:rsid w:val="7918572C"/>
    <w:rsid w:val="79190523"/>
    <w:rsid w:val="79235A5F"/>
    <w:rsid w:val="79584959"/>
    <w:rsid w:val="796450AB"/>
    <w:rsid w:val="79760DDB"/>
    <w:rsid w:val="79764D6B"/>
    <w:rsid w:val="79886D99"/>
    <w:rsid w:val="79A13C0A"/>
    <w:rsid w:val="79BA116F"/>
    <w:rsid w:val="79BC0A44"/>
    <w:rsid w:val="79C853D4"/>
    <w:rsid w:val="79D0629D"/>
    <w:rsid w:val="79ED50A1"/>
    <w:rsid w:val="79ED66C5"/>
    <w:rsid w:val="7A124B07"/>
    <w:rsid w:val="7A1A1C0E"/>
    <w:rsid w:val="7A3C1B84"/>
    <w:rsid w:val="7A5769BE"/>
    <w:rsid w:val="7A590988"/>
    <w:rsid w:val="7A672A28"/>
    <w:rsid w:val="7A6A4943"/>
    <w:rsid w:val="7A6A7E9E"/>
    <w:rsid w:val="7A882DD3"/>
    <w:rsid w:val="7A965738"/>
    <w:rsid w:val="7A9C0875"/>
    <w:rsid w:val="7AB60FB7"/>
    <w:rsid w:val="7AC53928"/>
    <w:rsid w:val="7AC83418"/>
    <w:rsid w:val="7AD12316"/>
    <w:rsid w:val="7ADA3066"/>
    <w:rsid w:val="7AE2097E"/>
    <w:rsid w:val="7B1E128A"/>
    <w:rsid w:val="7B2E5971"/>
    <w:rsid w:val="7B310FBD"/>
    <w:rsid w:val="7B424F78"/>
    <w:rsid w:val="7B566C76"/>
    <w:rsid w:val="7B5A0B81"/>
    <w:rsid w:val="7B5D1DB2"/>
    <w:rsid w:val="7B932375"/>
    <w:rsid w:val="7B98103C"/>
    <w:rsid w:val="7BCC0CE6"/>
    <w:rsid w:val="7BDD1145"/>
    <w:rsid w:val="7BDF6C6B"/>
    <w:rsid w:val="7C004C89"/>
    <w:rsid w:val="7C120DEF"/>
    <w:rsid w:val="7C2428D0"/>
    <w:rsid w:val="7C2D79D7"/>
    <w:rsid w:val="7C3E65FE"/>
    <w:rsid w:val="7C8F243F"/>
    <w:rsid w:val="7CA73C2D"/>
    <w:rsid w:val="7CAA7279"/>
    <w:rsid w:val="7CE02C9B"/>
    <w:rsid w:val="7CE0713F"/>
    <w:rsid w:val="7CEA6A2E"/>
    <w:rsid w:val="7CED7166"/>
    <w:rsid w:val="7CEE459A"/>
    <w:rsid w:val="7CF95B0B"/>
    <w:rsid w:val="7D276B1C"/>
    <w:rsid w:val="7D3B25C7"/>
    <w:rsid w:val="7D3D0F0E"/>
    <w:rsid w:val="7D480840"/>
    <w:rsid w:val="7D5471E5"/>
    <w:rsid w:val="7D7046F8"/>
    <w:rsid w:val="7D840C18"/>
    <w:rsid w:val="7DA10BAA"/>
    <w:rsid w:val="7DA95783"/>
    <w:rsid w:val="7DBA6149"/>
    <w:rsid w:val="7DD520D4"/>
    <w:rsid w:val="7DD65269"/>
    <w:rsid w:val="7DD9564E"/>
    <w:rsid w:val="7DDB70C5"/>
    <w:rsid w:val="7DFC3B04"/>
    <w:rsid w:val="7E076AA6"/>
    <w:rsid w:val="7E090678"/>
    <w:rsid w:val="7E1A3F8B"/>
    <w:rsid w:val="7E234625"/>
    <w:rsid w:val="7E835790"/>
    <w:rsid w:val="7E9F26E2"/>
    <w:rsid w:val="7EA67F14"/>
    <w:rsid w:val="7EA954B0"/>
    <w:rsid w:val="7EB36484"/>
    <w:rsid w:val="7EC4082A"/>
    <w:rsid w:val="7ED72734"/>
    <w:rsid w:val="7EDA196C"/>
    <w:rsid w:val="7EE06C58"/>
    <w:rsid w:val="7EFB4F6E"/>
    <w:rsid w:val="7F013171"/>
    <w:rsid w:val="7F054C3B"/>
    <w:rsid w:val="7F062761"/>
    <w:rsid w:val="7F216FC3"/>
    <w:rsid w:val="7F475253"/>
    <w:rsid w:val="7F69492B"/>
    <w:rsid w:val="7F6D458E"/>
    <w:rsid w:val="7FAE7080"/>
    <w:rsid w:val="7FBC4E5D"/>
    <w:rsid w:val="7FC56178"/>
    <w:rsid w:val="7FDD5BB8"/>
    <w:rsid w:val="7FE26480"/>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uiPriority="99" w:name="index 4"/>
    <w:lsdException w:qFormat="1" w:unhideWhenUsed="0" w:uiPriority="0" w:semiHidden="0"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iPriority="0" w:semiHidden="0" w:name="Normal Indent"/>
    <w:lsdException w:qFormat="1" w:unhideWhenUsed="0" w:uiPriority="0" w:semiHidden="0" w:name="footnote text"/>
    <w:lsdException w:qFormat="1" w:uiPriority="0" w:semiHidden="0"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0" w:semiHidden="0" w:name="toa heading"/>
    <w:lsdException w:qFormat="1" w:unhideWhenUsed="0" w:uiPriority="0" w:semiHidden="0" w:name="List"/>
    <w:lsdException w:uiPriority="99" w:name="List Bullet"/>
    <w:lsdException w:uiPriority="99" w:name="List Number"/>
    <w:lsdException w:qFormat="1" w:unhideWhenUsed="0" w:uiPriority="0" w:semiHidden="0" w:name="List 2"/>
    <w:lsdException w:qFormat="1" w:unhideWhenUsed="0" w:uiPriority="0" w:semiHidden="0"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iPriority="99" w:name="List Continue"/>
    <w:lsdException w:qFormat="1" w:unhideWhenUsed="0" w:uiPriority="0" w:semiHidden="0"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uiPriority="99"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iPriority="0" w:semiHidden="0" w:name="Body Text Indent 2"/>
    <w:lsdException w:qFormat="1" w:unhideWhenUsed="0" w:uiPriority="0" w:semiHidden="0" w:name="Body Text Indent 3"/>
    <w:lsdException w:qFormat="1" w:unhideWhenUsed="0" w:uiPriority="0" w:semiHidden="0" w:name="Block Text"/>
    <w:lsdException w:qFormat="1"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iPriority="99" w:name="E-mail Signature"/>
    <w:lsdException w:qFormat="1" w:uiPriority="0" w:semiHidden="0" w:name="Normal (Web)"/>
    <w:lsdException w:qFormat="1" w:unhideWhenUsed="0" w:uiPriority="0" w:semiHidden="0" w:name="HTML Acronym"/>
    <w:lsdException w:uiPriority="99" w:name="HTML Address"/>
    <w:lsdException w:qFormat="1" w:unhideWhenUsed="0" w:uiPriority="0" w:semiHidden="0" w:name="HTML Cite"/>
    <w:lsdException w:qFormat="1" w:uiPriority="99" w:semiHidden="0" w:name="HTML Code"/>
    <w:lsdException w:qFormat="1" w:uiPriority="99" w:semiHidden="0" w:name="HTML Definition"/>
    <w:lsdException w:qFormat="1" w:uiPriority="99" w:semiHidden="0" w:name="HTML Keyboard"/>
    <w:lsdException w:uiPriority="99" w:name="HTML Preformatted"/>
    <w:lsdException w:qFormat="1" w:uiPriority="99" w:semiHidden="0" w:name="HTML Sample"/>
    <w:lsdException w:qFormat="1" w:uiPriority="99" w:semiHidden="0" w:name="HTML Typewriter"/>
    <w:lsdException w:qFormat="1" w:uiPriority="99"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semiHidden="0" w:name="Table Web 3"/>
    <w:lsdException w:qFormat="1" w:uiPriority="0" w:semiHidden="0" w:name="Balloon Text"/>
    <w:lsdException w:qFormat="1" w:unhideWhenUsed="0" w:uiPriority="0" w:semiHidden="0" w:name="Table Grid"/>
    <w:lsdException w:uiPriority="99"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66"/>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67"/>
    <w:qFormat/>
    <w:uiPriority w:val="0"/>
    <w:pPr>
      <w:keepNext/>
      <w:keepLines/>
      <w:outlineLvl w:val="1"/>
    </w:pPr>
    <w:rPr>
      <w:rFonts w:ascii="Cambria" w:hAnsi="Cambria"/>
      <w:b/>
      <w:bCs/>
      <w:kern w:val="0"/>
      <w:sz w:val="30"/>
      <w:szCs w:val="32"/>
    </w:rPr>
  </w:style>
  <w:style w:type="paragraph" w:styleId="4">
    <w:name w:val="heading 3"/>
    <w:basedOn w:val="1"/>
    <w:next w:val="1"/>
    <w:link w:val="68"/>
    <w:qFormat/>
    <w:uiPriority w:val="0"/>
    <w:pPr>
      <w:keepNext/>
      <w:keepLines/>
      <w:spacing w:before="260" w:after="260" w:line="416" w:lineRule="auto"/>
      <w:outlineLvl w:val="2"/>
    </w:pPr>
    <w:rPr>
      <w:b/>
      <w:bCs/>
      <w:kern w:val="0"/>
      <w:sz w:val="32"/>
      <w:szCs w:val="32"/>
    </w:rPr>
  </w:style>
  <w:style w:type="paragraph" w:styleId="5">
    <w:name w:val="heading 4"/>
    <w:basedOn w:val="1"/>
    <w:next w:val="1"/>
    <w:link w:val="69"/>
    <w:qFormat/>
    <w:uiPriority w:val="0"/>
    <w:pPr>
      <w:keepNext/>
      <w:keepLines/>
      <w:spacing w:before="280" w:after="290" w:line="376" w:lineRule="auto"/>
      <w:outlineLvl w:val="3"/>
    </w:pPr>
    <w:rPr>
      <w:rFonts w:ascii="Cambria" w:hAnsi="Cambria"/>
      <w:b/>
      <w:bCs/>
      <w:kern w:val="0"/>
      <w:sz w:val="28"/>
      <w:szCs w:val="28"/>
    </w:rPr>
  </w:style>
  <w:style w:type="paragraph" w:styleId="6">
    <w:name w:val="heading 5"/>
    <w:basedOn w:val="1"/>
    <w:next w:val="1"/>
    <w:link w:val="70"/>
    <w:qFormat/>
    <w:uiPriority w:val="0"/>
    <w:pPr>
      <w:keepNext/>
      <w:keepLines/>
      <w:spacing w:before="280" w:after="290" w:line="376" w:lineRule="auto"/>
      <w:outlineLvl w:val="4"/>
    </w:pPr>
    <w:rPr>
      <w:b/>
      <w:bCs/>
      <w:kern w:val="0"/>
      <w:sz w:val="28"/>
      <w:szCs w:val="28"/>
    </w:rPr>
  </w:style>
  <w:style w:type="paragraph" w:styleId="7">
    <w:name w:val="heading 6"/>
    <w:basedOn w:val="1"/>
    <w:next w:val="1"/>
    <w:link w:val="71"/>
    <w:qFormat/>
    <w:uiPriority w:val="0"/>
    <w:pPr>
      <w:keepNext/>
      <w:keepLines/>
      <w:widowControl/>
      <w:tabs>
        <w:tab w:val="left" w:pos="1440"/>
      </w:tabs>
      <w:spacing w:before="240" w:after="64" w:line="320" w:lineRule="auto"/>
      <w:ind w:left="1152" w:hanging="1152"/>
      <w:jc w:val="left"/>
      <w:outlineLvl w:val="5"/>
    </w:pPr>
    <w:rPr>
      <w:rFonts w:ascii="Arial" w:hAnsi="Arial" w:eastAsia="黑体"/>
      <w:b/>
      <w:bCs/>
      <w:kern w:val="0"/>
      <w:sz w:val="24"/>
    </w:rPr>
  </w:style>
  <w:style w:type="paragraph" w:styleId="8">
    <w:name w:val="heading 7"/>
    <w:basedOn w:val="1"/>
    <w:next w:val="1"/>
    <w:link w:val="72"/>
    <w:qFormat/>
    <w:uiPriority w:val="0"/>
    <w:pPr>
      <w:keepNext/>
      <w:keepLines/>
      <w:widowControl/>
      <w:tabs>
        <w:tab w:val="left" w:pos="2520"/>
      </w:tabs>
      <w:spacing w:before="240" w:after="64" w:line="320" w:lineRule="auto"/>
      <w:ind w:left="1296" w:hanging="1296"/>
      <w:jc w:val="left"/>
      <w:outlineLvl w:val="6"/>
    </w:pPr>
    <w:rPr>
      <w:b/>
      <w:bCs/>
      <w:kern w:val="0"/>
      <w:sz w:val="24"/>
    </w:rPr>
  </w:style>
  <w:style w:type="paragraph" w:styleId="9">
    <w:name w:val="heading 8"/>
    <w:basedOn w:val="1"/>
    <w:next w:val="1"/>
    <w:link w:val="73"/>
    <w:qFormat/>
    <w:uiPriority w:val="0"/>
    <w:pPr>
      <w:keepNext/>
      <w:keepLines/>
      <w:widowControl/>
      <w:tabs>
        <w:tab w:val="left" w:pos="1440"/>
      </w:tabs>
      <w:spacing w:before="240" w:after="64" w:line="320" w:lineRule="auto"/>
      <w:ind w:left="1440" w:hanging="1440"/>
      <w:jc w:val="left"/>
      <w:outlineLvl w:val="7"/>
    </w:pPr>
    <w:rPr>
      <w:rFonts w:ascii="Arial" w:hAnsi="Arial" w:eastAsia="黑体"/>
      <w:kern w:val="0"/>
      <w:sz w:val="24"/>
    </w:rPr>
  </w:style>
  <w:style w:type="paragraph" w:styleId="10">
    <w:name w:val="heading 9"/>
    <w:basedOn w:val="1"/>
    <w:next w:val="1"/>
    <w:link w:val="74"/>
    <w:qFormat/>
    <w:uiPriority w:val="0"/>
    <w:pPr>
      <w:keepNext/>
      <w:keepLines/>
      <w:widowControl/>
      <w:tabs>
        <w:tab w:val="left" w:pos="1584"/>
      </w:tabs>
      <w:spacing w:before="240" w:after="64" w:line="320" w:lineRule="auto"/>
      <w:ind w:left="1584" w:hanging="1584"/>
      <w:jc w:val="left"/>
      <w:outlineLvl w:val="8"/>
    </w:pPr>
    <w:rPr>
      <w:rFonts w:ascii="Arial" w:hAnsi="Arial" w:eastAsia="黑体"/>
      <w:kern w:val="0"/>
      <w:szCs w:val="21"/>
    </w:rPr>
  </w:style>
  <w:style w:type="character" w:default="1" w:styleId="51">
    <w:name w:val="Default Paragraph Font"/>
    <w:unhideWhenUsed/>
    <w:qFormat/>
    <w:uiPriority w:val="1"/>
  </w:style>
  <w:style w:type="table" w:default="1" w:styleId="49">
    <w:name w:val="Normal Table"/>
    <w:unhideWhenUsed/>
    <w:qFormat/>
    <w:uiPriority w:val="99"/>
    <w:tblPr>
      <w:tblCellMar>
        <w:top w:w="0" w:type="dxa"/>
        <w:left w:w="108" w:type="dxa"/>
        <w:bottom w:w="0" w:type="dxa"/>
        <w:right w:w="108" w:type="dxa"/>
      </w:tblCellMar>
    </w:tblPr>
  </w:style>
  <w:style w:type="paragraph" w:styleId="11">
    <w:name w:val="List 3"/>
    <w:basedOn w:val="1"/>
    <w:qFormat/>
    <w:uiPriority w:val="0"/>
    <w:pPr>
      <w:ind w:left="100" w:leftChars="400" w:hanging="200" w:hangingChars="200"/>
    </w:pPr>
  </w:style>
  <w:style w:type="paragraph" w:styleId="12">
    <w:name w:val="toc 7"/>
    <w:basedOn w:val="1"/>
    <w:next w:val="1"/>
    <w:unhideWhenUsed/>
    <w:qFormat/>
    <w:uiPriority w:val="39"/>
    <w:pPr>
      <w:ind w:left="2520" w:leftChars="1200"/>
    </w:pPr>
    <w:rPr>
      <w:rFonts w:ascii="Calibri" w:hAnsi="Calibri" w:eastAsia="宋体" w:cs="Times New Roman"/>
      <w:szCs w:val="22"/>
    </w:rPr>
  </w:style>
  <w:style w:type="paragraph" w:styleId="13">
    <w:name w:val="Note Heading"/>
    <w:basedOn w:val="1"/>
    <w:next w:val="1"/>
    <w:link w:val="75"/>
    <w:qFormat/>
    <w:uiPriority w:val="0"/>
    <w:pPr>
      <w:jc w:val="center"/>
    </w:pPr>
  </w:style>
  <w:style w:type="paragraph" w:styleId="14">
    <w:name w:val="Normal Indent"/>
    <w:basedOn w:val="1"/>
    <w:link w:val="76"/>
    <w:unhideWhenUsed/>
    <w:qFormat/>
    <w:uiPriority w:val="0"/>
    <w:pPr>
      <w:adjustRightInd w:val="0"/>
      <w:spacing w:line="315" w:lineRule="atLeast"/>
      <w:ind w:firstLine="420"/>
      <w:jc w:val="left"/>
    </w:pPr>
    <w:rPr>
      <w:rFonts w:ascii="宋体"/>
      <w:kern w:val="0"/>
      <w:sz w:val="20"/>
    </w:rPr>
  </w:style>
  <w:style w:type="paragraph" w:styleId="15">
    <w:name w:val="index 5"/>
    <w:basedOn w:val="1"/>
    <w:next w:val="1"/>
    <w:qFormat/>
    <w:uiPriority w:val="0"/>
    <w:pPr>
      <w:ind w:left="800" w:leftChars="800"/>
    </w:pPr>
    <w:rPr>
      <w:szCs w:val="20"/>
    </w:rPr>
  </w:style>
  <w:style w:type="paragraph" w:styleId="16">
    <w:name w:val="Document Map"/>
    <w:basedOn w:val="1"/>
    <w:link w:val="77"/>
    <w:semiHidden/>
    <w:qFormat/>
    <w:uiPriority w:val="0"/>
    <w:pPr>
      <w:shd w:val="clear" w:color="auto" w:fill="000080"/>
    </w:pPr>
  </w:style>
  <w:style w:type="paragraph" w:styleId="17">
    <w:name w:val="toa heading"/>
    <w:basedOn w:val="1"/>
    <w:next w:val="1"/>
    <w:qFormat/>
    <w:uiPriority w:val="0"/>
    <w:pPr>
      <w:spacing w:before="120"/>
    </w:pPr>
    <w:rPr>
      <w:rFonts w:ascii="Arial" w:hAnsi="Arial" w:cs="Arial"/>
      <w:kern w:val="0"/>
      <w:sz w:val="24"/>
    </w:rPr>
  </w:style>
  <w:style w:type="paragraph" w:styleId="18">
    <w:name w:val="annotation text"/>
    <w:basedOn w:val="1"/>
    <w:link w:val="78"/>
    <w:unhideWhenUsed/>
    <w:qFormat/>
    <w:uiPriority w:val="0"/>
    <w:pPr>
      <w:jc w:val="left"/>
    </w:pPr>
  </w:style>
  <w:style w:type="paragraph" w:styleId="19">
    <w:name w:val="Body Text 3"/>
    <w:basedOn w:val="1"/>
    <w:link w:val="79"/>
    <w:qFormat/>
    <w:uiPriority w:val="0"/>
    <w:rPr>
      <w:rFonts w:ascii="宋体"/>
      <w:sz w:val="24"/>
      <w:szCs w:val="20"/>
    </w:rPr>
  </w:style>
  <w:style w:type="paragraph" w:styleId="20">
    <w:name w:val="Body Text"/>
    <w:basedOn w:val="1"/>
    <w:link w:val="80"/>
    <w:qFormat/>
    <w:uiPriority w:val="0"/>
    <w:pPr>
      <w:spacing w:line="0" w:lineRule="atLeast"/>
    </w:pPr>
    <w:rPr>
      <w:b/>
      <w:kern w:val="0"/>
      <w:sz w:val="30"/>
      <w:szCs w:val="20"/>
    </w:rPr>
  </w:style>
  <w:style w:type="paragraph" w:styleId="21">
    <w:name w:val="Body Text Indent"/>
    <w:basedOn w:val="1"/>
    <w:link w:val="81"/>
    <w:qFormat/>
    <w:uiPriority w:val="0"/>
    <w:pPr>
      <w:spacing w:after="120"/>
      <w:ind w:left="420" w:leftChars="200"/>
    </w:pPr>
  </w:style>
  <w:style w:type="paragraph" w:styleId="22">
    <w:name w:val="List 2"/>
    <w:basedOn w:val="1"/>
    <w:qFormat/>
    <w:uiPriority w:val="0"/>
    <w:pPr>
      <w:ind w:left="100" w:leftChars="200" w:hanging="200" w:hangingChars="200"/>
    </w:pPr>
  </w:style>
  <w:style w:type="paragraph" w:styleId="23">
    <w:name w:val="Block Text"/>
    <w:basedOn w:val="1"/>
    <w:qFormat/>
    <w:uiPriority w:val="0"/>
    <w:pPr>
      <w:ind w:left="-111" w:leftChars="-53" w:right="-103" w:rightChars="-49"/>
      <w:jc w:val="center"/>
    </w:pPr>
    <w:rPr>
      <w:rFonts w:ascii="宋体"/>
      <w:sz w:val="18"/>
    </w:rPr>
  </w:style>
  <w:style w:type="paragraph" w:styleId="24">
    <w:name w:val="toc 5"/>
    <w:basedOn w:val="1"/>
    <w:next w:val="1"/>
    <w:unhideWhenUsed/>
    <w:qFormat/>
    <w:uiPriority w:val="39"/>
    <w:pPr>
      <w:ind w:left="1680" w:leftChars="800"/>
    </w:pPr>
    <w:rPr>
      <w:rFonts w:ascii="Calibri" w:hAnsi="Calibri" w:eastAsia="宋体" w:cs="Times New Roman"/>
      <w:szCs w:val="22"/>
    </w:rPr>
  </w:style>
  <w:style w:type="paragraph" w:styleId="25">
    <w:name w:val="toc 3"/>
    <w:basedOn w:val="1"/>
    <w:next w:val="1"/>
    <w:unhideWhenUsed/>
    <w:qFormat/>
    <w:uiPriority w:val="39"/>
    <w:pPr>
      <w:ind w:left="840" w:leftChars="400"/>
    </w:pPr>
  </w:style>
  <w:style w:type="paragraph" w:styleId="26">
    <w:name w:val="Plain Text"/>
    <w:basedOn w:val="1"/>
    <w:link w:val="82"/>
    <w:qFormat/>
    <w:uiPriority w:val="0"/>
    <w:rPr>
      <w:rFonts w:ascii="宋体" w:hAnsi="Courier New"/>
      <w:kern w:val="0"/>
      <w:sz w:val="20"/>
      <w:szCs w:val="21"/>
    </w:rPr>
  </w:style>
  <w:style w:type="paragraph" w:styleId="27">
    <w:name w:val="toc 8"/>
    <w:basedOn w:val="1"/>
    <w:next w:val="1"/>
    <w:unhideWhenUsed/>
    <w:qFormat/>
    <w:uiPriority w:val="39"/>
    <w:pPr>
      <w:ind w:left="2940" w:leftChars="1400"/>
    </w:pPr>
    <w:rPr>
      <w:rFonts w:ascii="Calibri" w:hAnsi="Calibri" w:eastAsia="宋体" w:cs="Times New Roman"/>
      <w:szCs w:val="22"/>
    </w:rPr>
  </w:style>
  <w:style w:type="paragraph" w:styleId="28">
    <w:name w:val="Date"/>
    <w:basedOn w:val="1"/>
    <w:next w:val="1"/>
    <w:link w:val="83"/>
    <w:qFormat/>
    <w:uiPriority w:val="0"/>
    <w:rPr>
      <w:b/>
      <w:kern w:val="0"/>
      <w:sz w:val="24"/>
      <w:szCs w:val="20"/>
    </w:rPr>
  </w:style>
  <w:style w:type="paragraph" w:styleId="29">
    <w:name w:val="Body Text Indent 2"/>
    <w:basedOn w:val="1"/>
    <w:link w:val="84"/>
    <w:unhideWhenUsed/>
    <w:qFormat/>
    <w:uiPriority w:val="0"/>
    <w:pPr>
      <w:spacing w:after="120" w:line="480" w:lineRule="auto"/>
      <w:ind w:left="420" w:leftChars="200"/>
    </w:pPr>
    <w:rPr>
      <w:kern w:val="0"/>
      <w:sz w:val="20"/>
    </w:rPr>
  </w:style>
  <w:style w:type="paragraph" w:styleId="30">
    <w:name w:val="Balloon Text"/>
    <w:basedOn w:val="1"/>
    <w:link w:val="85"/>
    <w:unhideWhenUsed/>
    <w:qFormat/>
    <w:uiPriority w:val="0"/>
    <w:rPr>
      <w:kern w:val="0"/>
      <w:sz w:val="18"/>
      <w:szCs w:val="18"/>
    </w:rPr>
  </w:style>
  <w:style w:type="paragraph" w:styleId="31">
    <w:name w:val="footer"/>
    <w:basedOn w:val="1"/>
    <w:link w:val="86"/>
    <w:qFormat/>
    <w:uiPriority w:val="99"/>
    <w:pPr>
      <w:tabs>
        <w:tab w:val="center" w:pos="4153"/>
        <w:tab w:val="right" w:pos="8306"/>
      </w:tabs>
      <w:snapToGrid w:val="0"/>
      <w:jc w:val="left"/>
    </w:pPr>
    <w:rPr>
      <w:kern w:val="0"/>
      <w:sz w:val="18"/>
      <w:szCs w:val="18"/>
    </w:rPr>
  </w:style>
  <w:style w:type="paragraph" w:styleId="32">
    <w:name w:val="header"/>
    <w:basedOn w:val="1"/>
    <w:link w:val="87"/>
    <w:qFormat/>
    <w:uiPriority w:val="99"/>
    <w:pPr>
      <w:pBdr>
        <w:bottom w:val="single" w:color="auto" w:sz="6" w:space="1"/>
      </w:pBdr>
      <w:tabs>
        <w:tab w:val="center" w:pos="4153"/>
        <w:tab w:val="right" w:pos="8306"/>
      </w:tabs>
      <w:snapToGrid w:val="0"/>
      <w:jc w:val="center"/>
    </w:pPr>
    <w:rPr>
      <w:kern w:val="0"/>
      <w:sz w:val="18"/>
      <w:szCs w:val="18"/>
    </w:rPr>
  </w:style>
  <w:style w:type="paragraph" w:styleId="33">
    <w:name w:val="toc 1"/>
    <w:basedOn w:val="1"/>
    <w:next w:val="1"/>
    <w:qFormat/>
    <w:uiPriority w:val="39"/>
    <w:pPr>
      <w:widowControl/>
      <w:autoSpaceDE w:val="0"/>
      <w:autoSpaceDN w:val="0"/>
      <w:adjustRightInd w:val="0"/>
      <w:spacing w:line="400" w:lineRule="exact"/>
      <w:jc w:val="left"/>
    </w:pPr>
    <w:rPr>
      <w:b/>
      <w:bCs/>
      <w:caps/>
      <w:kern w:val="0"/>
      <w:sz w:val="28"/>
      <w:lang w:val="zh-CN"/>
    </w:rPr>
  </w:style>
  <w:style w:type="paragraph" w:styleId="34">
    <w:name w:val="toc 4"/>
    <w:basedOn w:val="1"/>
    <w:next w:val="1"/>
    <w:unhideWhenUsed/>
    <w:qFormat/>
    <w:uiPriority w:val="39"/>
    <w:pPr>
      <w:ind w:left="1260" w:leftChars="600"/>
    </w:pPr>
    <w:rPr>
      <w:rFonts w:ascii="Calibri" w:hAnsi="Calibri" w:eastAsia="宋体" w:cs="Times New Roman"/>
      <w:szCs w:val="22"/>
    </w:rPr>
  </w:style>
  <w:style w:type="paragraph" w:styleId="35">
    <w:name w:val="Subtitle"/>
    <w:basedOn w:val="1"/>
    <w:next w:val="1"/>
    <w:link w:val="88"/>
    <w:qFormat/>
    <w:uiPriority w:val="11"/>
    <w:pPr>
      <w:spacing w:before="240" w:after="60" w:line="312" w:lineRule="auto"/>
      <w:jc w:val="center"/>
      <w:outlineLvl w:val="1"/>
    </w:pPr>
    <w:rPr>
      <w:rFonts w:ascii="Cambria" w:hAnsi="Cambria"/>
      <w:b/>
      <w:bCs/>
      <w:kern w:val="28"/>
      <w:sz w:val="32"/>
      <w:szCs w:val="32"/>
    </w:rPr>
  </w:style>
  <w:style w:type="paragraph" w:styleId="36">
    <w:name w:val="List"/>
    <w:basedOn w:val="1"/>
    <w:qFormat/>
    <w:uiPriority w:val="0"/>
    <w:pPr>
      <w:ind w:left="420" w:hanging="420"/>
    </w:pPr>
    <w:rPr>
      <w:rFonts w:ascii="Arial" w:hAnsi="Arial" w:eastAsia="楷体_GB2312"/>
      <w:sz w:val="28"/>
      <w:szCs w:val="20"/>
    </w:rPr>
  </w:style>
  <w:style w:type="paragraph" w:styleId="37">
    <w:name w:val="footnote text"/>
    <w:basedOn w:val="1"/>
    <w:link w:val="89"/>
    <w:qFormat/>
    <w:uiPriority w:val="0"/>
    <w:pPr>
      <w:snapToGrid w:val="0"/>
      <w:jc w:val="left"/>
    </w:pPr>
    <w:rPr>
      <w:sz w:val="18"/>
      <w:szCs w:val="18"/>
    </w:rPr>
  </w:style>
  <w:style w:type="paragraph" w:styleId="38">
    <w:name w:val="toc 6"/>
    <w:basedOn w:val="1"/>
    <w:next w:val="1"/>
    <w:unhideWhenUsed/>
    <w:qFormat/>
    <w:uiPriority w:val="39"/>
    <w:pPr>
      <w:ind w:left="2100" w:leftChars="1000"/>
    </w:pPr>
    <w:rPr>
      <w:rFonts w:ascii="Calibri" w:hAnsi="Calibri" w:eastAsia="宋体" w:cs="Times New Roman"/>
      <w:szCs w:val="22"/>
    </w:rPr>
  </w:style>
  <w:style w:type="paragraph" w:styleId="39">
    <w:name w:val="Body Text Indent 3"/>
    <w:basedOn w:val="1"/>
    <w:link w:val="90"/>
    <w:qFormat/>
    <w:uiPriority w:val="0"/>
    <w:pPr>
      <w:spacing w:after="120"/>
      <w:ind w:left="420" w:leftChars="200"/>
    </w:pPr>
    <w:rPr>
      <w:sz w:val="16"/>
      <w:szCs w:val="16"/>
    </w:rPr>
  </w:style>
  <w:style w:type="paragraph" w:styleId="40">
    <w:name w:val="toc 2"/>
    <w:basedOn w:val="1"/>
    <w:next w:val="1"/>
    <w:unhideWhenUsed/>
    <w:qFormat/>
    <w:uiPriority w:val="39"/>
    <w:pPr>
      <w:ind w:left="420" w:leftChars="200"/>
    </w:pPr>
  </w:style>
  <w:style w:type="paragraph" w:styleId="41">
    <w:name w:val="toc 9"/>
    <w:basedOn w:val="1"/>
    <w:next w:val="1"/>
    <w:unhideWhenUsed/>
    <w:qFormat/>
    <w:uiPriority w:val="39"/>
    <w:pPr>
      <w:ind w:left="3360" w:leftChars="1600"/>
    </w:pPr>
    <w:rPr>
      <w:rFonts w:ascii="Calibri" w:hAnsi="Calibri" w:eastAsia="宋体" w:cs="Times New Roman"/>
      <w:szCs w:val="22"/>
    </w:rPr>
  </w:style>
  <w:style w:type="paragraph" w:styleId="42">
    <w:name w:val="Body Text 2"/>
    <w:basedOn w:val="1"/>
    <w:link w:val="91"/>
    <w:qFormat/>
    <w:uiPriority w:val="0"/>
    <w:pPr>
      <w:spacing w:after="120" w:line="480" w:lineRule="auto"/>
    </w:pPr>
  </w:style>
  <w:style w:type="paragraph" w:styleId="43">
    <w:name w:val="List Continue 2"/>
    <w:basedOn w:val="1"/>
    <w:qFormat/>
    <w:uiPriority w:val="0"/>
    <w:pPr>
      <w:spacing w:after="120"/>
      <w:ind w:left="840" w:leftChars="400"/>
    </w:pPr>
  </w:style>
  <w:style w:type="paragraph" w:styleId="44">
    <w:name w:val="Normal (Web)"/>
    <w:basedOn w:val="1"/>
    <w:unhideWhenUsed/>
    <w:qFormat/>
    <w:uiPriority w:val="0"/>
    <w:pPr>
      <w:spacing w:beforeAutospacing="1" w:afterAutospacing="1"/>
      <w:jc w:val="left"/>
    </w:pPr>
    <w:rPr>
      <w:kern w:val="0"/>
      <w:sz w:val="24"/>
    </w:rPr>
  </w:style>
  <w:style w:type="paragraph" w:styleId="45">
    <w:name w:val="index 1"/>
    <w:basedOn w:val="1"/>
    <w:next w:val="1"/>
    <w:qFormat/>
    <w:uiPriority w:val="0"/>
    <w:pPr>
      <w:spacing w:line="220" w:lineRule="exact"/>
      <w:jc w:val="center"/>
    </w:pPr>
    <w:rPr>
      <w:rFonts w:ascii="仿宋_GB2312" w:eastAsia="仿宋_GB2312"/>
      <w:szCs w:val="21"/>
    </w:rPr>
  </w:style>
  <w:style w:type="paragraph" w:styleId="46">
    <w:name w:val="Title"/>
    <w:basedOn w:val="1"/>
    <w:link w:val="92"/>
    <w:qFormat/>
    <w:uiPriority w:val="0"/>
    <w:pPr>
      <w:widowControl/>
      <w:spacing w:before="240" w:after="60"/>
      <w:jc w:val="center"/>
      <w:outlineLvl w:val="0"/>
    </w:pPr>
    <w:rPr>
      <w:rFonts w:ascii="Arial" w:hAnsi="Arial"/>
      <w:b/>
      <w:bCs/>
      <w:kern w:val="0"/>
      <w:sz w:val="44"/>
      <w:szCs w:val="32"/>
    </w:rPr>
  </w:style>
  <w:style w:type="paragraph" w:styleId="47">
    <w:name w:val="annotation subject"/>
    <w:basedOn w:val="18"/>
    <w:next w:val="18"/>
    <w:link w:val="93"/>
    <w:qFormat/>
    <w:uiPriority w:val="0"/>
    <w:pPr>
      <w:spacing w:line="360" w:lineRule="exact"/>
    </w:pPr>
    <w:rPr>
      <w:b/>
      <w:bCs/>
    </w:rPr>
  </w:style>
  <w:style w:type="paragraph" w:styleId="48">
    <w:name w:val="Body Text First Indent"/>
    <w:basedOn w:val="20"/>
    <w:qFormat/>
    <w:uiPriority w:val="0"/>
    <w:pPr>
      <w:adjustRightInd/>
      <w:spacing w:line="240" w:lineRule="auto"/>
      <w:ind w:firstLine="420" w:firstLineChars="100"/>
      <w:textAlignment w:val="auto"/>
    </w:pPr>
    <w:rPr>
      <w:kern w:val="2"/>
      <w:sz w:val="36"/>
    </w:rPr>
  </w:style>
  <w:style w:type="table" w:styleId="50">
    <w:name w:val="Table Grid"/>
    <w:basedOn w:val="49"/>
    <w:qFormat/>
    <w:uiPriority w:val="0"/>
    <w:rPr>
      <w:rFonts w:ascii="Calibri" w:hAnsi="Calibri" w:eastAsia="宋体" w:cs="Arial"/>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2">
    <w:name w:val="Strong"/>
    <w:qFormat/>
    <w:uiPriority w:val="0"/>
    <w:rPr>
      <w:b/>
      <w:bCs/>
    </w:rPr>
  </w:style>
  <w:style w:type="character" w:styleId="53">
    <w:name w:val="page number"/>
    <w:qFormat/>
    <w:uiPriority w:val="0"/>
    <w:rPr>
      <w:rFonts w:cs="Times New Roman"/>
    </w:rPr>
  </w:style>
  <w:style w:type="character" w:styleId="54">
    <w:name w:val="FollowedHyperlink"/>
    <w:qFormat/>
    <w:uiPriority w:val="0"/>
    <w:rPr>
      <w:rFonts w:ascii="Arial" w:hAnsi="Arial" w:eastAsia="黑体"/>
      <w:color w:val="800080"/>
      <w:kern w:val="2"/>
      <w:sz w:val="21"/>
      <w:szCs w:val="21"/>
      <w:u w:val="single"/>
      <w:lang w:val="en-US" w:eastAsia="zh-CN" w:bidi="ar-SA"/>
    </w:rPr>
  </w:style>
  <w:style w:type="character" w:styleId="55">
    <w:name w:val="Emphasis"/>
    <w:qFormat/>
    <w:uiPriority w:val="0"/>
    <w:rPr>
      <w:color w:val="CC0000"/>
      <w:sz w:val="24"/>
      <w:szCs w:val="24"/>
    </w:rPr>
  </w:style>
  <w:style w:type="character" w:styleId="56">
    <w:name w:val="HTML Definition"/>
    <w:basedOn w:val="51"/>
    <w:unhideWhenUsed/>
    <w:qFormat/>
    <w:uiPriority w:val="99"/>
  </w:style>
  <w:style w:type="character" w:styleId="57">
    <w:name w:val="HTML Typewriter"/>
    <w:basedOn w:val="51"/>
    <w:unhideWhenUsed/>
    <w:qFormat/>
    <w:uiPriority w:val="99"/>
    <w:rPr>
      <w:rFonts w:ascii="monospace" w:hAnsi="monospace" w:eastAsia="monospace" w:cs="monospace"/>
      <w:sz w:val="20"/>
      <w:vertAlign w:val="baseline"/>
    </w:rPr>
  </w:style>
  <w:style w:type="character" w:styleId="58">
    <w:name w:val="HTML Acronym"/>
    <w:basedOn w:val="51"/>
    <w:qFormat/>
    <w:uiPriority w:val="0"/>
  </w:style>
  <w:style w:type="character" w:styleId="59">
    <w:name w:val="HTML Variable"/>
    <w:basedOn w:val="51"/>
    <w:unhideWhenUsed/>
    <w:qFormat/>
    <w:uiPriority w:val="99"/>
  </w:style>
  <w:style w:type="character" w:styleId="60">
    <w:name w:val="Hyperlink"/>
    <w:basedOn w:val="51"/>
    <w:unhideWhenUsed/>
    <w:qFormat/>
    <w:uiPriority w:val="99"/>
    <w:rPr>
      <w:color w:val="0000FF"/>
      <w:u w:val="none"/>
    </w:rPr>
  </w:style>
  <w:style w:type="character" w:styleId="61">
    <w:name w:val="HTML Code"/>
    <w:basedOn w:val="51"/>
    <w:unhideWhenUsed/>
    <w:qFormat/>
    <w:uiPriority w:val="99"/>
    <w:rPr>
      <w:rFonts w:hint="default" w:ascii="monospace" w:hAnsi="monospace" w:eastAsia="monospace" w:cs="monospace"/>
      <w:sz w:val="20"/>
    </w:rPr>
  </w:style>
  <w:style w:type="character" w:styleId="62">
    <w:name w:val="annotation reference"/>
    <w:unhideWhenUsed/>
    <w:qFormat/>
    <w:uiPriority w:val="0"/>
    <w:rPr>
      <w:sz w:val="21"/>
      <w:szCs w:val="21"/>
    </w:rPr>
  </w:style>
  <w:style w:type="character" w:styleId="63">
    <w:name w:val="HTML Cite"/>
    <w:qFormat/>
    <w:uiPriority w:val="0"/>
    <w:rPr>
      <w:color w:val="008000"/>
    </w:rPr>
  </w:style>
  <w:style w:type="character" w:styleId="64">
    <w:name w:val="HTML Keyboard"/>
    <w:basedOn w:val="51"/>
    <w:unhideWhenUsed/>
    <w:qFormat/>
    <w:uiPriority w:val="99"/>
    <w:rPr>
      <w:rFonts w:hint="default" w:ascii="monospace" w:hAnsi="monospace" w:eastAsia="monospace" w:cs="monospace"/>
      <w:sz w:val="20"/>
    </w:rPr>
  </w:style>
  <w:style w:type="character" w:styleId="65">
    <w:name w:val="HTML Sample"/>
    <w:basedOn w:val="51"/>
    <w:unhideWhenUsed/>
    <w:qFormat/>
    <w:uiPriority w:val="99"/>
    <w:rPr>
      <w:rFonts w:hint="default" w:ascii="monospace" w:hAnsi="monospace" w:eastAsia="monospace" w:cs="monospace"/>
    </w:rPr>
  </w:style>
  <w:style w:type="character" w:customStyle="1" w:styleId="66">
    <w:name w:val="标题 1 Char"/>
    <w:link w:val="2"/>
    <w:qFormat/>
    <w:uiPriority w:val="0"/>
    <w:rPr>
      <w:rFonts w:ascii="Times New Roman" w:hAnsi="Times New Roman" w:eastAsia="宋体" w:cs="Times New Roman"/>
      <w:b/>
      <w:bCs/>
      <w:kern w:val="44"/>
      <w:sz w:val="44"/>
      <w:szCs w:val="44"/>
    </w:rPr>
  </w:style>
  <w:style w:type="character" w:customStyle="1" w:styleId="67">
    <w:name w:val="标题 2 Char"/>
    <w:link w:val="3"/>
    <w:qFormat/>
    <w:uiPriority w:val="0"/>
    <w:rPr>
      <w:rFonts w:ascii="Cambria" w:hAnsi="Cambria" w:eastAsia="宋体" w:cs="Times New Roman"/>
      <w:b/>
      <w:bCs/>
      <w:sz w:val="30"/>
      <w:szCs w:val="32"/>
    </w:rPr>
  </w:style>
  <w:style w:type="character" w:customStyle="1" w:styleId="68">
    <w:name w:val="标题 3 Char"/>
    <w:link w:val="4"/>
    <w:qFormat/>
    <w:uiPriority w:val="0"/>
    <w:rPr>
      <w:rFonts w:ascii="Times New Roman" w:hAnsi="Times New Roman" w:eastAsia="宋体" w:cs="Times New Roman"/>
      <w:b/>
      <w:bCs/>
      <w:sz w:val="32"/>
      <w:szCs w:val="32"/>
    </w:rPr>
  </w:style>
  <w:style w:type="character" w:customStyle="1" w:styleId="69">
    <w:name w:val="标题 4 Char"/>
    <w:link w:val="5"/>
    <w:qFormat/>
    <w:uiPriority w:val="0"/>
    <w:rPr>
      <w:rFonts w:ascii="Cambria" w:hAnsi="Cambria" w:eastAsia="宋体" w:cs="Times New Roman"/>
      <w:b/>
      <w:bCs/>
      <w:sz w:val="28"/>
      <w:szCs w:val="28"/>
    </w:rPr>
  </w:style>
  <w:style w:type="character" w:customStyle="1" w:styleId="70">
    <w:name w:val="标题 5 Char"/>
    <w:link w:val="6"/>
    <w:qFormat/>
    <w:uiPriority w:val="0"/>
    <w:rPr>
      <w:rFonts w:ascii="Times New Roman" w:hAnsi="Times New Roman" w:eastAsia="宋体" w:cs="Times New Roman"/>
      <w:b/>
      <w:bCs/>
      <w:sz w:val="28"/>
      <w:szCs w:val="28"/>
    </w:rPr>
  </w:style>
  <w:style w:type="character" w:customStyle="1" w:styleId="71">
    <w:name w:val="标题 6 Char"/>
    <w:link w:val="7"/>
    <w:qFormat/>
    <w:uiPriority w:val="0"/>
    <w:rPr>
      <w:rFonts w:ascii="Arial" w:hAnsi="Arial" w:eastAsia="黑体" w:cs="Times New Roman"/>
      <w:b/>
      <w:bCs/>
      <w:sz w:val="24"/>
      <w:szCs w:val="24"/>
    </w:rPr>
  </w:style>
  <w:style w:type="character" w:customStyle="1" w:styleId="72">
    <w:name w:val="标题 7 Char"/>
    <w:link w:val="8"/>
    <w:qFormat/>
    <w:uiPriority w:val="0"/>
    <w:rPr>
      <w:rFonts w:ascii="Times New Roman" w:hAnsi="Times New Roman" w:eastAsia="宋体" w:cs="Times New Roman"/>
      <w:b/>
      <w:bCs/>
      <w:sz w:val="24"/>
      <w:szCs w:val="24"/>
    </w:rPr>
  </w:style>
  <w:style w:type="character" w:customStyle="1" w:styleId="73">
    <w:name w:val="标题 8 Char"/>
    <w:link w:val="9"/>
    <w:qFormat/>
    <w:uiPriority w:val="0"/>
    <w:rPr>
      <w:rFonts w:ascii="Arial" w:hAnsi="Arial" w:eastAsia="黑体" w:cs="Times New Roman"/>
      <w:sz w:val="24"/>
      <w:szCs w:val="24"/>
    </w:rPr>
  </w:style>
  <w:style w:type="character" w:customStyle="1" w:styleId="74">
    <w:name w:val="标题 9 Char"/>
    <w:link w:val="10"/>
    <w:qFormat/>
    <w:uiPriority w:val="0"/>
    <w:rPr>
      <w:rFonts w:ascii="Arial" w:hAnsi="Arial" w:eastAsia="黑体" w:cs="Times New Roman"/>
      <w:sz w:val="21"/>
      <w:szCs w:val="21"/>
    </w:rPr>
  </w:style>
  <w:style w:type="character" w:customStyle="1" w:styleId="75">
    <w:name w:val="注释标题 Char"/>
    <w:link w:val="13"/>
    <w:qFormat/>
    <w:uiPriority w:val="0"/>
    <w:rPr>
      <w:kern w:val="2"/>
      <w:sz w:val="21"/>
      <w:szCs w:val="24"/>
    </w:rPr>
  </w:style>
  <w:style w:type="character" w:customStyle="1" w:styleId="76">
    <w:name w:val="正文缩进 Char"/>
    <w:link w:val="14"/>
    <w:qFormat/>
    <w:locked/>
    <w:uiPriority w:val="0"/>
    <w:rPr>
      <w:rFonts w:ascii="宋体" w:hAnsi="Times New Roman" w:eastAsia="宋体" w:cs="Times New Roman"/>
      <w:kern w:val="0"/>
      <w:szCs w:val="24"/>
    </w:rPr>
  </w:style>
  <w:style w:type="character" w:customStyle="1" w:styleId="77">
    <w:name w:val="文档结构图 Char"/>
    <w:link w:val="16"/>
    <w:semiHidden/>
    <w:qFormat/>
    <w:uiPriority w:val="0"/>
    <w:rPr>
      <w:kern w:val="2"/>
      <w:sz w:val="21"/>
      <w:szCs w:val="24"/>
      <w:shd w:val="clear" w:color="auto" w:fill="000080"/>
    </w:rPr>
  </w:style>
  <w:style w:type="character" w:customStyle="1" w:styleId="78">
    <w:name w:val="批注文字 Char"/>
    <w:link w:val="18"/>
    <w:qFormat/>
    <w:uiPriority w:val="0"/>
    <w:rPr>
      <w:rFonts w:ascii="Times New Roman" w:hAnsi="Times New Roman" w:eastAsia="宋体" w:cs="Times New Roman"/>
      <w:kern w:val="2"/>
      <w:sz w:val="21"/>
      <w:szCs w:val="24"/>
    </w:rPr>
  </w:style>
  <w:style w:type="character" w:customStyle="1" w:styleId="79">
    <w:name w:val="正文文本 3 Char"/>
    <w:link w:val="19"/>
    <w:qFormat/>
    <w:uiPriority w:val="0"/>
    <w:rPr>
      <w:rFonts w:ascii="宋体"/>
      <w:kern w:val="2"/>
      <w:sz w:val="24"/>
    </w:rPr>
  </w:style>
  <w:style w:type="character" w:customStyle="1" w:styleId="80">
    <w:name w:val="正文文本 Char1"/>
    <w:link w:val="20"/>
    <w:qFormat/>
    <w:uiPriority w:val="0"/>
    <w:rPr>
      <w:rFonts w:ascii="Times New Roman" w:hAnsi="Times New Roman" w:eastAsia="宋体" w:cs="Times New Roman"/>
      <w:b/>
      <w:sz w:val="30"/>
      <w:szCs w:val="20"/>
    </w:rPr>
  </w:style>
  <w:style w:type="character" w:customStyle="1" w:styleId="81">
    <w:name w:val="正文文本缩进 Char"/>
    <w:link w:val="21"/>
    <w:qFormat/>
    <w:uiPriority w:val="0"/>
    <w:rPr>
      <w:kern w:val="2"/>
      <w:sz w:val="21"/>
      <w:szCs w:val="24"/>
    </w:rPr>
  </w:style>
  <w:style w:type="character" w:customStyle="1" w:styleId="82">
    <w:name w:val="纯文本 Char"/>
    <w:link w:val="26"/>
    <w:qFormat/>
    <w:uiPriority w:val="0"/>
    <w:rPr>
      <w:rFonts w:ascii="宋体" w:hAnsi="Courier New" w:eastAsia="宋体" w:cs="Times New Roman"/>
      <w:szCs w:val="21"/>
    </w:rPr>
  </w:style>
  <w:style w:type="character" w:customStyle="1" w:styleId="83">
    <w:name w:val="日期 Char1"/>
    <w:link w:val="28"/>
    <w:qFormat/>
    <w:uiPriority w:val="0"/>
    <w:rPr>
      <w:rFonts w:ascii="Times New Roman" w:hAnsi="Times New Roman" w:eastAsia="宋体" w:cs="Times New Roman"/>
      <w:b/>
      <w:sz w:val="24"/>
      <w:szCs w:val="20"/>
    </w:rPr>
  </w:style>
  <w:style w:type="character" w:customStyle="1" w:styleId="84">
    <w:name w:val="正文文本缩进 2 Char"/>
    <w:link w:val="29"/>
    <w:qFormat/>
    <w:uiPriority w:val="0"/>
    <w:rPr>
      <w:rFonts w:ascii="Times New Roman" w:hAnsi="Times New Roman" w:eastAsia="宋体" w:cs="Times New Roman"/>
      <w:szCs w:val="24"/>
    </w:rPr>
  </w:style>
  <w:style w:type="character" w:customStyle="1" w:styleId="85">
    <w:name w:val="批注框文本 Char"/>
    <w:link w:val="30"/>
    <w:qFormat/>
    <w:uiPriority w:val="0"/>
    <w:rPr>
      <w:rFonts w:ascii="Times New Roman" w:hAnsi="Times New Roman" w:eastAsia="宋体" w:cs="Times New Roman"/>
      <w:sz w:val="18"/>
      <w:szCs w:val="18"/>
    </w:rPr>
  </w:style>
  <w:style w:type="character" w:customStyle="1" w:styleId="86">
    <w:name w:val="页脚 Char"/>
    <w:link w:val="31"/>
    <w:qFormat/>
    <w:uiPriority w:val="99"/>
    <w:rPr>
      <w:rFonts w:ascii="Times New Roman" w:hAnsi="Times New Roman" w:eastAsia="宋体" w:cs="Times New Roman"/>
      <w:sz w:val="18"/>
      <w:szCs w:val="18"/>
    </w:rPr>
  </w:style>
  <w:style w:type="character" w:customStyle="1" w:styleId="87">
    <w:name w:val="页眉 Char"/>
    <w:link w:val="32"/>
    <w:qFormat/>
    <w:uiPriority w:val="99"/>
    <w:rPr>
      <w:rFonts w:ascii="Times New Roman" w:hAnsi="Times New Roman" w:eastAsia="宋体" w:cs="Times New Roman"/>
      <w:sz w:val="18"/>
      <w:szCs w:val="18"/>
    </w:rPr>
  </w:style>
  <w:style w:type="character" w:customStyle="1" w:styleId="88">
    <w:name w:val="副标题 Char"/>
    <w:link w:val="35"/>
    <w:qFormat/>
    <w:uiPriority w:val="11"/>
    <w:rPr>
      <w:rFonts w:ascii="Cambria" w:hAnsi="Cambria" w:eastAsia="宋体" w:cs="Times New Roman"/>
      <w:b/>
      <w:bCs/>
      <w:kern w:val="28"/>
      <w:sz w:val="32"/>
      <w:szCs w:val="32"/>
    </w:rPr>
  </w:style>
  <w:style w:type="character" w:customStyle="1" w:styleId="89">
    <w:name w:val="脚注文本 Char"/>
    <w:link w:val="37"/>
    <w:qFormat/>
    <w:uiPriority w:val="0"/>
    <w:rPr>
      <w:kern w:val="2"/>
      <w:sz w:val="18"/>
      <w:szCs w:val="18"/>
    </w:rPr>
  </w:style>
  <w:style w:type="character" w:customStyle="1" w:styleId="90">
    <w:name w:val="正文文本缩进 3 Char"/>
    <w:link w:val="39"/>
    <w:qFormat/>
    <w:uiPriority w:val="0"/>
    <w:rPr>
      <w:kern w:val="2"/>
      <w:sz w:val="16"/>
      <w:szCs w:val="16"/>
    </w:rPr>
  </w:style>
  <w:style w:type="character" w:customStyle="1" w:styleId="91">
    <w:name w:val="正文文本 2 Char"/>
    <w:link w:val="42"/>
    <w:qFormat/>
    <w:uiPriority w:val="0"/>
    <w:rPr>
      <w:kern w:val="2"/>
      <w:sz w:val="21"/>
      <w:szCs w:val="24"/>
    </w:rPr>
  </w:style>
  <w:style w:type="character" w:customStyle="1" w:styleId="92">
    <w:name w:val="标题 Char1"/>
    <w:link w:val="46"/>
    <w:qFormat/>
    <w:uiPriority w:val="0"/>
    <w:rPr>
      <w:rFonts w:ascii="Arial" w:hAnsi="Arial" w:eastAsia="宋体" w:cs="Arial"/>
      <w:b/>
      <w:bCs/>
      <w:kern w:val="0"/>
      <w:sz w:val="44"/>
      <w:szCs w:val="32"/>
    </w:rPr>
  </w:style>
  <w:style w:type="character" w:customStyle="1" w:styleId="93">
    <w:name w:val="批注主题 Char"/>
    <w:link w:val="47"/>
    <w:qFormat/>
    <w:uiPriority w:val="0"/>
    <w:rPr>
      <w:b/>
      <w:bCs/>
      <w:kern w:val="2"/>
      <w:sz w:val="21"/>
      <w:szCs w:val="24"/>
    </w:rPr>
  </w:style>
  <w:style w:type="character" w:customStyle="1" w:styleId="94">
    <w:name w:val="font5 Char Char"/>
    <w:qFormat/>
    <w:uiPriority w:val="0"/>
    <w:rPr>
      <w:rFonts w:ascii="宋体" w:hAnsi="宋体" w:eastAsia="宋体"/>
      <w:sz w:val="24"/>
      <w:szCs w:val="24"/>
      <w:lang w:val="en-US" w:eastAsia="zh-CN" w:bidi="ar-SA"/>
    </w:rPr>
  </w:style>
  <w:style w:type="character" w:customStyle="1" w:styleId="95">
    <w:name w:val="SY-ZW Char Char"/>
    <w:link w:val="96"/>
    <w:qFormat/>
    <w:uiPriority w:val="0"/>
    <w:rPr>
      <w:kern w:val="2"/>
      <w:sz w:val="24"/>
      <w:szCs w:val="24"/>
    </w:rPr>
  </w:style>
  <w:style w:type="paragraph" w:customStyle="1" w:styleId="96">
    <w:name w:val="SY-ZW"/>
    <w:basedOn w:val="1"/>
    <w:link w:val="95"/>
    <w:qFormat/>
    <w:uiPriority w:val="0"/>
    <w:pPr>
      <w:adjustRightInd w:val="0"/>
      <w:snapToGrid w:val="0"/>
      <w:spacing w:line="500" w:lineRule="exact"/>
      <w:ind w:firstLine="480" w:firstLineChars="200"/>
    </w:pPr>
    <w:rPr>
      <w:sz w:val="24"/>
    </w:rPr>
  </w:style>
  <w:style w:type="character" w:customStyle="1" w:styleId="97">
    <w:name w:val="MTEquationSection"/>
    <w:qFormat/>
    <w:uiPriority w:val="0"/>
    <w:rPr>
      <w:rFonts w:ascii="黑体" w:eastAsia="黑体"/>
      <w:vanish/>
      <w:color w:val="FF0000"/>
      <w:sz w:val="24"/>
    </w:rPr>
  </w:style>
  <w:style w:type="character" w:customStyle="1" w:styleId="98">
    <w:name w:val="标题 5 Char Char"/>
    <w:qFormat/>
    <w:uiPriority w:val="0"/>
    <w:rPr>
      <w:rFonts w:eastAsia="宋体"/>
      <w:b/>
      <w:bCs/>
      <w:kern w:val="2"/>
      <w:sz w:val="28"/>
      <w:szCs w:val="28"/>
      <w:lang w:val="en-US" w:eastAsia="zh-CN" w:bidi="ar-SA"/>
    </w:rPr>
  </w:style>
  <w:style w:type="character" w:customStyle="1" w:styleId="99">
    <w:name w:val="Char Char11"/>
    <w:qFormat/>
    <w:uiPriority w:val="0"/>
    <w:rPr>
      <w:rFonts w:ascii="宋体" w:hAnsi="宋体" w:eastAsia="宋体" w:cs="宋体"/>
      <w:kern w:val="0"/>
      <w:sz w:val="24"/>
      <w:szCs w:val="24"/>
    </w:rPr>
  </w:style>
  <w:style w:type="character" w:customStyle="1" w:styleId="100">
    <w:name w:val="正文文本 Char"/>
    <w:qFormat/>
    <w:uiPriority w:val="0"/>
    <w:rPr>
      <w:rFonts w:ascii="Times New Roman" w:hAnsi="Times New Roman" w:eastAsia="宋体" w:cs="Times New Roman"/>
      <w:szCs w:val="24"/>
    </w:rPr>
  </w:style>
  <w:style w:type="character" w:customStyle="1" w:styleId="101">
    <w:name w:val="Char Char211"/>
    <w:qFormat/>
    <w:uiPriority w:val="0"/>
    <w:rPr>
      <w:rFonts w:ascii="宋体" w:hAnsi="宋体" w:eastAsia="宋体"/>
      <w:b/>
      <w:bCs/>
      <w:kern w:val="2"/>
      <w:sz w:val="24"/>
      <w:szCs w:val="24"/>
      <w:lang w:val="en-US" w:eastAsia="zh-CN" w:bidi="ar-SA"/>
    </w:rPr>
  </w:style>
  <w:style w:type="character" w:customStyle="1" w:styleId="102">
    <w:name w:val="Char Char20"/>
    <w:qFormat/>
    <w:uiPriority w:val="0"/>
    <w:rPr>
      <w:rFonts w:ascii="宋体" w:hAnsi="宋体" w:eastAsia="宋体"/>
      <w:b/>
      <w:bCs/>
      <w:kern w:val="2"/>
      <w:sz w:val="21"/>
      <w:szCs w:val="28"/>
      <w:lang w:val="en-US" w:eastAsia="zh-CN" w:bidi="ar-SA"/>
    </w:rPr>
  </w:style>
  <w:style w:type="character" w:customStyle="1" w:styleId="103">
    <w:name w:val="标题 6 Char1"/>
    <w:qFormat/>
    <w:uiPriority w:val="0"/>
    <w:rPr>
      <w:rFonts w:ascii="Arial" w:hAnsi="Arial" w:eastAsia="黑体"/>
      <w:b/>
      <w:bCs/>
      <w:sz w:val="24"/>
      <w:szCs w:val="24"/>
    </w:rPr>
  </w:style>
  <w:style w:type="character" w:customStyle="1" w:styleId="104">
    <w:name w:val="注释标题 Char1"/>
    <w:semiHidden/>
    <w:qFormat/>
    <w:uiPriority w:val="99"/>
    <w:rPr>
      <w:rFonts w:ascii="Times New Roman" w:hAnsi="Times New Roman" w:eastAsia="宋体" w:cs="Times New Roman"/>
      <w:kern w:val="2"/>
      <w:sz w:val="21"/>
      <w:szCs w:val="24"/>
    </w:rPr>
  </w:style>
  <w:style w:type="character" w:customStyle="1" w:styleId="105">
    <w:name w:val="正文文本缩进 Char1"/>
    <w:qFormat/>
    <w:uiPriority w:val="0"/>
    <w:rPr>
      <w:kern w:val="2"/>
      <w:sz w:val="21"/>
      <w:szCs w:val="24"/>
    </w:rPr>
  </w:style>
  <w:style w:type="character" w:customStyle="1" w:styleId="106">
    <w:name w:val="apple-style-span"/>
    <w:basedOn w:val="51"/>
    <w:qFormat/>
    <w:uiPriority w:val="0"/>
  </w:style>
  <w:style w:type="character" w:customStyle="1" w:styleId="107">
    <w:name w:val="Char Char131"/>
    <w:qFormat/>
    <w:uiPriority w:val="0"/>
    <w:rPr>
      <w:rFonts w:ascii="宋体" w:hAnsi="宋体" w:eastAsia="宋体" w:cs="宋体"/>
      <w:b/>
      <w:bCs/>
      <w:kern w:val="0"/>
      <w:sz w:val="24"/>
      <w:szCs w:val="24"/>
    </w:rPr>
  </w:style>
  <w:style w:type="character" w:customStyle="1" w:styleId="108">
    <w:name w:val="正文文本缩进 3 Char2"/>
    <w:semiHidden/>
    <w:qFormat/>
    <w:uiPriority w:val="99"/>
    <w:rPr>
      <w:rFonts w:ascii="Times New Roman" w:hAnsi="Times New Roman" w:eastAsia="宋体" w:cs="Times New Roman"/>
      <w:kern w:val="2"/>
      <w:sz w:val="16"/>
      <w:szCs w:val="16"/>
    </w:rPr>
  </w:style>
  <w:style w:type="character" w:customStyle="1" w:styleId="109">
    <w:name w:val="标题 1 Char2"/>
    <w:qFormat/>
    <w:uiPriority w:val="0"/>
    <w:rPr>
      <w:rFonts w:eastAsia="宋体"/>
      <w:b/>
      <w:bCs/>
      <w:kern w:val="44"/>
      <w:sz w:val="44"/>
      <w:szCs w:val="44"/>
      <w:lang w:val="en-US" w:eastAsia="zh-CN" w:bidi="ar-SA"/>
    </w:rPr>
  </w:style>
  <w:style w:type="character" w:customStyle="1" w:styleId="110">
    <w:name w:val="Char Char14"/>
    <w:qFormat/>
    <w:uiPriority w:val="0"/>
    <w:rPr>
      <w:rFonts w:ascii="宋体" w:hAnsi="宋体" w:eastAsia="宋体" w:cs="宋体"/>
      <w:b/>
      <w:bCs/>
      <w:sz w:val="28"/>
      <w:szCs w:val="28"/>
    </w:rPr>
  </w:style>
  <w:style w:type="character" w:customStyle="1" w:styleId="111">
    <w:name w:val="署名 Char1"/>
    <w:qFormat/>
    <w:uiPriority w:val="0"/>
    <w:rPr>
      <w:rFonts w:eastAsia="宋体"/>
      <w:kern w:val="2"/>
      <w:sz w:val="21"/>
      <w:szCs w:val="24"/>
      <w:lang w:val="en-US" w:eastAsia="zh-CN" w:bidi="ar-SA"/>
    </w:rPr>
  </w:style>
  <w:style w:type="character" w:customStyle="1" w:styleId="112">
    <w:name w:val="Char Char12"/>
    <w:qFormat/>
    <w:uiPriority w:val="0"/>
    <w:rPr>
      <w:rFonts w:ascii="宋体" w:hAnsi="宋体" w:eastAsia="宋体" w:cs="宋体"/>
      <w:b/>
      <w:bCs/>
      <w:kern w:val="0"/>
      <w:sz w:val="24"/>
      <w:szCs w:val="24"/>
    </w:rPr>
  </w:style>
  <w:style w:type="character" w:customStyle="1" w:styleId="113">
    <w:name w:val="标题 8 Char1"/>
    <w:qFormat/>
    <w:uiPriority w:val="0"/>
    <w:rPr>
      <w:rFonts w:ascii="Arial" w:hAnsi="Arial" w:eastAsia="黑体"/>
      <w:sz w:val="24"/>
      <w:szCs w:val="24"/>
    </w:rPr>
  </w:style>
  <w:style w:type="character" w:customStyle="1" w:styleId="114">
    <w:name w:val="页脚 Char1"/>
    <w:qFormat/>
    <w:uiPriority w:val="0"/>
    <w:rPr>
      <w:kern w:val="2"/>
      <w:sz w:val="18"/>
      <w:szCs w:val="18"/>
    </w:rPr>
  </w:style>
  <w:style w:type="character" w:customStyle="1" w:styleId="115">
    <w:name w:val="批注文字 Char1"/>
    <w:semiHidden/>
    <w:qFormat/>
    <w:uiPriority w:val="99"/>
    <w:rPr>
      <w:rFonts w:ascii="Times New Roman" w:hAnsi="Times New Roman" w:eastAsia="宋体" w:cs="Times New Roman"/>
      <w:szCs w:val="24"/>
    </w:rPr>
  </w:style>
  <w:style w:type="character" w:customStyle="1" w:styleId="116">
    <w:name w:val="Char Char101"/>
    <w:qFormat/>
    <w:uiPriority w:val="0"/>
    <w:rPr>
      <w:rFonts w:eastAsia="宋体"/>
      <w:kern w:val="2"/>
      <w:sz w:val="28"/>
      <w:szCs w:val="24"/>
      <w:lang w:val="en-US" w:eastAsia="zh-CN" w:bidi="ar-SA"/>
    </w:rPr>
  </w:style>
  <w:style w:type="character" w:customStyle="1" w:styleId="117">
    <w:name w:val="正文文本缩进 2 Char Char"/>
    <w:qFormat/>
    <w:uiPriority w:val="0"/>
    <w:rPr>
      <w:kern w:val="2"/>
      <w:sz w:val="21"/>
      <w:szCs w:val="24"/>
      <w:lang w:bidi="ar-SA"/>
    </w:rPr>
  </w:style>
  <w:style w:type="character" w:customStyle="1" w:styleId="118">
    <w:name w:val="font91"/>
    <w:qFormat/>
    <w:uiPriority w:val="0"/>
    <w:rPr>
      <w:rFonts w:hint="default" w:ascii="Calibri" w:hAnsi="Calibri" w:cs="Calibri"/>
      <w:color w:val="000000"/>
      <w:sz w:val="21"/>
      <w:szCs w:val="21"/>
      <w:u w:val="none"/>
    </w:rPr>
  </w:style>
  <w:style w:type="character" w:customStyle="1" w:styleId="119">
    <w:name w:val="正文文字缩进 Char Char"/>
    <w:qFormat/>
    <w:uiPriority w:val="0"/>
    <w:rPr>
      <w:rFonts w:eastAsia="宋体"/>
      <w:kern w:val="2"/>
      <w:sz w:val="24"/>
      <w:lang w:val="en-US" w:eastAsia="zh-CN" w:bidi="ar-SA"/>
    </w:rPr>
  </w:style>
  <w:style w:type="character" w:customStyle="1" w:styleId="120">
    <w:name w:val="标题 9 Char Char Char Char Char Char Char Char Char Char Char"/>
    <w:qFormat/>
    <w:uiPriority w:val="0"/>
    <w:rPr>
      <w:rFonts w:ascii="Arial" w:hAnsi="Arial" w:eastAsia="黑体"/>
      <w:kern w:val="2"/>
      <w:sz w:val="21"/>
      <w:szCs w:val="21"/>
      <w:lang w:val="en-US" w:eastAsia="zh-CN" w:bidi="ar-SA"/>
    </w:rPr>
  </w:style>
  <w:style w:type="character" w:customStyle="1" w:styleId="121">
    <w:name w:val="样式 楷体_GB2312 黑色"/>
    <w:qFormat/>
    <w:uiPriority w:val="0"/>
    <w:rPr>
      <w:rFonts w:ascii="楷体_GB2312" w:hAnsi="楷体_GB2312" w:eastAsia="楷体_GB2312"/>
      <w:color w:val="000000"/>
    </w:rPr>
  </w:style>
  <w:style w:type="character" w:customStyle="1" w:styleId="122">
    <w:name w:val="标题 1 Char Char"/>
    <w:qFormat/>
    <w:uiPriority w:val="0"/>
    <w:rPr>
      <w:rFonts w:eastAsia="宋体"/>
      <w:b/>
      <w:bCs/>
      <w:kern w:val="44"/>
      <w:sz w:val="32"/>
      <w:szCs w:val="44"/>
      <w:lang w:val="en-US" w:eastAsia="zh-CN" w:bidi="ar-SA"/>
    </w:rPr>
  </w:style>
  <w:style w:type="character" w:customStyle="1" w:styleId="123">
    <w:name w:val="Char Char22"/>
    <w:qFormat/>
    <w:uiPriority w:val="0"/>
    <w:rPr>
      <w:rFonts w:ascii="宋体" w:hAnsi="宋体" w:eastAsia="宋体"/>
      <w:b/>
      <w:bCs/>
      <w:kern w:val="2"/>
      <w:sz w:val="32"/>
      <w:szCs w:val="32"/>
    </w:rPr>
  </w:style>
  <w:style w:type="character" w:customStyle="1" w:styleId="124">
    <w:name w:val="2 Char"/>
    <w:qFormat/>
    <w:uiPriority w:val="0"/>
    <w:rPr>
      <w:rFonts w:eastAsia="宋体"/>
      <w:color w:val="0070C0"/>
      <w:kern w:val="2"/>
      <w:sz w:val="24"/>
      <w:lang w:val="en-US" w:eastAsia="zh-CN" w:bidi="ar-SA"/>
    </w:rPr>
  </w:style>
  <w:style w:type="character" w:customStyle="1" w:styleId="125">
    <w:name w:val="Char Char191"/>
    <w:qFormat/>
    <w:uiPriority w:val="0"/>
    <w:rPr>
      <w:b/>
      <w:bCs/>
      <w:kern w:val="2"/>
      <w:sz w:val="28"/>
      <w:szCs w:val="28"/>
    </w:rPr>
  </w:style>
  <w:style w:type="character" w:customStyle="1" w:styleId="126">
    <w:name w:val="Char Char111"/>
    <w:qFormat/>
    <w:uiPriority w:val="0"/>
    <w:rPr>
      <w:rFonts w:ascii="宋体" w:hAnsi="宋体" w:eastAsia="宋体" w:cs="宋体"/>
      <w:kern w:val="0"/>
      <w:sz w:val="24"/>
      <w:szCs w:val="24"/>
    </w:rPr>
  </w:style>
  <w:style w:type="character" w:customStyle="1" w:styleId="127">
    <w:name w:val="font11"/>
    <w:qFormat/>
    <w:uiPriority w:val="0"/>
    <w:rPr>
      <w:rFonts w:hint="eastAsia" w:ascii="宋体" w:hAnsi="宋体" w:eastAsia="宋体" w:cs="宋体"/>
      <w:b/>
      <w:color w:val="000000"/>
      <w:sz w:val="21"/>
      <w:szCs w:val="21"/>
      <w:u w:val="none"/>
    </w:rPr>
  </w:style>
  <w:style w:type="character" w:customStyle="1" w:styleId="128">
    <w:name w:val="标题 4 Char Char"/>
    <w:qFormat/>
    <w:uiPriority w:val="0"/>
    <w:rPr>
      <w:rFonts w:ascii="Arial" w:hAnsi="Arial" w:eastAsia="宋体"/>
      <w:b/>
      <w:bCs/>
      <w:kern w:val="2"/>
      <w:sz w:val="24"/>
      <w:szCs w:val="28"/>
      <w:lang w:val="en-US" w:eastAsia="zh-CN" w:bidi="ar-SA"/>
    </w:rPr>
  </w:style>
  <w:style w:type="character" w:customStyle="1" w:styleId="129">
    <w:name w:val="普通文字 Char1"/>
    <w:qFormat/>
    <w:locked/>
    <w:uiPriority w:val="0"/>
    <w:rPr>
      <w:rFonts w:ascii="宋体" w:hAnsi="Courier New" w:eastAsia="宋体"/>
      <w:kern w:val="2"/>
      <w:sz w:val="21"/>
      <w:lang w:val="en-US" w:eastAsia="zh-CN" w:bidi="ar-SA"/>
    </w:rPr>
  </w:style>
  <w:style w:type="character" w:customStyle="1" w:styleId="130">
    <w:name w:val="正文文本缩进 2 Char1"/>
    <w:qFormat/>
    <w:uiPriority w:val="0"/>
    <w:rPr>
      <w:kern w:val="2"/>
      <w:sz w:val="21"/>
      <w:szCs w:val="24"/>
    </w:rPr>
  </w:style>
  <w:style w:type="character" w:customStyle="1" w:styleId="131">
    <w:name w:val="SY-ZW Char"/>
    <w:qFormat/>
    <w:uiPriority w:val="0"/>
    <w:rPr>
      <w:rFonts w:eastAsia="宋体"/>
      <w:kern w:val="2"/>
      <w:sz w:val="24"/>
      <w:szCs w:val="24"/>
      <w:lang w:val="en-US" w:eastAsia="zh-CN" w:bidi="ar-SA"/>
    </w:rPr>
  </w:style>
  <w:style w:type="character" w:customStyle="1" w:styleId="132">
    <w:name w:val="标题 9 Char1"/>
    <w:qFormat/>
    <w:uiPriority w:val="0"/>
    <w:rPr>
      <w:rFonts w:ascii="Arial" w:hAnsi="Arial" w:eastAsia="黑体"/>
      <w:sz w:val="21"/>
      <w:szCs w:val="21"/>
    </w:rPr>
  </w:style>
  <w:style w:type="character" w:customStyle="1" w:styleId="133">
    <w:name w:val="font81"/>
    <w:qFormat/>
    <w:uiPriority w:val="0"/>
    <w:rPr>
      <w:rFonts w:hint="default" w:ascii="Times New Roman" w:hAnsi="Times New Roman" w:cs="Times New Roman"/>
      <w:color w:val="000000"/>
      <w:sz w:val="21"/>
      <w:szCs w:val="21"/>
      <w:u w:val="none"/>
    </w:rPr>
  </w:style>
  <w:style w:type="character" w:customStyle="1" w:styleId="134">
    <w:name w:val="正文文本 2 Char1"/>
    <w:qFormat/>
    <w:uiPriority w:val="0"/>
    <w:rPr>
      <w:kern w:val="2"/>
      <w:sz w:val="21"/>
      <w:szCs w:val="24"/>
    </w:rPr>
  </w:style>
  <w:style w:type="character" w:customStyle="1" w:styleId="135">
    <w:name w:val="正文文字4 Char Char"/>
    <w:qFormat/>
    <w:uiPriority w:val="0"/>
    <w:rPr>
      <w:kern w:val="2"/>
      <w:sz w:val="21"/>
      <w:szCs w:val="24"/>
    </w:rPr>
  </w:style>
  <w:style w:type="character" w:customStyle="1" w:styleId="136">
    <w:name w:val="Char Char201"/>
    <w:qFormat/>
    <w:uiPriority w:val="0"/>
    <w:rPr>
      <w:rFonts w:ascii="宋体" w:hAnsi="宋体" w:eastAsia="宋体"/>
      <w:b/>
      <w:bCs/>
      <w:kern w:val="2"/>
      <w:sz w:val="21"/>
      <w:szCs w:val="28"/>
      <w:lang w:val="en-US" w:eastAsia="zh-CN" w:bidi="ar-SA"/>
    </w:rPr>
  </w:style>
  <w:style w:type="character" w:customStyle="1" w:styleId="137">
    <w:name w:val="Char Char171"/>
    <w:qFormat/>
    <w:uiPriority w:val="0"/>
    <w:rPr>
      <w:b/>
      <w:bCs/>
      <w:sz w:val="24"/>
      <w:szCs w:val="24"/>
    </w:rPr>
  </w:style>
  <w:style w:type="character" w:customStyle="1" w:styleId="138">
    <w:name w:val="Char Char110"/>
    <w:qFormat/>
    <w:locked/>
    <w:uiPriority w:val="0"/>
    <w:rPr>
      <w:rFonts w:eastAsia="宋体"/>
      <w:kern w:val="2"/>
      <w:sz w:val="21"/>
      <w:szCs w:val="24"/>
      <w:lang w:val="en-US" w:eastAsia="zh-CN" w:bidi="ar-SA"/>
    </w:rPr>
  </w:style>
  <w:style w:type="character" w:customStyle="1" w:styleId="139">
    <w:name w:val="Header Char1"/>
    <w:semiHidden/>
    <w:qFormat/>
    <w:locked/>
    <w:uiPriority w:val="99"/>
    <w:rPr>
      <w:rFonts w:cs="Times New Roman"/>
      <w:kern w:val="2"/>
      <w:sz w:val="18"/>
      <w:szCs w:val="18"/>
    </w:rPr>
  </w:style>
  <w:style w:type="character" w:customStyle="1" w:styleId="140">
    <w:name w:val="2 Char Char"/>
    <w:link w:val="141"/>
    <w:qFormat/>
    <w:uiPriority w:val="0"/>
    <w:rPr>
      <w:rFonts w:eastAsia="黑体"/>
      <w:bCs/>
      <w:color w:val="000000"/>
      <w:spacing w:val="-6"/>
      <w:kern w:val="2"/>
      <w:sz w:val="24"/>
      <w:szCs w:val="26"/>
    </w:rPr>
  </w:style>
  <w:style w:type="paragraph" w:customStyle="1" w:styleId="141">
    <w:name w:val="2"/>
    <w:basedOn w:val="1"/>
    <w:link w:val="140"/>
    <w:qFormat/>
    <w:uiPriority w:val="0"/>
    <w:pPr>
      <w:spacing w:line="440" w:lineRule="exact"/>
      <w:ind w:firstLine="513" w:firstLineChars="225"/>
    </w:pPr>
    <w:rPr>
      <w:rFonts w:eastAsia="黑体"/>
      <w:bCs/>
      <w:color w:val="000000"/>
      <w:spacing w:val="-6"/>
      <w:sz w:val="24"/>
      <w:szCs w:val="26"/>
    </w:rPr>
  </w:style>
  <w:style w:type="character" w:customStyle="1" w:styleId="142">
    <w:name w:val="Char Char121"/>
    <w:qFormat/>
    <w:uiPriority w:val="0"/>
    <w:rPr>
      <w:rFonts w:ascii="宋体" w:hAnsi="宋体" w:eastAsia="宋体" w:cs="宋体"/>
      <w:b/>
      <w:bCs/>
      <w:kern w:val="0"/>
      <w:sz w:val="24"/>
      <w:szCs w:val="24"/>
    </w:rPr>
  </w:style>
  <w:style w:type="character" w:customStyle="1" w:styleId="143">
    <w:name w:val="超链接1"/>
    <w:qFormat/>
    <w:uiPriority w:val="0"/>
    <w:rPr>
      <w:rFonts w:hint="default" w:ascii="Times New Roman"/>
      <w:color w:val="0000FF"/>
      <w:u w:val="single"/>
    </w:rPr>
  </w:style>
  <w:style w:type="character" w:customStyle="1" w:styleId="144">
    <w:name w:val="b5 Char Char"/>
    <w:qFormat/>
    <w:uiPriority w:val="0"/>
    <w:rPr>
      <w:rFonts w:eastAsia="宋体"/>
      <w:b/>
      <w:sz w:val="28"/>
      <w:lang w:val="en-US" w:eastAsia="zh-CN" w:bidi="ar-SA"/>
    </w:rPr>
  </w:style>
  <w:style w:type="character" w:customStyle="1" w:styleId="145">
    <w:name w:val="样式 宋体 四号"/>
    <w:qFormat/>
    <w:uiPriority w:val="0"/>
    <w:rPr>
      <w:rFonts w:ascii="宋体" w:hAnsi="宋体" w:eastAsia="宋体"/>
      <w:sz w:val="28"/>
    </w:rPr>
  </w:style>
  <w:style w:type="character" w:customStyle="1" w:styleId="146">
    <w:name w:val="正文文本 Char Char"/>
    <w:qFormat/>
    <w:uiPriority w:val="0"/>
    <w:rPr>
      <w:kern w:val="2"/>
      <w:sz w:val="21"/>
      <w:szCs w:val="24"/>
      <w:lang w:bidi="ar-SA"/>
    </w:rPr>
  </w:style>
  <w:style w:type="character" w:customStyle="1" w:styleId="147">
    <w:name w:val="font5 Char Char Char"/>
    <w:link w:val="148"/>
    <w:qFormat/>
    <w:uiPriority w:val="0"/>
    <w:rPr>
      <w:rFonts w:ascii="宋体" w:hAnsi="宋体"/>
      <w:sz w:val="24"/>
      <w:szCs w:val="24"/>
    </w:rPr>
  </w:style>
  <w:style w:type="paragraph" w:customStyle="1" w:styleId="148">
    <w:name w:val="font5"/>
    <w:basedOn w:val="1"/>
    <w:link w:val="147"/>
    <w:qFormat/>
    <w:uiPriority w:val="0"/>
    <w:pPr>
      <w:widowControl/>
      <w:spacing w:before="100" w:beforeAutospacing="1" w:after="100" w:afterAutospacing="1"/>
      <w:jc w:val="left"/>
    </w:pPr>
    <w:rPr>
      <w:rFonts w:ascii="宋体" w:hAnsi="宋体"/>
      <w:kern w:val="0"/>
      <w:sz w:val="24"/>
    </w:rPr>
  </w:style>
  <w:style w:type="character" w:customStyle="1" w:styleId="149">
    <w:name w:val="样式 要点 + 四号 加宽量  0.4 磅"/>
    <w:qFormat/>
    <w:uiPriority w:val="0"/>
    <w:rPr>
      <w:rFonts w:ascii="Times New Roman" w:hAnsi="Times New Roman" w:eastAsia="黑体"/>
      <w:b/>
      <w:bCs/>
      <w:snapToGrid w:val="0"/>
      <w:color w:val="auto"/>
      <w:spacing w:val="8"/>
      <w:w w:val="100"/>
      <w:kern w:val="28"/>
      <w:position w:val="0"/>
      <w:sz w:val="28"/>
      <w:u w:val="none"/>
    </w:rPr>
  </w:style>
  <w:style w:type="character" w:customStyle="1" w:styleId="150">
    <w:name w:val="i Char"/>
    <w:qFormat/>
    <w:uiPriority w:val="0"/>
    <w:rPr>
      <w:rFonts w:ascii="宋体" w:hAnsi="宋体" w:eastAsia="宋体"/>
      <w:b/>
      <w:i/>
      <w:color w:val="000000"/>
      <w:kern w:val="2"/>
      <w:sz w:val="24"/>
      <w:szCs w:val="24"/>
      <w:lang w:val="en-US" w:eastAsia="zh-CN" w:bidi="ar-SA"/>
    </w:rPr>
  </w:style>
  <w:style w:type="character" w:customStyle="1" w:styleId="151">
    <w:name w:val="页眉 Char Char"/>
    <w:qFormat/>
    <w:uiPriority w:val="0"/>
    <w:rPr>
      <w:kern w:val="2"/>
      <w:sz w:val="18"/>
      <w:szCs w:val="18"/>
      <w:lang w:bidi="ar-SA"/>
    </w:rPr>
  </w:style>
  <w:style w:type="character" w:customStyle="1" w:styleId="152">
    <w:name w:val="正文文本 2 Char Char"/>
    <w:qFormat/>
    <w:uiPriority w:val="0"/>
    <w:rPr>
      <w:kern w:val="2"/>
      <w:sz w:val="21"/>
      <w:szCs w:val="24"/>
      <w:lang w:bidi="ar-SA"/>
    </w:rPr>
  </w:style>
  <w:style w:type="character" w:customStyle="1" w:styleId="153">
    <w:name w:val="普通文字 Char Char"/>
    <w:qFormat/>
    <w:uiPriority w:val="0"/>
    <w:rPr>
      <w:rFonts w:ascii="Courier New" w:hAnsi="Courier New"/>
      <w:kern w:val="2"/>
      <w:sz w:val="21"/>
    </w:rPr>
  </w:style>
  <w:style w:type="character" w:customStyle="1" w:styleId="154">
    <w:name w:val="样式5 Char"/>
    <w:link w:val="155"/>
    <w:qFormat/>
    <w:uiPriority w:val="0"/>
    <w:rPr>
      <w:rFonts w:ascii="ˎ̥"/>
      <w:color w:val="4682B4"/>
      <w:kern w:val="2"/>
      <w:sz w:val="24"/>
      <w:szCs w:val="24"/>
    </w:rPr>
  </w:style>
  <w:style w:type="paragraph" w:customStyle="1" w:styleId="155">
    <w:name w:val="样式5"/>
    <w:basedOn w:val="1"/>
    <w:link w:val="154"/>
    <w:qFormat/>
    <w:uiPriority w:val="0"/>
    <w:pPr>
      <w:spacing w:line="360" w:lineRule="auto"/>
    </w:pPr>
    <w:rPr>
      <w:rFonts w:ascii="ˎ̥"/>
      <w:color w:val="4682B4"/>
      <w:sz w:val="24"/>
    </w:rPr>
  </w:style>
  <w:style w:type="character" w:customStyle="1" w:styleId="156">
    <w:name w:val="1.1.1 Char"/>
    <w:qFormat/>
    <w:uiPriority w:val="0"/>
    <w:rPr>
      <w:rFonts w:ascii="黑体" w:eastAsia="黑体"/>
      <w:bCs/>
      <w:color w:val="008080"/>
      <w:kern w:val="2"/>
      <w:sz w:val="24"/>
      <w:szCs w:val="28"/>
      <w:lang w:val="en-US" w:eastAsia="zh-CN" w:bidi="ar-SA"/>
    </w:rPr>
  </w:style>
  <w:style w:type="character" w:customStyle="1" w:styleId="157">
    <w:name w:val="标题 2 Char Char"/>
    <w:qFormat/>
    <w:uiPriority w:val="0"/>
    <w:rPr>
      <w:rFonts w:ascii="Arial" w:hAnsi="Arial" w:eastAsia="宋体"/>
      <w:b/>
      <w:bCs/>
      <w:kern w:val="2"/>
      <w:sz w:val="32"/>
      <w:szCs w:val="32"/>
      <w:lang w:val="en-US" w:eastAsia="zh-CN" w:bidi="ar-SA"/>
    </w:rPr>
  </w:style>
  <w:style w:type="character" w:customStyle="1" w:styleId="158">
    <w:name w:val="文档结构图 Char1"/>
    <w:semiHidden/>
    <w:qFormat/>
    <w:uiPriority w:val="99"/>
    <w:rPr>
      <w:rFonts w:ascii="宋体" w:hAnsi="Times New Roman" w:eastAsia="宋体" w:cs="Times New Roman"/>
      <w:kern w:val="2"/>
      <w:sz w:val="18"/>
      <w:szCs w:val="18"/>
    </w:rPr>
  </w:style>
  <w:style w:type="character" w:customStyle="1" w:styleId="159">
    <w:name w:val="ca-22"/>
    <w:basedOn w:val="51"/>
    <w:qFormat/>
    <w:uiPriority w:val="0"/>
  </w:style>
  <w:style w:type="character" w:customStyle="1" w:styleId="160">
    <w:name w:val="样式 粉红"/>
    <w:qFormat/>
    <w:uiPriority w:val="0"/>
    <w:rPr>
      <w:color w:val="auto"/>
      <w:u w:val="none"/>
    </w:rPr>
  </w:style>
  <w:style w:type="character" w:customStyle="1" w:styleId="161">
    <w:name w:val="ca-32"/>
    <w:basedOn w:val="51"/>
    <w:qFormat/>
    <w:uiPriority w:val="0"/>
  </w:style>
  <w:style w:type="character" w:customStyle="1" w:styleId="162">
    <w:name w:val="font5 Char"/>
    <w:qFormat/>
    <w:uiPriority w:val="0"/>
    <w:rPr>
      <w:rFonts w:ascii="宋体" w:hAnsi="宋体"/>
      <w:sz w:val="24"/>
      <w:szCs w:val="24"/>
    </w:rPr>
  </w:style>
  <w:style w:type="character" w:customStyle="1" w:styleId="163">
    <w:name w:val="标题 3XW Char"/>
    <w:qFormat/>
    <w:uiPriority w:val="0"/>
    <w:rPr>
      <w:rFonts w:eastAsia="宋体"/>
      <w:b/>
      <w:bCs/>
      <w:kern w:val="2"/>
      <w:sz w:val="24"/>
      <w:szCs w:val="32"/>
      <w:lang w:val="en-US" w:eastAsia="zh-CN" w:bidi="ar-SA"/>
    </w:rPr>
  </w:style>
  <w:style w:type="character" w:customStyle="1" w:styleId="164">
    <w:name w:val="页脚 Char Char"/>
    <w:qFormat/>
    <w:uiPriority w:val="0"/>
    <w:rPr>
      <w:kern w:val="2"/>
      <w:sz w:val="18"/>
      <w:szCs w:val="18"/>
      <w:lang w:bidi="ar-SA"/>
    </w:rPr>
  </w:style>
  <w:style w:type="character" w:customStyle="1" w:styleId="165">
    <w:name w:val="Char Char19"/>
    <w:qFormat/>
    <w:uiPriority w:val="0"/>
    <w:rPr>
      <w:b/>
      <w:bCs/>
      <w:kern w:val="2"/>
      <w:sz w:val="28"/>
      <w:szCs w:val="28"/>
    </w:rPr>
  </w:style>
  <w:style w:type="character" w:customStyle="1" w:styleId="166">
    <w:name w:val="标题 1 Char Char Char"/>
    <w:qFormat/>
    <w:uiPriority w:val="0"/>
    <w:rPr>
      <w:rFonts w:eastAsia="宋体"/>
      <w:b/>
      <w:bCs/>
      <w:kern w:val="44"/>
      <w:sz w:val="32"/>
      <w:szCs w:val="44"/>
      <w:lang w:val="en-US" w:eastAsia="zh-CN" w:bidi="ar-SA"/>
    </w:rPr>
  </w:style>
  <w:style w:type="character" w:customStyle="1" w:styleId="167">
    <w:name w:val="超链接11"/>
    <w:qFormat/>
    <w:uiPriority w:val="0"/>
    <w:rPr>
      <w:rFonts w:hint="default" w:ascii="Times New Roman"/>
      <w:color w:val="0000FF"/>
      <w:u w:val="single"/>
    </w:rPr>
  </w:style>
  <w:style w:type="character" w:customStyle="1" w:styleId="168">
    <w:name w:val="标题 2XW Char"/>
    <w:qFormat/>
    <w:uiPriority w:val="0"/>
    <w:rPr>
      <w:rFonts w:ascii="Arial" w:hAnsi="Arial" w:eastAsia="黑体"/>
      <w:b/>
      <w:bCs/>
      <w:kern w:val="2"/>
      <w:sz w:val="32"/>
      <w:szCs w:val="32"/>
    </w:rPr>
  </w:style>
  <w:style w:type="character" w:customStyle="1" w:styleId="169">
    <w:name w:val="正文文本 2 Char2"/>
    <w:semiHidden/>
    <w:qFormat/>
    <w:uiPriority w:val="99"/>
    <w:rPr>
      <w:rFonts w:ascii="Times New Roman" w:hAnsi="Times New Roman" w:eastAsia="宋体" w:cs="Times New Roman"/>
      <w:kern w:val="2"/>
      <w:sz w:val="21"/>
      <w:szCs w:val="24"/>
    </w:rPr>
  </w:style>
  <w:style w:type="character" w:customStyle="1" w:styleId="170">
    <w:name w:val="font31"/>
    <w:qFormat/>
    <w:uiPriority w:val="0"/>
    <w:rPr>
      <w:rFonts w:hint="eastAsia" w:ascii="宋体" w:hAnsi="宋体" w:eastAsia="宋体" w:cs="宋体"/>
      <w:color w:val="000000"/>
      <w:sz w:val="21"/>
      <w:szCs w:val="21"/>
      <w:u w:val="none"/>
    </w:rPr>
  </w:style>
  <w:style w:type="character" w:customStyle="1" w:styleId="171">
    <w:name w:val="正文文本 3 Char Char"/>
    <w:qFormat/>
    <w:uiPriority w:val="0"/>
    <w:rPr>
      <w:rFonts w:ascii="宋体"/>
      <w:kern w:val="2"/>
      <w:sz w:val="24"/>
      <w:lang w:bidi="ar-SA"/>
    </w:rPr>
  </w:style>
  <w:style w:type="character" w:customStyle="1" w:styleId="172">
    <w:name w:val="Plain Text Char1"/>
    <w:semiHidden/>
    <w:qFormat/>
    <w:locked/>
    <w:uiPriority w:val="99"/>
    <w:rPr>
      <w:rFonts w:ascii="宋体" w:hAnsi="Courier New" w:cs="Courier New"/>
      <w:kern w:val="2"/>
      <w:sz w:val="21"/>
      <w:szCs w:val="21"/>
    </w:rPr>
  </w:style>
  <w:style w:type="character" w:customStyle="1" w:styleId="173">
    <w:name w:val="font41"/>
    <w:qFormat/>
    <w:uiPriority w:val="0"/>
    <w:rPr>
      <w:rFonts w:hint="eastAsia" w:ascii="宋体" w:hAnsi="宋体" w:eastAsia="宋体" w:cs="宋体"/>
      <w:b/>
      <w:color w:val="000000"/>
      <w:sz w:val="24"/>
      <w:szCs w:val="24"/>
      <w:u w:val="none"/>
    </w:rPr>
  </w:style>
  <w:style w:type="character" w:customStyle="1" w:styleId="174">
    <w:name w:val="ft01"/>
    <w:qFormat/>
    <w:uiPriority w:val="0"/>
    <w:rPr>
      <w:sz w:val="23"/>
      <w:szCs w:val="23"/>
    </w:rPr>
  </w:style>
  <w:style w:type="character" w:customStyle="1" w:styleId="175">
    <w:name w:val="标题 21 Char"/>
    <w:qFormat/>
    <w:uiPriority w:val="0"/>
    <w:rPr>
      <w:rFonts w:ascii="宋体" w:eastAsia="宋体"/>
      <w:b/>
      <w:bCs/>
      <w:kern w:val="2"/>
      <w:sz w:val="24"/>
      <w:szCs w:val="24"/>
      <w:lang w:val="en-US" w:eastAsia="zh-CN" w:bidi="ar-SA"/>
    </w:rPr>
  </w:style>
  <w:style w:type="character" w:customStyle="1" w:styleId="176">
    <w:name w:val="标题 Char"/>
    <w:qFormat/>
    <w:uiPriority w:val="0"/>
    <w:rPr>
      <w:rFonts w:ascii="Cambria" w:hAnsi="Cambria" w:eastAsia="宋体" w:cs="Times New Roman"/>
      <w:b/>
      <w:bCs/>
      <w:sz w:val="32"/>
      <w:szCs w:val="32"/>
    </w:rPr>
  </w:style>
  <w:style w:type="character" w:customStyle="1" w:styleId="177">
    <w:name w:val="Body Text Indent 2 Char Char"/>
    <w:qFormat/>
    <w:uiPriority w:val="0"/>
    <w:rPr>
      <w:rFonts w:eastAsia="宋体"/>
      <w:kern w:val="2"/>
      <w:sz w:val="30"/>
      <w:szCs w:val="24"/>
      <w:lang w:val="en-US" w:eastAsia="zh-CN" w:bidi="ar-SA"/>
    </w:rPr>
  </w:style>
  <w:style w:type="character" w:customStyle="1" w:styleId="178">
    <w:name w:val="日期 Char"/>
    <w:qFormat/>
    <w:uiPriority w:val="0"/>
    <w:rPr>
      <w:rFonts w:ascii="Times New Roman" w:hAnsi="Times New Roman" w:eastAsia="宋体" w:cs="Times New Roman"/>
      <w:szCs w:val="24"/>
    </w:rPr>
  </w:style>
  <w:style w:type="character" w:customStyle="1" w:styleId="179">
    <w:name w:val="apple-converted-space"/>
    <w:basedOn w:val="51"/>
    <w:qFormat/>
    <w:uiPriority w:val="0"/>
  </w:style>
  <w:style w:type="character" w:customStyle="1" w:styleId="180">
    <w:name w:val="标题 6 Char Char"/>
    <w:qFormat/>
    <w:uiPriority w:val="0"/>
    <w:rPr>
      <w:rFonts w:ascii="Arial" w:hAnsi="Arial" w:eastAsia="宋体"/>
      <w:b/>
      <w:bCs/>
      <w:kern w:val="2"/>
      <w:sz w:val="24"/>
      <w:szCs w:val="24"/>
      <w:lang w:val="en-US" w:eastAsia="zh-CN" w:bidi="ar-SA"/>
    </w:rPr>
  </w:style>
  <w:style w:type="character" w:customStyle="1" w:styleId="181">
    <w:name w:val="Char Char21"/>
    <w:qFormat/>
    <w:uiPriority w:val="0"/>
    <w:rPr>
      <w:rFonts w:ascii="宋体" w:hAnsi="宋体" w:eastAsia="宋体"/>
      <w:b/>
      <w:bCs/>
      <w:kern w:val="2"/>
      <w:sz w:val="24"/>
      <w:szCs w:val="24"/>
      <w:lang w:val="en-US" w:eastAsia="zh-CN" w:bidi="ar-SA"/>
    </w:rPr>
  </w:style>
  <w:style w:type="character" w:customStyle="1" w:styleId="182">
    <w:name w:val="Char Char18"/>
    <w:qFormat/>
    <w:uiPriority w:val="0"/>
    <w:rPr>
      <w:rFonts w:ascii="宋体" w:hAnsi="宋体" w:eastAsia="宋体"/>
      <w:b/>
      <w:bCs/>
      <w:sz w:val="24"/>
      <w:szCs w:val="24"/>
    </w:rPr>
  </w:style>
  <w:style w:type="character" w:customStyle="1" w:styleId="183">
    <w:name w:val="Char Char10"/>
    <w:qFormat/>
    <w:uiPriority w:val="0"/>
    <w:rPr>
      <w:rFonts w:eastAsia="宋体"/>
      <w:kern w:val="2"/>
      <w:sz w:val="28"/>
      <w:szCs w:val="24"/>
      <w:lang w:val="en-US" w:eastAsia="zh-CN" w:bidi="ar-SA"/>
    </w:rPr>
  </w:style>
  <w:style w:type="character" w:customStyle="1" w:styleId="184">
    <w:name w:val="正文文本 3 Char1"/>
    <w:qFormat/>
    <w:uiPriority w:val="0"/>
    <w:rPr>
      <w:rFonts w:ascii="宋体"/>
      <w:kern w:val="2"/>
      <w:sz w:val="24"/>
    </w:rPr>
  </w:style>
  <w:style w:type="character" w:customStyle="1" w:styleId="185">
    <w:name w:val="Char Char1"/>
    <w:qFormat/>
    <w:uiPriority w:val="0"/>
    <w:rPr>
      <w:kern w:val="2"/>
      <w:sz w:val="18"/>
      <w:szCs w:val="18"/>
    </w:rPr>
  </w:style>
  <w:style w:type="character" w:customStyle="1" w:styleId="186">
    <w:name w:val="Level 3 Head Char1"/>
    <w:qFormat/>
    <w:uiPriority w:val="0"/>
    <w:rPr>
      <w:rFonts w:ascii="宋体" w:hAnsi="宋体" w:eastAsia="宋体"/>
      <w:color w:val="FF0000"/>
      <w:kern w:val="2"/>
      <w:sz w:val="28"/>
      <w:szCs w:val="24"/>
      <w:lang w:val="en-US" w:eastAsia="zh-CN" w:bidi="ar-SA"/>
    </w:rPr>
  </w:style>
  <w:style w:type="character" w:customStyle="1" w:styleId="187">
    <w:name w:val="标题 9 Char Char Char Char Char Char Char Char Char Char Char1"/>
    <w:qFormat/>
    <w:uiPriority w:val="0"/>
    <w:rPr>
      <w:rFonts w:ascii="Arial" w:hAnsi="Arial" w:eastAsia="黑体"/>
      <w:sz w:val="17"/>
      <w:lang w:val="en-US" w:eastAsia="zh-CN" w:bidi="ar-SA"/>
    </w:rPr>
  </w:style>
  <w:style w:type="character" w:customStyle="1" w:styleId="188">
    <w:name w:val="无间隔 Char"/>
    <w:link w:val="189"/>
    <w:qFormat/>
    <w:uiPriority w:val="1"/>
    <w:rPr>
      <w:sz w:val="22"/>
      <w:szCs w:val="22"/>
      <w:lang w:val="en-US" w:eastAsia="zh-CN" w:bidi="ar-SA"/>
    </w:rPr>
  </w:style>
  <w:style w:type="paragraph" w:styleId="189">
    <w:name w:val="No Spacing"/>
    <w:link w:val="188"/>
    <w:qFormat/>
    <w:uiPriority w:val="1"/>
    <w:rPr>
      <w:rFonts w:ascii="Times New Roman" w:hAnsi="Times New Roman" w:eastAsia="宋体" w:cs="Times New Roman"/>
      <w:sz w:val="22"/>
      <w:szCs w:val="22"/>
      <w:lang w:val="en-US" w:eastAsia="zh-CN" w:bidi="ar-SA"/>
    </w:rPr>
  </w:style>
  <w:style w:type="character" w:customStyle="1" w:styleId="190">
    <w:name w:val="Char Char13"/>
    <w:qFormat/>
    <w:uiPriority w:val="0"/>
    <w:rPr>
      <w:rFonts w:ascii="宋体" w:hAnsi="宋体" w:eastAsia="宋体" w:cs="宋体"/>
      <w:b/>
      <w:bCs/>
      <w:kern w:val="0"/>
      <w:sz w:val="24"/>
      <w:szCs w:val="24"/>
    </w:rPr>
  </w:style>
  <w:style w:type="character" w:customStyle="1" w:styleId="191">
    <w:name w:val="f91"/>
    <w:qFormat/>
    <w:uiPriority w:val="0"/>
    <w:rPr>
      <w:color w:val="000000"/>
      <w:sz w:val="18"/>
      <w:szCs w:val="18"/>
    </w:rPr>
  </w:style>
  <w:style w:type="character" w:customStyle="1" w:styleId="192">
    <w:name w:val="ca-01"/>
    <w:qFormat/>
    <w:uiPriority w:val="99"/>
    <w:rPr>
      <w:rFonts w:ascii="宋体" w:hAnsi="宋体" w:eastAsia="宋体" w:cs="Times New Roman"/>
      <w:sz w:val="21"/>
      <w:szCs w:val="21"/>
    </w:rPr>
  </w:style>
  <w:style w:type="character" w:customStyle="1" w:styleId="193">
    <w:name w:val="正文文本 3 Char2"/>
    <w:semiHidden/>
    <w:qFormat/>
    <w:uiPriority w:val="99"/>
    <w:rPr>
      <w:rFonts w:ascii="Times New Roman" w:hAnsi="Times New Roman" w:eastAsia="宋体" w:cs="Times New Roman"/>
      <w:kern w:val="2"/>
      <w:sz w:val="16"/>
      <w:szCs w:val="16"/>
    </w:rPr>
  </w:style>
  <w:style w:type="character" w:customStyle="1" w:styleId="194">
    <w:name w:val="unnamed1"/>
    <w:basedOn w:val="51"/>
    <w:qFormat/>
    <w:uiPriority w:val="0"/>
  </w:style>
  <w:style w:type="character" w:customStyle="1" w:styleId="195">
    <w:name w:val="font71"/>
    <w:qFormat/>
    <w:uiPriority w:val="0"/>
    <w:rPr>
      <w:rFonts w:hint="default" w:ascii="Times New Roman" w:hAnsi="Times New Roman" w:cs="Times New Roman"/>
      <w:color w:val="000000"/>
      <w:sz w:val="21"/>
      <w:szCs w:val="21"/>
      <w:u w:val="none"/>
    </w:rPr>
  </w:style>
  <w:style w:type="character" w:customStyle="1" w:styleId="196">
    <w:name w:val="Char Char141"/>
    <w:qFormat/>
    <w:uiPriority w:val="0"/>
    <w:rPr>
      <w:rFonts w:ascii="宋体" w:hAnsi="宋体" w:eastAsia="宋体" w:cs="宋体"/>
      <w:b/>
      <w:bCs/>
      <w:sz w:val="28"/>
      <w:szCs w:val="28"/>
    </w:rPr>
  </w:style>
  <w:style w:type="character" w:customStyle="1" w:styleId="197">
    <w:name w:val="Char Char8"/>
    <w:qFormat/>
    <w:uiPriority w:val="0"/>
    <w:rPr>
      <w:rFonts w:ascii="Times New Roman" w:hAnsi="Times New Roman" w:eastAsia="宋体" w:cs="Times New Roman"/>
      <w:sz w:val="28"/>
      <w:szCs w:val="24"/>
    </w:rPr>
  </w:style>
  <w:style w:type="character" w:customStyle="1" w:styleId="198">
    <w:name w:val="标题 8 Char Char"/>
    <w:qFormat/>
    <w:uiPriority w:val="0"/>
    <w:rPr>
      <w:rFonts w:ascii="Arial" w:hAnsi="Arial" w:eastAsia="黑体"/>
      <w:kern w:val="2"/>
      <w:sz w:val="24"/>
      <w:szCs w:val="24"/>
      <w:lang w:val="en-US" w:eastAsia="zh-CN" w:bidi="ar-SA"/>
    </w:rPr>
  </w:style>
  <w:style w:type="character" w:customStyle="1" w:styleId="199">
    <w:name w:val="Char Char23"/>
    <w:qFormat/>
    <w:uiPriority w:val="0"/>
    <w:rPr>
      <w:b/>
      <w:bCs/>
      <w:kern w:val="44"/>
      <w:sz w:val="32"/>
      <w:szCs w:val="44"/>
    </w:rPr>
  </w:style>
  <w:style w:type="character" w:customStyle="1" w:styleId="200">
    <w:name w:val="批注主题 Char1"/>
    <w:semiHidden/>
    <w:qFormat/>
    <w:uiPriority w:val="99"/>
    <w:rPr>
      <w:rFonts w:ascii="Times New Roman" w:hAnsi="Times New Roman" w:eastAsia="宋体" w:cs="Times New Roman"/>
      <w:b/>
      <w:bCs/>
      <w:kern w:val="2"/>
      <w:sz w:val="21"/>
      <w:szCs w:val="24"/>
    </w:rPr>
  </w:style>
  <w:style w:type="character" w:customStyle="1" w:styleId="201">
    <w:name w:val="Char Char81"/>
    <w:qFormat/>
    <w:uiPriority w:val="0"/>
    <w:rPr>
      <w:rFonts w:ascii="Times New Roman" w:hAnsi="Times New Roman" w:eastAsia="宋体" w:cs="Times New Roman"/>
      <w:sz w:val="28"/>
      <w:szCs w:val="24"/>
    </w:rPr>
  </w:style>
  <w:style w:type="character" w:customStyle="1" w:styleId="202">
    <w:name w:val="font01"/>
    <w:qFormat/>
    <w:uiPriority w:val="0"/>
    <w:rPr>
      <w:rFonts w:hint="eastAsia" w:ascii="宋体" w:hAnsi="宋体" w:eastAsia="宋体" w:cs="宋体"/>
      <w:color w:val="000000"/>
      <w:sz w:val="24"/>
      <w:szCs w:val="24"/>
      <w:u w:val="none"/>
    </w:rPr>
  </w:style>
  <w:style w:type="character" w:customStyle="1" w:styleId="203">
    <w:name w:val="font21"/>
    <w:qFormat/>
    <w:uiPriority w:val="0"/>
    <w:rPr>
      <w:rFonts w:hint="eastAsia" w:ascii="宋体" w:hAnsi="宋体" w:eastAsia="宋体" w:cs="宋体"/>
      <w:color w:val="000000"/>
      <w:sz w:val="21"/>
      <w:szCs w:val="21"/>
      <w:u w:val="none"/>
    </w:rPr>
  </w:style>
  <w:style w:type="character" w:customStyle="1" w:styleId="204">
    <w:name w:val="标题 3 Char1"/>
    <w:qFormat/>
    <w:uiPriority w:val="0"/>
    <w:rPr>
      <w:rFonts w:ascii="黑体" w:eastAsia="黑体"/>
      <w:kern w:val="2"/>
      <w:sz w:val="24"/>
      <w:szCs w:val="32"/>
      <w:lang w:val="en-US" w:eastAsia="zh-CN" w:bidi="ar-SA"/>
    </w:rPr>
  </w:style>
  <w:style w:type="character" w:customStyle="1" w:styleId="205">
    <w:name w:val="样式 粉红 下划线"/>
    <w:qFormat/>
    <w:uiPriority w:val="0"/>
    <w:rPr>
      <w:color w:val="auto"/>
      <w:u w:val="none"/>
    </w:rPr>
  </w:style>
  <w:style w:type="character" w:customStyle="1" w:styleId="206">
    <w:name w:val="Default Paragraph Font New New New New New New New New New New New New New New New New New New New New New New New New New New New New New New New New New New New New New New New New New New New New New New New New New New New New New New New New New Ne"/>
    <w:qFormat/>
    <w:uiPriority w:val="0"/>
    <w:rPr>
      <w:rFonts w:hint="default"/>
    </w:rPr>
  </w:style>
  <w:style w:type="character" w:customStyle="1" w:styleId="207">
    <w:name w:val="标题 9 Char Char"/>
    <w:qFormat/>
    <w:uiPriority w:val="0"/>
    <w:rPr>
      <w:rFonts w:ascii="Arial" w:hAnsi="Arial" w:eastAsia="黑体"/>
      <w:kern w:val="2"/>
      <w:sz w:val="21"/>
      <w:szCs w:val="21"/>
      <w:lang w:val="en-US" w:eastAsia="zh-CN" w:bidi="ar-SA"/>
    </w:rPr>
  </w:style>
  <w:style w:type="character" w:customStyle="1" w:styleId="208">
    <w:name w:val="正文文本缩进 Char Char"/>
    <w:qFormat/>
    <w:uiPriority w:val="0"/>
    <w:rPr>
      <w:kern w:val="2"/>
      <w:sz w:val="21"/>
      <w:szCs w:val="24"/>
      <w:lang w:bidi="ar-SA"/>
    </w:rPr>
  </w:style>
  <w:style w:type="character" w:customStyle="1" w:styleId="209">
    <w:name w:val="样式4 Char3"/>
    <w:link w:val="210"/>
    <w:qFormat/>
    <w:uiPriority w:val="0"/>
    <w:rPr>
      <w:rFonts w:ascii="宋体" w:hAnsi="宋体"/>
      <w:b/>
      <w:color w:val="000000"/>
      <w:kern w:val="2"/>
      <w:sz w:val="24"/>
      <w:szCs w:val="26"/>
    </w:rPr>
  </w:style>
  <w:style w:type="paragraph" w:customStyle="1" w:styleId="210">
    <w:name w:val="样式4"/>
    <w:basedOn w:val="6"/>
    <w:link w:val="209"/>
    <w:qFormat/>
    <w:uiPriority w:val="0"/>
    <w:pPr>
      <w:snapToGrid w:val="0"/>
      <w:spacing w:before="0" w:after="0" w:line="360" w:lineRule="auto"/>
      <w:ind w:left="210" w:leftChars="100" w:right="100" w:rightChars="100"/>
    </w:pPr>
    <w:rPr>
      <w:rFonts w:ascii="宋体" w:hAnsi="宋体"/>
      <w:bCs w:val="0"/>
      <w:color w:val="000000"/>
      <w:kern w:val="2"/>
      <w:sz w:val="24"/>
      <w:szCs w:val="26"/>
    </w:rPr>
  </w:style>
  <w:style w:type="character" w:customStyle="1" w:styleId="211">
    <w:name w:val="普通文字 Char3"/>
    <w:qFormat/>
    <w:locked/>
    <w:uiPriority w:val="0"/>
    <w:rPr>
      <w:rFonts w:ascii="宋体" w:hAnsi="Courier New" w:eastAsia="宋体"/>
      <w:kern w:val="2"/>
      <w:sz w:val="21"/>
      <w:lang w:val="en-US" w:eastAsia="zh-CN" w:bidi="ar-SA"/>
    </w:rPr>
  </w:style>
  <w:style w:type="character" w:customStyle="1" w:styleId="212">
    <w:name w:val="b4 Char"/>
    <w:qFormat/>
    <w:uiPriority w:val="0"/>
    <w:rPr>
      <w:rFonts w:ascii="Arial" w:hAnsi="Arial" w:eastAsia="黑体"/>
      <w:b/>
      <w:sz w:val="28"/>
      <w:lang w:val="en-US" w:eastAsia="zh-CN" w:bidi="ar-SA"/>
    </w:rPr>
  </w:style>
  <w:style w:type="character" w:customStyle="1" w:styleId="213">
    <w:name w:val="页眉 Char2"/>
    <w:qFormat/>
    <w:uiPriority w:val="0"/>
    <w:rPr>
      <w:rFonts w:eastAsia="宋体"/>
      <w:kern w:val="2"/>
      <w:sz w:val="18"/>
      <w:szCs w:val="18"/>
      <w:lang w:val="en-US" w:eastAsia="zh-CN" w:bidi="ar-SA"/>
    </w:rPr>
  </w:style>
  <w:style w:type="character" w:customStyle="1" w:styleId="214">
    <w:name w:val="Char Char151"/>
    <w:qFormat/>
    <w:uiPriority w:val="0"/>
    <w:rPr>
      <w:rFonts w:ascii="宋体" w:hAnsi="宋体" w:eastAsia="宋体"/>
      <w:sz w:val="21"/>
      <w:szCs w:val="21"/>
    </w:rPr>
  </w:style>
  <w:style w:type="character" w:customStyle="1" w:styleId="215">
    <w:name w:val="标题 4XW Char"/>
    <w:qFormat/>
    <w:uiPriority w:val="0"/>
    <w:rPr>
      <w:rFonts w:ascii="Arial" w:hAnsi="Arial" w:eastAsia="宋体"/>
      <w:b/>
      <w:bCs/>
      <w:kern w:val="2"/>
      <w:sz w:val="21"/>
      <w:szCs w:val="28"/>
      <w:lang w:val="en-US" w:eastAsia="zh-CN" w:bidi="ar-SA"/>
    </w:rPr>
  </w:style>
  <w:style w:type="character" w:customStyle="1" w:styleId="216">
    <w:name w:val="标题 7 Char Char"/>
    <w:qFormat/>
    <w:uiPriority w:val="0"/>
    <w:rPr>
      <w:rFonts w:eastAsia="宋体"/>
      <w:b/>
      <w:bCs/>
      <w:kern w:val="2"/>
      <w:sz w:val="24"/>
      <w:szCs w:val="24"/>
      <w:lang w:val="en-US" w:eastAsia="zh-CN" w:bidi="ar-SA"/>
    </w:rPr>
  </w:style>
  <w:style w:type="character" w:customStyle="1" w:styleId="217">
    <w:name w:val="纯文本 Char Char"/>
    <w:qFormat/>
    <w:uiPriority w:val="0"/>
    <w:rPr>
      <w:rFonts w:ascii="Courier New" w:hAnsi="Courier New" w:eastAsia="宋体"/>
      <w:kern w:val="2"/>
      <w:sz w:val="21"/>
      <w:lang w:val="en-US" w:eastAsia="zh-CN" w:bidi="ar-SA"/>
    </w:rPr>
  </w:style>
  <w:style w:type="character" w:customStyle="1" w:styleId="218">
    <w:name w:val="Char Char15"/>
    <w:qFormat/>
    <w:uiPriority w:val="0"/>
    <w:rPr>
      <w:rFonts w:ascii="宋体" w:hAnsi="宋体" w:eastAsia="宋体"/>
      <w:sz w:val="21"/>
      <w:szCs w:val="21"/>
    </w:rPr>
  </w:style>
  <w:style w:type="character" w:customStyle="1" w:styleId="219">
    <w:name w:val="Char Char16"/>
    <w:qFormat/>
    <w:uiPriority w:val="0"/>
    <w:rPr>
      <w:rFonts w:ascii="宋体" w:hAnsi="宋体" w:eastAsia="宋体"/>
      <w:sz w:val="24"/>
      <w:szCs w:val="24"/>
    </w:rPr>
  </w:style>
  <w:style w:type="character" w:customStyle="1" w:styleId="220">
    <w:name w:val="font161"/>
    <w:qFormat/>
    <w:uiPriority w:val="0"/>
    <w:rPr>
      <w:rFonts w:ascii="Arial" w:hAnsi="Arial" w:eastAsia="黑体"/>
      <w:b/>
      <w:bCs/>
      <w:kern w:val="2"/>
      <w:sz w:val="32"/>
      <w:szCs w:val="32"/>
      <w:lang w:val="en-US" w:eastAsia="zh-CN" w:bidi="ar-SA"/>
    </w:rPr>
  </w:style>
  <w:style w:type="character" w:customStyle="1" w:styleId="221">
    <w:name w:val="正文文本缩进 3 Char Char"/>
    <w:qFormat/>
    <w:uiPriority w:val="0"/>
    <w:rPr>
      <w:kern w:val="2"/>
      <w:sz w:val="16"/>
      <w:szCs w:val="16"/>
      <w:lang w:bidi="ar-SA"/>
    </w:rPr>
  </w:style>
  <w:style w:type="character" w:customStyle="1" w:styleId="222">
    <w:name w:val="Footer Char1"/>
    <w:semiHidden/>
    <w:qFormat/>
    <w:locked/>
    <w:uiPriority w:val="99"/>
    <w:rPr>
      <w:rFonts w:cs="Times New Roman"/>
      <w:kern w:val="2"/>
      <w:sz w:val="18"/>
      <w:szCs w:val="18"/>
    </w:rPr>
  </w:style>
  <w:style w:type="character" w:customStyle="1" w:styleId="223">
    <w:name w:val="标题 2 Char1"/>
    <w:qFormat/>
    <w:uiPriority w:val="0"/>
    <w:rPr>
      <w:rFonts w:ascii="Arial" w:hAnsi="Arial" w:eastAsia="黑体"/>
      <w:b/>
      <w:bCs/>
      <w:kern w:val="2"/>
      <w:sz w:val="32"/>
      <w:szCs w:val="32"/>
    </w:rPr>
  </w:style>
  <w:style w:type="character" w:customStyle="1" w:styleId="224">
    <w:name w:val="正文文本缩进 Char2"/>
    <w:semiHidden/>
    <w:qFormat/>
    <w:uiPriority w:val="99"/>
    <w:rPr>
      <w:rFonts w:ascii="Times New Roman" w:hAnsi="Times New Roman" w:eastAsia="宋体" w:cs="Times New Roman"/>
      <w:kern w:val="2"/>
      <w:sz w:val="21"/>
      <w:szCs w:val="24"/>
    </w:rPr>
  </w:style>
  <w:style w:type="character" w:customStyle="1" w:styleId="225">
    <w:name w:val="样式 标题 2 + (西文) Times New Roman (中文) 宋体 蓝色 Char"/>
    <w:link w:val="226"/>
    <w:qFormat/>
    <w:uiPriority w:val="0"/>
    <w:rPr>
      <w:rFonts w:ascii="Arial" w:hAnsi="Arial"/>
      <w:b/>
      <w:bCs/>
      <w:color w:val="0000FF"/>
      <w:kern w:val="2"/>
      <w:sz w:val="28"/>
      <w:szCs w:val="32"/>
    </w:rPr>
  </w:style>
  <w:style w:type="paragraph" w:customStyle="1" w:styleId="226">
    <w:name w:val="样式 标题 2 + (西文) Times New Roman (中文) 宋体 蓝色"/>
    <w:basedOn w:val="3"/>
    <w:link w:val="225"/>
    <w:qFormat/>
    <w:uiPriority w:val="0"/>
    <w:pPr>
      <w:spacing w:line="360" w:lineRule="auto"/>
    </w:pPr>
    <w:rPr>
      <w:rFonts w:ascii="Arial" w:hAnsi="Arial"/>
      <w:color w:val="0000FF"/>
      <w:kern w:val="2"/>
      <w:sz w:val="28"/>
    </w:rPr>
  </w:style>
  <w:style w:type="character" w:customStyle="1" w:styleId="227">
    <w:name w:val="正文内容 Char"/>
    <w:link w:val="228"/>
    <w:qFormat/>
    <w:uiPriority w:val="0"/>
    <w:rPr>
      <w:rFonts w:cs="宋体"/>
      <w:kern w:val="2"/>
      <w:sz w:val="24"/>
    </w:rPr>
  </w:style>
  <w:style w:type="paragraph" w:customStyle="1" w:styleId="228">
    <w:name w:val="正文内容"/>
    <w:basedOn w:val="1"/>
    <w:link w:val="227"/>
    <w:qFormat/>
    <w:uiPriority w:val="0"/>
    <w:pPr>
      <w:spacing w:line="360" w:lineRule="auto"/>
      <w:ind w:firstLine="200" w:firstLineChars="200"/>
    </w:pPr>
    <w:rPr>
      <w:sz w:val="24"/>
      <w:szCs w:val="20"/>
    </w:rPr>
  </w:style>
  <w:style w:type="character" w:customStyle="1" w:styleId="229">
    <w:name w:val="正文文本缩进 3 Char1"/>
    <w:qFormat/>
    <w:uiPriority w:val="0"/>
    <w:rPr>
      <w:kern w:val="2"/>
      <w:sz w:val="16"/>
      <w:szCs w:val="16"/>
    </w:rPr>
  </w:style>
  <w:style w:type="character" w:customStyle="1" w:styleId="230">
    <w:name w:val="Char Char17"/>
    <w:qFormat/>
    <w:uiPriority w:val="0"/>
    <w:rPr>
      <w:b/>
      <w:bCs/>
      <w:sz w:val="24"/>
      <w:szCs w:val="24"/>
    </w:rPr>
  </w:style>
  <w:style w:type="character" w:customStyle="1" w:styleId="231">
    <w:name w:val="Char Char231"/>
    <w:qFormat/>
    <w:uiPriority w:val="0"/>
    <w:rPr>
      <w:b/>
      <w:bCs/>
      <w:kern w:val="44"/>
      <w:sz w:val="32"/>
      <w:szCs w:val="44"/>
    </w:rPr>
  </w:style>
  <w:style w:type="character" w:customStyle="1" w:styleId="232">
    <w:name w:val="ca-42"/>
    <w:basedOn w:val="51"/>
    <w:qFormat/>
    <w:uiPriority w:val="0"/>
  </w:style>
  <w:style w:type="character" w:customStyle="1" w:styleId="233">
    <w:name w:val="Char Char161"/>
    <w:qFormat/>
    <w:uiPriority w:val="0"/>
    <w:rPr>
      <w:rFonts w:ascii="宋体" w:hAnsi="宋体" w:eastAsia="宋体"/>
      <w:sz w:val="24"/>
      <w:szCs w:val="24"/>
    </w:rPr>
  </w:style>
  <w:style w:type="character" w:customStyle="1" w:styleId="234">
    <w:name w:val="Char Char181"/>
    <w:qFormat/>
    <w:uiPriority w:val="0"/>
    <w:rPr>
      <w:rFonts w:ascii="宋体" w:hAnsi="宋体" w:eastAsia="宋体"/>
      <w:b/>
      <w:bCs/>
      <w:sz w:val="24"/>
      <w:szCs w:val="24"/>
    </w:rPr>
  </w:style>
  <w:style w:type="character" w:customStyle="1" w:styleId="235">
    <w:name w:val="Char Char221"/>
    <w:qFormat/>
    <w:uiPriority w:val="0"/>
    <w:rPr>
      <w:rFonts w:ascii="宋体" w:hAnsi="宋体" w:eastAsia="宋体"/>
      <w:b/>
      <w:bCs/>
      <w:kern w:val="2"/>
      <w:sz w:val="32"/>
      <w:szCs w:val="32"/>
    </w:rPr>
  </w:style>
  <w:style w:type="character" w:customStyle="1" w:styleId="236">
    <w:name w:val="手改 Char Char"/>
    <w:qFormat/>
    <w:uiPriority w:val="0"/>
    <w:rPr>
      <w:kern w:val="2"/>
      <w:sz w:val="21"/>
      <w:szCs w:val="24"/>
    </w:rPr>
  </w:style>
  <w:style w:type="character" w:customStyle="1" w:styleId="237">
    <w:name w:val="脚注文本 Char1"/>
    <w:semiHidden/>
    <w:qFormat/>
    <w:uiPriority w:val="99"/>
    <w:rPr>
      <w:rFonts w:ascii="Times New Roman" w:hAnsi="Times New Roman" w:eastAsia="宋体" w:cs="Times New Roman"/>
      <w:kern w:val="2"/>
      <w:sz w:val="18"/>
      <w:szCs w:val="18"/>
    </w:rPr>
  </w:style>
  <w:style w:type="character" w:customStyle="1" w:styleId="238">
    <w:name w:val="标题 1XW Char"/>
    <w:qFormat/>
    <w:uiPriority w:val="0"/>
    <w:rPr>
      <w:b/>
      <w:bCs/>
      <w:kern w:val="44"/>
      <w:sz w:val="32"/>
      <w:szCs w:val="44"/>
    </w:rPr>
  </w:style>
  <w:style w:type="character" w:customStyle="1" w:styleId="239">
    <w:name w:val="标题 7 Char1"/>
    <w:qFormat/>
    <w:uiPriority w:val="0"/>
    <w:rPr>
      <w:b/>
      <w:bCs/>
      <w:sz w:val="24"/>
      <w:szCs w:val="24"/>
    </w:rPr>
  </w:style>
  <w:style w:type="paragraph" w:customStyle="1" w:styleId="240">
    <w:name w:val="标题2"/>
    <w:basedOn w:val="3"/>
    <w:next w:val="1"/>
    <w:qFormat/>
    <w:uiPriority w:val="0"/>
    <w:pPr>
      <w:snapToGrid w:val="0"/>
      <w:spacing w:before="120" w:after="120"/>
      <w:jc w:val="left"/>
    </w:pPr>
    <w:rPr>
      <w:rFonts w:ascii="Arial" w:hAnsi="Arial" w:eastAsia="黑体"/>
      <w:b w:val="0"/>
      <w:bCs w:val="0"/>
      <w:sz w:val="21"/>
      <w:szCs w:val="21"/>
    </w:rPr>
  </w:style>
  <w:style w:type="paragraph" w:customStyle="1" w:styleId="241">
    <w:name w:val="表格名称"/>
    <w:basedOn w:val="1"/>
    <w:qFormat/>
    <w:uiPriority w:val="0"/>
    <w:pPr>
      <w:widowControl/>
      <w:adjustRightInd w:val="0"/>
      <w:spacing w:line="440" w:lineRule="exact"/>
      <w:jc w:val="center"/>
    </w:pPr>
    <w:rPr>
      <w:rFonts w:cs="宋体"/>
      <w:b/>
      <w:kern w:val="0"/>
      <w:sz w:val="30"/>
      <w:szCs w:val="20"/>
    </w:rPr>
  </w:style>
  <w:style w:type="paragraph" w:customStyle="1" w:styleId="242">
    <w:name w:val="zu"/>
    <w:basedOn w:val="141"/>
    <w:qFormat/>
    <w:uiPriority w:val="0"/>
    <w:pPr>
      <w:spacing w:line="240" w:lineRule="auto"/>
      <w:ind w:firstLine="380"/>
      <w:jc w:val="left"/>
    </w:pPr>
    <w:rPr>
      <w:rFonts w:ascii="宋体" w:hAnsi="宋体"/>
      <w:b/>
      <w:bCs w:val="0"/>
      <w:color w:val="auto"/>
      <w:sz w:val="18"/>
      <w:szCs w:val="21"/>
    </w:rPr>
  </w:style>
  <w:style w:type="paragraph" w:customStyle="1" w:styleId="243">
    <w:name w:val="样式 标题 3 + (中文) 黑体 小四 非加粗 段前: 7.8 磅 段后: 0 磅 行距: 固定值 20 磅"/>
    <w:basedOn w:val="4"/>
    <w:qFormat/>
    <w:uiPriority w:val="0"/>
    <w:pPr>
      <w:tabs>
        <w:tab w:val="left" w:pos="720"/>
      </w:tabs>
      <w:spacing w:before="0" w:after="0" w:line="400" w:lineRule="exact"/>
    </w:pPr>
    <w:rPr>
      <w:rFonts w:eastAsia="黑体" w:cs="宋体"/>
      <w:b w:val="0"/>
      <w:bCs w:val="0"/>
      <w:sz w:val="24"/>
      <w:szCs w:val="20"/>
    </w:rPr>
  </w:style>
  <w:style w:type="paragraph" w:customStyle="1" w:styleId="244">
    <w:name w:val="样式 标题 2 + 加粗1"/>
    <w:basedOn w:val="3"/>
    <w:qFormat/>
    <w:uiPriority w:val="0"/>
    <w:pPr>
      <w:keepNext w:val="0"/>
      <w:keepLines w:val="0"/>
      <w:tabs>
        <w:tab w:val="left" w:pos="315"/>
        <w:tab w:val="left" w:pos="1080"/>
      </w:tabs>
      <w:adjustRightInd w:val="0"/>
      <w:spacing w:line="360" w:lineRule="auto"/>
      <w:ind w:left="315"/>
      <w:jc w:val="left"/>
      <w:textAlignment w:val="baseline"/>
    </w:pPr>
    <w:rPr>
      <w:rFonts w:ascii="Arial" w:hAnsi="Arial" w:eastAsia="Arial"/>
      <w:b w:val="0"/>
      <w:kern w:val="0"/>
      <w:sz w:val="24"/>
      <w:szCs w:val="24"/>
    </w:rPr>
  </w:style>
  <w:style w:type="paragraph" w:customStyle="1" w:styleId="245">
    <w:name w:val="xl44"/>
    <w:basedOn w:val="1"/>
    <w:qFormat/>
    <w:uiPriority w:val="0"/>
    <w:pPr>
      <w:widowControl/>
      <w:pBdr>
        <w:left w:val="single" w:color="auto" w:sz="4" w:space="0"/>
        <w:bottom w:val="single" w:color="000000" w:sz="4" w:space="0"/>
        <w:right w:val="single" w:color="auto" w:sz="4" w:space="0"/>
      </w:pBdr>
      <w:spacing w:before="100" w:beforeAutospacing="1" w:after="100" w:afterAutospacing="1"/>
      <w:jc w:val="center"/>
    </w:pPr>
    <w:rPr>
      <w:rFonts w:ascii="Arial Unicode MS" w:hAnsi="Arial Unicode MS" w:eastAsia="Arial Unicode MS" w:cs="Arial Unicode MS"/>
      <w:kern w:val="0"/>
      <w:szCs w:val="21"/>
    </w:rPr>
  </w:style>
  <w:style w:type="paragraph" w:customStyle="1" w:styleId="246">
    <w:name w:val="正文样式"/>
    <w:basedOn w:val="1"/>
    <w:qFormat/>
    <w:uiPriority w:val="0"/>
    <w:pPr>
      <w:spacing w:beforeLines="25" w:afterLines="25" w:line="400" w:lineRule="exact"/>
    </w:pPr>
    <w:rPr>
      <w:rFonts w:eastAsia="华文中宋"/>
      <w:sz w:val="24"/>
      <w:szCs w:val="20"/>
    </w:rPr>
  </w:style>
  <w:style w:type="paragraph" w:customStyle="1" w:styleId="247">
    <w:name w:val="样式 标题 5 + 左侧:  1 字符 右侧:  1 字符1"/>
    <w:basedOn w:val="6"/>
    <w:qFormat/>
    <w:uiPriority w:val="0"/>
    <w:pPr>
      <w:snapToGrid w:val="0"/>
      <w:spacing w:before="0" w:after="0" w:line="360" w:lineRule="auto"/>
      <w:ind w:left="100" w:leftChars="100"/>
    </w:pPr>
    <w:rPr>
      <w:rFonts w:ascii="宋体" w:hAnsi="宋体" w:cs="宋体"/>
      <w:b w:val="0"/>
      <w:color w:val="000000"/>
      <w:sz w:val="24"/>
      <w:szCs w:val="20"/>
    </w:rPr>
  </w:style>
  <w:style w:type="paragraph" w:customStyle="1" w:styleId="248">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eastAsia="Arial Unicode MS"/>
      <w:kern w:val="0"/>
      <w:sz w:val="24"/>
    </w:rPr>
  </w:style>
  <w:style w:type="paragraph" w:customStyle="1" w:styleId="249">
    <w:name w:val="Char Char Char Char1 Char Char Char Char Char Char Char1"/>
    <w:basedOn w:val="4"/>
    <w:qFormat/>
    <w:uiPriority w:val="0"/>
    <w:pPr>
      <w:tabs>
        <w:tab w:val="left" w:pos="360"/>
        <w:tab w:val="left" w:pos="851"/>
        <w:tab w:val="left" w:pos="900"/>
      </w:tabs>
      <w:snapToGrid w:val="0"/>
      <w:spacing w:before="120" w:after="120" w:line="360" w:lineRule="auto"/>
      <w:ind w:left="542" w:leftChars="-12" w:firstLine="200" w:firstLineChars="200"/>
    </w:pPr>
    <w:rPr>
      <w:rFonts w:eastAsia="黑体"/>
      <w:b w:val="0"/>
      <w:bCs w:val="0"/>
      <w:snapToGrid/>
      <w:sz w:val="24"/>
      <w:szCs w:val="24"/>
    </w:rPr>
  </w:style>
  <w:style w:type="paragraph" w:customStyle="1" w:styleId="250">
    <w:name w:val="xl51"/>
    <w:basedOn w:val="1"/>
    <w:qFormat/>
    <w:uiPriority w:val="0"/>
    <w:pPr>
      <w:widowControl/>
      <w:spacing w:before="100" w:beforeAutospacing="1" w:after="100" w:afterAutospacing="1"/>
      <w:jc w:val="center"/>
      <w:textAlignment w:val="center"/>
    </w:pPr>
    <w:rPr>
      <w:rFonts w:eastAsia="Arial Unicode MS"/>
      <w:kern w:val="0"/>
      <w:sz w:val="20"/>
      <w:szCs w:val="20"/>
    </w:rPr>
  </w:style>
  <w:style w:type="paragraph" w:customStyle="1" w:styleId="251">
    <w:name w:val="font6"/>
    <w:basedOn w:val="1"/>
    <w:qFormat/>
    <w:uiPriority w:val="0"/>
    <w:pPr>
      <w:widowControl/>
      <w:spacing w:before="100" w:beforeAutospacing="1" w:after="100" w:afterAutospacing="1"/>
      <w:jc w:val="left"/>
    </w:pPr>
    <w:rPr>
      <w:rFonts w:eastAsia="Arial Unicode MS"/>
      <w:kern w:val="0"/>
      <w:sz w:val="24"/>
    </w:rPr>
  </w:style>
  <w:style w:type="paragraph" w:customStyle="1" w:styleId="252">
    <w:name w:val="xl58"/>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Arial Unicode MS" w:hAnsi="Arial Unicode MS" w:eastAsia="Arial Unicode MS" w:cs="Arial Unicode MS"/>
      <w:kern w:val="0"/>
      <w:sz w:val="20"/>
      <w:szCs w:val="20"/>
    </w:rPr>
  </w:style>
  <w:style w:type="paragraph" w:customStyle="1" w:styleId="253">
    <w:name w:val="证书"/>
    <w:basedOn w:val="1"/>
    <w:qFormat/>
    <w:uiPriority w:val="0"/>
    <w:pPr>
      <w:spacing w:line="440" w:lineRule="exact"/>
      <w:ind w:firstLine="641" w:firstLineChars="200"/>
      <w:jc w:val="center"/>
    </w:pPr>
    <w:rPr>
      <w:rFonts w:ascii="华文细黑" w:hAnsi="华文细黑" w:eastAsia="华文细黑"/>
      <w:b/>
      <w:sz w:val="32"/>
      <w:szCs w:val="20"/>
    </w:rPr>
  </w:style>
  <w:style w:type="paragraph" w:customStyle="1" w:styleId="254">
    <w:name w:val="xl53"/>
    <w:basedOn w:val="1"/>
    <w:qFormat/>
    <w:uiPriority w:val="0"/>
    <w:pPr>
      <w:widowControl/>
      <w:spacing w:before="100" w:beforeAutospacing="1" w:after="100" w:afterAutospacing="1"/>
      <w:jc w:val="center"/>
    </w:pPr>
    <w:rPr>
      <w:rFonts w:ascii="Arial Unicode MS" w:hAnsi="Arial Unicode MS" w:eastAsia="Arial Unicode MS" w:cs="Arial Unicode MS"/>
      <w:kern w:val="0"/>
      <w:sz w:val="20"/>
      <w:szCs w:val="20"/>
    </w:rPr>
  </w:style>
  <w:style w:type="paragraph" w:customStyle="1" w:styleId="255">
    <w:name w:val="xl70"/>
    <w:basedOn w:val="1"/>
    <w:qFormat/>
    <w:uiPriority w:val="0"/>
    <w:pPr>
      <w:widowControl/>
      <w:pBdr>
        <w:top w:val="single" w:color="auto" w:sz="4" w:space="0"/>
        <w:lef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0"/>
      <w:szCs w:val="20"/>
    </w:rPr>
  </w:style>
  <w:style w:type="paragraph" w:customStyle="1" w:styleId="256">
    <w:name w:val="xl64"/>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4"/>
    </w:rPr>
  </w:style>
  <w:style w:type="paragraph" w:customStyle="1" w:styleId="257">
    <w:name w:val="正文 New New New New"/>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258">
    <w:name w:val="正文文本缩进 31"/>
    <w:basedOn w:val="1"/>
    <w:qFormat/>
    <w:uiPriority w:val="0"/>
    <w:pPr>
      <w:adjustRightInd w:val="0"/>
      <w:spacing w:after="120"/>
      <w:ind w:left="420"/>
      <w:textAlignment w:val="baseline"/>
    </w:pPr>
    <w:rPr>
      <w:sz w:val="16"/>
      <w:szCs w:val="20"/>
    </w:rPr>
  </w:style>
  <w:style w:type="paragraph" w:customStyle="1" w:styleId="259">
    <w:name w:val="正  文"/>
    <w:basedOn w:val="1"/>
    <w:qFormat/>
    <w:uiPriority w:val="0"/>
    <w:pPr>
      <w:spacing w:line="360" w:lineRule="auto"/>
      <w:ind w:firstLine="200" w:firstLineChars="200"/>
    </w:pPr>
    <w:rPr>
      <w:rFonts w:ascii="宋体"/>
      <w:sz w:val="24"/>
    </w:rPr>
  </w:style>
  <w:style w:type="paragraph" w:customStyle="1" w:styleId="260">
    <w:name w:val="样式 4 + 小四 居中"/>
    <w:qFormat/>
    <w:uiPriority w:val="0"/>
    <w:pPr>
      <w:jc w:val="center"/>
    </w:pPr>
    <w:rPr>
      <w:rFonts w:ascii="宋体" w:hAnsi="Courier New" w:eastAsia="宋体" w:cs="Times New Roman"/>
      <w:sz w:val="24"/>
      <w:lang w:val="en-US" w:eastAsia="zh-CN" w:bidi="ar-SA"/>
    </w:rPr>
  </w:style>
  <w:style w:type="paragraph" w:customStyle="1" w:styleId="261">
    <w:name w:val="样式 样式 首行缩进:  2 字符1 + 首行缩进:  2 字符"/>
    <w:basedOn w:val="1"/>
    <w:qFormat/>
    <w:uiPriority w:val="0"/>
    <w:pPr>
      <w:spacing w:line="360" w:lineRule="exact"/>
      <w:ind w:left="561" w:firstLine="420" w:firstLineChars="200"/>
      <w:jc w:val="left"/>
    </w:pPr>
    <w:rPr>
      <w:rFonts w:cs="宋体"/>
      <w:szCs w:val="20"/>
    </w:rPr>
  </w:style>
  <w:style w:type="paragraph" w:customStyle="1" w:styleId="262">
    <w:name w:val="Char Char Char Char1 Char Char Char Char Char Char Char"/>
    <w:basedOn w:val="4"/>
    <w:qFormat/>
    <w:uiPriority w:val="0"/>
    <w:pPr>
      <w:tabs>
        <w:tab w:val="left" w:pos="360"/>
        <w:tab w:val="left" w:pos="851"/>
        <w:tab w:val="left" w:pos="900"/>
      </w:tabs>
      <w:snapToGrid w:val="0"/>
      <w:spacing w:before="120" w:after="120" w:line="360" w:lineRule="auto"/>
      <w:ind w:left="542" w:leftChars="-12" w:firstLine="200" w:firstLineChars="200"/>
    </w:pPr>
    <w:rPr>
      <w:rFonts w:eastAsia="黑体"/>
      <w:b w:val="0"/>
      <w:bCs w:val="0"/>
      <w:snapToGrid/>
      <w:sz w:val="24"/>
      <w:szCs w:val="24"/>
    </w:rPr>
  </w:style>
  <w:style w:type="paragraph" w:customStyle="1" w:styleId="263">
    <w:name w:val="font10"/>
    <w:basedOn w:val="1"/>
    <w:qFormat/>
    <w:uiPriority w:val="0"/>
    <w:pPr>
      <w:widowControl/>
      <w:spacing w:before="100" w:beforeAutospacing="1" w:after="100" w:afterAutospacing="1"/>
      <w:jc w:val="left"/>
    </w:pPr>
    <w:rPr>
      <w:rFonts w:hint="eastAsia" w:ascii="黑体" w:hAnsi="Arial Unicode MS" w:eastAsia="黑体" w:cs="Arial Unicode MS"/>
      <w:b/>
      <w:bCs/>
      <w:kern w:val="0"/>
      <w:sz w:val="32"/>
      <w:szCs w:val="32"/>
    </w:rPr>
  </w:style>
  <w:style w:type="paragraph" w:customStyle="1" w:styleId="264">
    <w:name w:val="表格内容1"/>
    <w:basedOn w:val="1"/>
    <w:next w:val="1"/>
    <w:qFormat/>
    <w:uiPriority w:val="0"/>
    <w:pPr>
      <w:widowControl/>
      <w:adjustRightInd w:val="0"/>
      <w:spacing w:line="320" w:lineRule="exact"/>
      <w:jc w:val="center"/>
    </w:pPr>
    <w:rPr>
      <w:rFonts w:cs="宋体"/>
      <w:kern w:val="0"/>
      <w:szCs w:val="15"/>
    </w:rPr>
  </w:style>
  <w:style w:type="paragraph" w:customStyle="1" w:styleId="265">
    <w:name w:val="1.1.1.1"/>
    <w:basedOn w:val="266"/>
    <w:qFormat/>
    <w:uiPriority w:val="0"/>
  </w:style>
  <w:style w:type="paragraph" w:customStyle="1" w:styleId="266">
    <w:name w:val="1.1.1"/>
    <w:basedOn w:val="1"/>
    <w:qFormat/>
    <w:uiPriority w:val="0"/>
    <w:pPr>
      <w:snapToGrid w:val="0"/>
      <w:spacing w:before="120" w:after="120" w:line="360" w:lineRule="auto"/>
    </w:pPr>
    <w:rPr>
      <w:rFonts w:ascii="黑体" w:eastAsia="黑体"/>
      <w:sz w:val="24"/>
      <w:szCs w:val="20"/>
    </w:rPr>
  </w:style>
  <w:style w:type="paragraph" w:customStyle="1" w:styleId="267">
    <w:name w:val="Char Char Char Char1"/>
    <w:basedOn w:val="1"/>
    <w:qFormat/>
    <w:uiPriority w:val="0"/>
    <w:pPr>
      <w:snapToGrid w:val="0"/>
      <w:spacing w:line="360" w:lineRule="auto"/>
      <w:ind w:firstLine="200" w:firstLineChars="200"/>
    </w:pPr>
    <w:rPr>
      <w:rFonts w:eastAsia="仿宋_GB2312"/>
      <w:kern w:val="10"/>
      <w:sz w:val="24"/>
      <w:szCs w:val="30"/>
    </w:rPr>
  </w:style>
  <w:style w:type="paragraph" w:customStyle="1" w:styleId="268">
    <w:name w:val="范本-正文"/>
    <w:qFormat/>
    <w:uiPriority w:val="0"/>
    <w:pPr>
      <w:spacing w:line="360" w:lineRule="auto"/>
      <w:ind w:firstLine="420"/>
    </w:pPr>
    <w:rPr>
      <w:rFonts w:ascii="Times New Roman" w:hAnsi="Times New Roman" w:eastAsia="宋体" w:cs="Times New Roman"/>
      <w:iCs/>
      <w:kern w:val="2"/>
      <w:sz w:val="24"/>
      <w:szCs w:val="21"/>
      <w:lang w:val="en-US" w:eastAsia="zh-CN" w:bidi="ar-SA"/>
    </w:rPr>
  </w:style>
  <w:style w:type="paragraph" w:customStyle="1" w:styleId="269">
    <w:name w:val="4"/>
    <w:basedOn w:val="260"/>
    <w:next w:val="26"/>
    <w:qFormat/>
    <w:uiPriority w:val="0"/>
    <w:pPr>
      <w:ind w:left="-105" w:leftChars="-50" w:right="-105" w:rightChars="-50"/>
    </w:pPr>
    <w:rPr>
      <w:szCs w:val="24"/>
    </w:rPr>
  </w:style>
  <w:style w:type="paragraph" w:customStyle="1" w:styleId="270">
    <w:name w:val="xl46"/>
    <w:basedOn w:val="1"/>
    <w:qFormat/>
    <w:uiPriority w:val="0"/>
    <w:pPr>
      <w:widowControl/>
      <w:pBdr>
        <w:top w:val="single" w:color="000000" w:sz="4" w:space="0"/>
        <w:left w:val="single" w:color="auto" w:sz="4" w:space="0"/>
        <w:right w:val="single" w:color="auto" w:sz="4" w:space="0"/>
      </w:pBdr>
      <w:spacing w:before="100" w:beforeAutospacing="1" w:after="100" w:afterAutospacing="1"/>
      <w:jc w:val="center"/>
    </w:pPr>
    <w:rPr>
      <w:rFonts w:eastAsia="Arial Unicode MS"/>
      <w:kern w:val="0"/>
      <w:szCs w:val="21"/>
    </w:rPr>
  </w:style>
  <w:style w:type="paragraph" w:customStyle="1" w:styleId="271">
    <w:name w:val="xl74"/>
    <w:basedOn w:val="1"/>
    <w:qFormat/>
    <w:uiPriority w:val="0"/>
    <w:pPr>
      <w:widowControl/>
      <w:pBdr>
        <w:lef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0"/>
      <w:szCs w:val="20"/>
    </w:rPr>
  </w:style>
  <w:style w:type="paragraph" w:customStyle="1" w:styleId="272">
    <w:name w:val="i"/>
    <w:basedOn w:val="1"/>
    <w:qFormat/>
    <w:uiPriority w:val="0"/>
    <w:pPr>
      <w:spacing w:line="360" w:lineRule="auto"/>
    </w:pPr>
    <w:rPr>
      <w:rFonts w:ascii="宋体" w:hAnsi="宋体"/>
      <w:b/>
      <w:i/>
      <w:color w:val="000000"/>
      <w:sz w:val="24"/>
    </w:rPr>
  </w:style>
  <w:style w:type="paragraph" w:customStyle="1" w:styleId="273">
    <w:name w:val="Blockquote"/>
    <w:basedOn w:val="1"/>
    <w:qFormat/>
    <w:uiPriority w:val="0"/>
    <w:pPr>
      <w:autoSpaceDE w:val="0"/>
      <w:autoSpaceDN w:val="0"/>
      <w:adjustRightInd w:val="0"/>
      <w:spacing w:before="100" w:after="100"/>
      <w:ind w:left="360" w:right="360"/>
      <w:jc w:val="left"/>
    </w:pPr>
    <w:rPr>
      <w:kern w:val="0"/>
      <w:sz w:val="24"/>
      <w:szCs w:val="20"/>
    </w:rPr>
  </w:style>
  <w:style w:type="paragraph" w:customStyle="1" w:styleId="274">
    <w:name w:val="正文文本缩进 21"/>
    <w:basedOn w:val="1"/>
    <w:qFormat/>
    <w:uiPriority w:val="0"/>
    <w:pPr>
      <w:adjustRightInd w:val="0"/>
      <w:spacing w:after="120" w:line="480" w:lineRule="auto"/>
      <w:ind w:left="420"/>
      <w:textAlignment w:val="baseline"/>
    </w:pPr>
    <w:rPr>
      <w:szCs w:val="20"/>
    </w:rPr>
  </w:style>
  <w:style w:type="paragraph" w:customStyle="1" w:styleId="275">
    <w:name w:val="样式 加宽量  0.2 磅 行距: 固定值 22 磅"/>
    <w:basedOn w:val="1"/>
    <w:qFormat/>
    <w:uiPriority w:val="0"/>
    <w:pPr>
      <w:spacing w:line="500" w:lineRule="exact"/>
      <w:ind w:firstLine="496" w:firstLineChars="200"/>
      <w:jc w:val="left"/>
    </w:pPr>
    <w:rPr>
      <w:rFonts w:ascii="宋体" w:hAnsi="宋体"/>
      <w:snapToGrid/>
      <w:spacing w:val="4"/>
      <w:kern w:val="24"/>
      <w:sz w:val="24"/>
    </w:rPr>
  </w:style>
  <w:style w:type="paragraph" w:customStyle="1" w:styleId="276">
    <w:name w:val="6'"/>
    <w:basedOn w:val="1"/>
    <w:qFormat/>
    <w:uiPriority w:val="0"/>
    <w:pPr>
      <w:autoSpaceDE w:val="0"/>
      <w:autoSpaceDN w:val="0"/>
      <w:adjustRightInd w:val="0"/>
      <w:snapToGrid w:val="0"/>
      <w:spacing w:line="320" w:lineRule="exact"/>
      <w:jc w:val="center"/>
      <w:textAlignment w:val="baseline"/>
    </w:pPr>
    <w:rPr>
      <w:spacing w:val="20"/>
      <w:kern w:val="28"/>
      <w:szCs w:val="20"/>
    </w:rPr>
  </w:style>
  <w:style w:type="paragraph" w:customStyle="1" w:styleId="277">
    <w:name w:val="Char4"/>
    <w:basedOn w:val="1"/>
    <w:qFormat/>
    <w:uiPriority w:val="0"/>
    <w:pPr>
      <w:spacing w:line="360" w:lineRule="auto"/>
      <w:ind w:firstLine="200" w:firstLineChars="200"/>
    </w:pPr>
    <w:rPr>
      <w:rFonts w:ascii="宋体" w:hAnsi="宋体" w:cs="宋体"/>
      <w:sz w:val="24"/>
    </w:rPr>
  </w:style>
  <w:style w:type="paragraph" w:customStyle="1" w:styleId="278">
    <w:name w:val="pa-6"/>
    <w:basedOn w:val="1"/>
    <w:qFormat/>
    <w:uiPriority w:val="0"/>
    <w:pPr>
      <w:widowControl/>
      <w:spacing w:before="100" w:beforeAutospacing="1" w:after="100" w:afterAutospacing="1"/>
      <w:jc w:val="left"/>
    </w:pPr>
    <w:rPr>
      <w:rFonts w:ascii="宋体" w:hAnsi="宋体" w:cs="宋体"/>
      <w:kern w:val="0"/>
      <w:sz w:val="24"/>
    </w:rPr>
  </w:style>
  <w:style w:type="paragraph" w:customStyle="1" w:styleId="279">
    <w:name w:val="文"/>
    <w:basedOn w:val="26"/>
    <w:semiHidden/>
    <w:qFormat/>
    <w:uiPriority w:val="0"/>
    <w:pPr>
      <w:tabs>
        <w:tab w:val="left" w:pos="1134"/>
      </w:tabs>
      <w:spacing w:before="20" w:after="20" w:line="300" w:lineRule="auto"/>
      <w:ind w:left="1134"/>
      <w:jc w:val="center"/>
    </w:pPr>
    <w:rPr>
      <w:rFonts w:ascii="Arial" w:hAnsi="Arial"/>
      <w:b/>
      <w:color w:val="000000"/>
      <w:szCs w:val="20"/>
    </w:rPr>
  </w:style>
  <w:style w:type="paragraph" w:customStyle="1" w:styleId="280">
    <w:name w:val="纯文本2"/>
    <w:basedOn w:val="1"/>
    <w:qFormat/>
    <w:uiPriority w:val="0"/>
    <w:pPr>
      <w:adjustRightInd w:val="0"/>
      <w:textAlignment w:val="baseline"/>
    </w:pPr>
    <w:rPr>
      <w:rFonts w:ascii="宋体" w:hAnsi="Courier New"/>
      <w:szCs w:val="20"/>
    </w:rPr>
  </w:style>
  <w:style w:type="paragraph" w:customStyle="1" w:styleId="281">
    <w:name w:val="xl27"/>
    <w:basedOn w:val="1"/>
    <w:qFormat/>
    <w:uiPriority w:val="0"/>
    <w:pPr>
      <w:widowControl/>
      <w:pBdr>
        <w:bottom w:val="single" w:color="auto" w:sz="4" w:space="0"/>
        <w:right w:val="single" w:color="auto" w:sz="4" w:space="0"/>
      </w:pBdr>
      <w:spacing w:before="100" w:beforeAutospacing="1" w:after="100" w:afterAutospacing="1"/>
      <w:jc w:val="center"/>
    </w:pPr>
    <w:rPr>
      <w:kern w:val="0"/>
      <w:sz w:val="24"/>
    </w:rPr>
  </w:style>
  <w:style w:type="paragraph" w:customStyle="1" w:styleId="282">
    <w:name w:val="explanatory_notes"/>
    <w:basedOn w:val="1"/>
    <w:qFormat/>
    <w:uiPriority w:val="0"/>
    <w:pPr>
      <w:widowControl/>
      <w:suppressAutoHyphens/>
      <w:spacing w:after="240" w:line="360" w:lineRule="exact"/>
    </w:pPr>
    <w:rPr>
      <w:rFonts w:ascii="Arial" w:hAnsi="Arial" w:eastAsia="Times New Roman"/>
      <w:kern w:val="0"/>
      <w:sz w:val="20"/>
      <w:szCs w:val="20"/>
      <w:lang w:eastAsia="en-US"/>
    </w:rPr>
  </w:style>
  <w:style w:type="paragraph" w:customStyle="1" w:styleId="283">
    <w:name w:val="默认段落字体 Para Char Char Char Char"/>
    <w:basedOn w:val="1"/>
    <w:qFormat/>
    <w:uiPriority w:val="0"/>
  </w:style>
  <w:style w:type="paragraph" w:customStyle="1" w:styleId="284">
    <w:name w:val="5"/>
    <w:basedOn w:val="1"/>
    <w:qFormat/>
    <w:uiPriority w:val="0"/>
    <w:pPr>
      <w:tabs>
        <w:tab w:val="left" w:pos="1560"/>
      </w:tabs>
      <w:adjustRightInd w:val="0"/>
      <w:jc w:val="left"/>
      <w:textAlignment w:val="baseline"/>
    </w:pPr>
    <w:rPr>
      <w:kern w:val="0"/>
      <w:sz w:val="28"/>
      <w:szCs w:val="20"/>
    </w:rPr>
  </w:style>
  <w:style w:type="paragraph" w:customStyle="1" w:styleId="285">
    <w:name w:val="Char1 Char Char Char Char Char Char Char Char Char Char Char Char Char Char Char"/>
    <w:basedOn w:val="1"/>
    <w:qFormat/>
    <w:uiPriority w:val="0"/>
    <w:pPr>
      <w:spacing w:line="180" w:lineRule="auto"/>
      <w:ind w:firstLine="200" w:firstLineChars="200"/>
    </w:pPr>
    <w:rPr>
      <w:sz w:val="24"/>
    </w:rPr>
  </w:style>
  <w:style w:type="paragraph" w:customStyle="1" w:styleId="286">
    <w:name w:val="列出段落2"/>
    <w:basedOn w:val="1"/>
    <w:qFormat/>
    <w:uiPriority w:val="34"/>
    <w:pPr>
      <w:ind w:firstLine="420" w:firstLineChars="200"/>
    </w:pPr>
    <w:rPr>
      <w:rFonts w:ascii="Calibri" w:hAnsi="Calibri"/>
      <w:szCs w:val="22"/>
    </w:rPr>
  </w:style>
  <w:style w:type="paragraph" w:customStyle="1" w:styleId="287">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288">
    <w:name w:val="xl59"/>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eastAsia="Arial Unicode MS"/>
      <w:kern w:val="0"/>
      <w:sz w:val="20"/>
      <w:szCs w:val="20"/>
    </w:rPr>
  </w:style>
  <w:style w:type="paragraph" w:customStyle="1" w:styleId="289">
    <w:name w:val="1.1"/>
    <w:basedOn w:val="1"/>
    <w:qFormat/>
    <w:uiPriority w:val="0"/>
    <w:pPr>
      <w:tabs>
        <w:tab w:val="left" w:pos="840"/>
      </w:tabs>
      <w:snapToGrid w:val="0"/>
      <w:spacing w:line="360" w:lineRule="auto"/>
      <w:ind w:left="539" w:hanging="539"/>
    </w:pPr>
    <w:rPr>
      <w:rFonts w:eastAsia="黑体"/>
      <w:b/>
      <w:sz w:val="24"/>
      <w:szCs w:val="20"/>
    </w:rPr>
  </w:style>
  <w:style w:type="paragraph" w:customStyle="1" w:styleId="290">
    <w:name w:val="样式7"/>
    <w:basedOn w:val="6"/>
    <w:qFormat/>
    <w:uiPriority w:val="0"/>
    <w:pPr>
      <w:snapToGrid w:val="0"/>
      <w:spacing w:before="0" w:after="0" w:line="360" w:lineRule="auto"/>
      <w:ind w:left="100" w:leftChars="100"/>
      <w:jc w:val="left"/>
      <w:outlineLvl w:val="5"/>
    </w:pPr>
    <w:rPr>
      <w:rFonts w:ascii="宋体" w:hAnsi="宋体"/>
      <w:bCs w:val="0"/>
      <w:color w:val="000000"/>
      <w:sz w:val="24"/>
      <w:szCs w:val="26"/>
    </w:rPr>
  </w:style>
  <w:style w:type="paragraph" w:customStyle="1" w:styleId="291">
    <w:name w:val="表格"/>
    <w:basedOn w:val="1"/>
    <w:qFormat/>
    <w:uiPriority w:val="0"/>
    <w:pPr>
      <w:jc w:val="center"/>
    </w:pPr>
    <w:rPr>
      <w:rFonts w:cs="仿宋"/>
      <w:szCs w:val="30"/>
    </w:rPr>
  </w:style>
  <w:style w:type="paragraph" w:customStyle="1" w:styleId="292">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293">
    <w:name w:val="XW悬挂正文"/>
    <w:basedOn w:val="294"/>
    <w:qFormat/>
    <w:uiPriority w:val="0"/>
    <w:pPr>
      <w:snapToGrid/>
      <w:spacing w:line="360" w:lineRule="auto"/>
      <w:ind w:left="1474" w:hanging="340" w:firstLineChars="0"/>
    </w:pPr>
    <w:rPr>
      <w:rFonts w:hAnsi="宋体"/>
      <w:sz w:val="24"/>
      <w:szCs w:val="20"/>
    </w:rPr>
  </w:style>
  <w:style w:type="paragraph" w:customStyle="1" w:styleId="294">
    <w:name w:val="XW正文"/>
    <w:basedOn w:val="21"/>
    <w:qFormat/>
    <w:uiPriority w:val="0"/>
    <w:pPr>
      <w:adjustRightInd w:val="0"/>
      <w:snapToGrid w:val="0"/>
      <w:spacing w:after="0" w:line="300" w:lineRule="auto"/>
      <w:ind w:left="0" w:leftChars="0" w:firstLine="520" w:firstLineChars="200"/>
      <w:jc w:val="left"/>
    </w:pPr>
    <w:rPr>
      <w:kern w:val="0"/>
    </w:rPr>
  </w:style>
  <w:style w:type="paragraph" w:customStyle="1" w:styleId="295">
    <w:name w:val="正文文字一"/>
    <w:basedOn w:val="1"/>
    <w:qFormat/>
    <w:uiPriority w:val="0"/>
    <w:pPr>
      <w:spacing w:line="520" w:lineRule="exact"/>
      <w:ind w:firstLine="567"/>
    </w:pPr>
    <w:rPr>
      <w:sz w:val="28"/>
    </w:rPr>
  </w:style>
  <w:style w:type="paragraph" w:customStyle="1" w:styleId="296">
    <w:name w:val="列出段落3"/>
    <w:basedOn w:val="1"/>
    <w:qFormat/>
    <w:uiPriority w:val="0"/>
    <w:pPr>
      <w:ind w:firstLine="420" w:firstLineChars="200"/>
    </w:pPr>
  </w:style>
  <w:style w:type="paragraph" w:customStyle="1" w:styleId="297">
    <w:name w:val="标题计算"/>
    <w:basedOn w:val="4"/>
    <w:qFormat/>
    <w:uiPriority w:val="0"/>
    <w:pPr>
      <w:spacing w:line="360" w:lineRule="auto"/>
    </w:pPr>
    <w:rPr>
      <w:rFonts w:ascii="宋体" w:hAnsi="宋体" w:cs="宋体"/>
      <w:sz w:val="24"/>
      <w:szCs w:val="20"/>
    </w:rPr>
  </w:style>
  <w:style w:type="paragraph" w:customStyle="1" w:styleId="298">
    <w:name w:val="表格文字"/>
    <w:basedOn w:val="1"/>
    <w:qFormat/>
    <w:uiPriority w:val="0"/>
    <w:pPr>
      <w:adjustRightInd w:val="0"/>
      <w:spacing w:line="420" w:lineRule="atLeast"/>
      <w:jc w:val="left"/>
      <w:textAlignment w:val="baseline"/>
    </w:pPr>
    <w:rPr>
      <w:kern w:val="0"/>
      <w:szCs w:val="20"/>
    </w:rPr>
  </w:style>
  <w:style w:type="paragraph" w:customStyle="1" w:styleId="299">
    <w:name w:val="font7"/>
    <w:basedOn w:val="1"/>
    <w:qFormat/>
    <w:uiPriority w:val="0"/>
    <w:pPr>
      <w:widowControl/>
      <w:spacing w:before="100" w:beforeAutospacing="1" w:after="100" w:afterAutospacing="1"/>
      <w:jc w:val="left"/>
    </w:pPr>
    <w:rPr>
      <w:rFonts w:hint="eastAsia" w:ascii="宋体" w:hAnsi="宋体"/>
      <w:kern w:val="0"/>
      <w:sz w:val="28"/>
      <w:szCs w:val="28"/>
    </w:rPr>
  </w:style>
  <w:style w:type="paragraph" w:customStyle="1" w:styleId="300">
    <w:name w:val="Char2"/>
    <w:basedOn w:val="1"/>
    <w:qFormat/>
    <w:uiPriority w:val="0"/>
    <w:pPr>
      <w:snapToGrid w:val="0"/>
      <w:spacing w:line="440" w:lineRule="atLeast"/>
    </w:pPr>
    <w:rPr>
      <w:rFonts w:ascii="宋体"/>
      <w:sz w:val="24"/>
    </w:rPr>
  </w:style>
  <w:style w:type="paragraph" w:customStyle="1" w:styleId="301">
    <w:name w:val="表格2"/>
    <w:basedOn w:val="1"/>
    <w:qFormat/>
    <w:uiPriority w:val="0"/>
    <w:pPr>
      <w:adjustRightInd w:val="0"/>
      <w:spacing w:before="60" w:after="60"/>
      <w:jc w:val="center"/>
    </w:pPr>
    <w:rPr>
      <w:rFonts w:ascii="宋体"/>
      <w:color w:val="000000"/>
      <w:kern w:val="0"/>
      <w:sz w:val="24"/>
      <w:szCs w:val="20"/>
    </w:rPr>
  </w:style>
  <w:style w:type="paragraph" w:customStyle="1" w:styleId="302">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Arial Unicode MS" w:hAnsi="Arial Unicode MS" w:eastAsia="Arial Unicode MS" w:cs="微软简魏碑"/>
      <w:kern w:val="0"/>
      <w:sz w:val="24"/>
    </w:rPr>
  </w:style>
  <w:style w:type="paragraph" w:customStyle="1" w:styleId="303">
    <w:name w:val="LWH-BG"/>
    <w:qFormat/>
    <w:uiPriority w:val="0"/>
    <w:pPr>
      <w:widowControl w:val="0"/>
      <w:adjustRightInd w:val="0"/>
      <w:snapToGrid w:val="0"/>
      <w:spacing w:line="400" w:lineRule="exact"/>
      <w:jc w:val="center"/>
    </w:pPr>
    <w:rPr>
      <w:rFonts w:ascii="Times New Roman" w:hAnsi="Times New Roman" w:eastAsia="宋体" w:cs="Times New Roman"/>
      <w:kern w:val="2"/>
      <w:sz w:val="21"/>
      <w:szCs w:val="30"/>
      <w:lang w:val="en-US" w:eastAsia="zh-CN" w:bidi="ar-SA"/>
    </w:rPr>
  </w:style>
  <w:style w:type="paragraph" w:customStyle="1" w:styleId="304">
    <w:name w:val="pa-3"/>
    <w:basedOn w:val="1"/>
    <w:qFormat/>
    <w:uiPriority w:val="0"/>
    <w:pPr>
      <w:widowControl/>
      <w:spacing w:before="100" w:beforeAutospacing="1" w:after="100" w:afterAutospacing="1"/>
      <w:jc w:val="left"/>
    </w:pPr>
    <w:rPr>
      <w:rFonts w:ascii="宋体" w:hAnsi="宋体" w:cs="宋体"/>
      <w:kern w:val="0"/>
      <w:sz w:val="24"/>
    </w:rPr>
  </w:style>
  <w:style w:type="paragraph" w:customStyle="1" w:styleId="305">
    <w:name w:val="样式1"/>
    <w:basedOn w:val="6"/>
    <w:qFormat/>
    <w:uiPriority w:val="0"/>
    <w:pPr>
      <w:adjustRightInd w:val="0"/>
      <w:snapToGrid w:val="0"/>
      <w:spacing w:before="0" w:after="0" w:line="360" w:lineRule="auto"/>
      <w:ind w:left="100" w:leftChars="100"/>
    </w:pPr>
    <w:rPr>
      <w:rFonts w:ascii="宋体" w:hAnsi="宋体"/>
      <w:bCs w:val="0"/>
      <w:color w:val="000000"/>
      <w:sz w:val="24"/>
      <w:szCs w:val="24"/>
    </w:rPr>
  </w:style>
  <w:style w:type="paragraph" w:customStyle="1" w:styleId="306">
    <w:name w:val="xl38"/>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0"/>
      <w:szCs w:val="20"/>
    </w:rPr>
  </w:style>
  <w:style w:type="paragraph" w:customStyle="1" w:styleId="307">
    <w:name w:val="xl31"/>
    <w:basedOn w:val="1"/>
    <w:qFormat/>
    <w:uiPriority w:val="0"/>
    <w:pPr>
      <w:widowControl/>
      <w:spacing w:before="100" w:beforeAutospacing="1" w:after="100" w:afterAutospacing="1"/>
      <w:jc w:val="center"/>
    </w:pPr>
    <w:rPr>
      <w:rFonts w:ascii="宋体" w:hAnsi="宋体"/>
      <w:kern w:val="0"/>
      <w:sz w:val="24"/>
    </w:rPr>
  </w:style>
  <w:style w:type="paragraph" w:customStyle="1" w:styleId="308">
    <w:name w:val="xl65"/>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4"/>
    </w:rPr>
  </w:style>
  <w:style w:type="paragraph" w:customStyle="1" w:styleId="309">
    <w:name w:val="Char Char1 Char Char Char Char Char Char Char"/>
    <w:basedOn w:val="1"/>
    <w:qFormat/>
    <w:uiPriority w:val="0"/>
    <w:pPr>
      <w:spacing w:line="360" w:lineRule="auto"/>
      <w:ind w:firstLine="200" w:firstLineChars="200"/>
    </w:pPr>
    <w:rPr>
      <w:szCs w:val="20"/>
    </w:rPr>
  </w:style>
  <w:style w:type="paragraph" w:customStyle="1" w:styleId="310">
    <w:name w:val="xl63"/>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0"/>
      <w:szCs w:val="20"/>
    </w:rPr>
  </w:style>
  <w:style w:type="paragraph" w:customStyle="1" w:styleId="311">
    <w:name w:val="样式 样式 标题 6 + 左侧:  2 字符 + 左侧:  3 字符 首行缩进:  2 字符"/>
    <w:basedOn w:val="312"/>
    <w:qFormat/>
    <w:uiPriority w:val="0"/>
    <w:pPr>
      <w:ind w:left="0" w:leftChars="0"/>
    </w:pPr>
  </w:style>
  <w:style w:type="paragraph" w:customStyle="1" w:styleId="312">
    <w:name w:val="样式 标题 6 + 左侧:  2 字符"/>
    <w:basedOn w:val="7"/>
    <w:qFormat/>
    <w:uiPriority w:val="0"/>
    <w:pPr>
      <w:widowControl w:val="0"/>
      <w:tabs>
        <w:tab w:val="clear" w:pos="1440"/>
      </w:tabs>
      <w:adjustRightInd w:val="0"/>
      <w:snapToGrid w:val="0"/>
      <w:spacing w:before="0" w:after="0" w:line="360" w:lineRule="auto"/>
      <w:ind w:left="300" w:leftChars="300" w:firstLine="200" w:firstLineChars="200"/>
      <w:jc w:val="both"/>
    </w:pPr>
    <w:rPr>
      <w:rFonts w:ascii="宋体" w:hAnsi="宋体" w:eastAsia="宋体" w:cs="宋体"/>
      <w:b w:val="0"/>
      <w:bCs w:val="0"/>
      <w:color w:val="000000"/>
      <w:kern w:val="2"/>
      <w:szCs w:val="20"/>
    </w:rPr>
  </w:style>
  <w:style w:type="paragraph" w:customStyle="1" w:styleId="313">
    <w:name w:val="图表说明"/>
    <w:qFormat/>
    <w:uiPriority w:val="0"/>
    <w:pPr>
      <w:spacing w:beforeLines="50" w:afterLines="50" w:line="360" w:lineRule="auto"/>
      <w:jc w:val="both"/>
    </w:pPr>
    <w:rPr>
      <w:rFonts w:ascii="Arial" w:hAnsi="Arial" w:eastAsia="宋体" w:cs="宋体"/>
      <w:kern w:val="2"/>
      <w:sz w:val="21"/>
      <w:lang w:val="en-US" w:eastAsia="zh-CN" w:bidi="ar-SA"/>
    </w:rPr>
  </w:style>
  <w:style w:type="paragraph" w:customStyle="1" w:styleId="314">
    <w:name w:val="xl55"/>
    <w:basedOn w:val="1"/>
    <w:qFormat/>
    <w:uiPriority w:val="0"/>
    <w:pPr>
      <w:widowControl/>
      <w:spacing w:before="100" w:beforeAutospacing="1" w:after="100" w:afterAutospacing="1"/>
      <w:jc w:val="center"/>
      <w:textAlignment w:val="center"/>
    </w:pPr>
    <w:rPr>
      <w:rFonts w:ascii="Arial Unicode MS" w:hAnsi="Arial Unicode MS" w:eastAsia="Arial Unicode MS" w:cs="Arial Unicode MS"/>
      <w:kern w:val="0"/>
      <w:sz w:val="20"/>
      <w:szCs w:val="20"/>
    </w:rPr>
  </w:style>
  <w:style w:type="paragraph" w:customStyle="1" w:styleId="315">
    <w:name w:val="XW表内文字"/>
    <w:basedOn w:val="1"/>
    <w:qFormat/>
    <w:uiPriority w:val="0"/>
    <w:pPr>
      <w:adjustRightInd w:val="0"/>
      <w:spacing w:before="60" w:after="60" w:line="300" w:lineRule="exact"/>
      <w:ind w:firstLine="422" w:firstLineChars="200"/>
      <w:jc w:val="center"/>
    </w:pPr>
    <w:rPr>
      <w:rFonts w:hAnsi="宋体"/>
      <w:kern w:val="0"/>
      <w:szCs w:val="20"/>
    </w:rPr>
  </w:style>
  <w:style w:type="paragraph" w:customStyle="1" w:styleId="316">
    <w:name w:val="xl32"/>
    <w:basedOn w:val="1"/>
    <w:qFormat/>
    <w:uiPriority w:val="0"/>
    <w:pPr>
      <w:widowControl/>
      <w:spacing w:before="100" w:beforeAutospacing="1" w:after="100" w:afterAutospacing="1"/>
      <w:jc w:val="center"/>
    </w:pPr>
    <w:rPr>
      <w:rFonts w:ascii="宋体" w:hAnsi="宋体"/>
      <w:kern w:val="0"/>
      <w:sz w:val="24"/>
      <w:szCs w:val="22"/>
    </w:rPr>
  </w:style>
  <w:style w:type="paragraph" w:customStyle="1" w:styleId="317">
    <w:name w:val="表格标题"/>
    <w:basedOn w:val="1"/>
    <w:next w:val="1"/>
    <w:qFormat/>
    <w:uiPriority w:val="0"/>
    <w:pPr>
      <w:widowControl/>
      <w:adjustRightInd w:val="0"/>
    </w:pPr>
    <w:rPr>
      <w:rFonts w:cs="宋体"/>
      <w:sz w:val="18"/>
      <w:szCs w:val="18"/>
    </w:rPr>
  </w:style>
  <w:style w:type="paragraph" w:customStyle="1" w:styleId="318">
    <w:name w:val="样式8"/>
    <w:basedOn w:val="1"/>
    <w:qFormat/>
    <w:uiPriority w:val="0"/>
    <w:pPr>
      <w:widowControl/>
      <w:snapToGrid w:val="0"/>
      <w:spacing w:line="360" w:lineRule="auto"/>
      <w:jc w:val="center"/>
    </w:pPr>
    <w:rPr>
      <w:rFonts w:ascii="宋体" w:hAnsi="宋体" w:cs="宋体"/>
      <w:kern w:val="0"/>
      <w:sz w:val="28"/>
      <w:szCs w:val="28"/>
    </w:rPr>
  </w:style>
  <w:style w:type="paragraph" w:customStyle="1" w:styleId="319">
    <w:name w:val="表头1"/>
    <w:basedOn w:val="1"/>
    <w:qFormat/>
    <w:uiPriority w:val="0"/>
    <w:pPr>
      <w:autoSpaceDE w:val="0"/>
      <w:autoSpaceDN w:val="0"/>
      <w:adjustRightInd w:val="0"/>
      <w:snapToGrid w:val="0"/>
      <w:spacing w:beforeLines="50" w:afterLines="50" w:line="400" w:lineRule="atLeast"/>
      <w:jc w:val="center"/>
      <w:textAlignment w:val="bottom"/>
      <w:outlineLvl w:val="0"/>
    </w:pPr>
    <w:rPr>
      <w:rFonts w:eastAsia="黑体" w:cs="宋体"/>
      <w:kern w:val="28"/>
      <w:sz w:val="24"/>
      <w:szCs w:val="20"/>
    </w:rPr>
  </w:style>
  <w:style w:type="paragraph" w:customStyle="1" w:styleId="320">
    <w:name w:val="xl45"/>
    <w:basedOn w:val="1"/>
    <w:qFormat/>
    <w:uiPriority w:val="0"/>
    <w:pPr>
      <w:widowControl/>
      <w:pBdr>
        <w:left w:val="single" w:color="auto" w:sz="4" w:space="0"/>
        <w:right w:val="single" w:color="auto" w:sz="4" w:space="0"/>
      </w:pBdr>
      <w:spacing w:before="100" w:beforeAutospacing="1" w:after="100" w:afterAutospacing="1"/>
      <w:jc w:val="center"/>
    </w:pPr>
    <w:rPr>
      <w:rFonts w:eastAsia="Arial Unicode MS"/>
      <w:kern w:val="0"/>
      <w:szCs w:val="21"/>
    </w:rPr>
  </w:style>
  <w:style w:type="paragraph" w:customStyle="1" w:styleId="321">
    <w:name w:val="MTDisplayEquation"/>
    <w:basedOn w:val="1"/>
    <w:next w:val="1"/>
    <w:qFormat/>
    <w:uiPriority w:val="0"/>
    <w:pPr>
      <w:tabs>
        <w:tab w:val="center" w:pos="4520"/>
        <w:tab w:val="right" w:pos="9020"/>
      </w:tabs>
      <w:spacing w:line="400" w:lineRule="exact"/>
      <w:ind w:firstLine="480" w:firstLineChars="200"/>
    </w:pPr>
    <w:rPr>
      <w:rFonts w:hAnsi="宋体"/>
      <w:sz w:val="24"/>
    </w:rPr>
  </w:style>
  <w:style w:type="paragraph" w:customStyle="1" w:styleId="322">
    <w:name w:val="p16"/>
    <w:basedOn w:val="1"/>
    <w:qFormat/>
    <w:uiPriority w:val="99"/>
    <w:pPr>
      <w:widowControl/>
    </w:pPr>
    <w:rPr>
      <w:rFonts w:ascii="宋体" w:hAnsi="宋体" w:cs="宋体"/>
      <w:kern w:val="0"/>
      <w:szCs w:val="21"/>
    </w:rPr>
  </w:style>
  <w:style w:type="paragraph" w:customStyle="1" w:styleId="323">
    <w:name w:val="正文文本缩进 22"/>
    <w:basedOn w:val="1"/>
    <w:qFormat/>
    <w:uiPriority w:val="0"/>
    <w:pPr>
      <w:adjustRightInd w:val="0"/>
      <w:spacing w:after="120" w:line="480" w:lineRule="auto"/>
      <w:ind w:left="420"/>
      <w:textAlignment w:val="baseline"/>
    </w:pPr>
    <w:rPr>
      <w:szCs w:val="20"/>
    </w:rPr>
  </w:style>
  <w:style w:type="paragraph" w:customStyle="1" w:styleId="324">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微软简魏碑"/>
      <w:kern w:val="0"/>
      <w:sz w:val="24"/>
    </w:rPr>
  </w:style>
  <w:style w:type="paragraph" w:customStyle="1" w:styleId="325">
    <w:name w:val="xl2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eastAsia="Arial Unicode MS"/>
      <w:kern w:val="0"/>
      <w:sz w:val="24"/>
    </w:rPr>
  </w:style>
  <w:style w:type="paragraph" w:customStyle="1" w:styleId="326">
    <w:name w:val="Char41"/>
    <w:basedOn w:val="1"/>
    <w:qFormat/>
    <w:uiPriority w:val="0"/>
    <w:pPr>
      <w:spacing w:line="360" w:lineRule="auto"/>
      <w:ind w:firstLine="200" w:firstLineChars="200"/>
    </w:pPr>
    <w:rPr>
      <w:rFonts w:ascii="宋体" w:hAnsi="宋体" w:cs="宋体"/>
      <w:sz w:val="24"/>
    </w:rPr>
  </w:style>
  <w:style w:type="paragraph" w:customStyle="1" w:styleId="327">
    <w:name w:val="È±Ê¡ÎÄ±¾"/>
    <w:basedOn w:val="1"/>
    <w:qFormat/>
    <w:uiPriority w:val="0"/>
    <w:pPr>
      <w:widowControl/>
      <w:overflowPunct w:val="0"/>
      <w:autoSpaceDE w:val="0"/>
      <w:autoSpaceDN w:val="0"/>
      <w:adjustRightInd w:val="0"/>
      <w:jc w:val="left"/>
      <w:textAlignment w:val="baseline"/>
    </w:pPr>
    <w:rPr>
      <w:kern w:val="0"/>
      <w:sz w:val="24"/>
      <w:szCs w:val="20"/>
    </w:rPr>
  </w:style>
  <w:style w:type="paragraph" w:customStyle="1" w:styleId="328">
    <w:name w:val="font9"/>
    <w:basedOn w:val="1"/>
    <w:qFormat/>
    <w:uiPriority w:val="0"/>
    <w:pPr>
      <w:widowControl/>
      <w:adjustRightInd w:val="0"/>
      <w:spacing w:before="100" w:after="100"/>
      <w:jc w:val="left"/>
      <w:textAlignment w:val="baseline"/>
    </w:pPr>
    <w:rPr>
      <w:rFonts w:eastAsia="Arial Unicode MS"/>
      <w:kern w:val="0"/>
      <w:sz w:val="16"/>
      <w:szCs w:val="20"/>
    </w:rPr>
  </w:style>
  <w:style w:type="paragraph" w:customStyle="1" w:styleId="329">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Arial Unicode MS" w:hAnsi="Arial Unicode MS" w:eastAsia="Arial Unicode MS" w:cs="微软简魏碑"/>
      <w:kern w:val="0"/>
      <w:sz w:val="24"/>
    </w:rPr>
  </w:style>
  <w:style w:type="paragraph" w:customStyle="1" w:styleId="330">
    <w:name w:val="正文文本缩进 32"/>
    <w:basedOn w:val="1"/>
    <w:qFormat/>
    <w:uiPriority w:val="0"/>
    <w:pPr>
      <w:adjustRightInd w:val="0"/>
      <w:spacing w:after="120"/>
      <w:ind w:left="420"/>
      <w:textAlignment w:val="baseline"/>
    </w:pPr>
    <w:rPr>
      <w:sz w:val="16"/>
      <w:szCs w:val="20"/>
    </w:rPr>
  </w:style>
  <w:style w:type="paragraph" w:customStyle="1" w:styleId="331">
    <w:name w:val="列出段落1"/>
    <w:basedOn w:val="1"/>
    <w:qFormat/>
    <w:uiPriority w:val="0"/>
    <w:pPr>
      <w:ind w:firstLine="420" w:firstLineChars="200"/>
    </w:pPr>
    <w:rPr>
      <w:rFonts w:ascii="Calibri" w:hAnsi="Calibri"/>
      <w:szCs w:val="22"/>
    </w:rPr>
  </w:style>
  <w:style w:type="paragraph" w:customStyle="1" w:styleId="332">
    <w:name w:val="xl69"/>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textAlignment w:val="center"/>
    </w:pPr>
    <w:rPr>
      <w:rFonts w:ascii="Arial Unicode MS" w:hAnsi="Arial Unicode MS" w:eastAsia="Arial Unicode MS" w:cs="Arial Unicode MS"/>
      <w:kern w:val="0"/>
      <w:sz w:val="20"/>
      <w:szCs w:val="20"/>
    </w:rPr>
  </w:style>
  <w:style w:type="paragraph" w:customStyle="1" w:styleId="333">
    <w:name w:val="Char"/>
    <w:basedOn w:val="1"/>
    <w:qFormat/>
    <w:uiPriority w:val="0"/>
    <w:pPr>
      <w:snapToGrid w:val="0"/>
      <w:spacing w:line="360" w:lineRule="auto"/>
      <w:ind w:firstLine="200" w:firstLineChars="200"/>
    </w:pPr>
    <w:rPr>
      <w:rFonts w:ascii="Arial" w:hAnsi="Arial" w:eastAsia="黑体"/>
      <w:szCs w:val="21"/>
    </w:rPr>
  </w:style>
  <w:style w:type="paragraph" w:customStyle="1" w:styleId="334">
    <w:name w:val="xl43"/>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Cs w:val="21"/>
    </w:rPr>
  </w:style>
  <w:style w:type="paragraph" w:customStyle="1" w:styleId="335">
    <w:name w:val="样式6"/>
    <w:basedOn w:val="6"/>
    <w:qFormat/>
    <w:uiPriority w:val="0"/>
    <w:pPr>
      <w:snapToGrid w:val="0"/>
      <w:spacing w:before="100" w:beforeAutospacing="1" w:after="100" w:afterAutospacing="1" w:line="360" w:lineRule="auto"/>
      <w:ind w:left="100" w:leftChars="100"/>
      <w:jc w:val="left"/>
    </w:pPr>
    <w:rPr>
      <w:rFonts w:ascii="宋体" w:hAnsi="宋体"/>
      <w:bCs w:val="0"/>
      <w:color w:val="000000"/>
      <w:sz w:val="24"/>
      <w:szCs w:val="26"/>
    </w:rPr>
  </w:style>
  <w:style w:type="paragraph" w:customStyle="1" w:styleId="336">
    <w:name w:val="xl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微软简魏碑"/>
      <w:kern w:val="0"/>
      <w:sz w:val="24"/>
    </w:rPr>
  </w:style>
  <w:style w:type="paragraph" w:customStyle="1" w:styleId="337">
    <w:name w:val="xl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eastAsia="Arial Unicode MS"/>
      <w:kern w:val="0"/>
      <w:sz w:val="24"/>
    </w:rPr>
  </w:style>
  <w:style w:type="paragraph" w:customStyle="1" w:styleId="338">
    <w:name w:val="p0"/>
    <w:basedOn w:val="1"/>
    <w:qFormat/>
    <w:uiPriority w:val="0"/>
    <w:pPr>
      <w:widowControl/>
    </w:pPr>
  </w:style>
  <w:style w:type="paragraph" w:customStyle="1" w:styleId="339">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eastAsia="Arial Unicode MS"/>
      <w:kern w:val="0"/>
      <w:sz w:val="24"/>
    </w:rPr>
  </w:style>
  <w:style w:type="paragraph" w:customStyle="1" w:styleId="340">
    <w:name w:val="xl56"/>
    <w:basedOn w:val="1"/>
    <w:qFormat/>
    <w:uiPriority w:val="0"/>
    <w:pPr>
      <w:widowControl/>
      <w:spacing w:before="100" w:beforeAutospacing="1" w:after="100" w:afterAutospacing="1"/>
      <w:jc w:val="center"/>
      <w:textAlignment w:val="center"/>
    </w:pPr>
    <w:rPr>
      <w:rFonts w:ascii="Arial Unicode MS" w:hAnsi="Arial Unicode MS" w:eastAsia="Arial Unicode MS" w:cs="Arial Unicode MS"/>
      <w:kern w:val="0"/>
      <w:sz w:val="20"/>
      <w:szCs w:val="20"/>
    </w:rPr>
  </w:style>
  <w:style w:type="paragraph" w:customStyle="1" w:styleId="341">
    <w:name w:val="正文文本缩进 311"/>
    <w:basedOn w:val="1"/>
    <w:qFormat/>
    <w:uiPriority w:val="0"/>
    <w:pPr>
      <w:adjustRightInd w:val="0"/>
      <w:spacing w:after="120"/>
      <w:ind w:left="420"/>
      <w:textAlignment w:val="baseline"/>
    </w:pPr>
    <w:rPr>
      <w:sz w:val="16"/>
      <w:szCs w:val="20"/>
    </w:rPr>
  </w:style>
  <w:style w:type="paragraph" w:customStyle="1" w:styleId="342">
    <w:name w:val="样式 标题农安 + 首行缩进:  0.85 厘米"/>
    <w:basedOn w:val="1"/>
    <w:qFormat/>
    <w:uiPriority w:val="0"/>
    <w:pPr>
      <w:keepNext/>
      <w:keepLines/>
      <w:spacing w:before="260" w:after="260" w:line="240" w:lineRule="exact"/>
      <w:outlineLvl w:val="2"/>
    </w:pPr>
    <w:rPr>
      <w:rFonts w:ascii="宋体" w:hAnsi="宋体" w:cs="宋体"/>
      <w:b/>
      <w:bCs/>
      <w:color w:val="000000"/>
      <w:sz w:val="24"/>
      <w:szCs w:val="20"/>
    </w:rPr>
  </w:style>
  <w:style w:type="paragraph" w:customStyle="1" w:styleId="343">
    <w:name w:val="pa-5"/>
    <w:basedOn w:val="1"/>
    <w:qFormat/>
    <w:uiPriority w:val="0"/>
    <w:pPr>
      <w:widowControl/>
      <w:spacing w:before="100" w:beforeAutospacing="1" w:after="100" w:afterAutospacing="1"/>
      <w:jc w:val="left"/>
    </w:pPr>
    <w:rPr>
      <w:rFonts w:ascii="宋体" w:hAnsi="宋体" w:cs="宋体"/>
      <w:kern w:val="0"/>
      <w:sz w:val="24"/>
    </w:rPr>
  </w:style>
  <w:style w:type="paragraph" w:customStyle="1" w:styleId="344">
    <w:name w:val="图片_居中"/>
    <w:qFormat/>
    <w:uiPriority w:val="0"/>
    <w:pPr>
      <w:jc w:val="center"/>
    </w:pPr>
    <w:rPr>
      <w:rFonts w:ascii="Times New Roman" w:hAnsi="Times New Roman" w:eastAsia="宋体" w:cs="Times New Roman"/>
      <w:kern w:val="2"/>
      <w:sz w:val="18"/>
      <w:szCs w:val="24"/>
      <w:lang w:val="en-US" w:eastAsia="zh-CN" w:bidi="ar-SA"/>
    </w:rPr>
  </w:style>
  <w:style w:type="paragraph" w:customStyle="1" w:styleId="345">
    <w:name w:val="p18"/>
    <w:next w:val="30"/>
    <w:qFormat/>
    <w:uiPriority w:val="0"/>
    <w:pPr>
      <w:spacing w:before="100" w:beforeAutospacing="1" w:after="100" w:afterAutospacing="1"/>
    </w:pPr>
    <w:rPr>
      <w:rFonts w:ascii="宋体" w:hAnsi="Times New Roman" w:eastAsia="宋体" w:cs="Times New Roman"/>
      <w:sz w:val="24"/>
      <w:szCs w:val="24"/>
      <w:lang w:val="en-US" w:eastAsia="zh-CN" w:bidi="ar-SA"/>
    </w:rPr>
  </w:style>
  <w:style w:type="paragraph" w:customStyle="1" w:styleId="346">
    <w:name w:val="xl6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0"/>
      <w:szCs w:val="20"/>
    </w:rPr>
  </w:style>
  <w:style w:type="paragraph" w:customStyle="1" w:styleId="347">
    <w:name w:val="Char1"/>
    <w:basedOn w:val="1"/>
    <w:qFormat/>
    <w:uiPriority w:val="0"/>
    <w:rPr>
      <w:rFonts w:ascii="宋体" w:hAnsi="宋体" w:cs="宋体"/>
    </w:rPr>
  </w:style>
  <w:style w:type="paragraph" w:customStyle="1" w:styleId="348">
    <w:name w:val="样式 标题 2 + Times New Roman 四号 非加粗 段前: 5 磅 段后: 0 磅 行距: 固定值 20..."/>
    <w:basedOn w:val="3"/>
    <w:qFormat/>
    <w:uiPriority w:val="0"/>
    <w:pPr>
      <w:spacing w:before="100" w:line="400" w:lineRule="exact"/>
    </w:pPr>
    <w:rPr>
      <w:rFonts w:ascii="Times New Roman" w:hAnsi="Times New Roman" w:eastAsia="黑体" w:cs="宋体"/>
      <w:b w:val="0"/>
      <w:bCs w:val="0"/>
      <w:sz w:val="28"/>
      <w:szCs w:val="20"/>
    </w:rPr>
  </w:style>
  <w:style w:type="paragraph" w:customStyle="1" w:styleId="349">
    <w:name w:val="默认段落字体 Para Char"/>
    <w:basedOn w:val="1"/>
    <w:qFormat/>
    <w:uiPriority w:val="0"/>
    <w:pPr>
      <w:snapToGrid w:val="0"/>
      <w:spacing w:line="360" w:lineRule="auto"/>
      <w:ind w:firstLine="200" w:firstLineChars="200"/>
    </w:pPr>
    <w:rPr>
      <w:rFonts w:eastAsia="仿宋_GB2312"/>
      <w:sz w:val="24"/>
    </w:rPr>
  </w:style>
  <w:style w:type="paragraph" w:customStyle="1" w:styleId="350">
    <w:name w:val="xl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微软简魏碑"/>
      <w:kern w:val="0"/>
      <w:sz w:val="24"/>
    </w:rPr>
  </w:style>
  <w:style w:type="paragraph" w:customStyle="1" w:styleId="351">
    <w:name w:val="xl3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eastAsia="Arial Unicode MS"/>
      <w:kern w:val="0"/>
      <w:sz w:val="20"/>
      <w:szCs w:val="20"/>
    </w:rPr>
  </w:style>
  <w:style w:type="paragraph" w:customStyle="1" w:styleId="352">
    <w:name w:val="font8"/>
    <w:basedOn w:val="1"/>
    <w:qFormat/>
    <w:uiPriority w:val="0"/>
    <w:pPr>
      <w:widowControl/>
      <w:adjustRightInd w:val="0"/>
      <w:spacing w:before="100" w:after="100"/>
      <w:jc w:val="left"/>
      <w:textAlignment w:val="baseline"/>
    </w:pPr>
    <w:rPr>
      <w:rFonts w:eastAsia="Arial Unicode MS"/>
      <w:kern w:val="0"/>
      <w:sz w:val="16"/>
      <w:szCs w:val="20"/>
    </w:rPr>
  </w:style>
  <w:style w:type="paragraph" w:customStyle="1" w:styleId="353">
    <w:name w:val="Char Char2 Char Char Char Char1"/>
    <w:basedOn w:val="1"/>
    <w:qFormat/>
    <w:uiPriority w:val="0"/>
  </w:style>
  <w:style w:type="paragraph" w:customStyle="1" w:styleId="354">
    <w:name w:val="xl68"/>
    <w:basedOn w:val="1"/>
    <w:qFormat/>
    <w:uiPriority w:val="0"/>
    <w:pPr>
      <w:widowControl/>
      <w:pBdr>
        <w:left w:val="single" w:color="auto" w:sz="4" w:space="0"/>
        <w:right w:val="single" w:color="auto" w:sz="4" w:space="0"/>
      </w:pBdr>
      <w:spacing w:before="100" w:beforeAutospacing="1" w:after="100" w:afterAutospacing="1"/>
      <w:jc w:val="left"/>
      <w:textAlignment w:val="center"/>
    </w:pPr>
    <w:rPr>
      <w:rFonts w:ascii="Arial Unicode MS" w:hAnsi="Arial Unicode MS" w:eastAsia="Arial Unicode MS" w:cs="Arial Unicode MS"/>
      <w:kern w:val="0"/>
      <w:sz w:val="20"/>
      <w:szCs w:val="20"/>
    </w:rPr>
  </w:style>
  <w:style w:type="paragraph" w:customStyle="1" w:styleId="355">
    <w:name w:val="表格内容2"/>
    <w:basedOn w:val="264"/>
    <w:qFormat/>
    <w:uiPriority w:val="0"/>
    <w:pPr>
      <w:widowControl w:val="0"/>
      <w:adjustRightInd/>
      <w:spacing w:line="240" w:lineRule="auto"/>
      <w:ind w:left="480"/>
    </w:pPr>
    <w:rPr>
      <w:rFonts w:cs="Times New Roman"/>
      <w:sz w:val="15"/>
    </w:rPr>
  </w:style>
  <w:style w:type="paragraph" w:customStyle="1" w:styleId="356">
    <w:name w:val="_Style 355"/>
    <w:basedOn w:val="2"/>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357">
    <w:name w:val="pa-4"/>
    <w:basedOn w:val="1"/>
    <w:qFormat/>
    <w:uiPriority w:val="0"/>
    <w:pPr>
      <w:widowControl/>
      <w:spacing w:before="100" w:beforeAutospacing="1" w:after="100" w:afterAutospacing="1"/>
      <w:jc w:val="left"/>
    </w:pPr>
    <w:rPr>
      <w:rFonts w:ascii="宋体" w:hAnsi="宋体" w:cs="宋体"/>
      <w:kern w:val="0"/>
      <w:sz w:val="24"/>
    </w:rPr>
  </w:style>
  <w:style w:type="paragraph" w:customStyle="1" w:styleId="358">
    <w:name w:val="1"/>
    <w:basedOn w:val="1"/>
    <w:next w:val="1"/>
    <w:qFormat/>
    <w:uiPriority w:val="0"/>
  </w:style>
  <w:style w:type="paragraph" w:customStyle="1" w:styleId="359">
    <w:name w:val="p17"/>
    <w:basedOn w:val="1"/>
    <w:qFormat/>
    <w:uiPriority w:val="99"/>
    <w:pPr>
      <w:widowControl/>
    </w:pPr>
    <w:rPr>
      <w:kern w:val="0"/>
      <w:szCs w:val="21"/>
    </w:rPr>
  </w:style>
  <w:style w:type="paragraph" w:customStyle="1" w:styleId="360">
    <w:name w:val="a"/>
    <w:basedOn w:val="141"/>
    <w:qFormat/>
    <w:uiPriority w:val="0"/>
    <w:pPr>
      <w:snapToGrid w:val="0"/>
      <w:ind w:firstLine="513" w:firstLineChars="225"/>
      <w:jc w:val="left"/>
    </w:pPr>
    <w:rPr>
      <w:bCs w:val="0"/>
      <w:color w:val="auto"/>
    </w:rPr>
  </w:style>
  <w:style w:type="paragraph" w:customStyle="1" w:styleId="361">
    <w:name w:val="pa-2"/>
    <w:basedOn w:val="1"/>
    <w:qFormat/>
    <w:uiPriority w:val="0"/>
    <w:pPr>
      <w:widowControl/>
      <w:spacing w:before="100" w:beforeAutospacing="1" w:after="100" w:afterAutospacing="1"/>
      <w:jc w:val="left"/>
    </w:pPr>
    <w:rPr>
      <w:rFonts w:ascii="宋体" w:hAnsi="宋体" w:cs="宋体"/>
      <w:kern w:val="0"/>
      <w:sz w:val="24"/>
    </w:rPr>
  </w:style>
  <w:style w:type="paragraph" w:customStyle="1" w:styleId="362">
    <w:name w:val="xl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微软简魏碑"/>
      <w:kern w:val="0"/>
      <w:sz w:val="24"/>
    </w:rPr>
  </w:style>
  <w:style w:type="paragraph" w:customStyle="1" w:styleId="363">
    <w:name w:val="正文文本 21"/>
    <w:basedOn w:val="1"/>
    <w:qFormat/>
    <w:uiPriority w:val="0"/>
    <w:pPr>
      <w:adjustRightInd w:val="0"/>
      <w:spacing w:line="360" w:lineRule="auto"/>
      <w:ind w:firstLine="560"/>
      <w:textAlignment w:val="baseline"/>
    </w:pPr>
    <w:rPr>
      <w:rFonts w:ascii="宋体" w:hAnsi="宋体"/>
      <w:color w:val="000000"/>
      <w:sz w:val="28"/>
      <w:szCs w:val="20"/>
    </w:rPr>
  </w:style>
  <w:style w:type="paragraph" w:customStyle="1" w:styleId="364">
    <w:name w:val="xl50"/>
    <w:basedOn w:val="1"/>
    <w:qFormat/>
    <w:uiPriority w:val="0"/>
    <w:pPr>
      <w:widowControl/>
      <w:pBdr>
        <w:left w:val="single" w:color="auto" w:sz="4" w:space="0"/>
        <w:bottom w:val="single" w:color="000000" w:sz="4" w:space="0"/>
        <w:right w:val="single" w:color="auto" w:sz="4" w:space="0"/>
      </w:pBdr>
      <w:spacing w:before="100" w:beforeAutospacing="1" w:after="100" w:afterAutospacing="1"/>
      <w:jc w:val="center"/>
    </w:pPr>
    <w:rPr>
      <w:rFonts w:eastAsia="Arial Unicode MS"/>
      <w:kern w:val="0"/>
      <w:sz w:val="26"/>
      <w:szCs w:val="26"/>
    </w:rPr>
  </w:style>
  <w:style w:type="paragraph" w:customStyle="1" w:styleId="365">
    <w:name w:val="Char11"/>
    <w:basedOn w:val="1"/>
    <w:qFormat/>
    <w:uiPriority w:val="0"/>
    <w:rPr>
      <w:rFonts w:ascii="宋体" w:hAnsi="宋体" w:cs="宋体"/>
    </w:rPr>
  </w:style>
  <w:style w:type="paragraph" w:customStyle="1" w:styleId="366">
    <w:name w:val="3"/>
    <w:basedOn w:val="1"/>
    <w:qFormat/>
    <w:uiPriority w:val="0"/>
    <w:pPr>
      <w:snapToGrid w:val="0"/>
      <w:ind w:firstLine="900" w:firstLineChars="375"/>
      <w:jc w:val="left"/>
    </w:pPr>
    <w:rPr>
      <w:rFonts w:ascii="宋体" w:hAnsi="宋体"/>
      <w:sz w:val="24"/>
    </w:rPr>
  </w:style>
  <w:style w:type="paragraph" w:customStyle="1" w:styleId="367">
    <w:name w:val="LWH-ZW"/>
    <w:qFormat/>
    <w:uiPriority w:val="0"/>
    <w:pPr>
      <w:widowControl w:val="0"/>
      <w:adjustRightInd w:val="0"/>
      <w:snapToGrid w:val="0"/>
      <w:spacing w:line="500" w:lineRule="exact"/>
      <w:ind w:firstLine="200" w:firstLineChars="200"/>
      <w:jc w:val="both"/>
    </w:pPr>
    <w:rPr>
      <w:rFonts w:ascii="Times New Roman" w:hAnsi="Times New Roman" w:eastAsia="宋体" w:cs="Times New Roman"/>
      <w:kern w:val="2"/>
      <w:sz w:val="24"/>
      <w:szCs w:val="24"/>
      <w:lang w:val="en-US" w:eastAsia="zh-CN" w:bidi="ar-SA"/>
    </w:rPr>
  </w:style>
  <w:style w:type="paragraph" w:customStyle="1" w:styleId="368">
    <w:name w:val="xl54"/>
    <w:basedOn w:val="1"/>
    <w:qFormat/>
    <w:uiPriority w:val="0"/>
    <w:pPr>
      <w:widowControl/>
      <w:spacing w:before="100" w:beforeAutospacing="1" w:after="100" w:afterAutospacing="1"/>
      <w:jc w:val="center"/>
      <w:textAlignment w:val="center"/>
    </w:pPr>
    <w:rPr>
      <w:rFonts w:eastAsia="Arial Unicode MS"/>
      <w:kern w:val="0"/>
      <w:sz w:val="20"/>
      <w:szCs w:val="20"/>
    </w:rPr>
  </w:style>
  <w:style w:type="paragraph" w:customStyle="1" w:styleId="369">
    <w:name w:val="Char Char2 Char Char Char Char"/>
    <w:basedOn w:val="1"/>
    <w:qFormat/>
    <w:uiPriority w:val="0"/>
  </w:style>
  <w:style w:type="paragraph" w:customStyle="1" w:styleId="370">
    <w:name w:val="样式 标题 3 + 宋体 小四"/>
    <w:basedOn w:val="4"/>
    <w:qFormat/>
    <w:uiPriority w:val="0"/>
    <w:pPr>
      <w:spacing w:line="240" w:lineRule="auto"/>
      <w:ind w:firstLine="200" w:firstLineChars="200"/>
    </w:pPr>
    <w:rPr>
      <w:rFonts w:ascii="宋体" w:hAnsi="宋体" w:cs="宋体"/>
      <w:sz w:val="24"/>
      <w:szCs w:val="24"/>
    </w:rPr>
  </w:style>
  <w:style w:type="paragraph" w:customStyle="1" w:styleId="371">
    <w:name w:val="xl71"/>
    <w:basedOn w:val="1"/>
    <w:qFormat/>
    <w:uiPriority w:val="0"/>
    <w:pPr>
      <w:widowControl/>
      <w:pBdr>
        <w:top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0"/>
      <w:szCs w:val="20"/>
    </w:rPr>
  </w:style>
  <w:style w:type="paragraph" w:customStyle="1" w:styleId="372">
    <w:name w:val="xl60"/>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 w:val="20"/>
      <w:szCs w:val="20"/>
    </w:rPr>
  </w:style>
  <w:style w:type="paragraph" w:customStyle="1" w:styleId="373">
    <w:name w:val="Normal + First line:  2 ch"/>
    <w:basedOn w:val="1"/>
    <w:qFormat/>
    <w:uiPriority w:val="0"/>
    <w:pPr>
      <w:ind w:firstLine="420" w:firstLineChars="200"/>
    </w:pPr>
  </w:style>
  <w:style w:type="paragraph" w:customStyle="1" w:styleId="374">
    <w:name w:val="纯文本3"/>
    <w:basedOn w:val="1"/>
    <w:qFormat/>
    <w:uiPriority w:val="0"/>
    <w:pPr>
      <w:adjustRightInd w:val="0"/>
      <w:textAlignment w:val="baseline"/>
    </w:pPr>
    <w:rPr>
      <w:rFonts w:ascii="宋体" w:hAnsi="Courier New"/>
      <w:szCs w:val="20"/>
    </w:rPr>
  </w:style>
  <w:style w:type="paragraph" w:customStyle="1" w:styleId="375">
    <w:name w:val="表名"/>
    <w:basedOn w:val="1"/>
    <w:qFormat/>
    <w:uiPriority w:val="0"/>
    <w:pPr>
      <w:adjustRightInd w:val="0"/>
      <w:snapToGrid w:val="0"/>
      <w:spacing w:beforeLines="25"/>
      <w:jc w:val="center"/>
    </w:pPr>
    <w:rPr>
      <w:rFonts w:eastAsia="华文中宋"/>
      <w:b/>
      <w:bCs/>
      <w:sz w:val="24"/>
    </w:rPr>
  </w:style>
  <w:style w:type="paragraph" w:customStyle="1" w:styleId="376">
    <w:name w:val="Normal New New New New New New New New New New New New New New New New New New New New New New New New New New New New New New New New New New New New New New New New New New New New New New New New New New New New New New New New New New New New New Ne"/>
    <w:qFormat/>
    <w:uiPriority w:val="0"/>
    <w:pPr>
      <w:widowControl w:val="0"/>
      <w:jc w:val="both"/>
    </w:pPr>
    <w:rPr>
      <w:rFonts w:hint="eastAsia" w:ascii="Times New Roman" w:hAnsi="Times New Roman" w:eastAsia="宋体" w:cs="Times New Roman"/>
      <w:kern w:val="2"/>
      <w:sz w:val="21"/>
      <w:szCs w:val="22"/>
      <w:lang w:val="en-US" w:eastAsia="zh-CN" w:bidi="ar-SA"/>
    </w:rPr>
  </w:style>
  <w:style w:type="paragraph" w:customStyle="1" w:styleId="377">
    <w:name w:val="样式 1.1 + 段前: 0.5 行 段后: 0.5 行"/>
    <w:basedOn w:val="289"/>
    <w:qFormat/>
    <w:uiPriority w:val="0"/>
    <w:pPr>
      <w:spacing w:before="156" w:after="156" w:line="240" w:lineRule="auto"/>
      <w:ind w:left="539" w:hanging="539"/>
      <w:jc w:val="left"/>
    </w:pPr>
    <w:rPr>
      <w:rFonts w:cs="宋体"/>
      <w:b w:val="0"/>
      <w:kern w:val="0"/>
      <w:sz w:val="30"/>
    </w:rPr>
  </w:style>
  <w:style w:type="paragraph" w:customStyle="1" w:styleId="378">
    <w:name w:val="``"/>
    <w:basedOn w:val="1"/>
    <w:qFormat/>
    <w:uiPriority w:val="0"/>
    <w:pPr>
      <w:ind w:left="1440" w:hanging="1440" w:hangingChars="600"/>
    </w:pPr>
    <w:rPr>
      <w:sz w:val="24"/>
      <w:lang w:val="en-GB"/>
    </w:rPr>
  </w:style>
  <w:style w:type="paragraph" w:customStyle="1" w:styleId="379">
    <w:name w:val="Char Char Char"/>
    <w:basedOn w:val="1"/>
    <w:qFormat/>
    <w:uiPriority w:val="0"/>
    <w:rPr>
      <w:rFonts w:ascii="Tahoma" w:hAnsi="Tahoma"/>
      <w:sz w:val="24"/>
      <w:szCs w:val="20"/>
    </w:rPr>
  </w:style>
  <w:style w:type="paragraph" w:customStyle="1" w:styleId="380">
    <w:name w:val="金安桥正文"/>
    <w:basedOn w:val="21"/>
    <w:qFormat/>
    <w:uiPriority w:val="0"/>
    <w:pPr>
      <w:adjustRightInd w:val="0"/>
      <w:spacing w:after="0" w:line="300" w:lineRule="auto"/>
      <w:ind w:left="0" w:leftChars="0" w:firstLine="200" w:firstLineChars="200"/>
      <w:jc w:val="left"/>
    </w:pPr>
    <w:rPr>
      <w:kern w:val="0"/>
      <w:sz w:val="24"/>
      <w:szCs w:val="20"/>
    </w:rPr>
  </w:style>
  <w:style w:type="paragraph" w:customStyle="1" w:styleId="381">
    <w:name w:val="xl62"/>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0"/>
      <w:szCs w:val="20"/>
    </w:rPr>
  </w:style>
  <w:style w:type="paragraph" w:customStyle="1" w:styleId="382">
    <w:name w:val="xl37"/>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0"/>
      <w:szCs w:val="20"/>
    </w:rPr>
  </w:style>
  <w:style w:type="paragraph" w:customStyle="1" w:styleId="383">
    <w:name w:val="Char1 Char Char Char"/>
    <w:basedOn w:val="1"/>
    <w:qFormat/>
    <w:uiPriority w:val="0"/>
    <w:rPr>
      <w:rFonts w:ascii="Tahoma" w:hAnsi="Tahoma" w:eastAsia="仿宋_GB2312"/>
      <w:sz w:val="24"/>
      <w:szCs w:val="20"/>
    </w:rPr>
  </w:style>
  <w:style w:type="paragraph" w:customStyle="1" w:styleId="384">
    <w:name w:val="xl40"/>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Cs w:val="21"/>
    </w:rPr>
  </w:style>
  <w:style w:type="paragraph" w:customStyle="1" w:styleId="385">
    <w:name w:val="样式2"/>
    <w:basedOn w:val="1"/>
    <w:next w:val="6"/>
    <w:qFormat/>
    <w:uiPriority w:val="0"/>
    <w:pPr>
      <w:spacing w:line="360" w:lineRule="auto"/>
    </w:pPr>
    <w:rPr>
      <w:rFonts w:ascii="ˎ̥"/>
      <w:color w:val="4682B4"/>
      <w:sz w:val="24"/>
    </w:rPr>
  </w:style>
  <w:style w:type="paragraph" w:customStyle="1" w:styleId="386">
    <w:name w:val="Char1 Char Char Char1"/>
    <w:basedOn w:val="1"/>
    <w:qFormat/>
    <w:uiPriority w:val="0"/>
    <w:rPr>
      <w:rFonts w:ascii="Tahoma" w:hAnsi="Tahoma" w:eastAsia="仿宋_GB2312"/>
      <w:sz w:val="24"/>
      <w:szCs w:val="20"/>
    </w:rPr>
  </w:style>
  <w:style w:type="paragraph" w:customStyle="1" w:styleId="387">
    <w:name w:val="Char Char1 Char Char Char Char"/>
    <w:basedOn w:val="1"/>
    <w:qFormat/>
    <w:uiPriority w:val="0"/>
    <w:rPr>
      <w:rFonts w:ascii="宋体" w:hAnsi="宋体" w:cs="宋体"/>
      <w:szCs w:val="21"/>
    </w:rPr>
  </w:style>
  <w:style w:type="paragraph" w:customStyle="1" w:styleId="388">
    <w:name w:val="标题3"/>
    <w:basedOn w:val="1"/>
    <w:qFormat/>
    <w:uiPriority w:val="0"/>
    <w:rPr>
      <w:rFonts w:ascii="仿宋_GB2312" w:eastAsia="仿宋_GB2312"/>
      <w:sz w:val="28"/>
      <w:szCs w:val="28"/>
    </w:rPr>
  </w:style>
  <w:style w:type="paragraph" w:customStyle="1" w:styleId="389">
    <w:name w:val="样式 标题 1 + 黑体 三号 非加粗 居中 段前: 6 磅 段后: 6 磅 行距: 固定值 20 磅"/>
    <w:basedOn w:val="2"/>
    <w:qFormat/>
    <w:uiPriority w:val="0"/>
    <w:pPr>
      <w:spacing w:before="120" w:after="120" w:line="400" w:lineRule="exact"/>
      <w:jc w:val="center"/>
    </w:pPr>
    <w:rPr>
      <w:rFonts w:ascii="黑体" w:hAnsi="黑体" w:eastAsia="黑体" w:cs="宋体"/>
      <w:b w:val="0"/>
      <w:bCs w:val="0"/>
      <w:sz w:val="32"/>
      <w:szCs w:val="20"/>
    </w:rPr>
  </w:style>
  <w:style w:type="paragraph" w:customStyle="1" w:styleId="390">
    <w:name w:val="标题 31"/>
    <w:basedOn w:val="1"/>
    <w:qFormat/>
    <w:uiPriority w:val="0"/>
    <w:pPr>
      <w:tabs>
        <w:tab w:val="left" w:pos="210"/>
      </w:tabs>
      <w:spacing w:line="360" w:lineRule="auto"/>
      <w:ind w:left="210"/>
    </w:pPr>
    <w:rPr>
      <w:sz w:val="24"/>
    </w:rPr>
  </w:style>
  <w:style w:type="paragraph" w:customStyle="1" w:styleId="391">
    <w:name w:val="样式3"/>
    <w:basedOn w:val="1"/>
    <w:qFormat/>
    <w:uiPriority w:val="0"/>
    <w:pPr>
      <w:keepNext/>
      <w:keepLines/>
      <w:spacing w:line="400" w:lineRule="exact"/>
      <w:outlineLvl w:val="0"/>
    </w:pPr>
    <w:rPr>
      <w:b/>
      <w:bCs/>
      <w:kern w:val="44"/>
      <w:sz w:val="28"/>
      <w:szCs w:val="44"/>
    </w:rPr>
  </w:style>
  <w:style w:type="paragraph" w:customStyle="1" w:styleId="392">
    <w:name w:val="表格内容"/>
    <w:basedOn w:val="1"/>
    <w:next w:val="1"/>
    <w:qFormat/>
    <w:uiPriority w:val="0"/>
    <w:pPr>
      <w:widowControl/>
      <w:tabs>
        <w:tab w:val="center" w:pos="4153"/>
        <w:tab w:val="right" w:pos="8306"/>
      </w:tabs>
      <w:snapToGrid w:val="0"/>
      <w:ind w:firstLine="90" w:firstLineChars="50"/>
    </w:pPr>
    <w:rPr>
      <w:rFonts w:cs="宋体"/>
      <w:kern w:val="0"/>
      <w:sz w:val="15"/>
      <w:szCs w:val="15"/>
    </w:rPr>
  </w:style>
  <w:style w:type="paragraph" w:customStyle="1" w:styleId="393">
    <w:name w:val="_Style 2"/>
    <w:basedOn w:val="1"/>
    <w:qFormat/>
    <w:uiPriority w:val="34"/>
    <w:pPr>
      <w:ind w:firstLine="420" w:firstLineChars="200"/>
    </w:pPr>
    <w:rPr>
      <w:szCs w:val="20"/>
    </w:rPr>
  </w:style>
  <w:style w:type="paragraph" w:customStyle="1" w:styleId="394">
    <w:name w:val="xl41"/>
    <w:basedOn w:val="1"/>
    <w:qFormat/>
    <w:uiPriority w:val="0"/>
    <w:pPr>
      <w:widowControl/>
      <w:pBdr>
        <w:top w:val="single" w:color="auto" w:sz="4" w:space="0"/>
        <w:bottom w:val="single" w:color="auto" w:sz="4" w:space="0"/>
      </w:pBdr>
      <w:spacing w:before="100" w:beforeAutospacing="1" w:after="100" w:afterAutospacing="1"/>
      <w:jc w:val="center"/>
    </w:pPr>
    <w:rPr>
      <w:rFonts w:ascii="Arial Unicode MS" w:hAnsi="Arial Unicode MS" w:eastAsia="Arial Unicode MS" w:cs="Arial Unicode MS"/>
      <w:kern w:val="0"/>
      <w:szCs w:val="21"/>
    </w:rPr>
  </w:style>
  <w:style w:type="paragraph" w:customStyle="1" w:styleId="395">
    <w:name w:val="6"/>
    <w:next w:val="1"/>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396">
    <w:name w:val="xl49"/>
    <w:basedOn w:val="1"/>
    <w:qFormat/>
    <w:uiPriority w:val="0"/>
    <w:pPr>
      <w:widowControl/>
      <w:pBdr>
        <w:top w:val="single" w:color="000000" w:sz="4" w:space="0"/>
        <w:left w:val="single" w:color="auto" w:sz="4" w:space="0"/>
        <w:right w:val="single" w:color="auto" w:sz="4" w:space="0"/>
      </w:pBdr>
      <w:spacing w:before="100" w:beforeAutospacing="1" w:after="100" w:afterAutospacing="1"/>
      <w:jc w:val="center"/>
    </w:pPr>
    <w:rPr>
      <w:rFonts w:eastAsia="Arial Unicode MS"/>
      <w:kern w:val="0"/>
      <w:sz w:val="26"/>
      <w:szCs w:val="26"/>
    </w:rPr>
  </w:style>
  <w:style w:type="paragraph" w:customStyle="1" w:styleId="397">
    <w:name w:val="段首行缩进 2字符"/>
    <w:basedOn w:val="1"/>
    <w:qFormat/>
    <w:uiPriority w:val="0"/>
    <w:pPr>
      <w:widowControl/>
      <w:autoSpaceDE w:val="0"/>
      <w:autoSpaceDN w:val="0"/>
      <w:ind w:firstLine="420" w:firstLineChars="200"/>
    </w:pPr>
    <w:rPr>
      <w:rFonts w:cs="宋体"/>
      <w:kern w:val="0"/>
      <w:szCs w:val="20"/>
    </w:rPr>
  </w:style>
  <w:style w:type="paragraph" w:customStyle="1" w:styleId="398">
    <w:name w:val="插图标题"/>
    <w:basedOn w:val="1"/>
    <w:next w:val="1"/>
    <w:qFormat/>
    <w:uiPriority w:val="0"/>
    <w:pPr>
      <w:widowControl/>
      <w:adjustRightInd w:val="0"/>
      <w:spacing w:line="440" w:lineRule="exact"/>
      <w:jc w:val="center"/>
    </w:pPr>
    <w:rPr>
      <w:rFonts w:cs="宋体"/>
      <w:b/>
      <w:bCs/>
      <w:color w:val="FF0000"/>
      <w:szCs w:val="20"/>
    </w:rPr>
  </w:style>
  <w:style w:type="paragraph" w:customStyle="1" w:styleId="399">
    <w:name w:val="Char Char Char1 Char1"/>
    <w:basedOn w:val="1"/>
    <w:qFormat/>
    <w:uiPriority w:val="0"/>
  </w:style>
  <w:style w:type="paragraph" w:customStyle="1" w:styleId="400">
    <w:name w:val="列表段落"/>
    <w:basedOn w:val="1"/>
    <w:qFormat/>
    <w:uiPriority w:val="0"/>
    <w:pPr>
      <w:ind w:firstLine="420" w:firstLineChars="200"/>
    </w:pPr>
    <w:rPr>
      <w:rFonts w:ascii="Calibri" w:hAnsi="Calibri"/>
      <w:szCs w:val="22"/>
    </w:rPr>
  </w:style>
  <w:style w:type="paragraph" w:customStyle="1" w:styleId="401">
    <w:name w:val="公式"/>
    <w:basedOn w:val="1"/>
    <w:qFormat/>
    <w:uiPriority w:val="0"/>
    <w:pPr>
      <w:widowControl/>
      <w:adjustRightInd w:val="0"/>
      <w:spacing w:line="360" w:lineRule="auto"/>
      <w:ind w:right="480" w:firstLine="1800" w:firstLineChars="750"/>
      <w:jc w:val="right"/>
    </w:pPr>
    <w:rPr>
      <w:rFonts w:cs="宋体"/>
      <w:sz w:val="24"/>
      <w:szCs w:val="20"/>
    </w:rPr>
  </w:style>
  <w:style w:type="paragraph" w:customStyle="1" w:styleId="402">
    <w:name w:val="默认段落字体 Char Char Char"/>
    <w:basedOn w:val="1"/>
    <w:qFormat/>
    <w:uiPriority w:val="0"/>
    <w:pPr>
      <w:spacing w:line="360" w:lineRule="auto"/>
      <w:ind w:firstLine="200" w:firstLineChars="200"/>
    </w:pPr>
    <w:rPr>
      <w:rFonts w:ascii="宋体" w:hAnsi="宋体" w:cs="宋体"/>
      <w:sz w:val="24"/>
    </w:rPr>
  </w:style>
  <w:style w:type="paragraph" w:customStyle="1" w:styleId="403">
    <w:name w:val="xl72"/>
    <w:basedOn w:val="1"/>
    <w:qFormat/>
    <w:uiPriority w:val="0"/>
    <w:pPr>
      <w:widowControl/>
      <w:pBdr>
        <w:top w:val="single" w:color="auto" w:sz="4" w:space="0"/>
        <w:left w:val="single" w:color="auto" w:sz="4" w:space="0"/>
      </w:pBdr>
      <w:spacing w:before="100" w:beforeAutospacing="1" w:after="100" w:afterAutospacing="1"/>
      <w:jc w:val="center"/>
    </w:pPr>
    <w:rPr>
      <w:rFonts w:ascii="Arial Unicode MS" w:hAnsi="Arial Unicode MS" w:eastAsia="Arial Unicode MS" w:cs="Arial Unicode MS"/>
      <w:kern w:val="0"/>
      <w:sz w:val="20"/>
      <w:szCs w:val="20"/>
    </w:rPr>
  </w:style>
  <w:style w:type="paragraph" w:customStyle="1" w:styleId="404">
    <w:name w:val="正文文本 22"/>
    <w:basedOn w:val="1"/>
    <w:qFormat/>
    <w:uiPriority w:val="0"/>
    <w:pPr>
      <w:adjustRightInd w:val="0"/>
      <w:spacing w:line="360" w:lineRule="auto"/>
      <w:ind w:firstLine="560"/>
      <w:textAlignment w:val="baseline"/>
    </w:pPr>
    <w:rPr>
      <w:rFonts w:ascii="宋体" w:hAnsi="宋体"/>
      <w:color w:val="000000"/>
      <w:sz w:val="28"/>
      <w:szCs w:val="20"/>
    </w:rPr>
  </w:style>
  <w:style w:type="paragraph" w:customStyle="1" w:styleId="405">
    <w:name w:val="xl73"/>
    <w:basedOn w:val="1"/>
    <w:qFormat/>
    <w:uiPriority w:val="0"/>
    <w:pPr>
      <w:widowControl/>
      <w:pBdr>
        <w:top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 w:val="20"/>
      <w:szCs w:val="20"/>
    </w:rPr>
  </w:style>
  <w:style w:type="paragraph" w:customStyle="1" w:styleId="406">
    <w:name w:val="xl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微软简魏碑"/>
      <w:kern w:val="0"/>
      <w:sz w:val="24"/>
    </w:rPr>
  </w:style>
  <w:style w:type="paragraph" w:customStyle="1" w:styleId="407">
    <w:name w:val="xl47"/>
    <w:basedOn w:val="1"/>
    <w:qFormat/>
    <w:uiPriority w:val="0"/>
    <w:pPr>
      <w:widowControl/>
      <w:spacing w:before="100" w:beforeAutospacing="1" w:after="100" w:afterAutospacing="1"/>
      <w:jc w:val="center"/>
    </w:pPr>
    <w:rPr>
      <w:rFonts w:ascii="宋体" w:hAnsi="宋体"/>
      <w:kern w:val="0"/>
      <w:sz w:val="28"/>
      <w:szCs w:val="28"/>
    </w:rPr>
  </w:style>
  <w:style w:type="paragraph" w:customStyle="1" w:styleId="408">
    <w:name w:val="font0"/>
    <w:basedOn w:val="1"/>
    <w:qFormat/>
    <w:uiPriority w:val="0"/>
    <w:pPr>
      <w:widowControl/>
      <w:spacing w:before="100" w:beforeAutospacing="1" w:after="100" w:afterAutospacing="1"/>
      <w:jc w:val="left"/>
    </w:pPr>
    <w:rPr>
      <w:rFonts w:hint="eastAsia" w:ascii="宋体" w:hAnsi="宋体" w:cs="微软简魏碑"/>
      <w:kern w:val="0"/>
      <w:sz w:val="24"/>
    </w:rPr>
  </w:style>
  <w:style w:type="paragraph" w:customStyle="1" w:styleId="409">
    <w:name w:val="Char Char Char1 Char"/>
    <w:basedOn w:val="1"/>
    <w:qFormat/>
    <w:uiPriority w:val="0"/>
  </w:style>
  <w:style w:type="paragraph" w:customStyle="1" w:styleId="410">
    <w:name w:val="参考文献"/>
    <w:basedOn w:val="1"/>
    <w:qFormat/>
    <w:uiPriority w:val="0"/>
    <w:pPr>
      <w:widowControl/>
      <w:autoSpaceDE w:val="0"/>
      <w:autoSpaceDN w:val="0"/>
      <w:adjustRightInd w:val="0"/>
      <w:spacing w:line="318" w:lineRule="atLeast"/>
      <w:textAlignment w:val="bottom"/>
    </w:pPr>
    <w:rPr>
      <w:kern w:val="0"/>
      <w:szCs w:val="20"/>
    </w:rPr>
  </w:style>
  <w:style w:type="paragraph" w:customStyle="1" w:styleId="411">
    <w:name w:val="xl66"/>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0"/>
      <w:szCs w:val="20"/>
    </w:rPr>
  </w:style>
  <w:style w:type="paragraph" w:customStyle="1" w:styleId="412">
    <w:name w:val="Char Char Char Char"/>
    <w:basedOn w:val="1"/>
    <w:qFormat/>
    <w:uiPriority w:val="0"/>
    <w:pPr>
      <w:snapToGrid w:val="0"/>
      <w:spacing w:line="360" w:lineRule="auto"/>
      <w:ind w:firstLine="200" w:firstLineChars="200"/>
    </w:pPr>
    <w:rPr>
      <w:rFonts w:eastAsia="仿宋_GB2312"/>
      <w:kern w:val="10"/>
      <w:sz w:val="24"/>
      <w:szCs w:val="30"/>
    </w:rPr>
  </w:style>
  <w:style w:type="paragraph" w:customStyle="1" w:styleId="413">
    <w:name w:val="xsm"/>
    <w:basedOn w:val="31"/>
    <w:next w:val="37"/>
    <w:qFormat/>
    <w:uiPriority w:val="0"/>
    <w:pPr>
      <w:jc w:val="center"/>
    </w:pPr>
  </w:style>
  <w:style w:type="paragraph" w:customStyle="1" w:styleId="414">
    <w:name w:val="xl48"/>
    <w:basedOn w:val="1"/>
    <w:qFormat/>
    <w:uiPriority w:val="0"/>
    <w:pPr>
      <w:widowControl/>
      <w:pBdr>
        <w:left w:val="single" w:color="auto" w:sz="4" w:space="0"/>
        <w:right w:val="single" w:color="auto" w:sz="4" w:space="0"/>
      </w:pBdr>
      <w:spacing w:before="100" w:beforeAutospacing="1" w:after="100" w:afterAutospacing="1"/>
      <w:jc w:val="center"/>
    </w:pPr>
    <w:rPr>
      <w:rFonts w:eastAsia="Arial Unicode MS"/>
      <w:kern w:val="0"/>
      <w:sz w:val="26"/>
      <w:szCs w:val="26"/>
    </w:rPr>
  </w:style>
  <w:style w:type="paragraph" w:customStyle="1" w:styleId="415">
    <w:name w:val="head"/>
    <w:basedOn w:val="1"/>
    <w:next w:val="1"/>
    <w:qFormat/>
    <w:uiPriority w:val="0"/>
    <w:pPr>
      <w:adjustRightInd w:val="0"/>
      <w:ind w:left="778" w:hanging="778"/>
      <w:textAlignment w:val="baseline"/>
    </w:pPr>
    <w:rPr>
      <w:rFonts w:ascii="宋体" w:hAnsi="宋体" w:eastAsia="黑体"/>
      <w:sz w:val="30"/>
      <w:szCs w:val="20"/>
    </w:rPr>
  </w:style>
  <w:style w:type="paragraph" w:customStyle="1" w:styleId="416">
    <w:name w:val="样式 标题 2标题 2 Char Char Char标题 2 Char Char标题 2 Char + (西文) Time..."/>
    <w:basedOn w:val="3"/>
    <w:qFormat/>
    <w:uiPriority w:val="0"/>
    <w:pPr>
      <w:keepNext w:val="0"/>
      <w:keepLines w:val="0"/>
      <w:tabs>
        <w:tab w:val="left" w:pos="840"/>
      </w:tabs>
      <w:spacing w:line="500" w:lineRule="exact"/>
    </w:pPr>
    <w:rPr>
      <w:rFonts w:ascii="宋体" w:hAnsi="宋体"/>
      <w:b w:val="0"/>
      <w:bCs w:val="0"/>
      <w:snapToGrid/>
      <w:color w:val="0000FF"/>
      <w:kern w:val="0"/>
      <w:sz w:val="24"/>
      <w:lang w:val="zh-CN"/>
    </w:rPr>
  </w:style>
  <w:style w:type="paragraph" w:customStyle="1" w:styleId="417">
    <w:name w:val="正文样式1"/>
    <w:basedOn w:val="1"/>
    <w:qFormat/>
    <w:uiPriority w:val="0"/>
    <w:pPr>
      <w:spacing w:line="360" w:lineRule="auto"/>
      <w:ind w:firstLine="480" w:firstLineChars="200"/>
    </w:pPr>
    <w:rPr>
      <w:sz w:val="24"/>
    </w:rPr>
  </w:style>
  <w:style w:type="paragraph" w:customStyle="1" w:styleId="418">
    <w:name w:val="xl57"/>
    <w:basedOn w:val="1"/>
    <w:qFormat/>
    <w:uiPriority w:val="0"/>
    <w:pPr>
      <w:widowControl/>
      <w:spacing w:before="100" w:beforeAutospacing="1" w:after="100" w:afterAutospacing="1"/>
      <w:jc w:val="center"/>
      <w:textAlignment w:val="center"/>
    </w:pPr>
    <w:rPr>
      <w:rFonts w:ascii="Arial Unicode MS" w:hAnsi="Arial Unicode MS" w:eastAsia="Arial Unicode MS" w:cs="Arial Unicode MS"/>
      <w:kern w:val="0"/>
      <w:sz w:val="20"/>
      <w:szCs w:val="20"/>
    </w:rPr>
  </w:style>
  <w:style w:type="paragraph" w:customStyle="1" w:styleId="419">
    <w:name w:val="xl29"/>
    <w:basedOn w:val="1"/>
    <w:qFormat/>
    <w:uiPriority w:val="0"/>
    <w:pPr>
      <w:widowControl/>
      <w:pBdr>
        <w:bottom w:val="single" w:color="auto" w:sz="4" w:space="0"/>
      </w:pBdr>
      <w:spacing w:before="100" w:beforeAutospacing="1" w:after="100" w:afterAutospacing="1"/>
      <w:jc w:val="center"/>
    </w:pPr>
    <w:rPr>
      <w:rFonts w:hint="eastAsia" w:ascii="黑体" w:hAnsi="Arial Unicode MS" w:eastAsia="黑体" w:cs="微软简魏碑"/>
      <w:kern w:val="0"/>
      <w:sz w:val="36"/>
      <w:szCs w:val="36"/>
    </w:rPr>
  </w:style>
  <w:style w:type="paragraph" w:customStyle="1" w:styleId="420">
    <w:name w:val="标题农安"/>
    <w:basedOn w:val="1"/>
    <w:qFormat/>
    <w:uiPriority w:val="0"/>
    <w:pPr>
      <w:keepNext/>
      <w:keepLines/>
      <w:spacing w:before="260" w:after="260" w:line="240" w:lineRule="exact"/>
      <w:outlineLvl w:val="2"/>
    </w:pPr>
    <w:rPr>
      <w:rFonts w:ascii="宋体" w:hAnsi="宋体" w:cs="宋体"/>
      <w:b/>
      <w:color w:val="000000"/>
      <w:sz w:val="24"/>
    </w:rPr>
  </w:style>
  <w:style w:type="paragraph" w:customStyle="1" w:styleId="421">
    <w:name w:val="xl42"/>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Arial Unicode MS" w:hAnsi="Arial Unicode MS" w:eastAsia="Arial Unicode MS" w:cs="Arial Unicode MS"/>
      <w:kern w:val="0"/>
      <w:szCs w:val="21"/>
    </w:rPr>
  </w:style>
  <w:style w:type="paragraph" w:customStyle="1" w:styleId="422">
    <w:name w:val="p15"/>
    <w:basedOn w:val="1"/>
    <w:qFormat/>
    <w:uiPriority w:val="99"/>
    <w:pPr>
      <w:widowControl/>
    </w:pPr>
    <w:rPr>
      <w:rFonts w:ascii="宋体" w:hAnsi="宋体" w:cs="宋体"/>
      <w:kern w:val="0"/>
      <w:szCs w:val="21"/>
    </w:rPr>
  </w:style>
  <w:style w:type="paragraph" w:customStyle="1" w:styleId="423">
    <w:name w:val="Char Char1 Char Char Char Char Char Char Char1"/>
    <w:basedOn w:val="1"/>
    <w:qFormat/>
    <w:uiPriority w:val="0"/>
    <w:pPr>
      <w:spacing w:line="360" w:lineRule="auto"/>
      <w:ind w:firstLine="200" w:firstLineChars="200"/>
    </w:pPr>
    <w:rPr>
      <w:szCs w:val="20"/>
    </w:rPr>
  </w:style>
  <w:style w:type="paragraph" w:customStyle="1" w:styleId="424">
    <w:name w:val="xl52"/>
    <w:basedOn w:val="1"/>
    <w:qFormat/>
    <w:uiPriority w:val="0"/>
    <w:pPr>
      <w:widowControl/>
      <w:spacing w:before="100" w:beforeAutospacing="1" w:after="100" w:afterAutospacing="1"/>
      <w:jc w:val="center"/>
      <w:textAlignment w:val="center"/>
    </w:pPr>
    <w:rPr>
      <w:rFonts w:ascii="Arial Unicode MS" w:hAnsi="Arial Unicode MS" w:eastAsia="Arial Unicode MS" w:cs="Arial Unicode MS"/>
      <w:kern w:val="0"/>
      <w:sz w:val="20"/>
      <w:szCs w:val="20"/>
    </w:rPr>
  </w:style>
  <w:style w:type="paragraph" w:customStyle="1" w:styleId="425">
    <w:name w:val="xl67"/>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textAlignment w:val="center"/>
    </w:pPr>
    <w:rPr>
      <w:rFonts w:ascii="Arial Unicode MS" w:hAnsi="Arial Unicode MS" w:eastAsia="Arial Unicode MS" w:cs="Arial Unicode MS"/>
      <w:kern w:val="0"/>
      <w:sz w:val="20"/>
      <w:szCs w:val="20"/>
    </w:rPr>
  </w:style>
  <w:style w:type="paragraph" w:customStyle="1" w:styleId="426">
    <w:name w:val="样式 样式 正文文本 + (中文) 宋体 + 首行缩进:  2 字符"/>
    <w:basedOn w:val="1"/>
    <w:qFormat/>
    <w:uiPriority w:val="0"/>
    <w:pPr>
      <w:spacing w:line="360" w:lineRule="auto"/>
      <w:ind w:firstLine="560" w:firstLineChars="200"/>
    </w:pPr>
    <w:rPr>
      <w:rFonts w:cs="宋体"/>
      <w:sz w:val="28"/>
    </w:rPr>
  </w:style>
  <w:style w:type="paragraph" w:customStyle="1" w:styleId="427">
    <w:name w:val="图标题"/>
    <w:basedOn w:val="1"/>
    <w:next w:val="1"/>
    <w:qFormat/>
    <w:uiPriority w:val="0"/>
    <w:pPr>
      <w:spacing w:line="440" w:lineRule="exact"/>
      <w:ind w:left="480"/>
      <w:jc w:val="center"/>
    </w:pPr>
    <w:rPr>
      <w:rFonts w:cs="宋体"/>
      <w:sz w:val="24"/>
      <w:szCs w:val="20"/>
    </w:rPr>
  </w:style>
  <w:style w:type="paragraph" w:customStyle="1" w:styleId="428">
    <w:name w:val="b"/>
    <w:basedOn w:val="141"/>
    <w:qFormat/>
    <w:uiPriority w:val="0"/>
    <w:pPr>
      <w:ind w:firstLine="0" w:firstLineChars="0"/>
      <w:jc w:val="center"/>
    </w:pPr>
    <w:rPr>
      <w:rFonts w:eastAsia="宋体"/>
      <w:b/>
      <w:color w:val="auto"/>
      <w:kern w:val="0"/>
      <w:sz w:val="30"/>
      <w:szCs w:val="30"/>
    </w:rPr>
  </w:style>
  <w:style w:type="character" w:customStyle="1" w:styleId="429">
    <w:name w:val="layui-layer-tabnow"/>
    <w:basedOn w:val="51"/>
    <w:qFormat/>
    <w:uiPriority w:val="0"/>
    <w:rPr>
      <w:bdr w:val="single" w:color="CCCCCC" w:sz="6" w:space="0"/>
      <w:shd w:val="clear" w:color="auto" w:fill="FFFFFF"/>
    </w:rPr>
  </w:style>
  <w:style w:type="character" w:customStyle="1" w:styleId="430">
    <w:name w:val="first-child"/>
    <w:basedOn w:val="51"/>
    <w:qFormat/>
    <w:uiPriority w:val="0"/>
  </w:style>
  <w:style w:type="character" w:customStyle="1" w:styleId="431">
    <w:name w:val="first-child1"/>
    <w:basedOn w:val="51"/>
    <w:qFormat/>
    <w:uiPriority w:val="0"/>
  </w:style>
  <w:style w:type="paragraph" w:customStyle="1" w:styleId="432">
    <w:name w:val="WPSOffice手动目录 1"/>
    <w:qFormat/>
    <w:uiPriority w:val="0"/>
    <w:pPr>
      <w:ind w:leftChars="0"/>
    </w:pPr>
    <w:rPr>
      <w:rFonts w:ascii="Times New Roman" w:hAnsi="Times New Roman" w:eastAsia="宋体" w:cs="Times New Roman"/>
      <w:sz w:val="20"/>
      <w:szCs w:val="20"/>
    </w:rPr>
  </w:style>
  <w:style w:type="paragraph" w:customStyle="1" w:styleId="433">
    <w:name w:val="WPSOffice手动目录 2"/>
    <w:qFormat/>
    <w:uiPriority w:val="0"/>
    <w:pPr>
      <w:ind w:leftChars="200"/>
    </w:pPr>
    <w:rPr>
      <w:rFonts w:ascii="Times New Roman" w:hAnsi="Times New Roman" w:eastAsia="宋体" w:cs="Times New Roman"/>
      <w:sz w:val="20"/>
      <w:szCs w:val="20"/>
    </w:rPr>
  </w:style>
  <w:style w:type="paragraph" w:customStyle="1" w:styleId="434">
    <w:name w:val="WPSOffice手动目录 3"/>
    <w:qFormat/>
    <w:uiPriority w:val="0"/>
    <w:pPr>
      <w:ind w:leftChars="400"/>
    </w:pPr>
    <w:rPr>
      <w:rFonts w:ascii="Times New Roman" w:hAnsi="Times New Roman" w:eastAsia="宋体" w:cs="Times New Roman"/>
      <w:sz w:val="20"/>
      <w:szCs w:val="20"/>
    </w:rPr>
  </w:style>
  <w:style w:type="paragraph" w:customStyle="1" w:styleId="435">
    <w:name w:val="样式 正文11 + 首行缩进:  2 字符"/>
    <w:basedOn w:val="1"/>
    <w:qFormat/>
    <w:uiPriority w:val="0"/>
    <w:pPr>
      <w:spacing w:line="500" w:lineRule="exact"/>
      <w:ind w:firstLine="560" w:firstLineChars="200"/>
    </w:pPr>
    <w:rPr>
      <w:rFonts w:ascii="宋体" w:hAnsi="宋体" w:cs="宋体"/>
      <w:color w:val="FF0000"/>
      <w:sz w:val="28"/>
      <w:szCs w:val="20"/>
    </w:rPr>
  </w:style>
  <w:style w:type="paragraph" w:customStyle="1" w:styleId="436">
    <w:name w:val="Default"/>
    <w:next w:val="28"/>
    <w:qFormat/>
    <w:uiPriority w:val="0"/>
    <w:pPr>
      <w:widowControl w:val="0"/>
      <w:autoSpaceDE w:val="0"/>
      <w:autoSpaceDN w:val="0"/>
      <w:adjustRightInd w:val="0"/>
    </w:pPr>
    <w:rPr>
      <w:rFonts w:ascii="黑体" w:hAnsi="Times New Roman" w:eastAsia="黑体" w:cs="Times New Roman"/>
      <w:lang w:val="en-US" w:eastAsia="zh-CN" w:bidi="ar-SA"/>
    </w:rPr>
  </w:style>
  <w:style w:type="paragraph" w:customStyle="1" w:styleId="437">
    <w:name w:val="样式 10 磅31114"/>
    <w:qFormat/>
    <w:uiPriority w:val="0"/>
    <w:pPr>
      <w:widowControl w:val="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113</Pages>
  <Words>14795</Words>
  <Characters>15699</Characters>
  <Lines>1060</Lines>
  <Paragraphs>298</Paragraphs>
  <TotalTime>0</TotalTime>
  <ScaleCrop>false</ScaleCrop>
  <LinksUpToDate>false</LinksUpToDate>
  <CharactersWithSpaces>15837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2019-04-04T00:22:00Z</dcterms:created>
  <dc:creator>xb21cn</dc:creator>
  <cp:lastModifiedBy>大博</cp:lastModifiedBy>
  <cp:lastPrinted>2024-11-25T07:09:00Z</cp:lastPrinted>
  <dcterms:modified xsi:type="dcterms:W3CDTF">2025-04-03T08:05:44Z</dcterms:modified>
  <cp:revision>48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E5A4FC59701E4AD59F97ACC0E0DB2FC7_13</vt:lpwstr>
  </property>
  <property fmtid="{D5CDD505-2E9C-101B-9397-08002B2CF9AE}" pid="4" name="KSOTemplateDocerSaveRecord">
    <vt:lpwstr>eyJoZGlkIjoiZDg1NjUwYTY3Yzg2MDI2YTlkODhjMmI1NDc0NTMyZDQiLCJ1c2VySWQiOiIxMTU3NzA3NzA2In0=</vt:lpwstr>
  </property>
</Properties>
</file>