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144FBF">
      <w:pPr>
        <w:pStyle w:val="55"/>
        <w:jc w:val="center"/>
        <w:rPr>
          <w:rFonts w:hint="eastAsia" w:asciiTheme="majorEastAsia" w:hAnsiTheme="majorEastAsia" w:eastAsiaTheme="majorEastAsia" w:cstheme="majorEastAsia"/>
          <w:color w:val="auto"/>
          <w:highlight w:val="none"/>
          <w:lang w:val="en-US" w:eastAsia="zh-CN"/>
        </w:rPr>
      </w:pPr>
      <w:bookmarkStart w:id="53" w:name="_GoBack"/>
      <w:r>
        <w:rPr>
          <w:rFonts w:hint="eastAsia" w:ascii="宋体" w:hAnsi="宋体" w:cs="宋体"/>
          <w:b/>
          <w:bCs/>
          <w:color w:val="auto"/>
          <w:sz w:val="60"/>
          <w:szCs w:val="60"/>
          <w:highlight w:val="none"/>
          <w:lang w:val="en-US" w:eastAsia="zh-CN"/>
        </w:rPr>
        <w:t>德惠市人民医院全身用X射线计算机体层摄影装置CT机等设备维保服务项目</w:t>
      </w:r>
    </w:p>
    <w:p w14:paraId="5C2BB1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color w:val="auto"/>
          <w:sz w:val="48"/>
          <w:szCs w:val="48"/>
          <w:highlight w:val="none"/>
        </w:rPr>
      </w:pPr>
    </w:p>
    <w:p w14:paraId="47EEA9A9">
      <w:pPr>
        <w:pageBreakBefore w:val="0"/>
        <w:widowControl/>
        <w:kinsoku/>
        <w:wordWrap/>
        <w:overflowPunct/>
        <w:topLinePunct w:val="0"/>
        <w:autoSpaceDE/>
        <w:autoSpaceDN/>
        <w:bidi w:val="0"/>
        <w:snapToGrid/>
        <w:spacing w:line="360" w:lineRule="auto"/>
        <w:jc w:val="both"/>
        <w:textAlignment w:val="auto"/>
        <w:rPr>
          <w:rFonts w:hint="eastAsia" w:ascii="宋体" w:hAnsi="宋体"/>
          <w:b/>
          <w:color w:val="auto"/>
          <w:sz w:val="84"/>
          <w:szCs w:val="84"/>
          <w:highlight w:val="none"/>
        </w:rPr>
      </w:pPr>
    </w:p>
    <w:p w14:paraId="2EFE0E99">
      <w:pPr>
        <w:pageBreakBefore w:val="0"/>
        <w:widowControl/>
        <w:kinsoku/>
        <w:wordWrap/>
        <w:overflowPunct/>
        <w:topLinePunct w:val="0"/>
        <w:autoSpaceDE/>
        <w:autoSpaceDN/>
        <w:bidi w:val="0"/>
        <w:snapToGrid/>
        <w:spacing w:line="360" w:lineRule="auto"/>
        <w:ind w:firstLine="465"/>
        <w:jc w:val="center"/>
        <w:textAlignment w:val="auto"/>
        <w:rPr>
          <w:rFonts w:hint="eastAsia" w:ascii="宋体" w:hAnsi="宋体"/>
          <w:b/>
          <w:color w:val="auto"/>
          <w:sz w:val="84"/>
          <w:szCs w:val="84"/>
          <w:highlight w:val="none"/>
        </w:rPr>
      </w:pPr>
    </w:p>
    <w:p w14:paraId="4FCFD928">
      <w:pPr>
        <w:pageBreakBefore w:val="0"/>
        <w:widowControl/>
        <w:kinsoku/>
        <w:wordWrap/>
        <w:overflowPunct/>
        <w:topLinePunct w:val="0"/>
        <w:autoSpaceDE/>
        <w:autoSpaceDN/>
        <w:bidi w:val="0"/>
        <w:snapToGrid/>
        <w:spacing w:line="360" w:lineRule="auto"/>
        <w:ind w:firstLine="465"/>
        <w:jc w:val="center"/>
        <w:textAlignment w:val="auto"/>
        <w:rPr>
          <w:rFonts w:hint="default" w:ascii="Times New Roman" w:hAnsi="Times New Roman" w:eastAsia="宋体" w:cs="Times New Roman"/>
          <w:b w:val="0"/>
          <w:bCs/>
          <w:snapToGrid w:val="0"/>
          <w:color w:val="auto"/>
          <w:sz w:val="24"/>
          <w:szCs w:val="24"/>
          <w:highlight w:val="none"/>
          <w:lang w:val="en-US" w:eastAsia="zh-CN"/>
        </w:rPr>
      </w:pPr>
      <w:r>
        <w:rPr>
          <w:rFonts w:hint="eastAsia" w:ascii="宋体" w:hAnsi="宋体"/>
          <w:b/>
          <w:color w:val="auto"/>
          <w:sz w:val="72"/>
          <w:szCs w:val="72"/>
          <w:highlight w:val="none"/>
        </w:rPr>
        <w:t>竞争性谈判文件</w:t>
      </w:r>
      <w:r>
        <w:rPr>
          <w:rFonts w:hint="eastAsia" w:ascii="宋体" w:hAnsi="宋体"/>
          <w:b/>
          <w:color w:val="auto"/>
          <w:sz w:val="84"/>
          <w:szCs w:val="84"/>
          <w:highlight w:val="none"/>
        </w:rPr>
        <w:cr/>
      </w:r>
      <w:r>
        <w:rPr>
          <w:rFonts w:hint="eastAsia" w:ascii="Times New Roman" w:hAnsi="Times New Roman" w:cs="Times New Roman"/>
          <w:b w:val="0"/>
          <w:bCs/>
          <w:snapToGrid w:val="0"/>
          <w:color w:val="auto"/>
          <w:sz w:val="24"/>
          <w:szCs w:val="24"/>
          <w:highlight w:val="none"/>
        </w:rPr>
        <w:t>项目编</w:t>
      </w:r>
      <w:r>
        <w:rPr>
          <w:rFonts w:hint="eastAsia" w:ascii="宋体" w:hAnsi="宋体" w:eastAsia="宋体" w:cs="宋体"/>
          <w:b w:val="0"/>
          <w:bCs/>
          <w:snapToGrid w:val="0"/>
          <w:color w:val="auto"/>
          <w:sz w:val="24"/>
          <w:szCs w:val="24"/>
          <w:highlight w:val="none"/>
        </w:rPr>
        <w:t>号：采购计划-[2025]-00022号-1</w:t>
      </w:r>
    </w:p>
    <w:p w14:paraId="4AE3246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32"/>
          <w:szCs w:val="32"/>
          <w:highlight w:val="none"/>
          <w:lang w:val="en-US" w:eastAsia="zh-CN"/>
        </w:rPr>
      </w:pPr>
    </w:p>
    <w:p w14:paraId="1B835732">
      <w:pPr>
        <w:jc w:val="center"/>
        <w:rPr>
          <w:rFonts w:ascii="宋体" w:hAnsi="宋体" w:cs="宋体"/>
          <w:b/>
          <w:bCs/>
          <w:color w:val="auto"/>
          <w:sz w:val="32"/>
          <w:szCs w:val="32"/>
          <w:highlight w:val="none"/>
        </w:rPr>
      </w:pPr>
    </w:p>
    <w:p w14:paraId="6D2EB0F0">
      <w:pPr>
        <w:spacing w:line="360" w:lineRule="auto"/>
        <w:jc w:val="center"/>
        <w:rPr>
          <w:rFonts w:hint="eastAsia" w:ascii="宋体" w:hAnsi="宋体"/>
          <w:b/>
          <w:color w:val="auto"/>
          <w:sz w:val="84"/>
          <w:szCs w:val="84"/>
          <w:highlight w:val="none"/>
        </w:rPr>
      </w:pPr>
    </w:p>
    <w:p w14:paraId="0B56B3EE">
      <w:pPr>
        <w:snapToGrid w:val="0"/>
        <w:spacing w:line="360" w:lineRule="auto"/>
        <w:ind w:firstLine="964" w:firstLineChars="300"/>
        <w:jc w:val="left"/>
        <w:rPr>
          <w:rFonts w:hint="eastAsia"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采购人：</w:t>
      </w:r>
      <w:r>
        <w:rPr>
          <w:rFonts w:hint="eastAsia" w:ascii="宋体" w:hAnsi="宋体" w:cs="宋体"/>
          <w:b/>
          <w:bCs/>
          <w:color w:val="auto"/>
          <w:sz w:val="32"/>
          <w:szCs w:val="32"/>
          <w:highlight w:val="none"/>
          <w:lang w:val="zh-CN" w:eastAsia="zh-CN"/>
        </w:rPr>
        <w:t>德惠市</w:t>
      </w:r>
      <w:r>
        <w:rPr>
          <w:rFonts w:hint="eastAsia" w:ascii="宋体" w:hAnsi="宋体" w:cs="宋体"/>
          <w:b/>
          <w:bCs/>
          <w:color w:val="auto"/>
          <w:sz w:val="32"/>
          <w:szCs w:val="32"/>
          <w:highlight w:val="none"/>
          <w:lang w:val="en-US" w:eastAsia="zh-CN"/>
        </w:rPr>
        <w:t>人民医院</w:t>
      </w:r>
      <w:r>
        <w:rPr>
          <w:rFonts w:hint="eastAsia" w:ascii="宋体" w:hAnsi="宋体" w:cs="宋体"/>
          <w:b/>
          <w:bCs/>
          <w:color w:val="auto"/>
          <w:sz w:val="32"/>
          <w:szCs w:val="32"/>
          <w:highlight w:val="none"/>
          <w:lang w:val="zh-CN"/>
        </w:rPr>
        <w:t>（盖章）</w:t>
      </w:r>
    </w:p>
    <w:p w14:paraId="4CA81AD8">
      <w:pPr>
        <w:snapToGrid w:val="0"/>
        <w:spacing w:line="360" w:lineRule="auto"/>
        <w:ind w:firstLine="964" w:firstLineChars="300"/>
        <w:jc w:val="left"/>
        <w:rPr>
          <w:rFonts w:hint="eastAsia" w:ascii="宋体" w:hAnsi="宋体" w:cs="宋体"/>
          <w:b/>
          <w:bCs/>
          <w:color w:val="auto"/>
          <w:sz w:val="32"/>
          <w:szCs w:val="32"/>
          <w:highlight w:val="none"/>
          <w:u w:val="single"/>
        </w:rPr>
      </w:pPr>
      <w:r>
        <w:rPr>
          <w:rFonts w:hint="eastAsia" w:ascii="宋体" w:hAnsi="宋体" w:cs="宋体"/>
          <w:b/>
          <w:bCs/>
          <w:color w:val="auto"/>
          <w:sz w:val="32"/>
          <w:szCs w:val="32"/>
          <w:highlight w:val="none"/>
          <w:lang w:val="en-US" w:eastAsia="zh-CN"/>
        </w:rPr>
        <w:t>采购</w:t>
      </w:r>
      <w:r>
        <w:rPr>
          <w:rFonts w:hint="eastAsia" w:ascii="宋体" w:hAnsi="宋体" w:cs="宋体"/>
          <w:b/>
          <w:bCs/>
          <w:color w:val="auto"/>
          <w:sz w:val="32"/>
          <w:szCs w:val="32"/>
          <w:highlight w:val="none"/>
          <w:lang w:val="zh-CN"/>
        </w:rPr>
        <w:t>代理机构：吉林省</w:t>
      </w:r>
      <w:r>
        <w:rPr>
          <w:rFonts w:hint="eastAsia" w:ascii="宋体" w:hAnsi="宋体" w:cs="宋体"/>
          <w:b/>
          <w:bCs/>
          <w:color w:val="auto"/>
          <w:sz w:val="32"/>
          <w:szCs w:val="32"/>
          <w:highlight w:val="none"/>
          <w:lang w:val="en-US" w:eastAsia="zh-CN"/>
        </w:rPr>
        <w:t>国渡项目管理有限公司</w:t>
      </w:r>
      <w:r>
        <w:rPr>
          <w:rFonts w:hint="eastAsia" w:ascii="宋体" w:hAnsi="宋体" w:cs="宋体"/>
          <w:b/>
          <w:bCs/>
          <w:color w:val="auto"/>
          <w:sz w:val="32"/>
          <w:szCs w:val="32"/>
          <w:highlight w:val="none"/>
        </w:rPr>
        <w:t>（盖章）</w:t>
      </w:r>
    </w:p>
    <w:p w14:paraId="08D2A3DB">
      <w:pPr>
        <w:ind w:firstLine="964" w:firstLineChars="300"/>
        <w:jc w:val="both"/>
        <w:rPr>
          <w:rFonts w:hint="eastAsia"/>
          <w:b/>
          <w:bCs/>
          <w:color w:val="auto"/>
          <w:sz w:val="36"/>
          <w:szCs w:val="36"/>
          <w:highlight w:val="none"/>
        </w:rPr>
        <w:sectPr>
          <w:headerReference r:id="rId3" w:type="default"/>
          <w:footerReference r:id="rId4"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r>
        <w:rPr>
          <w:rFonts w:hint="eastAsia" w:ascii="宋体" w:hAnsi="宋体" w:cs="宋体"/>
          <w:b/>
          <w:color w:val="auto"/>
          <w:sz w:val="32"/>
          <w:szCs w:val="32"/>
          <w:highlight w:val="none"/>
        </w:rPr>
        <w:t>日        期：二〇二</w:t>
      </w:r>
      <w:r>
        <w:rPr>
          <w:rFonts w:hint="eastAsia" w:ascii="宋体" w:hAnsi="宋体" w:cs="宋体"/>
          <w:b/>
          <w:color w:val="auto"/>
          <w:sz w:val="32"/>
          <w:szCs w:val="32"/>
          <w:highlight w:val="none"/>
          <w:lang w:val="en-US" w:eastAsia="zh-CN"/>
        </w:rPr>
        <w:t>五</w:t>
      </w:r>
      <w:r>
        <w:rPr>
          <w:rFonts w:hint="eastAsia" w:ascii="宋体" w:hAnsi="宋体" w:cs="宋体"/>
          <w:b/>
          <w:color w:val="auto"/>
          <w:sz w:val="32"/>
          <w:szCs w:val="32"/>
          <w:highlight w:val="none"/>
        </w:rPr>
        <w:t>年</w:t>
      </w:r>
      <w:r>
        <w:rPr>
          <w:rFonts w:hint="eastAsia" w:ascii="宋体" w:hAnsi="宋体" w:cs="宋体"/>
          <w:b/>
          <w:color w:val="auto"/>
          <w:sz w:val="32"/>
          <w:szCs w:val="32"/>
          <w:highlight w:val="none"/>
          <w:lang w:val="en-US" w:eastAsia="zh-CN"/>
        </w:rPr>
        <w:t>四</w:t>
      </w:r>
      <w:r>
        <w:rPr>
          <w:rFonts w:hint="eastAsia" w:ascii="宋体" w:hAnsi="宋体" w:cs="宋体"/>
          <w:b/>
          <w:color w:val="auto"/>
          <w:sz w:val="32"/>
          <w:szCs w:val="32"/>
          <w:highlight w:val="none"/>
        </w:rPr>
        <w:t>月</w:t>
      </w:r>
    </w:p>
    <w:p w14:paraId="012F025B">
      <w:pPr>
        <w:jc w:val="center"/>
        <w:rPr>
          <w:rFonts w:hint="eastAsia"/>
          <w:b/>
          <w:bCs/>
          <w:color w:val="auto"/>
          <w:sz w:val="36"/>
          <w:szCs w:val="36"/>
          <w:highlight w:val="none"/>
        </w:rPr>
      </w:pPr>
      <w:r>
        <w:rPr>
          <w:rFonts w:hint="eastAsia"/>
          <w:b/>
          <w:bCs/>
          <w:color w:val="auto"/>
          <w:sz w:val="36"/>
          <w:szCs w:val="36"/>
          <w:highlight w:val="none"/>
        </w:rPr>
        <w:t>目   录</w:t>
      </w:r>
    </w:p>
    <w:p w14:paraId="412FB364">
      <w:pPr>
        <w:rPr>
          <w:rFonts w:hint="eastAsia"/>
          <w:color w:val="auto"/>
          <w:sz w:val="36"/>
          <w:szCs w:val="36"/>
          <w:highlight w:val="none"/>
        </w:rPr>
      </w:pPr>
    </w:p>
    <w:p w14:paraId="0B5FFDE2">
      <w:pPr>
        <w:pStyle w:val="22"/>
        <w:tabs>
          <w:tab w:val="right" w:leader="dot" w:pos="9770"/>
        </w:tabs>
        <w:spacing w:line="480" w:lineRule="auto"/>
        <w:rPr>
          <w:rFonts w:cs="Times New Roman"/>
          <w:b w:val="0"/>
          <w:bCs w:val="0"/>
          <w:caps w:val="0"/>
          <w:color w:val="auto"/>
          <w:sz w:val="28"/>
          <w:szCs w:val="28"/>
          <w:highlight w:val="none"/>
          <w:lang w:val="en-US" w:eastAsia="zh-CN"/>
        </w:rPr>
      </w:pPr>
      <w:r>
        <w:rPr>
          <w:rFonts w:hint="eastAsia"/>
          <w:b w:val="0"/>
          <w:bCs w:val="0"/>
          <w:color w:val="auto"/>
          <w:sz w:val="28"/>
          <w:szCs w:val="28"/>
          <w:highlight w:val="none"/>
          <w:lang w:val="en-US" w:eastAsia="zh-CN"/>
        </w:rPr>
        <w:t>第一章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竞争性谈判公告</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1</w:t>
      </w:r>
    </w:p>
    <w:p w14:paraId="5F3725ED">
      <w:pPr>
        <w:pStyle w:val="22"/>
        <w:tabs>
          <w:tab w:val="right" w:leader="dot" w:pos="9770"/>
        </w:tabs>
        <w:spacing w:line="480" w:lineRule="auto"/>
        <w:rPr>
          <w:rFonts w:cs="Times New Roman"/>
          <w:b w:val="0"/>
          <w:bCs w:val="0"/>
          <w:caps w:val="0"/>
          <w:color w:val="auto"/>
          <w:sz w:val="28"/>
          <w:szCs w:val="28"/>
          <w:highlight w:val="none"/>
          <w:lang w:val="en-US" w:eastAsia="zh-CN"/>
        </w:rPr>
      </w:pPr>
      <w:r>
        <w:rPr>
          <w:rFonts w:hint="eastAsia"/>
          <w:b w:val="0"/>
          <w:bCs w:val="0"/>
          <w:color w:val="auto"/>
          <w:sz w:val="28"/>
          <w:szCs w:val="28"/>
          <w:highlight w:val="none"/>
          <w:lang w:val="en-US" w:eastAsia="zh-CN"/>
        </w:rPr>
        <w:t>第二章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供应商须知</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4</w:t>
      </w:r>
    </w:p>
    <w:p w14:paraId="39E05FEE">
      <w:pPr>
        <w:pStyle w:val="22"/>
        <w:tabs>
          <w:tab w:val="right" w:leader="dot" w:pos="9770"/>
        </w:tabs>
        <w:spacing w:line="480" w:lineRule="auto"/>
        <w:rPr>
          <w:rFonts w:hint="default" w:cs="Times New Roman"/>
          <w:b w:val="0"/>
          <w:bCs w:val="0"/>
          <w:caps w:val="0"/>
          <w:color w:val="auto"/>
          <w:sz w:val="28"/>
          <w:szCs w:val="28"/>
          <w:highlight w:val="none"/>
          <w:lang w:val="en-US" w:eastAsia="zh-CN"/>
        </w:rPr>
      </w:pPr>
      <w:r>
        <w:rPr>
          <w:rFonts w:hint="eastAsia"/>
          <w:b w:val="0"/>
          <w:bCs w:val="0"/>
          <w:color w:val="auto"/>
          <w:sz w:val="28"/>
          <w:szCs w:val="28"/>
          <w:highlight w:val="none"/>
          <w:lang w:val="en-US" w:eastAsia="zh-CN"/>
        </w:rPr>
        <w:t>第三章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服务采购需求</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17</w:t>
      </w:r>
    </w:p>
    <w:p w14:paraId="47FC0F51">
      <w:pPr>
        <w:pStyle w:val="22"/>
        <w:tabs>
          <w:tab w:val="right" w:leader="dot" w:pos="9770"/>
        </w:tabs>
        <w:spacing w:line="480" w:lineRule="auto"/>
        <w:rPr>
          <w:rFonts w:hint="default" w:cs="Times New Roman"/>
          <w:b w:val="0"/>
          <w:bCs w:val="0"/>
          <w:caps w:val="0"/>
          <w:color w:val="auto"/>
          <w:sz w:val="28"/>
          <w:szCs w:val="28"/>
          <w:highlight w:val="none"/>
          <w:lang w:val="en-US" w:eastAsia="zh-CN"/>
        </w:rPr>
      </w:pPr>
      <w:r>
        <w:rPr>
          <w:rFonts w:hint="eastAsia"/>
          <w:b w:val="0"/>
          <w:bCs w:val="0"/>
          <w:color w:val="auto"/>
          <w:sz w:val="28"/>
          <w:szCs w:val="28"/>
          <w:highlight w:val="none"/>
          <w:lang w:val="en-US" w:eastAsia="zh-CN"/>
        </w:rPr>
        <w:t>第四章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评审方法</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22</w:t>
      </w:r>
    </w:p>
    <w:p w14:paraId="5CC2815F">
      <w:pPr>
        <w:pStyle w:val="22"/>
        <w:tabs>
          <w:tab w:val="right" w:leader="dot" w:pos="9770"/>
        </w:tabs>
        <w:spacing w:line="480" w:lineRule="auto"/>
        <w:rPr>
          <w:rFonts w:hint="default" w:cs="Times New Roman"/>
          <w:b w:val="0"/>
          <w:bCs w:val="0"/>
          <w:caps w:val="0"/>
          <w:color w:val="auto"/>
          <w:sz w:val="28"/>
          <w:szCs w:val="28"/>
          <w:highlight w:val="none"/>
          <w:lang w:val="en-US" w:eastAsia="zh-CN"/>
        </w:rPr>
      </w:pPr>
      <w:r>
        <w:rPr>
          <w:rFonts w:hint="eastAsia"/>
          <w:b w:val="0"/>
          <w:bCs w:val="0"/>
          <w:color w:val="auto"/>
          <w:sz w:val="28"/>
          <w:szCs w:val="28"/>
          <w:highlight w:val="none"/>
          <w:lang w:val="en-US" w:eastAsia="zh-CN"/>
        </w:rPr>
        <w:t>第五章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合同主要条款及格式</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27</w:t>
      </w:r>
    </w:p>
    <w:p w14:paraId="68DE8EC0">
      <w:pPr>
        <w:pStyle w:val="22"/>
        <w:tabs>
          <w:tab w:val="right" w:leader="dot" w:pos="9770"/>
        </w:tabs>
        <w:spacing w:line="480" w:lineRule="auto"/>
        <w:rPr>
          <w:rFonts w:hint="default" w:cs="Times New Roman"/>
          <w:b w:val="0"/>
          <w:bCs w:val="0"/>
          <w:caps w:val="0"/>
          <w:color w:val="auto"/>
          <w:sz w:val="30"/>
          <w:szCs w:val="30"/>
          <w:highlight w:val="none"/>
          <w:lang w:val="en-US" w:eastAsia="zh-CN"/>
        </w:rPr>
      </w:pPr>
      <w:r>
        <w:rPr>
          <w:rFonts w:hint="eastAsia"/>
          <w:b w:val="0"/>
          <w:bCs w:val="0"/>
          <w:color w:val="auto"/>
          <w:sz w:val="28"/>
          <w:szCs w:val="28"/>
          <w:highlight w:val="none"/>
          <w:lang w:val="en-US" w:eastAsia="zh-CN"/>
        </w:rPr>
        <w:t>第六章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响应文件格式</w:t>
      </w:r>
      <w:r>
        <w:rPr>
          <w:b w:val="0"/>
          <w:bCs w:val="0"/>
          <w:color w:val="auto"/>
          <w:sz w:val="28"/>
          <w:szCs w:val="28"/>
          <w:highlight w:val="none"/>
          <w:lang w:val="en-US" w:eastAsia="zh-CN"/>
        </w:rPr>
        <w:tab/>
      </w:r>
      <w:r>
        <w:rPr>
          <w:rFonts w:hint="eastAsia"/>
          <w:b w:val="0"/>
          <w:bCs w:val="0"/>
          <w:color w:val="auto"/>
          <w:sz w:val="28"/>
          <w:szCs w:val="28"/>
          <w:highlight w:val="none"/>
          <w:lang w:val="en-US" w:eastAsia="zh-CN"/>
        </w:rPr>
        <w:t>28</w:t>
      </w:r>
    </w:p>
    <w:p w14:paraId="5B45DFF0">
      <w:pPr>
        <w:jc w:val="center"/>
        <w:rPr>
          <w:rFonts w:hint="eastAsia"/>
          <w:b/>
          <w:color w:val="auto"/>
          <w:sz w:val="32"/>
          <w:szCs w:val="32"/>
          <w:highlight w:val="none"/>
        </w:rPr>
      </w:pPr>
      <w:bookmarkStart w:id="0" w:name="_Toc432277437"/>
      <w:bookmarkStart w:id="1" w:name="_Toc455565641"/>
      <w:bookmarkStart w:id="2" w:name="_Toc432264365"/>
    </w:p>
    <w:p w14:paraId="491DF1B6">
      <w:pPr>
        <w:pStyle w:val="12"/>
        <w:rPr>
          <w:rFonts w:hint="eastAsia"/>
          <w:b/>
          <w:color w:val="auto"/>
          <w:sz w:val="32"/>
          <w:szCs w:val="32"/>
          <w:highlight w:val="none"/>
        </w:rPr>
      </w:pPr>
    </w:p>
    <w:p w14:paraId="56499654">
      <w:pPr>
        <w:pStyle w:val="34"/>
        <w:rPr>
          <w:rFonts w:hint="eastAsia"/>
          <w:b/>
          <w:color w:val="auto"/>
          <w:sz w:val="32"/>
          <w:szCs w:val="32"/>
          <w:highlight w:val="none"/>
        </w:rPr>
      </w:pPr>
    </w:p>
    <w:p w14:paraId="5BEB2C1F">
      <w:pPr>
        <w:pStyle w:val="34"/>
        <w:rPr>
          <w:rFonts w:hint="eastAsia"/>
          <w:b/>
          <w:color w:val="auto"/>
          <w:sz w:val="32"/>
          <w:szCs w:val="32"/>
          <w:highlight w:val="none"/>
        </w:rPr>
      </w:pPr>
    </w:p>
    <w:p w14:paraId="6F0764F3">
      <w:pPr>
        <w:pStyle w:val="34"/>
        <w:rPr>
          <w:rFonts w:hint="eastAsia"/>
          <w:b/>
          <w:color w:val="auto"/>
          <w:sz w:val="32"/>
          <w:szCs w:val="32"/>
          <w:highlight w:val="none"/>
        </w:rPr>
      </w:pPr>
    </w:p>
    <w:p w14:paraId="7926FF14">
      <w:pPr>
        <w:pStyle w:val="34"/>
        <w:rPr>
          <w:rFonts w:hint="eastAsia"/>
          <w:b/>
          <w:color w:val="auto"/>
          <w:sz w:val="32"/>
          <w:szCs w:val="32"/>
          <w:highlight w:val="none"/>
        </w:rPr>
      </w:pPr>
    </w:p>
    <w:p w14:paraId="5921B0EC">
      <w:pPr>
        <w:pStyle w:val="34"/>
        <w:rPr>
          <w:rFonts w:hint="eastAsia"/>
          <w:b/>
          <w:color w:val="auto"/>
          <w:sz w:val="32"/>
          <w:szCs w:val="32"/>
          <w:highlight w:val="none"/>
        </w:rPr>
      </w:pPr>
    </w:p>
    <w:p w14:paraId="7963FE89">
      <w:pPr>
        <w:pStyle w:val="34"/>
        <w:rPr>
          <w:rFonts w:hint="eastAsia"/>
          <w:b/>
          <w:color w:val="auto"/>
          <w:sz w:val="32"/>
          <w:szCs w:val="32"/>
          <w:highlight w:val="none"/>
        </w:rPr>
      </w:pPr>
    </w:p>
    <w:p w14:paraId="60D18A15">
      <w:pPr>
        <w:pStyle w:val="34"/>
        <w:rPr>
          <w:rFonts w:hint="eastAsia"/>
          <w:b/>
          <w:color w:val="auto"/>
          <w:sz w:val="32"/>
          <w:szCs w:val="32"/>
          <w:highlight w:val="none"/>
        </w:rPr>
      </w:pPr>
    </w:p>
    <w:p w14:paraId="22AEAE38">
      <w:pPr>
        <w:pStyle w:val="34"/>
        <w:rPr>
          <w:rFonts w:hint="eastAsia"/>
          <w:b/>
          <w:color w:val="auto"/>
          <w:sz w:val="32"/>
          <w:szCs w:val="32"/>
          <w:highlight w:val="none"/>
        </w:rPr>
      </w:pPr>
    </w:p>
    <w:p w14:paraId="6DFD06A0">
      <w:pPr>
        <w:pStyle w:val="34"/>
        <w:rPr>
          <w:rFonts w:hint="eastAsia"/>
          <w:b/>
          <w:color w:val="auto"/>
          <w:sz w:val="32"/>
          <w:szCs w:val="32"/>
          <w:highlight w:val="none"/>
        </w:rPr>
      </w:pPr>
    </w:p>
    <w:p w14:paraId="6BED5697">
      <w:pPr>
        <w:pStyle w:val="34"/>
        <w:rPr>
          <w:rFonts w:hint="eastAsia"/>
          <w:b/>
          <w:color w:val="auto"/>
          <w:sz w:val="32"/>
          <w:szCs w:val="32"/>
          <w:highlight w:val="none"/>
        </w:rPr>
      </w:pPr>
    </w:p>
    <w:p w14:paraId="072BB93E">
      <w:pPr>
        <w:pStyle w:val="34"/>
        <w:rPr>
          <w:rFonts w:hint="eastAsia"/>
          <w:b/>
          <w:color w:val="auto"/>
          <w:sz w:val="32"/>
          <w:szCs w:val="32"/>
          <w:highlight w:val="none"/>
        </w:rPr>
      </w:pPr>
    </w:p>
    <w:p w14:paraId="2DFA8042">
      <w:pPr>
        <w:pStyle w:val="34"/>
        <w:rPr>
          <w:rFonts w:hint="eastAsia"/>
          <w:b/>
          <w:color w:val="auto"/>
          <w:sz w:val="32"/>
          <w:szCs w:val="32"/>
          <w:highlight w:val="none"/>
        </w:rPr>
      </w:pPr>
    </w:p>
    <w:p w14:paraId="23740EE4">
      <w:pPr>
        <w:pStyle w:val="34"/>
        <w:rPr>
          <w:rFonts w:hint="eastAsia"/>
          <w:b/>
          <w:color w:val="auto"/>
          <w:sz w:val="32"/>
          <w:szCs w:val="32"/>
          <w:highlight w:val="none"/>
        </w:rPr>
      </w:pPr>
    </w:p>
    <w:p w14:paraId="091D55D3">
      <w:pPr>
        <w:pStyle w:val="34"/>
        <w:rPr>
          <w:rFonts w:hint="eastAsia"/>
          <w:b/>
          <w:color w:val="auto"/>
          <w:sz w:val="32"/>
          <w:szCs w:val="32"/>
          <w:highlight w:val="none"/>
        </w:rPr>
      </w:pPr>
    </w:p>
    <w:p w14:paraId="1ACA290C">
      <w:pPr>
        <w:jc w:val="center"/>
        <w:rPr>
          <w:rFonts w:hint="eastAsia"/>
          <w:b/>
          <w:color w:val="auto"/>
          <w:sz w:val="32"/>
          <w:szCs w:val="32"/>
          <w:highlight w:val="none"/>
        </w:rPr>
        <w:sectPr>
          <w:footerReference r:id="rId5"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p>
    <w:p w14:paraId="2DD4DBAE">
      <w:pPr>
        <w:spacing w:line="360" w:lineRule="auto"/>
        <w:jc w:val="center"/>
        <w:rPr>
          <w:rFonts w:hint="eastAsia"/>
          <w:b/>
          <w:color w:val="auto"/>
          <w:sz w:val="28"/>
          <w:szCs w:val="28"/>
          <w:highlight w:val="none"/>
        </w:rPr>
      </w:pPr>
      <w:r>
        <w:rPr>
          <w:rFonts w:hint="eastAsia"/>
          <w:b/>
          <w:color w:val="auto"/>
          <w:sz w:val="32"/>
          <w:szCs w:val="32"/>
          <w:highlight w:val="none"/>
        </w:rPr>
        <w:t>第一章  竞争性谈判</w:t>
      </w:r>
      <w:bookmarkEnd w:id="0"/>
      <w:bookmarkEnd w:id="1"/>
      <w:bookmarkEnd w:id="2"/>
      <w:r>
        <w:rPr>
          <w:rFonts w:hint="eastAsia"/>
          <w:b/>
          <w:color w:val="auto"/>
          <w:sz w:val="32"/>
          <w:szCs w:val="32"/>
          <w:highlight w:val="none"/>
        </w:rPr>
        <w:t>公告</w:t>
      </w:r>
    </w:p>
    <w:p w14:paraId="1B72C0CE">
      <w:pPr>
        <w:pageBreakBefore w:val="0"/>
        <w:widowControl/>
        <w:kinsoku/>
        <w:wordWrap/>
        <w:overflowPunct/>
        <w:topLinePunct w:val="0"/>
        <w:autoSpaceDE/>
        <w:autoSpaceDN/>
        <w:bidi w:val="0"/>
        <w:snapToGrid/>
        <w:spacing w:line="360" w:lineRule="auto"/>
        <w:ind w:firstLine="465"/>
        <w:jc w:val="center"/>
        <w:textAlignment w:val="auto"/>
        <w:rPr>
          <w:rFonts w:hint="default"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rPr>
        <w:t>项目编号：采购计划-[2025]-00022号-1</w:t>
      </w:r>
    </w:p>
    <w:p w14:paraId="0EA6A7E4">
      <w:pPr>
        <w:pageBreakBefore w:val="0"/>
        <w:widowControl/>
        <w:kinsoku/>
        <w:wordWrap/>
        <w:overflowPunct/>
        <w:topLinePunct w:val="0"/>
        <w:autoSpaceDE/>
        <w:autoSpaceDN/>
        <w:bidi w:val="0"/>
        <w:snapToGrid/>
        <w:spacing w:line="360" w:lineRule="auto"/>
        <w:ind w:firstLine="465"/>
        <w:textAlignment w:val="auto"/>
        <w:rPr>
          <w:rFonts w:hint="eastAsia"/>
          <w:b/>
          <w:snapToGrid w:val="0"/>
          <w:color w:val="auto"/>
          <w:szCs w:val="21"/>
          <w:highlight w:val="none"/>
        </w:rPr>
      </w:pPr>
      <w:r>
        <w:rPr>
          <w:rFonts w:hint="eastAsia"/>
          <w:b/>
          <w:snapToGrid w:val="0"/>
          <w:color w:val="auto"/>
          <w:szCs w:val="21"/>
          <w:highlight w:val="none"/>
        </w:rPr>
        <w:t>项目概况</w:t>
      </w:r>
    </w:p>
    <w:p w14:paraId="0AC56CAF">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u w:val="single"/>
          <w:lang w:val="en-US" w:eastAsia="zh-CN"/>
        </w:rPr>
        <w:t>德惠市人民医院全身用X射线计算机体层摄影装置CT机等设备维保服务项目</w:t>
      </w:r>
      <w:r>
        <w:rPr>
          <w:rFonts w:ascii="宋体" w:hAnsi="宋体" w:cs="黑体"/>
          <w:b w:val="0"/>
          <w:color w:val="auto"/>
          <w:kern w:val="0"/>
          <w:sz w:val="21"/>
          <w:szCs w:val="21"/>
          <w:highlight w:val="none"/>
          <w:lang w:val="en-US" w:eastAsia="zh-CN"/>
        </w:rPr>
        <w:t>的潜在供应商应在</w:t>
      </w:r>
      <w:r>
        <w:rPr>
          <w:rFonts w:hint="eastAsia" w:ascii="宋体" w:hAnsi="宋体" w:cs="黑体"/>
          <w:b w:val="0"/>
          <w:color w:val="auto"/>
          <w:kern w:val="0"/>
          <w:sz w:val="21"/>
          <w:szCs w:val="21"/>
          <w:highlight w:val="none"/>
          <w:lang w:val="en-US" w:eastAsia="zh-CN"/>
        </w:rPr>
        <w:t>“政采云”平台（https://www.zcygov.cn/）获取（下载）竞争性谈判文件，并于</w:t>
      </w:r>
      <w:r>
        <w:rPr>
          <w:rFonts w:hint="eastAsia" w:ascii="宋体" w:hAnsi="宋体" w:cs="黑体"/>
          <w:b w:val="0"/>
          <w:color w:val="auto"/>
          <w:kern w:val="0"/>
          <w:sz w:val="21"/>
          <w:szCs w:val="21"/>
          <w:highlight w:val="none"/>
          <w:lang w:val="en-US" w:eastAsia="zh-CN"/>
        </w:rPr>
        <w:t>2025年04月15日14点30分</w:t>
      </w:r>
      <w:r>
        <w:rPr>
          <w:rFonts w:hint="eastAsia" w:ascii="宋体" w:hAnsi="宋体" w:cs="黑体"/>
          <w:b w:val="0"/>
          <w:color w:val="auto"/>
          <w:kern w:val="0"/>
          <w:sz w:val="21"/>
          <w:szCs w:val="21"/>
          <w:highlight w:val="none"/>
          <w:lang w:val="en-US" w:eastAsia="zh-CN"/>
        </w:rPr>
        <w:t>（北京时间）前递交响应文件。</w:t>
      </w:r>
    </w:p>
    <w:p w14:paraId="5EC38D09">
      <w:pPr>
        <w:pageBreakBefore w:val="0"/>
        <w:widowControl/>
        <w:kinsoku/>
        <w:wordWrap/>
        <w:overflowPunct/>
        <w:topLinePunct w:val="0"/>
        <w:autoSpaceDE/>
        <w:autoSpaceDN/>
        <w:bidi w:val="0"/>
        <w:snapToGrid/>
        <w:spacing w:line="360" w:lineRule="auto"/>
        <w:textAlignment w:val="auto"/>
        <w:rPr>
          <w:rFonts w:hint="default" w:ascii="宋体" w:hAnsi="宋体" w:cs="黑体"/>
          <w:b w:val="0"/>
          <w:color w:val="auto"/>
          <w:kern w:val="0"/>
          <w:sz w:val="21"/>
          <w:szCs w:val="21"/>
          <w:highlight w:val="none"/>
          <w:lang w:val="en-US" w:eastAsia="zh-CN"/>
        </w:rPr>
      </w:pPr>
      <w:r>
        <w:rPr>
          <w:rFonts w:hint="eastAsia" w:ascii="宋体" w:hAnsi="宋体" w:cs="黑体"/>
          <w:b/>
          <w:color w:val="auto"/>
          <w:kern w:val="0"/>
          <w:szCs w:val="21"/>
          <w:highlight w:val="none"/>
        </w:rPr>
        <w:t>一、项目基本情况</w:t>
      </w:r>
      <w:r>
        <w:rPr>
          <w:rFonts w:hint="eastAsia" w:cs="黑体"/>
          <w:b/>
          <w:color w:val="auto"/>
          <w:kern w:val="0"/>
          <w:szCs w:val="21"/>
          <w:highlight w:val="none"/>
        </w:rPr>
        <w:t>：</w:t>
      </w:r>
    </w:p>
    <w:p w14:paraId="1E8DF650">
      <w:pPr>
        <w:pageBreakBefore w:val="0"/>
        <w:kinsoku/>
        <w:wordWrap/>
        <w:overflowPunct/>
        <w:topLinePunct w:val="0"/>
        <w:autoSpaceDE/>
        <w:autoSpaceDN/>
        <w:bidi w:val="0"/>
        <w:snapToGrid/>
        <w:spacing w:line="360" w:lineRule="auto"/>
        <w:ind w:firstLine="420" w:firstLineChars="200"/>
        <w:textAlignment w:val="auto"/>
        <w:rPr>
          <w:rFonts w:hint="default"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项目编号：</w:t>
      </w:r>
      <w:r>
        <w:rPr>
          <w:rFonts w:hint="eastAsia" w:ascii="宋体" w:hAnsi="宋体" w:eastAsia="宋体" w:cs="宋体"/>
          <w:b w:val="0"/>
          <w:bCs/>
          <w:snapToGrid w:val="0"/>
          <w:color w:val="auto"/>
          <w:szCs w:val="21"/>
          <w:highlight w:val="none"/>
        </w:rPr>
        <w:t>采购计划-[2025]-00022号-1</w:t>
      </w:r>
      <w:r>
        <w:rPr>
          <w:rFonts w:hint="eastAsia" w:ascii="宋体" w:hAnsi="宋体" w:cs="黑体"/>
          <w:b w:val="0"/>
          <w:color w:val="auto"/>
          <w:kern w:val="0"/>
          <w:sz w:val="21"/>
          <w:szCs w:val="21"/>
          <w:highlight w:val="none"/>
          <w:lang w:val="en-US" w:eastAsia="zh-CN"/>
        </w:rPr>
        <w:t>；</w:t>
      </w:r>
    </w:p>
    <w:p w14:paraId="600EE54F">
      <w:pPr>
        <w:pageBreakBefore w:val="0"/>
        <w:kinsoku/>
        <w:wordWrap/>
        <w:overflowPunct/>
        <w:topLinePunct w:val="0"/>
        <w:autoSpaceDE/>
        <w:autoSpaceDN/>
        <w:bidi w:val="0"/>
        <w:snapToGrid/>
        <w:spacing w:line="360" w:lineRule="auto"/>
        <w:ind w:firstLine="420" w:firstLineChars="200"/>
        <w:textAlignment w:val="auto"/>
        <w:rPr>
          <w:rFonts w:hint="eastAsia" w:ascii="宋体" w:hAnsi="宋体" w:eastAsia="宋体" w:cs="黑体"/>
          <w:bCs/>
          <w:color w:val="auto"/>
          <w:kern w:val="0"/>
          <w:szCs w:val="21"/>
          <w:highlight w:val="none"/>
          <w:lang w:eastAsia="zh-CN"/>
        </w:rPr>
      </w:pPr>
      <w:r>
        <w:rPr>
          <w:rFonts w:ascii="宋体" w:hAnsi="宋体" w:cs="黑体"/>
          <w:bCs/>
          <w:color w:val="auto"/>
          <w:kern w:val="0"/>
          <w:szCs w:val="21"/>
          <w:highlight w:val="none"/>
        </w:rPr>
        <w:t>项目名称：</w:t>
      </w:r>
      <w:r>
        <w:rPr>
          <w:rFonts w:hint="eastAsia" w:ascii="宋体" w:hAnsi="宋体" w:cs="黑体"/>
          <w:bCs/>
          <w:color w:val="auto"/>
          <w:kern w:val="0"/>
          <w:szCs w:val="21"/>
          <w:highlight w:val="none"/>
          <w:lang w:val="en-US" w:eastAsia="zh-CN"/>
        </w:rPr>
        <w:t>德惠市人民医院全身用X射线计算机体层摄影装置CT机等设备维保服务项目；</w:t>
      </w:r>
    </w:p>
    <w:p w14:paraId="44DC9219">
      <w:pPr>
        <w:pageBreakBefore w:val="0"/>
        <w:kinsoku/>
        <w:wordWrap/>
        <w:overflowPunct/>
        <w:topLinePunct w:val="0"/>
        <w:autoSpaceDE/>
        <w:autoSpaceDN/>
        <w:bidi w:val="0"/>
        <w:snapToGrid/>
        <w:spacing w:line="360" w:lineRule="auto"/>
        <w:ind w:firstLine="420" w:firstLineChars="200"/>
        <w:textAlignment w:val="auto"/>
        <w:rPr>
          <w:rFonts w:hint="eastAsia" w:ascii="宋体" w:hAnsi="宋体" w:eastAsia="宋体" w:cs="黑体"/>
          <w:bCs/>
          <w:color w:val="auto"/>
          <w:kern w:val="0"/>
          <w:szCs w:val="21"/>
          <w:highlight w:val="none"/>
          <w:lang w:eastAsia="zh-CN"/>
        </w:rPr>
      </w:pPr>
      <w:r>
        <w:rPr>
          <w:rFonts w:ascii="宋体" w:hAnsi="宋体" w:cs="黑体"/>
          <w:bCs/>
          <w:color w:val="auto"/>
          <w:kern w:val="0"/>
          <w:szCs w:val="21"/>
          <w:highlight w:val="none"/>
        </w:rPr>
        <w:t>采购方式：竞争性谈判</w:t>
      </w:r>
      <w:r>
        <w:rPr>
          <w:rFonts w:hint="eastAsia" w:ascii="宋体" w:hAnsi="宋体" w:cs="黑体"/>
          <w:bCs/>
          <w:color w:val="auto"/>
          <w:kern w:val="0"/>
          <w:szCs w:val="21"/>
          <w:highlight w:val="none"/>
          <w:lang w:eastAsia="zh-CN"/>
        </w:rPr>
        <w:t>；</w:t>
      </w:r>
    </w:p>
    <w:p w14:paraId="342C47D5">
      <w:pPr>
        <w:pageBreakBefore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预算金额：</w:t>
      </w:r>
      <w:r>
        <w:rPr>
          <w:rFonts w:hint="eastAsia" w:ascii="宋体" w:hAnsi="宋体" w:cs="宋体"/>
          <w:b w:val="0"/>
          <w:color w:val="auto"/>
          <w:sz w:val="21"/>
          <w:szCs w:val="21"/>
          <w:highlight w:val="none"/>
          <w:lang w:val="en-US" w:eastAsia="zh-CN"/>
        </w:rPr>
        <w:t>人民币395，000</w:t>
      </w:r>
      <w:r>
        <w:rPr>
          <w:rFonts w:hint="eastAsia" w:ascii="宋体" w:hAnsi="宋体" w:eastAsia="宋体" w:cs="宋体"/>
          <w:b w:val="0"/>
          <w:color w:val="auto"/>
          <w:sz w:val="21"/>
          <w:szCs w:val="21"/>
          <w:highlight w:val="none"/>
          <w:lang w:val="en-US" w:eastAsia="zh-CN"/>
        </w:rPr>
        <w:t>.00元；</w:t>
      </w:r>
    </w:p>
    <w:p w14:paraId="0D622582">
      <w:pPr>
        <w:pageBreakBefore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最高限价：</w:t>
      </w:r>
      <w:r>
        <w:rPr>
          <w:rFonts w:hint="eastAsia" w:ascii="宋体" w:hAnsi="宋体" w:cs="宋体"/>
          <w:b w:val="0"/>
          <w:color w:val="auto"/>
          <w:sz w:val="21"/>
          <w:szCs w:val="21"/>
          <w:highlight w:val="none"/>
          <w:lang w:val="en-US" w:eastAsia="zh-CN"/>
        </w:rPr>
        <w:t>人民币395，000</w:t>
      </w:r>
      <w:r>
        <w:rPr>
          <w:rFonts w:hint="eastAsia" w:ascii="宋体" w:hAnsi="宋体" w:eastAsia="宋体" w:cs="宋体"/>
          <w:b w:val="0"/>
          <w:color w:val="auto"/>
          <w:sz w:val="21"/>
          <w:szCs w:val="21"/>
          <w:highlight w:val="none"/>
          <w:lang w:val="en-US" w:eastAsia="zh-CN"/>
        </w:rPr>
        <w:t>.00元；</w:t>
      </w:r>
    </w:p>
    <w:p w14:paraId="5B1BF9C4">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eastAsia"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采购需求：</w:t>
      </w:r>
    </w:p>
    <w:p w14:paraId="06705A75">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eastAsia"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1.服务范围：德惠市人民医院全身用X射线计算机体层摄影装置CT机等设备维保服务（具体详见竞争性谈判文件）；</w:t>
      </w:r>
    </w:p>
    <w:p w14:paraId="6DB88F64">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eastAsia"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2.服务期限：自合同签订之日起一年；</w:t>
      </w:r>
    </w:p>
    <w:p w14:paraId="0CF27EDC">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eastAsia"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3.服务地点：采购人指定地点；</w:t>
      </w:r>
    </w:p>
    <w:p w14:paraId="20167F8E">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default"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4.服务标准：符合国家、省、市现行相关法律法规及行业标准规范。</w:t>
      </w:r>
    </w:p>
    <w:p w14:paraId="61940880">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hint="eastAsia" w:ascii="宋体" w:hAnsi="宋体" w:cs="黑体"/>
          <w:b w:val="0"/>
          <w:color w:val="auto"/>
          <w:kern w:val="0"/>
          <w:sz w:val="21"/>
          <w:szCs w:val="21"/>
          <w:highlight w:val="none"/>
          <w:lang w:val="en-US" w:eastAsia="zh-CN"/>
        </w:rPr>
      </w:pPr>
      <w:r>
        <w:rPr>
          <w:rFonts w:hint="eastAsia" w:ascii="宋体" w:hAnsi="宋体" w:cs="黑体"/>
          <w:b w:val="0"/>
          <w:color w:val="auto"/>
          <w:kern w:val="0"/>
          <w:sz w:val="21"/>
          <w:szCs w:val="21"/>
          <w:highlight w:val="none"/>
          <w:lang w:val="en-US" w:eastAsia="zh-CN"/>
        </w:rPr>
        <w:t>合同履行期限：自合同签订之日起一年。</w:t>
      </w:r>
    </w:p>
    <w:p w14:paraId="5C3F8E56">
      <w:pPr>
        <w:pStyle w:val="3"/>
        <w:pageBreakBefore w:val="0"/>
        <w:widowControl/>
        <w:kinsoku/>
        <w:wordWrap/>
        <w:overflowPunct/>
        <w:topLinePunct w:val="0"/>
        <w:autoSpaceDE/>
        <w:autoSpaceDN/>
        <w:bidi w:val="0"/>
        <w:snapToGrid/>
        <w:spacing w:before="0" w:after="0" w:line="360" w:lineRule="auto"/>
        <w:ind w:firstLine="420" w:firstLineChars="200"/>
        <w:jc w:val="left"/>
        <w:textAlignment w:val="auto"/>
        <w:rPr>
          <w:rFonts w:ascii="宋体" w:hAnsi="宋体" w:cs="黑体"/>
          <w:b w:val="0"/>
          <w:color w:val="auto"/>
          <w:kern w:val="0"/>
          <w:sz w:val="21"/>
          <w:szCs w:val="21"/>
          <w:highlight w:val="none"/>
          <w:lang w:val="en-US" w:eastAsia="zh-CN"/>
        </w:rPr>
      </w:pPr>
      <w:r>
        <w:rPr>
          <w:rFonts w:ascii="宋体" w:hAnsi="宋体" w:cs="黑体"/>
          <w:b w:val="0"/>
          <w:color w:val="auto"/>
          <w:kern w:val="0"/>
          <w:sz w:val="21"/>
          <w:szCs w:val="21"/>
          <w:highlight w:val="none"/>
          <w:lang w:val="en-US" w:eastAsia="zh-CN"/>
        </w:rPr>
        <w:t>本项目</w:t>
      </w:r>
      <w:r>
        <w:rPr>
          <w:rFonts w:hint="eastAsia" w:ascii="宋体" w:hAnsi="宋体" w:cs="黑体"/>
          <w:b w:val="0"/>
          <w:color w:val="auto"/>
          <w:kern w:val="0"/>
          <w:sz w:val="21"/>
          <w:szCs w:val="21"/>
          <w:highlight w:val="none"/>
          <w:lang w:val="en-US" w:eastAsia="zh-CN"/>
        </w:rPr>
        <w:t>不</w:t>
      </w:r>
      <w:r>
        <w:rPr>
          <w:rFonts w:ascii="宋体" w:hAnsi="宋体" w:cs="黑体"/>
          <w:b w:val="0"/>
          <w:color w:val="auto"/>
          <w:kern w:val="0"/>
          <w:sz w:val="21"/>
          <w:szCs w:val="21"/>
          <w:highlight w:val="none"/>
          <w:lang w:val="en-US" w:eastAsia="zh-CN"/>
        </w:rPr>
        <w:t>接受联合体</w:t>
      </w:r>
      <w:r>
        <w:rPr>
          <w:rFonts w:hint="eastAsia" w:ascii="宋体" w:hAnsi="宋体" w:cs="黑体"/>
          <w:b w:val="0"/>
          <w:color w:val="auto"/>
          <w:kern w:val="0"/>
          <w:sz w:val="21"/>
          <w:szCs w:val="21"/>
          <w:highlight w:val="none"/>
          <w:lang w:val="en-US" w:eastAsia="zh-CN"/>
        </w:rPr>
        <w:t>。</w:t>
      </w:r>
    </w:p>
    <w:p w14:paraId="7DBD5435">
      <w:pPr>
        <w:pageBreakBefore w:val="0"/>
        <w:kinsoku/>
        <w:wordWrap/>
        <w:overflowPunct/>
        <w:topLinePunct w:val="0"/>
        <w:autoSpaceDE/>
        <w:autoSpaceDN/>
        <w:bidi w:val="0"/>
        <w:snapToGrid/>
        <w:spacing w:line="360" w:lineRule="auto"/>
        <w:textAlignment w:val="auto"/>
        <w:rPr>
          <w:b/>
          <w:color w:val="auto"/>
          <w:highlight w:val="none"/>
        </w:rPr>
      </w:pPr>
      <w:r>
        <w:rPr>
          <w:rFonts w:hint="eastAsia" w:cs="黑体"/>
          <w:b/>
          <w:color w:val="auto"/>
          <w:kern w:val="0"/>
          <w:szCs w:val="21"/>
          <w:highlight w:val="none"/>
        </w:rPr>
        <w:t>二、申请人的资格要求：</w:t>
      </w:r>
    </w:p>
    <w:p w14:paraId="2511DE3B">
      <w:pPr>
        <w:keepNext w:val="0"/>
        <w:keepLines w:val="0"/>
        <w:pageBreakBefore w:val="0"/>
        <w:widowControl/>
        <w:kinsoku/>
        <w:wordWrap/>
        <w:overflowPunct/>
        <w:topLinePunct w:val="0"/>
        <w:autoSpaceDE/>
        <w:autoSpaceDN/>
        <w:bidi w:val="0"/>
        <w:adjustRightInd/>
        <w:snapToGrid/>
        <w:spacing w:line="360" w:lineRule="auto"/>
        <w:ind w:firstLine="465"/>
        <w:textAlignment w:val="auto"/>
        <w:rPr>
          <w:rFonts w:hint="eastAsia" w:ascii="宋体" w:hAnsi="宋体" w:eastAsia="宋体" w:cs="宋体"/>
          <w:bCs/>
          <w:snapToGrid w:val="0"/>
          <w:color w:val="auto"/>
          <w:szCs w:val="21"/>
          <w:highlight w:val="none"/>
        </w:rPr>
      </w:pPr>
      <w:bookmarkStart w:id="3" w:name="_bookmark3"/>
      <w:bookmarkEnd w:id="3"/>
      <w:r>
        <w:rPr>
          <w:rFonts w:hint="eastAsia" w:ascii="宋体" w:hAnsi="宋体" w:eastAsia="宋体" w:cs="宋体"/>
          <w:bCs/>
          <w:snapToGrid w:val="0"/>
          <w:color w:val="auto"/>
          <w:szCs w:val="21"/>
          <w:highlight w:val="none"/>
        </w:rPr>
        <w:t>1.满足《中华人民共和国政府采购法》第二十二条规定；</w:t>
      </w:r>
    </w:p>
    <w:p w14:paraId="632DBFF9">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snapToGrid w:val="0"/>
          <w:color w:val="auto"/>
          <w:szCs w:val="21"/>
          <w:highlight w:val="none"/>
          <w:lang w:val="zh-CN"/>
        </w:rPr>
      </w:pPr>
      <w:r>
        <w:rPr>
          <w:rFonts w:hint="eastAsia" w:ascii="宋体" w:hAnsi="宋体" w:cs="宋体"/>
          <w:b w:val="0"/>
          <w:bCs/>
          <w:snapToGrid w:val="0"/>
          <w:color w:val="auto"/>
          <w:szCs w:val="21"/>
          <w:highlight w:val="none"/>
          <w:lang w:val="en-US" w:eastAsia="zh-CN"/>
        </w:rPr>
        <w:t>2.</w:t>
      </w:r>
      <w:r>
        <w:rPr>
          <w:rFonts w:hint="eastAsia" w:ascii="宋体" w:hAnsi="宋体" w:cs="宋体"/>
          <w:b w:val="0"/>
          <w:bCs/>
          <w:snapToGrid w:val="0"/>
          <w:color w:val="auto"/>
          <w:szCs w:val="21"/>
          <w:highlight w:val="none"/>
        </w:rPr>
        <w:t>落实政府采购政策需满足的资格要求：本项目专门面向中小企业</w:t>
      </w:r>
      <w:r>
        <w:rPr>
          <w:rFonts w:hint="eastAsia" w:ascii="宋体" w:hAnsi="宋体" w:cs="宋体"/>
          <w:b w:val="0"/>
          <w:bCs/>
          <w:snapToGrid w:val="0"/>
          <w:color w:val="auto"/>
          <w:szCs w:val="21"/>
          <w:highlight w:val="none"/>
          <w:lang w:eastAsia="zh-CN"/>
        </w:rPr>
        <w:t>，</w:t>
      </w:r>
      <w:r>
        <w:rPr>
          <w:rFonts w:hint="eastAsia" w:ascii="宋体" w:hAnsi="宋体" w:cs="宋体"/>
          <w:b w:val="0"/>
          <w:bCs/>
          <w:snapToGrid w:val="0"/>
          <w:color w:val="auto"/>
          <w:szCs w:val="21"/>
          <w:highlight w:val="none"/>
        </w:rPr>
        <w:t>《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ascii="宋体" w:hAnsi="宋体" w:cs="宋体"/>
          <w:b w:val="0"/>
          <w:bCs/>
          <w:snapToGrid w:val="0"/>
          <w:color w:val="auto"/>
          <w:szCs w:val="21"/>
          <w:highlight w:val="none"/>
          <w:lang w:val="zh-CN"/>
        </w:rPr>
        <w:t>；</w:t>
      </w:r>
    </w:p>
    <w:p w14:paraId="66A0C791">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snapToGrid w:val="0"/>
          <w:color w:val="auto"/>
          <w:szCs w:val="21"/>
          <w:highlight w:val="none"/>
        </w:rPr>
      </w:pPr>
      <w:r>
        <w:rPr>
          <w:rFonts w:hint="eastAsia" w:ascii="宋体" w:hAnsi="宋体" w:cs="宋体"/>
          <w:b w:val="0"/>
          <w:bCs/>
          <w:snapToGrid w:val="0"/>
          <w:color w:val="auto"/>
          <w:szCs w:val="21"/>
          <w:highlight w:val="none"/>
        </w:rPr>
        <w:t>3.本项目的特定资格要求：</w:t>
      </w:r>
    </w:p>
    <w:p w14:paraId="0218777E">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lang w:val="zh-CN"/>
        </w:rPr>
        <w:t>3.1</w:t>
      </w:r>
      <w:r>
        <w:rPr>
          <w:rFonts w:hint="eastAsia" w:ascii="宋体" w:hAnsi="宋体" w:eastAsia="宋体" w:cs="宋体"/>
          <w:b w:val="0"/>
          <w:bCs/>
          <w:snapToGrid w:val="0"/>
          <w:color w:val="auto"/>
          <w:szCs w:val="21"/>
          <w:highlight w:val="none"/>
        </w:rPr>
        <w:t>供应商</w:t>
      </w:r>
      <w:r>
        <w:rPr>
          <w:rFonts w:hint="eastAsia" w:ascii="宋体" w:hAnsi="宋体" w:eastAsia="宋体" w:cs="宋体"/>
          <w:b w:val="0"/>
          <w:bCs/>
          <w:snapToGrid w:val="0"/>
          <w:color w:val="auto"/>
          <w:szCs w:val="21"/>
          <w:highlight w:val="none"/>
          <w:lang w:val="en-US" w:eastAsia="zh-CN"/>
        </w:rPr>
        <w:t>应是在中华人民共和国境内注册，应是具有独立承担民事责任能力的法人或其他组织，具备有效的营业执照，在人员、设备配备要求满足项目需求，具备承揽本项目的能力；</w:t>
      </w:r>
    </w:p>
    <w:p w14:paraId="63A9A47B">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2</w:t>
      </w:r>
      <w:r>
        <w:rPr>
          <w:rFonts w:hint="default" w:ascii="Calibri" w:hAnsi="Calibri" w:eastAsia="宋体" w:cs="Calibri"/>
          <w:b w:val="0"/>
          <w:bCs/>
          <w:snapToGrid w:val="0"/>
          <w:color w:val="auto"/>
          <w:szCs w:val="21"/>
          <w:highlight w:val="none"/>
          <w:lang w:val="en-US" w:eastAsia="zh-CN"/>
        </w:rPr>
        <w:t>①</w:t>
      </w:r>
      <w:r>
        <w:rPr>
          <w:rFonts w:hint="eastAsia" w:ascii="宋体" w:hAnsi="宋体" w:eastAsia="宋体" w:cs="宋体"/>
          <w:b w:val="0"/>
          <w:bCs/>
          <w:snapToGrid w:val="0"/>
          <w:color w:val="auto"/>
          <w:szCs w:val="21"/>
          <w:highlight w:val="none"/>
          <w:lang w:val="en-US" w:eastAsia="zh-CN"/>
        </w:rPr>
        <w:t>投标供应商为生产企业的，应提供食品药品监督管理部门颁发的《医疗器械生产许可证》或在有效期内的《医疗器械生产企业许可证》；</w:t>
      </w:r>
    </w:p>
    <w:p w14:paraId="08BC9553">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rPr>
      </w:pPr>
      <w:r>
        <w:rPr>
          <w:rFonts w:hint="eastAsia" w:ascii="宋体" w:hAnsi="宋体" w:eastAsia="宋体" w:cs="宋体"/>
          <w:b w:val="0"/>
          <w:bCs/>
          <w:snapToGrid w:val="0"/>
          <w:color w:val="auto"/>
          <w:szCs w:val="21"/>
          <w:highlight w:val="none"/>
          <w:lang w:val="en-US" w:eastAsia="zh-CN"/>
        </w:rPr>
        <w:t xml:space="preserve"> </w:t>
      </w:r>
      <w:r>
        <w:rPr>
          <w:rFonts w:hint="default" w:ascii="Calibri" w:hAnsi="Calibri" w:eastAsia="宋体" w:cs="Calibri"/>
          <w:b w:val="0"/>
          <w:bCs/>
          <w:snapToGrid w:val="0"/>
          <w:color w:val="auto"/>
          <w:szCs w:val="21"/>
          <w:highlight w:val="none"/>
          <w:lang w:val="en-US" w:eastAsia="zh-CN"/>
        </w:rPr>
        <w:t>②</w:t>
      </w:r>
      <w:r>
        <w:rPr>
          <w:rFonts w:hint="eastAsia" w:ascii="宋体" w:hAnsi="宋体" w:eastAsia="宋体" w:cs="宋体"/>
          <w:b w:val="0"/>
          <w:bCs/>
          <w:snapToGrid w:val="0"/>
          <w:color w:val="auto"/>
          <w:szCs w:val="21"/>
          <w:highlight w:val="none"/>
          <w:lang w:val="en-US" w:eastAsia="zh-CN"/>
        </w:rPr>
        <w:t>投标供应商为经营企业的，应提供食品药品监督管理部门颁发的《第二类医疗器械经营备案凭证》或有效期内的《医疗器械经营企业许可证》。</w:t>
      </w:r>
    </w:p>
    <w:p w14:paraId="622AE7A8">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cs="宋体"/>
          <w:b w:val="0"/>
          <w:bCs/>
          <w:snapToGrid w:val="0"/>
          <w:color w:val="auto"/>
          <w:szCs w:val="21"/>
          <w:highlight w:val="none"/>
          <w:lang w:val="en-US" w:eastAsia="zh-CN"/>
        </w:rPr>
        <w:t>3.3</w:t>
      </w:r>
      <w:r>
        <w:rPr>
          <w:rFonts w:hint="eastAsia" w:ascii="宋体" w:hAnsi="宋体" w:eastAsia="宋体" w:cs="宋体"/>
          <w:b w:val="0"/>
          <w:bCs/>
          <w:snapToGrid w:val="0"/>
          <w:color w:val="auto"/>
          <w:szCs w:val="21"/>
          <w:highlight w:val="none"/>
          <w:lang w:val="en-US" w:eastAsia="zh-CN"/>
        </w:rPr>
        <w:t>供应商</w:t>
      </w:r>
      <w:r>
        <w:rPr>
          <w:rFonts w:hint="eastAsia" w:ascii="宋体" w:hAnsi="宋体" w:eastAsia="宋体" w:cs="宋体"/>
          <w:b w:val="0"/>
          <w:bCs/>
          <w:snapToGrid w:val="0"/>
          <w:color w:val="auto"/>
          <w:szCs w:val="21"/>
          <w:highlight w:val="none"/>
          <w:lang w:val="zh-CN" w:eastAsia="zh-CN"/>
        </w:rPr>
        <w:t>参加采购活动应当提交反映其财务状况、依法缴纳税收和社会保障资金情况的资格条件承诺函，并对资格条件承诺函有关内容的真实性、有效性、合法性负责（执行长财采购〔2022〕2066号文件规定）；</w:t>
      </w:r>
    </w:p>
    <w:p w14:paraId="25B61BD4">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4</w:t>
      </w:r>
      <w:r>
        <w:rPr>
          <w:rFonts w:hint="eastAsia" w:ascii="宋体" w:hAnsi="宋体" w:eastAsia="宋体" w:cs="宋体"/>
          <w:b w:val="0"/>
          <w:bCs/>
          <w:snapToGrid w:val="0"/>
          <w:color w:val="auto"/>
          <w:szCs w:val="21"/>
          <w:highlight w:val="none"/>
          <w:lang w:val="en-US" w:eastAsia="zh-CN"/>
        </w:rPr>
        <w:t>信誉要求：（1）拒绝列入政府取消投标资格记录期间的企业或个人投标；（2）供应商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w:t>
      </w:r>
      <w:r>
        <w:rPr>
          <w:rFonts w:hint="eastAsia" w:ascii="宋体" w:hAnsi="宋体" w:eastAsia="宋体" w:cs="黑体"/>
          <w:b w:val="0"/>
          <w:bCs/>
          <w:color w:val="auto"/>
          <w:kern w:val="0"/>
          <w:sz w:val="21"/>
          <w:szCs w:val="21"/>
          <w:highlight w:val="none"/>
          <w:lang w:val="en-US" w:eastAsia="zh-CN" w:bidi="ar-SA"/>
        </w:rPr>
        <w:t>在2022年至今</w:t>
      </w:r>
      <w:r>
        <w:rPr>
          <w:rFonts w:hint="eastAsia" w:ascii="宋体" w:hAnsi="宋体" w:eastAsia="宋体" w:cs="宋体"/>
          <w:b w:val="0"/>
          <w:bCs/>
          <w:snapToGrid w:val="0"/>
          <w:color w:val="auto"/>
          <w:szCs w:val="21"/>
          <w:highlight w:val="none"/>
          <w:lang w:val="en-US" w:eastAsia="zh-CN"/>
        </w:rPr>
        <w:t>供应商在“中国裁判文书网”(wenshu.court.gov.cn)上无行贿犯罪行为；</w:t>
      </w:r>
    </w:p>
    <w:p w14:paraId="4CD960D6">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5</w:t>
      </w:r>
      <w:r>
        <w:rPr>
          <w:rFonts w:hint="eastAsia" w:ascii="宋体" w:hAnsi="宋体" w:eastAsia="宋体" w:cs="宋体"/>
          <w:b w:val="0"/>
          <w:bCs/>
          <w:snapToGrid w:val="0"/>
          <w:color w:val="auto"/>
          <w:szCs w:val="21"/>
          <w:highlight w:val="none"/>
          <w:lang w:val="zh-CN"/>
        </w:rPr>
        <w:t>与采购人存在利害关系可能影响招标公正性的法人、其他组织或者个人，不得参加投标。</w:t>
      </w:r>
      <w:r>
        <w:rPr>
          <w:rFonts w:hint="eastAsia" w:ascii="宋体" w:hAnsi="宋体" w:eastAsia="宋体" w:cs="黑体"/>
          <w:b w:val="0"/>
          <w:bCs/>
          <w:color w:val="auto"/>
          <w:kern w:val="0"/>
          <w:sz w:val="21"/>
          <w:szCs w:val="21"/>
          <w:highlight w:val="none"/>
          <w:lang w:val="zh-CN" w:eastAsia="zh-CN" w:bidi="ar-SA"/>
        </w:rPr>
        <w:t>单位负责人为同一人或者存在直接控股、管理关系的不同供应商参加同一合同项下分标或未划分分标的同一合同项下的政府采购活动</w:t>
      </w:r>
      <w:r>
        <w:rPr>
          <w:rFonts w:hint="eastAsia" w:ascii="宋体" w:hAnsi="宋体" w:eastAsia="宋体" w:cs="宋体"/>
          <w:b w:val="0"/>
          <w:bCs/>
          <w:snapToGrid w:val="0"/>
          <w:color w:val="auto"/>
          <w:szCs w:val="21"/>
          <w:highlight w:val="none"/>
          <w:lang w:val="zh-CN"/>
        </w:rPr>
        <w:t>。违反这两款规定的，相关投标应当被否决；</w:t>
      </w:r>
    </w:p>
    <w:p w14:paraId="560A7805">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lang w:val="en-US" w:eastAsia="zh-CN"/>
        </w:rPr>
        <w:t>3</w:t>
      </w:r>
      <w:r>
        <w:rPr>
          <w:rFonts w:hint="eastAsia" w:ascii="宋体" w:hAnsi="宋体" w:eastAsia="宋体" w:cs="宋体"/>
          <w:b w:val="0"/>
          <w:bCs/>
          <w:snapToGrid w:val="0"/>
          <w:color w:val="auto"/>
          <w:szCs w:val="21"/>
          <w:highlight w:val="none"/>
          <w:lang w:val="zh-CN"/>
        </w:rPr>
        <w:t>.</w:t>
      </w:r>
      <w:r>
        <w:rPr>
          <w:rFonts w:hint="eastAsia" w:ascii="宋体" w:hAnsi="宋体" w:cs="宋体"/>
          <w:b w:val="0"/>
          <w:bCs/>
          <w:snapToGrid w:val="0"/>
          <w:color w:val="auto"/>
          <w:szCs w:val="21"/>
          <w:highlight w:val="none"/>
          <w:lang w:val="en-US" w:eastAsia="zh-CN"/>
        </w:rPr>
        <w:t>6</w:t>
      </w:r>
      <w:r>
        <w:rPr>
          <w:rFonts w:hint="eastAsia" w:ascii="宋体" w:hAnsi="宋体" w:eastAsia="宋体" w:cs="宋体"/>
          <w:b w:val="0"/>
          <w:bCs/>
          <w:snapToGrid w:val="0"/>
          <w:color w:val="auto"/>
          <w:szCs w:val="21"/>
          <w:highlight w:val="none"/>
          <w:lang w:val="en-US" w:eastAsia="zh-CN"/>
        </w:rPr>
        <w:t>谈判</w:t>
      </w:r>
      <w:r>
        <w:rPr>
          <w:rFonts w:hint="eastAsia" w:ascii="宋体" w:hAnsi="宋体" w:eastAsia="宋体" w:cs="宋体"/>
          <w:b w:val="0"/>
          <w:bCs/>
          <w:snapToGrid w:val="0"/>
          <w:color w:val="auto"/>
          <w:szCs w:val="21"/>
          <w:highlight w:val="none"/>
          <w:lang w:val="zh-CN"/>
        </w:rPr>
        <w:t>过程中，供应商所提供的所有证件均需在有效期内且注册单位名称与供应商的名称一致，如企业名称发生变更，需提供主管部门出具的变更证明材料，否则不接受其供应商参与本次</w:t>
      </w:r>
      <w:r>
        <w:rPr>
          <w:rFonts w:hint="eastAsia" w:ascii="宋体" w:hAnsi="宋体" w:eastAsia="宋体" w:cs="宋体"/>
          <w:b w:val="0"/>
          <w:bCs/>
          <w:snapToGrid w:val="0"/>
          <w:color w:val="auto"/>
          <w:szCs w:val="21"/>
          <w:highlight w:val="none"/>
          <w:lang w:val="en-US" w:eastAsia="zh-CN"/>
        </w:rPr>
        <w:t>采购</w:t>
      </w:r>
      <w:r>
        <w:rPr>
          <w:rFonts w:hint="eastAsia" w:ascii="宋体" w:hAnsi="宋体" w:eastAsia="宋体" w:cs="宋体"/>
          <w:b w:val="0"/>
          <w:bCs/>
          <w:snapToGrid w:val="0"/>
          <w:color w:val="auto"/>
          <w:szCs w:val="21"/>
          <w:highlight w:val="none"/>
          <w:lang w:val="zh-CN"/>
        </w:rPr>
        <w:t>项目；</w:t>
      </w:r>
    </w:p>
    <w:p w14:paraId="26E30693">
      <w:pPr>
        <w:pageBreakBefore w:val="0"/>
        <w:widowControl/>
        <w:kinsoku/>
        <w:wordWrap/>
        <w:overflowPunct/>
        <w:topLinePunct w:val="0"/>
        <w:autoSpaceDE/>
        <w:autoSpaceDN/>
        <w:bidi w:val="0"/>
        <w:snapToGrid/>
        <w:spacing w:line="360" w:lineRule="auto"/>
        <w:textAlignment w:val="auto"/>
        <w:rPr>
          <w:rFonts w:hint="eastAsia" w:ascii="宋体" w:hAnsi="宋体" w:eastAsia="宋体" w:cs="宋体"/>
          <w:bCs/>
          <w:color w:val="auto"/>
          <w:szCs w:val="21"/>
          <w:highlight w:val="none"/>
          <w:lang w:val="en-US" w:eastAsia="zh-CN"/>
        </w:rPr>
      </w:pPr>
      <w:r>
        <w:rPr>
          <w:rFonts w:hint="eastAsia" w:cs="宋体"/>
          <w:b/>
          <w:bCs w:val="0"/>
          <w:color w:val="auto"/>
          <w:szCs w:val="21"/>
          <w:highlight w:val="none"/>
        </w:rPr>
        <w:t>三、获取</w:t>
      </w:r>
      <w:r>
        <w:rPr>
          <w:rFonts w:hint="eastAsia" w:cs="宋体"/>
          <w:b/>
          <w:bCs w:val="0"/>
          <w:color w:val="auto"/>
          <w:szCs w:val="21"/>
          <w:highlight w:val="none"/>
          <w:lang w:val="en-US" w:eastAsia="zh-CN"/>
        </w:rPr>
        <w:t>竞争性谈判文件:</w:t>
      </w:r>
    </w:p>
    <w:p w14:paraId="70C865ED">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color w:val="auto"/>
          <w:szCs w:val="21"/>
          <w:highlight w:val="none"/>
          <w:lang w:val="zh-CN"/>
        </w:rPr>
      </w:pPr>
      <w:r>
        <w:rPr>
          <w:rFonts w:hint="eastAsia" w:ascii="宋体" w:hAnsi="宋体" w:cs="宋体"/>
          <w:bCs/>
          <w:snapToGrid w:val="0"/>
          <w:color w:val="auto"/>
          <w:szCs w:val="21"/>
          <w:highlight w:val="none"/>
          <w:lang w:val="en-US" w:eastAsia="zh-CN"/>
        </w:rPr>
        <w:t>1.</w:t>
      </w:r>
      <w:r>
        <w:rPr>
          <w:rFonts w:hint="eastAsia" w:ascii="宋体" w:hAnsi="宋体" w:cs="宋体"/>
          <w:bCs/>
          <w:snapToGrid w:val="0"/>
          <w:color w:val="auto"/>
          <w:szCs w:val="21"/>
          <w:highlight w:val="none"/>
          <w:lang w:val="zh-CN"/>
        </w:rPr>
        <w:t>时间：</w:t>
      </w:r>
      <w:r>
        <w:rPr>
          <w:rFonts w:hint="eastAsia" w:ascii="宋体" w:hAnsi="宋体" w:cs="宋体"/>
          <w:bCs/>
          <w:snapToGrid w:val="0"/>
          <w:color w:val="auto"/>
          <w:szCs w:val="21"/>
          <w:highlight w:val="none"/>
          <w:lang w:val="zh-CN"/>
        </w:rPr>
        <w:t>202</w:t>
      </w:r>
      <w:r>
        <w:rPr>
          <w:rFonts w:hint="eastAsia" w:ascii="宋体" w:hAnsi="宋体" w:cs="宋体"/>
          <w:bCs/>
          <w:snapToGrid w:val="0"/>
          <w:color w:val="auto"/>
          <w:szCs w:val="21"/>
          <w:highlight w:val="none"/>
          <w:lang w:val="en-US" w:eastAsia="zh-CN"/>
        </w:rPr>
        <w:t>5</w:t>
      </w:r>
      <w:r>
        <w:rPr>
          <w:rFonts w:hint="eastAsia" w:ascii="宋体" w:hAnsi="宋体" w:cs="宋体"/>
          <w:bCs/>
          <w:snapToGrid w:val="0"/>
          <w:color w:val="auto"/>
          <w:szCs w:val="21"/>
          <w:highlight w:val="none"/>
          <w:lang w:val="zh-CN"/>
        </w:rPr>
        <w:t>年</w:t>
      </w:r>
      <w:r>
        <w:rPr>
          <w:rFonts w:hint="eastAsia" w:ascii="宋体" w:hAnsi="宋体" w:cs="宋体"/>
          <w:bCs/>
          <w:snapToGrid w:val="0"/>
          <w:color w:val="auto"/>
          <w:szCs w:val="21"/>
          <w:highlight w:val="none"/>
          <w:lang w:val="en-US" w:eastAsia="zh-CN"/>
        </w:rPr>
        <w:t>04</w:t>
      </w:r>
      <w:r>
        <w:rPr>
          <w:rFonts w:hint="eastAsia" w:ascii="宋体" w:hAnsi="宋体" w:cs="宋体"/>
          <w:bCs/>
          <w:snapToGrid w:val="0"/>
          <w:color w:val="auto"/>
          <w:szCs w:val="21"/>
          <w:highlight w:val="none"/>
          <w:lang w:val="zh-CN"/>
        </w:rPr>
        <w:t>月</w:t>
      </w:r>
      <w:r>
        <w:rPr>
          <w:rFonts w:hint="eastAsia" w:ascii="宋体" w:hAnsi="宋体" w:cs="宋体"/>
          <w:bCs/>
          <w:snapToGrid w:val="0"/>
          <w:color w:val="auto"/>
          <w:szCs w:val="21"/>
          <w:highlight w:val="none"/>
          <w:lang w:val="en-US" w:eastAsia="zh-CN"/>
        </w:rPr>
        <w:t>03</w:t>
      </w:r>
      <w:r>
        <w:rPr>
          <w:rFonts w:hint="eastAsia" w:ascii="宋体" w:hAnsi="宋体" w:cs="宋体"/>
          <w:bCs/>
          <w:snapToGrid w:val="0"/>
          <w:color w:val="auto"/>
          <w:szCs w:val="21"/>
          <w:highlight w:val="none"/>
          <w:lang w:val="zh-CN"/>
        </w:rPr>
        <w:t>日至202</w:t>
      </w:r>
      <w:r>
        <w:rPr>
          <w:rFonts w:hint="eastAsia" w:ascii="宋体" w:hAnsi="宋体" w:cs="宋体"/>
          <w:bCs/>
          <w:snapToGrid w:val="0"/>
          <w:color w:val="auto"/>
          <w:szCs w:val="21"/>
          <w:highlight w:val="none"/>
          <w:lang w:val="en-US" w:eastAsia="zh-CN"/>
        </w:rPr>
        <w:t>5</w:t>
      </w:r>
      <w:r>
        <w:rPr>
          <w:rFonts w:hint="eastAsia" w:ascii="宋体" w:hAnsi="宋体" w:cs="宋体"/>
          <w:bCs/>
          <w:snapToGrid w:val="0"/>
          <w:color w:val="auto"/>
          <w:szCs w:val="21"/>
          <w:highlight w:val="none"/>
          <w:lang w:val="zh-CN"/>
        </w:rPr>
        <w:t>年</w:t>
      </w:r>
      <w:r>
        <w:rPr>
          <w:rFonts w:hint="eastAsia" w:ascii="宋体" w:hAnsi="宋体" w:cs="宋体"/>
          <w:bCs/>
          <w:snapToGrid w:val="0"/>
          <w:color w:val="auto"/>
          <w:szCs w:val="21"/>
          <w:highlight w:val="none"/>
          <w:lang w:val="en-US" w:eastAsia="zh-CN"/>
        </w:rPr>
        <w:t>04</w:t>
      </w:r>
      <w:r>
        <w:rPr>
          <w:rFonts w:hint="eastAsia" w:ascii="宋体" w:hAnsi="宋体" w:cs="宋体"/>
          <w:bCs/>
          <w:snapToGrid w:val="0"/>
          <w:color w:val="auto"/>
          <w:szCs w:val="21"/>
          <w:highlight w:val="none"/>
          <w:lang w:val="zh-CN"/>
        </w:rPr>
        <w:t>月</w:t>
      </w:r>
      <w:r>
        <w:rPr>
          <w:rFonts w:hint="eastAsia" w:ascii="宋体" w:hAnsi="宋体" w:cs="宋体"/>
          <w:bCs/>
          <w:snapToGrid w:val="0"/>
          <w:color w:val="auto"/>
          <w:szCs w:val="21"/>
          <w:highlight w:val="none"/>
          <w:lang w:val="en-US" w:eastAsia="zh-CN"/>
        </w:rPr>
        <w:t>09</w:t>
      </w:r>
      <w:r>
        <w:rPr>
          <w:rFonts w:hint="eastAsia" w:ascii="宋体" w:hAnsi="宋体" w:cs="宋体"/>
          <w:bCs/>
          <w:snapToGrid w:val="0"/>
          <w:color w:val="auto"/>
          <w:szCs w:val="21"/>
          <w:highlight w:val="none"/>
          <w:lang w:val="zh-CN"/>
        </w:rPr>
        <w:t>日</w:t>
      </w:r>
      <w:r>
        <w:rPr>
          <w:rFonts w:hint="eastAsia" w:ascii="宋体" w:hAnsi="宋体" w:cs="宋体"/>
          <w:bCs/>
          <w:snapToGrid w:val="0"/>
          <w:color w:val="auto"/>
          <w:szCs w:val="21"/>
          <w:highlight w:val="none"/>
          <w:lang w:val="zh-CN"/>
        </w:rPr>
        <w:t>，每天上午8:00时至下午16:00时。</w:t>
      </w:r>
    </w:p>
    <w:p w14:paraId="20AA874E">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color w:val="auto"/>
          <w:szCs w:val="21"/>
          <w:highlight w:val="none"/>
          <w:lang w:val="zh-CN"/>
        </w:rPr>
      </w:pPr>
      <w:r>
        <w:rPr>
          <w:rFonts w:hint="eastAsia" w:ascii="宋体" w:hAnsi="宋体" w:cs="宋体"/>
          <w:bCs/>
          <w:snapToGrid w:val="0"/>
          <w:color w:val="auto"/>
          <w:szCs w:val="21"/>
          <w:highlight w:val="none"/>
          <w:lang w:val="en-US" w:eastAsia="zh-CN"/>
        </w:rPr>
        <w:t>2.获取</w:t>
      </w:r>
      <w:r>
        <w:rPr>
          <w:rFonts w:hint="eastAsia" w:ascii="宋体" w:hAnsi="宋体" w:cs="宋体"/>
          <w:bCs/>
          <w:snapToGrid w:val="0"/>
          <w:color w:val="auto"/>
          <w:szCs w:val="21"/>
          <w:highlight w:val="none"/>
          <w:lang w:val="zh-CN"/>
        </w:rPr>
        <w:t>方式：本项目不发放纸质版竞争性谈判文件。供应商可自行在“政采云”平台（http：//www.zcygov.cn）下载竞争性谈判文件（操作路径：登录“政采云”平台-项目采购-获取竞争性谈判文件-找到本项目-点击“申请获取竞争性谈判文件”），电子响应文件制作需要基于“政采云”平台获取的竞争性谈判文件编制。具体注册及下载文件方法请访问“政采云”平台查询相关信息。</w:t>
      </w:r>
    </w:p>
    <w:p w14:paraId="0677415F">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color w:val="auto"/>
          <w:szCs w:val="21"/>
          <w:highlight w:val="none"/>
          <w:lang w:val="en-US" w:eastAsia="zh-CN"/>
        </w:rPr>
      </w:pPr>
      <w:r>
        <w:rPr>
          <w:rFonts w:hint="eastAsia" w:ascii="宋体" w:hAnsi="宋体" w:cs="宋体"/>
          <w:bCs/>
          <w:snapToGrid w:val="0"/>
          <w:color w:val="auto"/>
          <w:szCs w:val="21"/>
          <w:highlight w:val="none"/>
          <w:lang w:val="en-US" w:eastAsia="zh-CN"/>
        </w:rPr>
        <w:t>3.未进行网上注册的供应商将无法参与本次采购活动。</w:t>
      </w:r>
    </w:p>
    <w:p w14:paraId="3CE1CA03">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cs="宋体"/>
          <w:bCs/>
          <w:snapToGrid w:val="0"/>
          <w:color w:val="auto"/>
          <w:szCs w:val="21"/>
          <w:highlight w:val="none"/>
          <w:lang w:val="en-US" w:eastAsia="zh-CN"/>
        </w:rPr>
        <w:t>4.有效供应商不足三家时，采购人另行组织采购。</w:t>
      </w:r>
    </w:p>
    <w:p w14:paraId="609D2219">
      <w:pPr>
        <w:pageBreakBefore w:val="0"/>
        <w:widowControl/>
        <w:numPr>
          <w:ilvl w:val="0"/>
          <w:numId w:val="0"/>
        </w:numPr>
        <w:kinsoku/>
        <w:wordWrap/>
        <w:overflowPunct/>
        <w:topLinePunct w:val="0"/>
        <w:autoSpaceDE/>
        <w:autoSpaceDN/>
        <w:bidi w:val="0"/>
        <w:snapToGrid/>
        <w:spacing w:line="360" w:lineRule="auto"/>
        <w:textAlignment w:val="auto"/>
        <w:rPr>
          <w:rFonts w:hint="eastAsia" w:cs="宋体"/>
          <w:b/>
          <w:bCs/>
          <w:color w:val="auto"/>
          <w:szCs w:val="21"/>
          <w:highlight w:val="none"/>
        </w:rPr>
      </w:pPr>
      <w:r>
        <w:rPr>
          <w:rFonts w:hint="eastAsia" w:cs="宋体"/>
          <w:b/>
          <w:bCs/>
          <w:color w:val="auto"/>
          <w:szCs w:val="21"/>
          <w:highlight w:val="none"/>
          <w:lang w:val="en-US" w:eastAsia="zh-CN"/>
        </w:rPr>
        <w:t>四、</w:t>
      </w:r>
      <w:r>
        <w:rPr>
          <w:rFonts w:hint="eastAsia" w:cs="宋体"/>
          <w:b/>
          <w:bCs/>
          <w:color w:val="auto"/>
          <w:szCs w:val="21"/>
          <w:highlight w:val="none"/>
        </w:rPr>
        <w:t>响应文件</w:t>
      </w:r>
      <w:r>
        <w:rPr>
          <w:rFonts w:hint="eastAsia" w:cs="宋体"/>
          <w:b/>
          <w:bCs/>
          <w:color w:val="auto"/>
          <w:szCs w:val="21"/>
          <w:highlight w:val="none"/>
          <w:lang w:val="en-US" w:eastAsia="zh-CN"/>
        </w:rPr>
        <w:t>提交:</w:t>
      </w:r>
    </w:p>
    <w:p w14:paraId="13FDEFE8">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Cs/>
          <w:snapToGrid w:val="0"/>
          <w:color w:val="auto"/>
          <w:szCs w:val="21"/>
          <w:highlight w:val="none"/>
          <w:lang w:eastAsia="zh-CN"/>
        </w:rPr>
      </w:pPr>
      <w:r>
        <w:rPr>
          <w:rFonts w:hint="eastAsia" w:ascii="宋体" w:hAnsi="宋体" w:cs="宋体"/>
          <w:bCs/>
          <w:snapToGrid w:val="0"/>
          <w:color w:val="auto"/>
          <w:szCs w:val="21"/>
          <w:highlight w:val="none"/>
          <w:lang w:val="en-US" w:eastAsia="zh-CN"/>
        </w:rPr>
        <w:t>1.</w:t>
      </w:r>
      <w:r>
        <w:rPr>
          <w:rFonts w:hint="eastAsia" w:ascii="宋体" w:hAnsi="宋体" w:cs="宋体"/>
          <w:bCs/>
          <w:snapToGrid w:val="0"/>
          <w:color w:val="auto"/>
          <w:szCs w:val="21"/>
          <w:highlight w:val="none"/>
        </w:rPr>
        <w:t>截止时间：</w:t>
      </w:r>
      <w:r>
        <w:rPr>
          <w:rFonts w:hint="eastAsia" w:ascii="宋体" w:hAnsi="宋体" w:cs="黑体"/>
          <w:b w:val="0"/>
          <w:color w:val="auto"/>
          <w:kern w:val="0"/>
          <w:sz w:val="21"/>
          <w:szCs w:val="21"/>
          <w:highlight w:val="none"/>
          <w:lang w:val="en-US" w:eastAsia="zh-CN"/>
        </w:rPr>
        <w:t>2025年04月15日14点30分</w:t>
      </w:r>
      <w:r>
        <w:rPr>
          <w:rFonts w:hint="eastAsia" w:ascii="宋体" w:hAnsi="宋体" w:cs="宋体"/>
          <w:bCs/>
          <w:snapToGrid w:val="0"/>
          <w:color w:val="auto"/>
          <w:szCs w:val="21"/>
          <w:highlight w:val="none"/>
        </w:rPr>
        <w:t>（北京时间）</w:t>
      </w:r>
      <w:r>
        <w:rPr>
          <w:rFonts w:hint="eastAsia" w:ascii="宋体" w:hAnsi="宋体" w:cs="宋体"/>
          <w:bCs/>
          <w:snapToGrid w:val="0"/>
          <w:color w:val="auto"/>
          <w:szCs w:val="21"/>
          <w:highlight w:val="none"/>
          <w:lang w:eastAsia="zh-CN"/>
        </w:rPr>
        <w:t>。</w:t>
      </w:r>
    </w:p>
    <w:p w14:paraId="43255417">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Cs/>
          <w:snapToGrid w:val="0"/>
          <w:color w:val="auto"/>
          <w:szCs w:val="21"/>
          <w:highlight w:val="none"/>
          <w:lang w:eastAsia="zh-CN"/>
        </w:rPr>
      </w:pPr>
      <w:r>
        <w:rPr>
          <w:rFonts w:hint="eastAsia" w:ascii="宋体" w:hAnsi="宋体" w:cs="宋体"/>
          <w:bCs/>
          <w:snapToGrid w:val="0"/>
          <w:color w:val="auto"/>
          <w:szCs w:val="21"/>
          <w:highlight w:val="none"/>
          <w:lang w:val="en-US" w:eastAsia="zh-CN"/>
        </w:rPr>
        <w:t>2.</w:t>
      </w:r>
      <w:r>
        <w:rPr>
          <w:rFonts w:hint="eastAsia" w:ascii="宋体" w:hAnsi="宋体" w:cs="宋体"/>
          <w:bCs/>
          <w:snapToGrid w:val="0"/>
          <w:color w:val="auto"/>
          <w:szCs w:val="21"/>
          <w:highlight w:val="none"/>
        </w:rPr>
        <w:t>地点：</w:t>
      </w:r>
      <w:r>
        <w:rPr>
          <w:rFonts w:hint="eastAsia" w:ascii="宋体" w:hAnsi="宋体" w:cs="宋体"/>
          <w:bCs/>
          <w:snapToGrid w:val="0"/>
          <w:color w:val="auto"/>
          <w:szCs w:val="21"/>
          <w:highlight w:val="none"/>
          <w:lang w:eastAsia="zh-CN"/>
        </w:rPr>
        <w:t>长春市二道区洋浦大街6999号凯利中心AB栋101</w:t>
      </w:r>
      <w:r>
        <w:rPr>
          <w:rFonts w:hint="eastAsia" w:ascii="宋体" w:hAnsi="宋体" w:cs="宋体"/>
          <w:bCs/>
          <w:snapToGrid w:val="0"/>
          <w:color w:val="auto"/>
          <w:szCs w:val="21"/>
          <w:highlight w:val="none"/>
          <w:lang w:eastAsia="zh-CN"/>
        </w:rPr>
        <w:t>开标</w:t>
      </w:r>
      <w:r>
        <w:rPr>
          <w:rFonts w:hint="eastAsia" w:ascii="宋体" w:hAnsi="宋体" w:cs="宋体"/>
          <w:bCs/>
          <w:snapToGrid w:val="0"/>
          <w:color w:val="auto"/>
          <w:szCs w:val="21"/>
          <w:highlight w:val="none"/>
          <w:lang w:val="en-US" w:eastAsia="zh-CN"/>
        </w:rPr>
        <w:t>四</w:t>
      </w:r>
      <w:r>
        <w:rPr>
          <w:rFonts w:hint="eastAsia" w:ascii="宋体" w:hAnsi="宋体" w:cs="宋体"/>
          <w:bCs/>
          <w:snapToGrid w:val="0"/>
          <w:color w:val="auto"/>
          <w:szCs w:val="21"/>
          <w:highlight w:val="none"/>
          <w:lang w:eastAsia="zh-CN"/>
        </w:rPr>
        <w:t>室</w:t>
      </w:r>
      <w:r>
        <w:rPr>
          <w:rFonts w:hint="eastAsia" w:ascii="宋体" w:hAnsi="宋体" w:cs="宋体"/>
          <w:bCs/>
          <w:snapToGrid w:val="0"/>
          <w:color w:val="auto"/>
          <w:szCs w:val="21"/>
          <w:highlight w:val="none"/>
          <w:lang w:eastAsia="zh-CN"/>
        </w:rPr>
        <w:t>。</w:t>
      </w:r>
    </w:p>
    <w:p w14:paraId="5C836075">
      <w:pPr>
        <w:pStyle w:val="53"/>
        <w:ind w:left="0" w:leftChars="0" w:firstLine="420" w:firstLineChars="200"/>
        <w:rPr>
          <w:rFonts w:hint="eastAsia"/>
          <w:color w:val="auto"/>
          <w:highlight w:val="none"/>
          <w:lang w:eastAsia="zh-CN"/>
        </w:rPr>
      </w:pPr>
      <w:r>
        <w:rPr>
          <w:rFonts w:hint="eastAsia"/>
          <w:color w:val="auto"/>
          <w:highlight w:val="none"/>
          <w:lang w:val="en-US" w:eastAsia="zh-CN"/>
        </w:rPr>
        <w:t>3.</w:t>
      </w:r>
      <w:r>
        <w:rPr>
          <w:rFonts w:hint="eastAsia"/>
          <w:color w:val="auto"/>
          <w:highlight w:val="none"/>
          <w:lang w:eastAsia="zh-CN"/>
        </w:rPr>
        <w:t>逾期送达的或者未送达指定地点的响应文件，采购人不予受理。</w:t>
      </w:r>
    </w:p>
    <w:p w14:paraId="6F8A02FB">
      <w:pPr>
        <w:pStyle w:val="53"/>
        <w:ind w:left="0" w:leftChars="0" w:firstLine="420" w:firstLineChars="200"/>
        <w:rPr>
          <w:rFonts w:hint="eastAsia"/>
          <w:color w:val="auto"/>
          <w:highlight w:val="none"/>
          <w:lang w:eastAsia="zh-CN"/>
        </w:rPr>
      </w:pPr>
      <w:r>
        <w:rPr>
          <w:rFonts w:hint="eastAsia"/>
          <w:color w:val="auto"/>
          <w:highlight w:val="none"/>
          <w:lang w:val="en-US" w:eastAsia="zh-CN"/>
        </w:rPr>
        <w:t>4.</w:t>
      </w:r>
      <w:r>
        <w:rPr>
          <w:rFonts w:hint="eastAsia"/>
          <w:color w:val="auto"/>
          <w:highlight w:val="none"/>
          <w:lang w:eastAsia="zh-CN"/>
        </w:rPr>
        <w:t>本项目采用全流程电子化采购，需通过政府采购云平台（https://www.zcygov.cn/）递交电子响应文件。操作流程：供应商在政府采购云平台注册入库成为正式供应商后，在平台按《政府采购项目电子交易管理操作指南-供应商》进行操作。由于供应商自身原因在递交响应文件截止时间前无法完成办理的，后果自负。</w:t>
      </w:r>
    </w:p>
    <w:p w14:paraId="7F4A7E60">
      <w:pPr>
        <w:pageBreakBefore w:val="0"/>
        <w:tabs>
          <w:tab w:val="left" w:pos="0"/>
        </w:tabs>
        <w:kinsoku/>
        <w:wordWrap/>
        <w:overflowPunct/>
        <w:topLinePunct w:val="0"/>
        <w:autoSpaceDE/>
        <w:autoSpaceDN/>
        <w:bidi w:val="0"/>
        <w:snapToGrid/>
        <w:spacing w:line="360" w:lineRule="auto"/>
        <w:textAlignment w:val="auto"/>
        <w:rPr>
          <w:rFonts w:hint="eastAsia" w:ascii="宋体" w:hAnsi="宋体" w:cs="宋体"/>
          <w:b/>
          <w:snapToGrid w:val="0"/>
          <w:color w:val="auto"/>
          <w:szCs w:val="21"/>
          <w:highlight w:val="none"/>
          <w:lang w:val="en-US" w:eastAsia="zh-CN"/>
        </w:rPr>
      </w:pPr>
      <w:r>
        <w:rPr>
          <w:rFonts w:hint="eastAsia" w:ascii="宋体" w:hAnsi="宋体" w:cs="宋体"/>
          <w:b/>
          <w:snapToGrid w:val="0"/>
          <w:color w:val="auto"/>
          <w:szCs w:val="21"/>
          <w:highlight w:val="none"/>
        </w:rPr>
        <w:t>五、</w:t>
      </w:r>
      <w:r>
        <w:rPr>
          <w:rFonts w:hint="eastAsia" w:ascii="宋体" w:hAnsi="宋体" w:cs="宋体"/>
          <w:b/>
          <w:snapToGrid w:val="0"/>
          <w:color w:val="auto"/>
          <w:szCs w:val="21"/>
          <w:highlight w:val="none"/>
          <w:lang w:val="en-US" w:eastAsia="zh-CN"/>
        </w:rPr>
        <w:t>开启</w:t>
      </w:r>
    </w:p>
    <w:p w14:paraId="68F0A9D8">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 w:val="0"/>
          <w:bCs/>
          <w:snapToGrid w:val="0"/>
          <w:color w:val="auto"/>
          <w:szCs w:val="21"/>
          <w:highlight w:val="none"/>
          <w:lang w:val="en-US" w:eastAsia="zh-CN"/>
        </w:rPr>
      </w:pPr>
      <w:r>
        <w:rPr>
          <w:rFonts w:hint="eastAsia" w:ascii="宋体" w:hAnsi="宋体" w:cs="宋体"/>
          <w:b w:val="0"/>
          <w:bCs/>
          <w:snapToGrid w:val="0"/>
          <w:color w:val="auto"/>
          <w:szCs w:val="21"/>
          <w:highlight w:val="none"/>
          <w:lang w:val="en-US" w:eastAsia="zh-CN"/>
        </w:rPr>
        <w:t>时间：</w:t>
      </w:r>
      <w:r>
        <w:rPr>
          <w:rFonts w:hint="eastAsia" w:ascii="宋体" w:hAnsi="宋体" w:cs="黑体"/>
          <w:b w:val="0"/>
          <w:color w:val="auto"/>
          <w:kern w:val="0"/>
          <w:sz w:val="21"/>
          <w:szCs w:val="21"/>
          <w:highlight w:val="none"/>
          <w:lang w:val="en-US" w:eastAsia="zh-CN"/>
        </w:rPr>
        <w:t>2025年04月15日14点30分</w:t>
      </w:r>
      <w:r>
        <w:rPr>
          <w:rFonts w:hint="eastAsia" w:ascii="宋体" w:hAnsi="宋体" w:cs="宋体"/>
          <w:b w:val="0"/>
          <w:bCs/>
          <w:snapToGrid w:val="0"/>
          <w:color w:val="auto"/>
          <w:szCs w:val="21"/>
          <w:highlight w:val="none"/>
        </w:rPr>
        <w:t>（北京时间）</w:t>
      </w:r>
      <w:r>
        <w:rPr>
          <w:rFonts w:hint="eastAsia" w:ascii="宋体" w:hAnsi="宋体" w:cs="宋体"/>
          <w:b w:val="0"/>
          <w:bCs/>
          <w:snapToGrid w:val="0"/>
          <w:color w:val="auto"/>
          <w:szCs w:val="21"/>
          <w:highlight w:val="none"/>
          <w:lang w:eastAsia="zh-CN"/>
        </w:rPr>
        <w:t>。</w:t>
      </w:r>
    </w:p>
    <w:p w14:paraId="68B1442F">
      <w:pPr>
        <w:pageBreakBefore w:val="0"/>
        <w:tabs>
          <w:tab w:val="left" w:pos="0"/>
        </w:tabs>
        <w:kinsoku/>
        <w:wordWrap/>
        <w:overflowPunct/>
        <w:topLinePunct w:val="0"/>
        <w:autoSpaceDE/>
        <w:autoSpaceDN/>
        <w:bidi w:val="0"/>
        <w:snapToGrid/>
        <w:spacing w:line="360" w:lineRule="auto"/>
        <w:ind w:firstLine="420" w:firstLineChars="200"/>
        <w:textAlignment w:val="auto"/>
        <w:rPr>
          <w:rFonts w:hint="default" w:ascii="宋体" w:hAnsi="宋体" w:cs="宋体"/>
          <w:b/>
          <w:snapToGrid w:val="0"/>
          <w:color w:val="auto"/>
          <w:szCs w:val="21"/>
          <w:highlight w:val="none"/>
          <w:lang w:val="en-US" w:eastAsia="zh-CN"/>
        </w:rPr>
      </w:pPr>
      <w:r>
        <w:rPr>
          <w:rFonts w:hint="eastAsia" w:ascii="宋体" w:hAnsi="宋体" w:cs="宋体"/>
          <w:b w:val="0"/>
          <w:bCs/>
          <w:snapToGrid w:val="0"/>
          <w:color w:val="auto"/>
          <w:szCs w:val="21"/>
          <w:highlight w:val="none"/>
          <w:lang w:val="en-US" w:eastAsia="zh-CN"/>
        </w:rPr>
        <w:t>地点：</w:t>
      </w:r>
      <w:r>
        <w:rPr>
          <w:rFonts w:hint="eastAsia" w:ascii="宋体" w:hAnsi="宋体" w:cs="宋体"/>
          <w:bCs/>
          <w:snapToGrid w:val="0"/>
          <w:color w:val="auto"/>
          <w:szCs w:val="21"/>
          <w:highlight w:val="none"/>
          <w:lang w:eastAsia="zh-CN"/>
        </w:rPr>
        <w:t>长春市二道区洋浦大街6999号凯利中心AB栋101</w:t>
      </w:r>
      <w:r>
        <w:rPr>
          <w:rFonts w:hint="eastAsia" w:ascii="宋体" w:hAnsi="宋体" w:cs="宋体"/>
          <w:bCs/>
          <w:snapToGrid w:val="0"/>
          <w:color w:val="auto"/>
          <w:szCs w:val="21"/>
          <w:highlight w:val="none"/>
          <w:lang w:eastAsia="zh-CN"/>
        </w:rPr>
        <w:t>开标</w:t>
      </w:r>
      <w:r>
        <w:rPr>
          <w:rFonts w:hint="eastAsia" w:ascii="宋体" w:hAnsi="宋体" w:cs="宋体"/>
          <w:bCs/>
          <w:snapToGrid w:val="0"/>
          <w:color w:val="auto"/>
          <w:szCs w:val="21"/>
          <w:highlight w:val="none"/>
          <w:lang w:val="en-US" w:eastAsia="zh-CN"/>
        </w:rPr>
        <w:t>四</w:t>
      </w:r>
      <w:r>
        <w:rPr>
          <w:rFonts w:hint="eastAsia" w:ascii="宋体" w:hAnsi="宋体" w:cs="宋体"/>
          <w:bCs/>
          <w:snapToGrid w:val="0"/>
          <w:color w:val="auto"/>
          <w:szCs w:val="21"/>
          <w:highlight w:val="none"/>
          <w:lang w:eastAsia="zh-CN"/>
        </w:rPr>
        <w:t>室。</w:t>
      </w:r>
    </w:p>
    <w:p w14:paraId="24098C26">
      <w:pPr>
        <w:pageBreakBefore w:val="0"/>
        <w:tabs>
          <w:tab w:val="left" w:pos="0"/>
        </w:tabs>
        <w:kinsoku/>
        <w:wordWrap/>
        <w:overflowPunct/>
        <w:topLinePunct w:val="0"/>
        <w:autoSpaceDE/>
        <w:autoSpaceDN/>
        <w:bidi w:val="0"/>
        <w:snapToGrid/>
        <w:spacing w:line="360" w:lineRule="auto"/>
        <w:textAlignment w:val="auto"/>
        <w:rPr>
          <w:rFonts w:hint="eastAsia" w:ascii="宋体" w:hAnsi="宋体" w:eastAsia="宋体" w:cs="宋体"/>
          <w:b/>
          <w:snapToGrid w:val="0"/>
          <w:color w:val="auto"/>
          <w:szCs w:val="21"/>
          <w:highlight w:val="none"/>
          <w:lang w:val="en-US" w:eastAsia="zh-CN"/>
        </w:rPr>
      </w:pPr>
      <w:r>
        <w:rPr>
          <w:rFonts w:hint="eastAsia" w:ascii="宋体" w:hAnsi="宋体" w:cs="宋体"/>
          <w:b/>
          <w:snapToGrid w:val="0"/>
          <w:color w:val="auto"/>
          <w:szCs w:val="21"/>
          <w:highlight w:val="none"/>
          <w:lang w:val="en-US" w:eastAsia="zh-CN"/>
        </w:rPr>
        <w:t>六、</w:t>
      </w:r>
      <w:r>
        <w:rPr>
          <w:rFonts w:hint="eastAsia" w:ascii="宋体" w:hAnsi="宋体" w:cs="宋体"/>
          <w:b/>
          <w:snapToGrid w:val="0"/>
          <w:color w:val="auto"/>
          <w:szCs w:val="21"/>
          <w:highlight w:val="none"/>
        </w:rPr>
        <w:t>公告期限</w:t>
      </w:r>
      <w:r>
        <w:rPr>
          <w:rFonts w:hint="eastAsia" w:ascii="宋体" w:hAnsi="宋体" w:cs="宋体"/>
          <w:b/>
          <w:snapToGrid w:val="0"/>
          <w:color w:val="auto"/>
          <w:szCs w:val="21"/>
          <w:highlight w:val="none"/>
          <w:lang w:val="en-US" w:eastAsia="zh-CN"/>
        </w:rPr>
        <w:t>:</w:t>
      </w:r>
    </w:p>
    <w:p w14:paraId="5556CD26">
      <w:pPr>
        <w:pageBreakBefore w:val="0"/>
        <w:tabs>
          <w:tab w:val="left" w:pos="0"/>
        </w:tabs>
        <w:kinsoku/>
        <w:wordWrap/>
        <w:overflowPunct/>
        <w:topLinePunct w:val="0"/>
        <w:autoSpaceDE/>
        <w:autoSpaceDN/>
        <w:bidi w:val="0"/>
        <w:snapToGrid/>
        <w:spacing w:line="360" w:lineRule="auto"/>
        <w:ind w:firstLine="421"/>
        <w:textAlignment w:val="auto"/>
        <w:rPr>
          <w:rFonts w:hint="eastAsia" w:ascii="宋体" w:hAnsi="宋体" w:eastAsia="宋体" w:cs="宋体"/>
          <w:bCs/>
          <w:snapToGrid w:val="0"/>
          <w:color w:val="auto"/>
          <w:szCs w:val="21"/>
          <w:highlight w:val="none"/>
          <w:lang w:eastAsia="zh-CN"/>
        </w:rPr>
      </w:pPr>
      <w:r>
        <w:rPr>
          <w:rFonts w:hint="eastAsia" w:ascii="宋体" w:hAnsi="宋体" w:cs="宋体"/>
          <w:bCs/>
          <w:snapToGrid w:val="0"/>
          <w:color w:val="auto"/>
          <w:szCs w:val="21"/>
          <w:highlight w:val="none"/>
        </w:rPr>
        <w:t>自本公告发布之日起3个工作日</w:t>
      </w:r>
      <w:r>
        <w:rPr>
          <w:rFonts w:hint="eastAsia" w:ascii="宋体" w:hAnsi="宋体" w:cs="宋体"/>
          <w:bCs/>
          <w:snapToGrid w:val="0"/>
          <w:color w:val="auto"/>
          <w:szCs w:val="21"/>
          <w:highlight w:val="none"/>
          <w:lang w:eastAsia="zh-CN"/>
        </w:rPr>
        <w:t>。</w:t>
      </w:r>
    </w:p>
    <w:p w14:paraId="7CD62DDE">
      <w:pPr>
        <w:pageBreakBefore w:val="0"/>
        <w:tabs>
          <w:tab w:val="left" w:pos="0"/>
        </w:tabs>
        <w:kinsoku/>
        <w:wordWrap/>
        <w:overflowPunct/>
        <w:topLinePunct w:val="0"/>
        <w:autoSpaceDE/>
        <w:autoSpaceDN/>
        <w:bidi w:val="0"/>
        <w:snapToGrid/>
        <w:spacing w:line="360" w:lineRule="auto"/>
        <w:textAlignment w:val="auto"/>
        <w:rPr>
          <w:rFonts w:hint="eastAsia" w:ascii="宋体" w:hAnsi="宋体" w:eastAsia="宋体" w:cs="宋体"/>
          <w:b/>
          <w:snapToGrid w:val="0"/>
          <w:color w:val="auto"/>
          <w:szCs w:val="21"/>
          <w:highlight w:val="none"/>
          <w:lang w:val="en-US" w:eastAsia="zh-CN"/>
        </w:rPr>
      </w:pPr>
      <w:r>
        <w:rPr>
          <w:rFonts w:hint="eastAsia" w:cs="宋体"/>
          <w:b/>
          <w:snapToGrid w:val="0"/>
          <w:color w:val="auto"/>
          <w:szCs w:val="21"/>
          <w:highlight w:val="none"/>
          <w:lang w:val="en-US" w:eastAsia="zh-CN"/>
        </w:rPr>
        <w:t>七</w:t>
      </w:r>
      <w:r>
        <w:rPr>
          <w:rFonts w:hint="eastAsia" w:cs="宋体"/>
          <w:b/>
          <w:snapToGrid w:val="0"/>
          <w:color w:val="auto"/>
          <w:szCs w:val="21"/>
          <w:highlight w:val="none"/>
        </w:rPr>
        <w:t>、</w:t>
      </w:r>
      <w:r>
        <w:rPr>
          <w:rFonts w:hint="eastAsia" w:ascii="宋体" w:hAnsi="宋体" w:cs="宋体"/>
          <w:b/>
          <w:snapToGrid w:val="0"/>
          <w:color w:val="auto"/>
          <w:szCs w:val="21"/>
          <w:highlight w:val="none"/>
        </w:rPr>
        <w:t>其他补充事宜</w:t>
      </w:r>
      <w:r>
        <w:rPr>
          <w:rFonts w:hint="eastAsia" w:ascii="宋体" w:hAnsi="宋体" w:cs="宋体"/>
          <w:b/>
          <w:snapToGrid w:val="0"/>
          <w:color w:val="auto"/>
          <w:szCs w:val="21"/>
          <w:highlight w:val="none"/>
          <w:lang w:val="en-US" w:eastAsia="zh-CN"/>
        </w:rPr>
        <w:t>:</w:t>
      </w:r>
    </w:p>
    <w:p w14:paraId="13AAB997">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公告发布媒体：“政采云”平台（http:// www.zcygov.cn），同步推送到吉林省政府采购网（http://www.ccgp-jilin.gov.cn/），并同时在</w:t>
      </w:r>
      <w:r>
        <w:rPr>
          <w:rFonts w:hint="eastAsia" w:ascii="宋体" w:hAnsi="宋体" w:cs="宋体"/>
          <w:color w:val="auto"/>
          <w:szCs w:val="21"/>
          <w:highlight w:val="none"/>
          <w:lang w:val="en-US" w:eastAsia="zh-CN"/>
        </w:rPr>
        <w:t>中国招标投标公共服务平台</w:t>
      </w:r>
      <w:r>
        <w:rPr>
          <w:rFonts w:hint="eastAsia" w:ascii="宋体" w:hAnsi="宋体" w:cs="宋体"/>
          <w:color w:val="auto"/>
          <w:szCs w:val="21"/>
          <w:highlight w:val="none"/>
        </w:rPr>
        <w:t>上发布。</w:t>
      </w:r>
    </w:p>
    <w:p w14:paraId="4ADE3FD1">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 xml:space="preserve">若对项目采购电子交易系统操作有疑问，可登录“政采云”平台（https://www.zcygov.cn/）点击右侧咨询小采，获取采小蜜智能服务管家帮助，或拨打政采云服务热线95763获取热线服务帮助。 </w:t>
      </w:r>
    </w:p>
    <w:p w14:paraId="5486A3D5">
      <w:pPr>
        <w:pageBreakBefore w:val="0"/>
        <w:numPr>
          <w:ilvl w:val="0"/>
          <w:numId w:val="0"/>
        </w:numPr>
        <w:kinsoku/>
        <w:wordWrap/>
        <w:overflowPunct/>
        <w:topLinePunct w:val="0"/>
        <w:autoSpaceDE/>
        <w:autoSpaceDN/>
        <w:bidi w:val="0"/>
        <w:snapToGrid/>
        <w:spacing w:line="360" w:lineRule="auto"/>
        <w:textAlignment w:val="auto"/>
        <w:rPr>
          <w:rFonts w:hint="eastAsia" w:ascii="宋体" w:hAnsi="宋体" w:cs="宋体"/>
          <w:b/>
          <w:color w:val="auto"/>
          <w:szCs w:val="21"/>
          <w:highlight w:val="none"/>
        </w:rPr>
      </w:pPr>
      <w:r>
        <w:rPr>
          <w:rFonts w:hint="eastAsia" w:ascii="宋体" w:hAnsi="宋体" w:cs="宋体"/>
          <w:b/>
          <w:color w:val="auto"/>
          <w:szCs w:val="21"/>
          <w:highlight w:val="none"/>
          <w:lang w:val="en-US" w:eastAsia="zh-CN"/>
        </w:rPr>
        <w:t>八、凡对</w:t>
      </w:r>
      <w:r>
        <w:rPr>
          <w:rFonts w:hint="eastAsia" w:ascii="宋体" w:hAnsi="宋体" w:cs="宋体"/>
          <w:b/>
          <w:color w:val="auto"/>
          <w:szCs w:val="21"/>
          <w:highlight w:val="none"/>
        </w:rPr>
        <w:t>对本次</w:t>
      </w:r>
      <w:r>
        <w:rPr>
          <w:rFonts w:hint="eastAsia" w:ascii="宋体" w:hAnsi="宋体" w:cs="宋体"/>
          <w:b/>
          <w:color w:val="auto"/>
          <w:szCs w:val="21"/>
          <w:highlight w:val="none"/>
          <w:lang w:val="en-US" w:eastAsia="zh-CN"/>
        </w:rPr>
        <w:t>采购</w:t>
      </w:r>
      <w:r>
        <w:rPr>
          <w:rFonts w:hint="eastAsia" w:ascii="宋体" w:hAnsi="宋体" w:cs="宋体"/>
          <w:b/>
          <w:color w:val="auto"/>
          <w:szCs w:val="21"/>
          <w:highlight w:val="none"/>
        </w:rPr>
        <w:t>提出询问，请按以下方式联系：</w:t>
      </w:r>
    </w:p>
    <w:p w14:paraId="7BE3BB7F">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1.采购人信息</w:t>
      </w:r>
    </w:p>
    <w:p w14:paraId="51838962">
      <w:pPr>
        <w:keepNext w:val="0"/>
        <w:keepLines w:val="0"/>
        <w:pageBreakBefore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spacing w:line="360" w:lineRule="auto"/>
        <w:ind w:firstLine="420" w:firstLineChars="200"/>
        <w:textAlignment w:val="auto"/>
        <w:rPr>
          <w:rFonts w:hint="eastAsia" w:ascii="宋体" w:hAnsi="宋体" w:cs="宋体"/>
          <w:color w:val="auto"/>
          <w:highlight w:val="none"/>
          <w:lang w:val="en-US" w:eastAsia="zh-CN"/>
        </w:rPr>
      </w:pPr>
      <w:r>
        <w:rPr>
          <w:rFonts w:hint="eastAsia" w:ascii="宋体" w:hAnsi="宋体" w:cs="宋体"/>
          <w:color w:val="auto"/>
          <w:highlight w:val="none"/>
          <w:lang w:val="zh-CN"/>
        </w:rPr>
        <w:t>名    称：</w:t>
      </w:r>
      <w:r>
        <w:rPr>
          <w:rFonts w:hint="eastAsia" w:ascii="宋体" w:hAnsi="宋体" w:cs="宋体"/>
          <w:color w:val="auto"/>
          <w:highlight w:val="none"/>
          <w:lang w:val="en-US" w:eastAsia="zh-CN"/>
        </w:rPr>
        <w:t>德惠市人民医院</w:t>
      </w:r>
    </w:p>
    <w:p w14:paraId="6D7B7F40">
      <w:pPr>
        <w:keepNext w:val="0"/>
        <w:keepLines w:val="0"/>
        <w:pageBreakBefore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spacing w:line="360" w:lineRule="auto"/>
        <w:ind w:firstLine="420" w:firstLineChars="200"/>
        <w:textAlignment w:val="auto"/>
        <w:rPr>
          <w:rFonts w:hint="eastAsia" w:ascii="宋体" w:hAnsi="宋体" w:cs="宋体"/>
          <w:color w:val="auto"/>
          <w:highlight w:val="none"/>
          <w:lang w:val="zh-CN"/>
        </w:rPr>
      </w:pPr>
      <w:r>
        <w:rPr>
          <w:rFonts w:hint="eastAsia" w:ascii="宋体" w:hAnsi="宋体" w:cs="宋体"/>
          <w:color w:val="auto"/>
          <w:highlight w:val="none"/>
          <w:lang w:val="zh-CN"/>
        </w:rPr>
        <w:t>地    址：新惠路与迎新街交汇处</w:t>
      </w:r>
    </w:p>
    <w:p w14:paraId="74CF2EEF">
      <w:pPr>
        <w:keepNext w:val="0"/>
        <w:keepLines w:val="0"/>
        <w:pageBreakBefore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spacing w:line="360" w:lineRule="auto"/>
        <w:ind w:firstLine="420" w:firstLineChars="200"/>
        <w:textAlignment w:val="auto"/>
        <w:rPr>
          <w:rFonts w:hint="eastAsia" w:ascii="宋体" w:hAnsi="宋体" w:cs="宋体"/>
          <w:color w:val="auto"/>
          <w:highlight w:val="none"/>
          <w:lang w:val="en-US"/>
        </w:rPr>
      </w:pPr>
      <w:r>
        <w:rPr>
          <w:rFonts w:hint="eastAsia" w:ascii="宋体" w:hAnsi="宋体" w:cs="宋体"/>
          <w:color w:val="auto"/>
          <w:highlight w:val="none"/>
          <w:lang w:val="zh-CN"/>
        </w:rPr>
        <w:t>联系方式：唐力东0431-87381087</w:t>
      </w:r>
    </w:p>
    <w:p w14:paraId="6601A259">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2.代理机构联系方式</w:t>
      </w:r>
    </w:p>
    <w:p w14:paraId="2C64D2C3">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lang w:val="zh-CN"/>
        </w:rPr>
      </w:pPr>
      <w:r>
        <w:rPr>
          <w:rFonts w:hint="eastAsia" w:ascii="宋体" w:hAnsi="宋体" w:cs="宋体"/>
          <w:color w:val="auto"/>
          <w:szCs w:val="21"/>
          <w:highlight w:val="none"/>
          <w:lang w:val="zh-CN"/>
        </w:rPr>
        <w:t>名    称：</w:t>
      </w:r>
      <w:r>
        <w:rPr>
          <w:rFonts w:hint="eastAsia" w:ascii="宋体" w:hAnsi="宋体" w:cs="宋体"/>
          <w:color w:val="auto"/>
          <w:szCs w:val="21"/>
          <w:highlight w:val="none"/>
        </w:rPr>
        <w:t>吉林省国渡项目管理有限公司</w:t>
      </w:r>
    </w:p>
    <w:p w14:paraId="4D22F9AB">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lang w:val="zh-CN"/>
        </w:rPr>
      </w:pPr>
      <w:r>
        <w:rPr>
          <w:rFonts w:hint="eastAsia" w:ascii="宋体" w:hAnsi="宋体" w:cs="宋体"/>
          <w:color w:val="auto"/>
          <w:szCs w:val="21"/>
          <w:highlight w:val="none"/>
          <w:lang w:val="zh-CN"/>
        </w:rPr>
        <w:t>地</w:t>
      </w:r>
      <w:r>
        <w:rPr>
          <w:rFonts w:hint="eastAsia" w:ascii="宋体" w:hAnsi="宋体" w:cs="宋体"/>
          <w:color w:val="auto"/>
          <w:szCs w:val="21"/>
          <w:highlight w:val="none"/>
        </w:rPr>
        <w:t xml:space="preserve">    </w:t>
      </w:r>
      <w:r>
        <w:rPr>
          <w:rFonts w:hint="eastAsia" w:ascii="宋体" w:hAnsi="宋体" w:cs="宋体"/>
          <w:color w:val="auto"/>
          <w:szCs w:val="21"/>
          <w:highlight w:val="none"/>
          <w:lang w:val="zh-CN"/>
        </w:rPr>
        <w:t>址：</w:t>
      </w:r>
      <w:r>
        <w:rPr>
          <w:rFonts w:hint="eastAsia" w:ascii="宋体" w:hAnsi="宋体" w:cs="宋体"/>
          <w:color w:val="auto"/>
          <w:szCs w:val="21"/>
          <w:highlight w:val="none"/>
        </w:rPr>
        <w:t>长春市南关区生态大街与和美路交汇中懋天地8号楼1105室</w:t>
      </w:r>
    </w:p>
    <w:p w14:paraId="48EB245C">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lang w:val="zh-CN"/>
        </w:rPr>
        <w:t>联系方式：</w:t>
      </w:r>
      <w:r>
        <w:rPr>
          <w:rFonts w:hint="eastAsia" w:ascii="宋体" w:hAnsi="宋体" w:cs="宋体"/>
          <w:color w:val="auto"/>
          <w:szCs w:val="21"/>
          <w:highlight w:val="none"/>
          <w:lang w:val="en-US" w:eastAsia="zh-CN"/>
        </w:rPr>
        <w:t>杨丽</w:t>
      </w:r>
      <w:r>
        <w:rPr>
          <w:rFonts w:hint="eastAsia" w:ascii="宋体" w:hAnsi="宋体" w:cs="宋体"/>
          <w:color w:val="auto"/>
          <w:szCs w:val="21"/>
          <w:highlight w:val="none"/>
        </w:rPr>
        <w:t xml:space="preserve"> 0431-80546608</w:t>
      </w:r>
    </w:p>
    <w:p w14:paraId="455941EE">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eastAsia="宋体" w:cs="宋体"/>
          <w:color w:val="auto"/>
          <w:szCs w:val="21"/>
          <w:highlight w:val="none"/>
          <w:lang w:val="zh-CN"/>
        </w:rPr>
      </w:pPr>
      <w:r>
        <w:rPr>
          <w:rFonts w:hint="eastAsia" w:ascii="宋体" w:hAnsi="宋体" w:cs="宋体"/>
          <w:color w:val="auto"/>
          <w:szCs w:val="21"/>
          <w:highlight w:val="none"/>
        </w:rPr>
        <w:t>3.项目联系方式</w:t>
      </w:r>
    </w:p>
    <w:p w14:paraId="5D7CAA26">
      <w:pPr>
        <w:pageBreakBefore w:val="0"/>
        <w:widowControl/>
        <w:kinsoku/>
        <w:wordWrap/>
        <w:overflowPunct/>
        <w:topLinePunct w:val="0"/>
        <w:autoSpaceDE/>
        <w:autoSpaceDN/>
        <w:bidi w:val="0"/>
        <w:snapToGrid/>
        <w:spacing w:line="360" w:lineRule="auto"/>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zh-CN"/>
        </w:rPr>
        <w:t>项目联系人：</w:t>
      </w:r>
      <w:r>
        <w:rPr>
          <w:rFonts w:hint="eastAsia" w:ascii="宋体" w:hAnsi="宋体" w:cs="宋体"/>
          <w:color w:val="auto"/>
          <w:szCs w:val="21"/>
          <w:highlight w:val="none"/>
          <w:lang w:val="en-US" w:eastAsia="zh-CN"/>
        </w:rPr>
        <w:t>杨丽</w:t>
      </w:r>
    </w:p>
    <w:p w14:paraId="0F0CA951">
      <w:pPr>
        <w:pageBreakBefore w:val="0"/>
        <w:widowControl/>
        <w:kinsoku/>
        <w:wordWrap/>
        <w:overflowPunct/>
        <w:topLinePunct w:val="0"/>
        <w:autoSpaceDE/>
        <w:autoSpaceDN/>
        <w:bidi w:val="0"/>
        <w:snapToGrid/>
        <w:spacing w:line="360" w:lineRule="auto"/>
        <w:ind w:firstLine="420" w:firstLineChars="200"/>
        <w:textAlignment w:val="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 xml:space="preserve">电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val="zh-CN"/>
        </w:rPr>
        <w:t xml:space="preserve"> 话：0431-80546608</w:t>
      </w:r>
    </w:p>
    <w:p w14:paraId="0B16F03B">
      <w:pPr>
        <w:spacing w:line="360" w:lineRule="auto"/>
        <w:ind w:firstLine="444" w:firstLineChars="200"/>
        <w:jc w:val="center"/>
        <w:rPr>
          <w:rFonts w:hint="eastAsia" w:ascii="宋体" w:hAnsi="宋体" w:cs="宋体"/>
          <w:color w:val="auto"/>
          <w:spacing w:val="6"/>
          <w:szCs w:val="21"/>
          <w:highlight w:val="none"/>
        </w:rPr>
      </w:pPr>
      <w:r>
        <w:rPr>
          <w:rFonts w:hint="eastAsia" w:ascii="宋体" w:hAnsi="宋体" w:cs="宋体"/>
          <w:color w:val="auto"/>
          <w:spacing w:val="6"/>
          <w:szCs w:val="21"/>
          <w:highlight w:val="none"/>
        </w:rPr>
        <w:t xml:space="preserve">                                                </w:t>
      </w:r>
    </w:p>
    <w:p w14:paraId="0186226B">
      <w:pPr>
        <w:pStyle w:val="80"/>
        <w:rPr>
          <w:rFonts w:hint="eastAsia"/>
          <w:color w:val="auto"/>
          <w:highlight w:val="none"/>
        </w:rPr>
      </w:pPr>
      <w:bookmarkStart w:id="4" w:name="_Toc455565642"/>
      <w:bookmarkStart w:id="5" w:name="_Toc432277438"/>
      <w:bookmarkStart w:id="6" w:name="_Toc432264366"/>
      <w:r>
        <w:rPr>
          <w:rFonts w:hint="eastAsia"/>
          <w:color w:val="auto"/>
          <w:highlight w:val="none"/>
        </w:rPr>
        <w:t xml:space="preserve">                              </w:t>
      </w:r>
    </w:p>
    <w:p w14:paraId="553C8E0F">
      <w:pPr>
        <w:pStyle w:val="2"/>
        <w:spacing w:before="0" w:after="0" w:line="360" w:lineRule="auto"/>
        <w:jc w:val="center"/>
        <w:rPr>
          <w:rFonts w:hint="eastAsia"/>
          <w:color w:val="auto"/>
          <w:sz w:val="28"/>
          <w:szCs w:val="28"/>
          <w:highlight w:val="none"/>
        </w:rPr>
      </w:pPr>
      <w:r>
        <w:rPr>
          <w:rFonts w:hint="eastAsia"/>
          <w:color w:val="auto"/>
          <w:sz w:val="28"/>
          <w:szCs w:val="28"/>
          <w:highlight w:val="none"/>
        </w:rPr>
        <w:br w:type="page"/>
      </w:r>
      <w:r>
        <w:rPr>
          <w:rFonts w:hint="eastAsia"/>
          <w:color w:val="auto"/>
          <w:sz w:val="28"/>
          <w:szCs w:val="28"/>
          <w:highlight w:val="none"/>
        </w:rPr>
        <w:t xml:space="preserve">第二章  </w:t>
      </w:r>
      <w:r>
        <w:rPr>
          <w:rFonts w:hint="eastAsia"/>
          <w:color w:val="auto"/>
          <w:sz w:val="28"/>
          <w:szCs w:val="28"/>
          <w:highlight w:val="none"/>
          <w:lang w:eastAsia="zh-CN"/>
        </w:rPr>
        <w:t>供应商</w:t>
      </w:r>
      <w:r>
        <w:rPr>
          <w:rFonts w:hint="eastAsia"/>
          <w:color w:val="auto"/>
          <w:sz w:val="28"/>
          <w:szCs w:val="28"/>
          <w:highlight w:val="none"/>
        </w:rPr>
        <w:t>须知</w:t>
      </w:r>
      <w:bookmarkEnd w:id="4"/>
      <w:bookmarkEnd w:id="5"/>
      <w:bookmarkEnd w:id="6"/>
    </w:p>
    <w:p w14:paraId="291AD02F">
      <w:pPr>
        <w:tabs>
          <w:tab w:val="left" w:pos="1065"/>
          <w:tab w:val="center" w:pos="4411"/>
        </w:tabs>
        <w:spacing w:line="360" w:lineRule="auto"/>
        <w:jc w:val="center"/>
        <w:rPr>
          <w:b/>
          <w:color w:val="auto"/>
          <w:sz w:val="24"/>
          <w:highlight w:val="none"/>
        </w:rPr>
      </w:pPr>
      <w:r>
        <w:rPr>
          <w:rFonts w:hint="eastAsia"/>
          <w:b/>
          <w:color w:val="auto"/>
          <w:sz w:val="24"/>
          <w:highlight w:val="none"/>
        </w:rPr>
        <w:t>供 应 商  须 知 前 附 表</w:t>
      </w:r>
    </w:p>
    <w:tbl>
      <w:tblPr>
        <w:tblStyle w:val="36"/>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901"/>
        <w:gridCol w:w="6462"/>
      </w:tblGrid>
      <w:tr w14:paraId="4C38E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534" w:type="dxa"/>
            <w:vAlign w:val="center"/>
          </w:tcPr>
          <w:p w14:paraId="66DA2944">
            <w:pPr>
              <w:spacing w:line="360" w:lineRule="exact"/>
              <w:jc w:val="center"/>
              <w:rPr>
                <w:rFonts w:ascii="宋体" w:hAnsi="宋体"/>
                <w:color w:val="auto"/>
                <w:szCs w:val="21"/>
                <w:highlight w:val="none"/>
              </w:rPr>
            </w:pPr>
            <w:r>
              <w:rPr>
                <w:rFonts w:hint="eastAsia" w:ascii="宋体" w:hAnsi="宋体"/>
                <w:color w:val="auto"/>
                <w:szCs w:val="21"/>
                <w:highlight w:val="none"/>
              </w:rPr>
              <w:t>序号</w:t>
            </w:r>
          </w:p>
        </w:tc>
        <w:tc>
          <w:tcPr>
            <w:tcW w:w="1901" w:type="dxa"/>
            <w:vAlign w:val="center"/>
          </w:tcPr>
          <w:p w14:paraId="1E0E3F22">
            <w:pPr>
              <w:spacing w:line="360" w:lineRule="exact"/>
              <w:jc w:val="center"/>
              <w:rPr>
                <w:rFonts w:ascii="宋体" w:hAnsi="宋体"/>
                <w:color w:val="auto"/>
                <w:szCs w:val="21"/>
                <w:highlight w:val="none"/>
              </w:rPr>
            </w:pPr>
            <w:r>
              <w:rPr>
                <w:rFonts w:hint="eastAsia" w:ascii="宋体" w:hAnsi="宋体"/>
                <w:color w:val="auto"/>
                <w:szCs w:val="21"/>
                <w:highlight w:val="none"/>
              </w:rPr>
              <w:t>条款名称</w:t>
            </w:r>
          </w:p>
        </w:tc>
        <w:tc>
          <w:tcPr>
            <w:tcW w:w="6462" w:type="dxa"/>
            <w:vAlign w:val="center"/>
          </w:tcPr>
          <w:p w14:paraId="2803C44E">
            <w:pPr>
              <w:spacing w:line="360" w:lineRule="exact"/>
              <w:jc w:val="center"/>
              <w:rPr>
                <w:rFonts w:ascii="宋体" w:hAnsi="宋体"/>
                <w:color w:val="auto"/>
                <w:szCs w:val="21"/>
                <w:highlight w:val="none"/>
              </w:rPr>
            </w:pPr>
            <w:r>
              <w:rPr>
                <w:rFonts w:hint="eastAsia" w:ascii="宋体" w:hAnsi="宋体"/>
                <w:color w:val="auto"/>
                <w:szCs w:val="21"/>
                <w:highlight w:val="none"/>
              </w:rPr>
              <w:t>内容、要求</w:t>
            </w:r>
          </w:p>
        </w:tc>
      </w:tr>
      <w:tr w14:paraId="1436B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534" w:type="dxa"/>
            <w:vAlign w:val="center"/>
          </w:tcPr>
          <w:p w14:paraId="00CB59C3">
            <w:pPr>
              <w:spacing w:line="360" w:lineRule="exact"/>
              <w:jc w:val="center"/>
              <w:rPr>
                <w:rFonts w:ascii="宋体" w:hAnsi="宋体"/>
                <w:color w:val="auto"/>
                <w:szCs w:val="21"/>
                <w:highlight w:val="none"/>
              </w:rPr>
            </w:pPr>
            <w:r>
              <w:rPr>
                <w:rFonts w:hint="eastAsia" w:ascii="宋体" w:hAnsi="宋体"/>
                <w:color w:val="auto"/>
                <w:szCs w:val="21"/>
                <w:highlight w:val="none"/>
              </w:rPr>
              <w:t>1</w:t>
            </w:r>
          </w:p>
        </w:tc>
        <w:tc>
          <w:tcPr>
            <w:tcW w:w="1901" w:type="dxa"/>
            <w:vAlign w:val="center"/>
          </w:tcPr>
          <w:p w14:paraId="309F428B">
            <w:pPr>
              <w:spacing w:line="360" w:lineRule="exact"/>
              <w:jc w:val="center"/>
              <w:rPr>
                <w:rFonts w:hint="eastAsia" w:ascii="宋体" w:hAnsi="宋体"/>
                <w:color w:val="auto"/>
                <w:szCs w:val="21"/>
                <w:highlight w:val="none"/>
              </w:rPr>
            </w:pPr>
            <w:r>
              <w:rPr>
                <w:rFonts w:hint="eastAsia" w:ascii="宋体" w:hAnsi="宋体"/>
                <w:color w:val="auto"/>
                <w:szCs w:val="21"/>
                <w:highlight w:val="none"/>
              </w:rPr>
              <w:t>项目名称</w:t>
            </w:r>
          </w:p>
          <w:p w14:paraId="439EBF43">
            <w:pPr>
              <w:spacing w:line="360" w:lineRule="exact"/>
              <w:jc w:val="center"/>
              <w:rPr>
                <w:rFonts w:ascii="宋体" w:hAnsi="宋体"/>
                <w:color w:val="auto"/>
                <w:szCs w:val="21"/>
                <w:highlight w:val="none"/>
              </w:rPr>
            </w:pPr>
            <w:r>
              <w:rPr>
                <w:rFonts w:hint="eastAsia" w:ascii="宋体" w:hAnsi="宋体"/>
                <w:color w:val="auto"/>
                <w:szCs w:val="21"/>
                <w:highlight w:val="none"/>
              </w:rPr>
              <w:t>及项目编号</w:t>
            </w:r>
          </w:p>
        </w:tc>
        <w:tc>
          <w:tcPr>
            <w:tcW w:w="6462" w:type="dxa"/>
            <w:vAlign w:val="center"/>
          </w:tcPr>
          <w:p w14:paraId="412A748B">
            <w:pPr>
              <w:spacing w:line="360" w:lineRule="exact"/>
              <w:rPr>
                <w:rFonts w:hint="eastAsia" w:ascii="宋体" w:hAnsi="宋体" w:cs="黑体"/>
                <w:bCs/>
                <w:color w:val="auto"/>
                <w:kern w:val="0"/>
                <w:szCs w:val="21"/>
                <w:highlight w:val="none"/>
                <w:lang w:eastAsia="zh-CN"/>
              </w:rPr>
            </w:pPr>
            <w:r>
              <w:rPr>
                <w:rFonts w:hint="eastAsia" w:ascii="宋体" w:hAnsi="宋体"/>
                <w:color w:val="auto"/>
                <w:szCs w:val="21"/>
                <w:highlight w:val="none"/>
              </w:rPr>
              <w:t>项目名称：</w:t>
            </w:r>
            <w:r>
              <w:rPr>
                <w:rFonts w:hint="eastAsia" w:ascii="宋体" w:hAnsi="宋体" w:cs="黑体"/>
                <w:bCs/>
                <w:color w:val="auto"/>
                <w:kern w:val="0"/>
                <w:szCs w:val="21"/>
                <w:highlight w:val="none"/>
                <w:lang w:val="en-US" w:eastAsia="zh-CN"/>
              </w:rPr>
              <w:t>德惠市人民医院全身用X射线计算机体层摄影装置CT机等设备维保服务项目</w:t>
            </w:r>
          </w:p>
          <w:p w14:paraId="13922ABA">
            <w:pPr>
              <w:spacing w:line="360" w:lineRule="exact"/>
              <w:rPr>
                <w:rFonts w:hint="default" w:ascii="宋体" w:hAnsi="宋体" w:eastAsia="宋体"/>
                <w:color w:val="auto"/>
                <w:szCs w:val="21"/>
                <w:highlight w:val="none"/>
                <w:lang w:val="en-US" w:eastAsia="zh-CN"/>
              </w:rPr>
            </w:pPr>
            <w:r>
              <w:rPr>
                <w:rFonts w:hint="eastAsia" w:ascii="宋体" w:hAnsi="宋体"/>
                <w:color w:val="auto"/>
                <w:szCs w:val="21"/>
                <w:highlight w:val="none"/>
              </w:rPr>
              <w:t>项目编号：</w:t>
            </w:r>
            <w:r>
              <w:rPr>
                <w:rFonts w:hint="eastAsia" w:ascii="宋体" w:hAnsi="宋体" w:eastAsia="宋体" w:cs="宋体"/>
                <w:b w:val="0"/>
                <w:bCs/>
                <w:snapToGrid w:val="0"/>
                <w:color w:val="auto"/>
                <w:szCs w:val="21"/>
                <w:highlight w:val="none"/>
              </w:rPr>
              <w:t>采购计划-[2025]-00022号-1</w:t>
            </w:r>
          </w:p>
        </w:tc>
      </w:tr>
      <w:tr w14:paraId="23508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7" w:hRule="atLeast"/>
        </w:trPr>
        <w:tc>
          <w:tcPr>
            <w:tcW w:w="534" w:type="dxa"/>
            <w:vAlign w:val="center"/>
          </w:tcPr>
          <w:p w14:paraId="3B625EC7">
            <w:pPr>
              <w:spacing w:line="360" w:lineRule="exact"/>
              <w:jc w:val="center"/>
              <w:rPr>
                <w:rFonts w:ascii="宋体" w:hAnsi="宋体"/>
                <w:color w:val="auto"/>
                <w:szCs w:val="21"/>
                <w:highlight w:val="none"/>
              </w:rPr>
            </w:pPr>
            <w:r>
              <w:rPr>
                <w:rFonts w:hint="eastAsia" w:ascii="宋体" w:hAnsi="宋体"/>
                <w:color w:val="auto"/>
                <w:szCs w:val="21"/>
                <w:highlight w:val="none"/>
              </w:rPr>
              <w:t>2</w:t>
            </w:r>
          </w:p>
        </w:tc>
        <w:tc>
          <w:tcPr>
            <w:tcW w:w="1901" w:type="dxa"/>
            <w:vAlign w:val="center"/>
          </w:tcPr>
          <w:p w14:paraId="58F0C60A">
            <w:pPr>
              <w:spacing w:line="360" w:lineRule="exact"/>
              <w:jc w:val="center"/>
              <w:rPr>
                <w:rFonts w:ascii="宋体" w:hAnsi="宋体"/>
                <w:color w:val="auto"/>
                <w:szCs w:val="21"/>
                <w:highlight w:val="none"/>
              </w:rPr>
            </w:pPr>
            <w:r>
              <w:rPr>
                <w:rFonts w:hint="eastAsia" w:ascii="宋体" w:hAnsi="宋体"/>
                <w:color w:val="auto"/>
                <w:szCs w:val="21"/>
                <w:highlight w:val="none"/>
              </w:rPr>
              <w:t>供应商资格</w:t>
            </w:r>
          </w:p>
        </w:tc>
        <w:tc>
          <w:tcPr>
            <w:tcW w:w="6462" w:type="dxa"/>
            <w:vAlign w:val="center"/>
          </w:tcPr>
          <w:p w14:paraId="3B2CC800">
            <w:pPr>
              <w:keepNext w:val="0"/>
              <w:keepLines w:val="0"/>
              <w:pageBreakBefore w:val="0"/>
              <w:widowControl/>
              <w:kinsoku/>
              <w:wordWrap/>
              <w:overflowPunct/>
              <w:topLinePunct w:val="0"/>
              <w:autoSpaceDE/>
              <w:autoSpaceDN/>
              <w:bidi w:val="0"/>
              <w:adjustRightInd/>
              <w:snapToGrid/>
              <w:spacing w:line="360" w:lineRule="auto"/>
              <w:ind w:firstLine="465"/>
              <w:textAlignment w:val="auto"/>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1.满足《中华人民共和国政府采购法》第二十二条规定；</w:t>
            </w:r>
          </w:p>
          <w:p w14:paraId="782FA164">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snapToGrid w:val="0"/>
                <w:color w:val="auto"/>
                <w:szCs w:val="21"/>
                <w:highlight w:val="none"/>
                <w:lang w:val="zh-CN"/>
              </w:rPr>
            </w:pPr>
            <w:r>
              <w:rPr>
                <w:rFonts w:hint="eastAsia" w:ascii="宋体" w:hAnsi="宋体" w:cs="宋体"/>
                <w:b w:val="0"/>
                <w:bCs/>
                <w:snapToGrid w:val="0"/>
                <w:color w:val="auto"/>
                <w:szCs w:val="21"/>
                <w:highlight w:val="none"/>
                <w:lang w:val="en-US" w:eastAsia="zh-CN"/>
              </w:rPr>
              <w:t>2.</w:t>
            </w:r>
            <w:r>
              <w:rPr>
                <w:rFonts w:hint="eastAsia" w:ascii="宋体" w:hAnsi="宋体" w:cs="宋体"/>
                <w:b w:val="0"/>
                <w:bCs/>
                <w:snapToGrid w:val="0"/>
                <w:color w:val="auto"/>
                <w:szCs w:val="21"/>
                <w:highlight w:val="none"/>
              </w:rPr>
              <w:t>落实政府采购政策需满足的资格要求：本项目专门面向中小企业</w:t>
            </w:r>
            <w:r>
              <w:rPr>
                <w:rFonts w:hint="eastAsia" w:ascii="宋体" w:hAnsi="宋体" w:cs="宋体"/>
                <w:b w:val="0"/>
                <w:bCs/>
                <w:snapToGrid w:val="0"/>
                <w:color w:val="auto"/>
                <w:szCs w:val="21"/>
                <w:highlight w:val="none"/>
                <w:lang w:eastAsia="zh-CN"/>
              </w:rPr>
              <w:t>，</w:t>
            </w:r>
            <w:r>
              <w:rPr>
                <w:rFonts w:hint="eastAsia" w:ascii="宋体" w:hAnsi="宋体" w:cs="宋体"/>
                <w:b w:val="0"/>
                <w:bCs/>
                <w:snapToGrid w:val="0"/>
                <w:color w:val="auto"/>
                <w:szCs w:val="21"/>
                <w:highlight w:val="none"/>
              </w:rPr>
              <w:t>《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ascii="宋体" w:hAnsi="宋体" w:cs="宋体"/>
                <w:b w:val="0"/>
                <w:bCs/>
                <w:snapToGrid w:val="0"/>
                <w:color w:val="auto"/>
                <w:szCs w:val="21"/>
                <w:highlight w:val="none"/>
                <w:lang w:val="zh-CN"/>
              </w:rPr>
              <w:t>；</w:t>
            </w:r>
          </w:p>
          <w:p w14:paraId="6A0686B8">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val="0"/>
                <w:bCs/>
                <w:snapToGrid w:val="0"/>
                <w:color w:val="auto"/>
                <w:szCs w:val="21"/>
                <w:highlight w:val="none"/>
              </w:rPr>
            </w:pPr>
            <w:r>
              <w:rPr>
                <w:rFonts w:hint="eastAsia" w:ascii="宋体" w:hAnsi="宋体" w:cs="宋体"/>
                <w:b w:val="0"/>
                <w:bCs/>
                <w:snapToGrid w:val="0"/>
                <w:color w:val="auto"/>
                <w:szCs w:val="21"/>
                <w:highlight w:val="none"/>
              </w:rPr>
              <w:t>3.本项目的特定资格要求：</w:t>
            </w:r>
          </w:p>
          <w:p w14:paraId="10281AB9">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lang w:val="zh-CN"/>
              </w:rPr>
              <w:t>3.1</w:t>
            </w:r>
            <w:r>
              <w:rPr>
                <w:rFonts w:hint="eastAsia" w:ascii="宋体" w:hAnsi="宋体" w:eastAsia="宋体" w:cs="宋体"/>
                <w:b w:val="0"/>
                <w:bCs/>
                <w:snapToGrid w:val="0"/>
                <w:color w:val="auto"/>
                <w:szCs w:val="21"/>
                <w:highlight w:val="none"/>
              </w:rPr>
              <w:t>供应商</w:t>
            </w:r>
            <w:r>
              <w:rPr>
                <w:rFonts w:hint="eastAsia" w:ascii="宋体" w:hAnsi="宋体" w:eastAsia="宋体" w:cs="宋体"/>
                <w:b w:val="0"/>
                <w:bCs/>
                <w:snapToGrid w:val="0"/>
                <w:color w:val="auto"/>
                <w:szCs w:val="21"/>
                <w:highlight w:val="none"/>
                <w:lang w:val="en-US" w:eastAsia="zh-CN"/>
              </w:rPr>
              <w:t>应是在中华人民共和国境内注册，应是具有独立承担民事责任能力的法人或其他组织，具备有效的营业执照，在人员、设备配备要求满足项目需求，具备承揽本项目的能力；</w:t>
            </w:r>
          </w:p>
          <w:p w14:paraId="39DBF76B">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en-US" w:eastAsia="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2</w:t>
            </w:r>
            <w:r>
              <w:rPr>
                <w:rFonts w:hint="default" w:ascii="Calibri" w:hAnsi="Calibri" w:eastAsia="宋体" w:cs="Calibri"/>
                <w:b w:val="0"/>
                <w:bCs/>
                <w:snapToGrid w:val="0"/>
                <w:color w:val="auto"/>
                <w:szCs w:val="21"/>
                <w:highlight w:val="none"/>
                <w:lang w:val="en-US" w:eastAsia="zh-CN"/>
              </w:rPr>
              <w:t>①</w:t>
            </w:r>
            <w:r>
              <w:rPr>
                <w:rFonts w:hint="eastAsia" w:ascii="宋体" w:hAnsi="宋体" w:eastAsia="宋体" w:cs="宋体"/>
                <w:b w:val="0"/>
                <w:bCs/>
                <w:snapToGrid w:val="0"/>
                <w:color w:val="auto"/>
                <w:szCs w:val="21"/>
                <w:highlight w:val="none"/>
                <w:lang w:val="en-US" w:eastAsia="zh-CN"/>
              </w:rPr>
              <w:t>投标供应商为生产企业的，应提供食品药品监督管理部门颁发的《医疗器械生产许可证》或在有效期内的《医疗器械生产企业许可证》；</w:t>
            </w:r>
          </w:p>
          <w:p w14:paraId="2E86DCF0">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rPr>
            </w:pPr>
            <w:r>
              <w:rPr>
                <w:rFonts w:hint="eastAsia" w:ascii="宋体" w:hAnsi="宋体" w:eastAsia="宋体" w:cs="宋体"/>
                <w:b w:val="0"/>
                <w:bCs/>
                <w:snapToGrid w:val="0"/>
                <w:color w:val="auto"/>
                <w:szCs w:val="21"/>
                <w:highlight w:val="none"/>
                <w:lang w:val="en-US" w:eastAsia="zh-CN"/>
              </w:rPr>
              <w:t xml:space="preserve"> </w:t>
            </w:r>
            <w:r>
              <w:rPr>
                <w:rFonts w:hint="default" w:ascii="Calibri" w:hAnsi="Calibri" w:eastAsia="宋体" w:cs="Calibri"/>
                <w:b w:val="0"/>
                <w:bCs/>
                <w:snapToGrid w:val="0"/>
                <w:color w:val="auto"/>
                <w:szCs w:val="21"/>
                <w:highlight w:val="none"/>
                <w:lang w:val="en-US" w:eastAsia="zh-CN"/>
              </w:rPr>
              <w:t>②</w:t>
            </w:r>
            <w:r>
              <w:rPr>
                <w:rFonts w:hint="eastAsia" w:ascii="宋体" w:hAnsi="宋体" w:eastAsia="宋体" w:cs="宋体"/>
                <w:b w:val="0"/>
                <w:bCs/>
                <w:snapToGrid w:val="0"/>
                <w:color w:val="auto"/>
                <w:szCs w:val="21"/>
                <w:highlight w:val="none"/>
                <w:lang w:val="en-US" w:eastAsia="zh-CN"/>
              </w:rPr>
              <w:t>投标供应商为经营企业的，应提供食品药品监督管理部门颁发的《第二类医疗器械经营备案凭证》或有效期内的《医疗器械经营企业许可证》。</w:t>
            </w:r>
          </w:p>
          <w:p w14:paraId="4B3DAD4C">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cs="宋体"/>
                <w:b w:val="0"/>
                <w:bCs/>
                <w:snapToGrid w:val="0"/>
                <w:color w:val="auto"/>
                <w:szCs w:val="21"/>
                <w:highlight w:val="none"/>
                <w:lang w:val="en-US" w:eastAsia="zh-CN"/>
              </w:rPr>
              <w:t>3.3</w:t>
            </w:r>
            <w:r>
              <w:rPr>
                <w:rFonts w:hint="eastAsia" w:ascii="宋体" w:hAnsi="宋体" w:eastAsia="宋体" w:cs="宋体"/>
                <w:b w:val="0"/>
                <w:bCs/>
                <w:snapToGrid w:val="0"/>
                <w:color w:val="auto"/>
                <w:szCs w:val="21"/>
                <w:highlight w:val="none"/>
                <w:lang w:val="en-US" w:eastAsia="zh-CN"/>
              </w:rPr>
              <w:t>供应商</w:t>
            </w:r>
            <w:r>
              <w:rPr>
                <w:rFonts w:hint="eastAsia" w:ascii="宋体" w:hAnsi="宋体" w:eastAsia="宋体" w:cs="宋体"/>
                <w:b w:val="0"/>
                <w:bCs/>
                <w:snapToGrid w:val="0"/>
                <w:color w:val="auto"/>
                <w:szCs w:val="21"/>
                <w:highlight w:val="none"/>
                <w:lang w:val="zh-CN" w:eastAsia="zh-CN"/>
              </w:rPr>
              <w:t>参加采购活动应当提交反映其财务状况、依法缴纳税收和社会保障资金情况的资格条件承诺函，并对资格条件承诺函有关内容的真实性、有效性、合法性负责（执行长财采购〔2022〕2066号文件规定）；</w:t>
            </w:r>
          </w:p>
          <w:p w14:paraId="30881668">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4</w:t>
            </w:r>
            <w:r>
              <w:rPr>
                <w:rFonts w:hint="eastAsia" w:ascii="宋体" w:hAnsi="宋体" w:eastAsia="宋体" w:cs="宋体"/>
                <w:b w:val="0"/>
                <w:bCs/>
                <w:snapToGrid w:val="0"/>
                <w:color w:val="auto"/>
                <w:szCs w:val="21"/>
                <w:highlight w:val="none"/>
                <w:lang w:val="en-US" w:eastAsia="zh-CN"/>
              </w:rPr>
              <w:t>信誉要求：（1）拒绝列入政府取消投标资格记录期间的企业或个人投标；（2）供应商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w:t>
            </w:r>
            <w:r>
              <w:rPr>
                <w:rFonts w:hint="eastAsia" w:ascii="宋体" w:hAnsi="宋体" w:eastAsia="宋体" w:cs="黑体"/>
                <w:b w:val="0"/>
                <w:bCs/>
                <w:color w:val="auto"/>
                <w:kern w:val="0"/>
                <w:sz w:val="21"/>
                <w:szCs w:val="21"/>
                <w:highlight w:val="none"/>
                <w:lang w:val="en-US" w:eastAsia="zh-CN" w:bidi="ar-SA"/>
              </w:rPr>
              <w:t>在2022年至今</w:t>
            </w:r>
            <w:r>
              <w:rPr>
                <w:rFonts w:hint="eastAsia" w:ascii="宋体" w:hAnsi="宋体" w:eastAsia="宋体" w:cs="宋体"/>
                <w:b w:val="0"/>
                <w:bCs/>
                <w:snapToGrid w:val="0"/>
                <w:color w:val="auto"/>
                <w:szCs w:val="21"/>
                <w:highlight w:val="none"/>
                <w:lang w:val="en-US" w:eastAsia="zh-CN"/>
              </w:rPr>
              <w:t>供应商在“中国裁判文书网”(wenshu.court.gov.cn)上无行贿犯罪行为；</w:t>
            </w:r>
          </w:p>
          <w:p w14:paraId="3B4ADB0F">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napToGrid w:val="0"/>
                <w:color w:val="auto"/>
                <w:szCs w:val="21"/>
                <w:highlight w:val="none"/>
                <w:lang w:val="zh-CN"/>
              </w:rPr>
            </w:pPr>
            <w:r>
              <w:rPr>
                <w:rFonts w:hint="eastAsia" w:ascii="宋体" w:hAnsi="宋体" w:eastAsia="宋体" w:cs="宋体"/>
                <w:b w:val="0"/>
                <w:bCs/>
                <w:snapToGrid w:val="0"/>
                <w:color w:val="auto"/>
                <w:szCs w:val="21"/>
                <w:highlight w:val="none"/>
                <w:lang w:val="zh-CN"/>
              </w:rPr>
              <w:t>3.</w:t>
            </w:r>
            <w:r>
              <w:rPr>
                <w:rFonts w:hint="eastAsia" w:ascii="宋体" w:hAnsi="宋体" w:cs="宋体"/>
                <w:b w:val="0"/>
                <w:bCs/>
                <w:snapToGrid w:val="0"/>
                <w:color w:val="auto"/>
                <w:szCs w:val="21"/>
                <w:highlight w:val="none"/>
                <w:lang w:val="en-US" w:eastAsia="zh-CN"/>
              </w:rPr>
              <w:t>5</w:t>
            </w:r>
            <w:r>
              <w:rPr>
                <w:rFonts w:hint="eastAsia" w:ascii="宋体" w:hAnsi="宋体" w:eastAsia="宋体" w:cs="宋体"/>
                <w:b w:val="0"/>
                <w:bCs/>
                <w:snapToGrid w:val="0"/>
                <w:color w:val="auto"/>
                <w:szCs w:val="21"/>
                <w:highlight w:val="none"/>
                <w:lang w:val="zh-CN"/>
              </w:rPr>
              <w:t>与采购人存在利害关系可能影响招标公正性的法人、其他组织或者个人，不得参加投标。</w:t>
            </w:r>
            <w:r>
              <w:rPr>
                <w:rFonts w:hint="eastAsia" w:ascii="宋体" w:hAnsi="宋体" w:eastAsia="宋体" w:cs="黑体"/>
                <w:b w:val="0"/>
                <w:bCs/>
                <w:color w:val="auto"/>
                <w:kern w:val="0"/>
                <w:sz w:val="21"/>
                <w:szCs w:val="21"/>
                <w:highlight w:val="none"/>
                <w:lang w:val="zh-CN" w:eastAsia="zh-CN" w:bidi="ar-SA"/>
              </w:rPr>
              <w:t>单位负责人为同一人或者存在直接控股、管理关系的不同供应商参加同一合同项下分标或未划分分标的同一合同项下的政府采购活动</w:t>
            </w:r>
            <w:r>
              <w:rPr>
                <w:rFonts w:hint="eastAsia" w:ascii="宋体" w:hAnsi="宋体" w:eastAsia="宋体" w:cs="宋体"/>
                <w:b w:val="0"/>
                <w:bCs/>
                <w:snapToGrid w:val="0"/>
                <w:color w:val="auto"/>
                <w:szCs w:val="21"/>
                <w:highlight w:val="none"/>
                <w:lang w:val="zh-CN"/>
              </w:rPr>
              <w:t>。违反这两款规定的，相关投标应当被否决；</w:t>
            </w:r>
          </w:p>
          <w:p w14:paraId="6598F111">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ascii="宋体" w:hAnsi="宋体" w:eastAsia="宋体" w:cs="宋体"/>
                <w:b w:val="0"/>
                <w:bCs/>
                <w:snapToGrid w:val="0"/>
                <w:color w:val="auto"/>
                <w:szCs w:val="21"/>
                <w:highlight w:val="none"/>
                <w:lang w:val="en-US" w:eastAsia="zh-CN"/>
              </w:rPr>
              <w:t>3</w:t>
            </w:r>
            <w:r>
              <w:rPr>
                <w:rFonts w:hint="eastAsia" w:ascii="宋体" w:hAnsi="宋体" w:eastAsia="宋体" w:cs="宋体"/>
                <w:b w:val="0"/>
                <w:bCs/>
                <w:snapToGrid w:val="0"/>
                <w:color w:val="auto"/>
                <w:szCs w:val="21"/>
                <w:highlight w:val="none"/>
                <w:lang w:val="zh-CN"/>
              </w:rPr>
              <w:t>.</w:t>
            </w:r>
            <w:r>
              <w:rPr>
                <w:rFonts w:hint="eastAsia" w:ascii="宋体" w:hAnsi="宋体" w:cs="宋体"/>
                <w:b w:val="0"/>
                <w:bCs/>
                <w:snapToGrid w:val="0"/>
                <w:color w:val="auto"/>
                <w:szCs w:val="21"/>
                <w:highlight w:val="none"/>
                <w:lang w:val="en-US" w:eastAsia="zh-CN"/>
              </w:rPr>
              <w:t>6</w:t>
            </w:r>
            <w:r>
              <w:rPr>
                <w:rFonts w:hint="eastAsia" w:ascii="宋体" w:hAnsi="宋体" w:eastAsia="宋体" w:cs="宋体"/>
                <w:b w:val="0"/>
                <w:bCs/>
                <w:snapToGrid w:val="0"/>
                <w:color w:val="auto"/>
                <w:szCs w:val="21"/>
                <w:highlight w:val="none"/>
                <w:lang w:val="en-US" w:eastAsia="zh-CN"/>
              </w:rPr>
              <w:t>谈判</w:t>
            </w:r>
            <w:r>
              <w:rPr>
                <w:rFonts w:hint="eastAsia" w:ascii="宋体" w:hAnsi="宋体" w:eastAsia="宋体" w:cs="宋体"/>
                <w:b w:val="0"/>
                <w:bCs/>
                <w:snapToGrid w:val="0"/>
                <w:color w:val="auto"/>
                <w:szCs w:val="21"/>
                <w:highlight w:val="none"/>
                <w:lang w:val="zh-CN"/>
              </w:rPr>
              <w:t>过程中，供应商所提供的所有证件均需在有效期内且注册单位名称与供应商的名称一致，如企业名称发生变更，需提供主管部门出具的变更证明材料，否则不接受其供应商参与本次</w:t>
            </w:r>
            <w:r>
              <w:rPr>
                <w:rFonts w:hint="eastAsia" w:ascii="宋体" w:hAnsi="宋体" w:eastAsia="宋体" w:cs="宋体"/>
                <w:b w:val="0"/>
                <w:bCs/>
                <w:snapToGrid w:val="0"/>
                <w:color w:val="auto"/>
                <w:szCs w:val="21"/>
                <w:highlight w:val="none"/>
                <w:lang w:val="en-US" w:eastAsia="zh-CN"/>
              </w:rPr>
              <w:t>采购</w:t>
            </w:r>
            <w:r>
              <w:rPr>
                <w:rFonts w:hint="eastAsia" w:ascii="宋体" w:hAnsi="宋体" w:eastAsia="宋体" w:cs="宋体"/>
                <w:b w:val="0"/>
                <w:bCs/>
                <w:snapToGrid w:val="0"/>
                <w:color w:val="auto"/>
                <w:szCs w:val="21"/>
                <w:highlight w:val="none"/>
                <w:lang w:val="zh-CN"/>
              </w:rPr>
              <w:t>项目；</w:t>
            </w:r>
          </w:p>
        </w:tc>
      </w:tr>
      <w:tr w14:paraId="3C256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34" w:type="dxa"/>
            <w:vAlign w:val="center"/>
          </w:tcPr>
          <w:p w14:paraId="584D2C27">
            <w:pPr>
              <w:spacing w:line="360" w:lineRule="exact"/>
              <w:jc w:val="center"/>
              <w:rPr>
                <w:rFonts w:ascii="宋体" w:hAnsi="宋体"/>
                <w:color w:val="auto"/>
                <w:szCs w:val="21"/>
                <w:highlight w:val="none"/>
              </w:rPr>
            </w:pPr>
            <w:r>
              <w:rPr>
                <w:rFonts w:hint="eastAsia" w:ascii="宋体" w:hAnsi="宋体"/>
                <w:color w:val="auto"/>
                <w:szCs w:val="21"/>
                <w:highlight w:val="none"/>
              </w:rPr>
              <w:t>3</w:t>
            </w:r>
          </w:p>
        </w:tc>
        <w:tc>
          <w:tcPr>
            <w:tcW w:w="1901" w:type="dxa"/>
            <w:vAlign w:val="center"/>
          </w:tcPr>
          <w:p w14:paraId="412FCA34">
            <w:pPr>
              <w:spacing w:line="360" w:lineRule="exact"/>
              <w:jc w:val="center"/>
              <w:rPr>
                <w:rFonts w:ascii="宋体" w:hAnsi="宋体"/>
                <w:color w:val="auto"/>
                <w:szCs w:val="21"/>
                <w:highlight w:val="none"/>
              </w:rPr>
            </w:pPr>
            <w:r>
              <w:rPr>
                <w:rFonts w:hint="eastAsia" w:ascii="宋体" w:hAnsi="宋体"/>
                <w:color w:val="auto"/>
                <w:szCs w:val="21"/>
                <w:highlight w:val="none"/>
              </w:rPr>
              <w:t>谈判费用</w:t>
            </w:r>
          </w:p>
        </w:tc>
        <w:tc>
          <w:tcPr>
            <w:tcW w:w="6462" w:type="dxa"/>
            <w:vAlign w:val="center"/>
          </w:tcPr>
          <w:p w14:paraId="612D343A">
            <w:pPr>
              <w:spacing w:line="360" w:lineRule="exact"/>
              <w:rPr>
                <w:rFonts w:ascii="宋体" w:hAnsi="宋体"/>
                <w:color w:val="auto"/>
                <w:szCs w:val="21"/>
                <w:highlight w:val="none"/>
              </w:rPr>
            </w:pPr>
            <w:r>
              <w:rPr>
                <w:rFonts w:hint="eastAsia" w:ascii="宋体" w:hAnsi="宋体"/>
                <w:color w:val="auto"/>
                <w:szCs w:val="21"/>
                <w:highlight w:val="none"/>
              </w:rPr>
              <w:t>不论</w:t>
            </w:r>
            <w:r>
              <w:rPr>
                <w:rFonts w:hint="eastAsia" w:ascii="宋体" w:hAnsi="宋体" w:cs="宋体"/>
                <w:color w:val="auto"/>
                <w:szCs w:val="21"/>
                <w:highlight w:val="none"/>
              </w:rPr>
              <w:t>谈判</w:t>
            </w:r>
            <w:r>
              <w:rPr>
                <w:rFonts w:hint="eastAsia" w:ascii="宋体" w:hAnsi="宋体"/>
                <w:color w:val="auto"/>
                <w:szCs w:val="21"/>
                <w:highlight w:val="none"/>
              </w:rPr>
              <w:t>结果如何，供应商均应自行承担所有与</w:t>
            </w:r>
            <w:r>
              <w:rPr>
                <w:rFonts w:hint="eastAsia" w:ascii="宋体" w:hAnsi="宋体" w:cs="宋体"/>
                <w:color w:val="auto"/>
                <w:szCs w:val="21"/>
                <w:highlight w:val="none"/>
              </w:rPr>
              <w:t>谈判</w:t>
            </w:r>
            <w:r>
              <w:rPr>
                <w:rFonts w:hint="eastAsia" w:ascii="宋体" w:hAnsi="宋体"/>
                <w:color w:val="auto"/>
                <w:szCs w:val="21"/>
                <w:highlight w:val="none"/>
              </w:rPr>
              <w:t>有关的全部费用。</w:t>
            </w:r>
          </w:p>
        </w:tc>
      </w:tr>
      <w:tr w14:paraId="73570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34" w:type="dxa"/>
            <w:vAlign w:val="center"/>
          </w:tcPr>
          <w:p w14:paraId="35982216">
            <w:pPr>
              <w:spacing w:line="360" w:lineRule="exact"/>
              <w:jc w:val="center"/>
              <w:rPr>
                <w:rFonts w:hint="eastAsia" w:ascii="宋体" w:hAnsi="宋体"/>
                <w:color w:val="auto"/>
                <w:szCs w:val="21"/>
                <w:highlight w:val="none"/>
              </w:rPr>
            </w:pPr>
            <w:r>
              <w:rPr>
                <w:rFonts w:hint="eastAsia" w:ascii="宋体" w:hAnsi="宋体"/>
                <w:color w:val="auto"/>
                <w:szCs w:val="21"/>
                <w:highlight w:val="none"/>
              </w:rPr>
              <w:t>4</w:t>
            </w:r>
          </w:p>
        </w:tc>
        <w:tc>
          <w:tcPr>
            <w:tcW w:w="1901" w:type="dxa"/>
            <w:vAlign w:val="center"/>
          </w:tcPr>
          <w:p w14:paraId="77879558">
            <w:pPr>
              <w:spacing w:line="320" w:lineRule="exact"/>
              <w:jc w:val="center"/>
              <w:rPr>
                <w:rFonts w:ascii="宋体" w:hAnsi="宋体"/>
                <w:color w:val="auto"/>
                <w:szCs w:val="21"/>
                <w:highlight w:val="none"/>
              </w:rPr>
            </w:pPr>
            <w:r>
              <w:rPr>
                <w:rFonts w:hint="eastAsia" w:ascii="宋体" w:hAnsi="宋体"/>
                <w:color w:val="auto"/>
                <w:szCs w:val="21"/>
                <w:highlight w:val="none"/>
              </w:rPr>
              <w:t>响应文件电子版</w:t>
            </w:r>
          </w:p>
        </w:tc>
        <w:tc>
          <w:tcPr>
            <w:tcW w:w="6462" w:type="dxa"/>
            <w:vAlign w:val="center"/>
          </w:tcPr>
          <w:p w14:paraId="746B21EC">
            <w:pPr>
              <w:snapToGrid w:val="0"/>
              <w:spacing w:line="360" w:lineRule="exact"/>
              <w:jc w:val="left"/>
              <w:rPr>
                <w:rFonts w:hAnsi="宋体"/>
                <w:color w:val="auto"/>
                <w:szCs w:val="21"/>
                <w:highlight w:val="none"/>
              </w:rPr>
            </w:pPr>
            <w:r>
              <w:rPr>
                <w:rFonts w:hint="eastAsia" w:hAnsi="宋体"/>
                <w:color w:val="auto"/>
                <w:szCs w:val="21"/>
                <w:highlight w:val="none"/>
                <w:lang w:val="en-US" w:eastAsia="zh-CN"/>
              </w:rPr>
              <w:t>谈判后提供</w:t>
            </w:r>
          </w:p>
        </w:tc>
      </w:tr>
      <w:tr w14:paraId="3E1F9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4" w:type="dxa"/>
            <w:vAlign w:val="center"/>
          </w:tcPr>
          <w:p w14:paraId="74689782">
            <w:pPr>
              <w:spacing w:line="360" w:lineRule="exact"/>
              <w:jc w:val="center"/>
              <w:rPr>
                <w:rFonts w:ascii="宋体" w:hAnsi="宋体"/>
                <w:color w:val="auto"/>
                <w:szCs w:val="21"/>
                <w:highlight w:val="none"/>
              </w:rPr>
            </w:pPr>
            <w:r>
              <w:rPr>
                <w:rFonts w:hint="eastAsia" w:ascii="宋体" w:hAnsi="宋体"/>
                <w:color w:val="auto"/>
                <w:szCs w:val="21"/>
                <w:highlight w:val="none"/>
              </w:rPr>
              <w:t>5</w:t>
            </w:r>
          </w:p>
        </w:tc>
        <w:tc>
          <w:tcPr>
            <w:tcW w:w="1901" w:type="dxa"/>
            <w:vAlign w:val="center"/>
          </w:tcPr>
          <w:p w14:paraId="7C44CEC5">
            <w:pPr>
              <w:spacing w:line="360" w:lineRule="exact"/>
              <w:jc w:val="center"/>
              <w:rPr>
                <w:rFonts w:ascii="宋体" w:hAnsi="宋体"/>
                <w:color w:val="auto"/>
                <w:szCs w:val="21"/>
                <w:highlight w:val="none"/>
              </w:rPr>
            </w:pPr>
            <w:r>
              <w:rPr>
                <w:rFonts w:hint="eastAsia" w:ascii="宋体" w:hAnsi="宋体"/>
                <w:color w:val="auto"/>
                <w:szCs w:val="21"/>
                <w:highlight w:val="none"/>
              </w:rPr>
              <w:t>谈判报价及</w:t>
            </w:r>
            <w:r>
              <w:rPr>
                <w:rFonts w:hint="eastAsia" w:ascii="宋体" w:hAnsi="宋体"/>
                <w:color w:val="auto"/>
                <w:position w:val="-2"/>
                <w:szCs w:val="21"/>
                <w:highlight w:val="none"/>
              </w:rPr>
              <w:t>采购预算总金额</w:t>
            </w:r>
          </w:p>
        </w:tc>
        <w:tc>
          <w:tcPr>
            <w:tcW w:w="6462" w:type="dxa"/>
            <w:vAlign w:val="center"/>
          </w:tcPr>
          <w:p w14:paraId="077B3DF5">
            <w:pPr>
              <w:spacing w:line="360" w:lineRule="exact"/>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1</w:t>
            </w:r>
            <w:r>
              <w:rPr>
                <w:rFonts w:hint="eastAsia" w:ascii="宋体" w:hAnsi="宋体"/>
                <w:color w:val="auto"/>
                <w:szCs w:val="21"/>
                <w:highlight w:val="none"/>
                <w:lang w:eastAsia="zh-CN"/>
              </w:rPr>
              <w:t>）</w:t>
            </w:r>
            <w:r>
              <w:rPr>
                <w:rFonts w:hint="eastAsia" w:ascii="宋体" w:hAnsi="宋体"/>
                <w:color w:val="auto"/>
                <w:szCs w:val="21"/>
                <w:highlight w:val="none"/>
              </w:rPr>
              <w:t>供应商必须就“</w:t>
            </w:r>
            <w:r>
              <w:rPr>
                <w:rFonts w:hint="eastAsia" w:ascii="宋体" w:hAnsi="宋体"/>
                <w:color w:val="auto"/>
                <w:szCs w:val="21"/>
                <w:highlight w:val="none"/>
                <w:lang w:eastAsia="zh-CN"/>
              </w:rPr>
              <w:t>服务</w:t>
            </w:r>
            <w:r>
              <w:rPr>
                <w:rFonts w:hint="eastAsia" w:ascii="宋体" w:hAnsi="宋体"/>
                <w:color w:val="auto"/>
                <w:szCs w:val="21"/>
                <w:highlight w:val="none"/>
              </w:rPr>
              <w:t>采购需求”中公布的采购内容作完整唯一报价，否则，其响应文件无效。响应文件只允许有一个报价，有选择的或有条件的报价将不予接受。</w:t>
            </w:r>
          </w:p>
          <w:p w14:paraId="12F31AE5">
            <w:pPr>
              <w:spacing w:line="360" w:lineRule="exact"/>
              <w:rPr>
                <w:rFonts w:ascii="宋体" w:hAnsi="宋体"/>
                <w:color w:val="auto"/>
                <w:kern w:val="0"/>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kern w:val="0"/>
                <w:szCs w:val="21"/>
                <w:highlight w:val="none"/>
              </w:rPr>
              <w:t>未退出谈判的</w:t>
            </w:r>
            <w:r>
              <w:rPr>
                <w:rFonts w:ascii="宋体" w:hAnsi="宋体"/>
                <w:color w:val="auto"/>
                <w:kern w:val="0"/>
                <w:szCs w:val="21"/>
                <w:highlight w:val="none"/>
              </w:rPr>
              <w:t>供应商在规定时间内</w:t>
            </w:r>
            <w:r>
              <w:rPr>
                <w:rFonts w:hint="eastAsia" w:ascii="宋体" w:hAnsi="宋体"/>
                <w:color w:val="auto"/>
                <w:kern w:val="0"/>
                <w:szCs w:val="21"/>
                <w:highlight w:val="none"/>
                <w:lang w:val="en-US" w:eastAsia="zh-CN"/>
              </w:rPr>
              <w:t>单独依次线上进行</w:t>
            </w:r>
            <w:r>
              <w:rPr>
                <w:rFonts w:hint="eastAsia" w:ascii="宋体" w:hAnsi="宋体"/>
                <w:color w:val="auto"/>
                <w:kern w:val="0"/>
                <w:szCs w:val="21"/>
                <w:highlight w:val="none"/>
              </w:rPr>
              <w:t>二次</w:t>
            </w:r>
            <w:r>
              <w:rPr>
                <w:rFonts w:ascii="宋体" w:hAnsi="宋体"/>
                <w:color w:val="auto"/>
                <w:kern w:val="0"/>
                <w:szCs w:val="21"/>
                <w:highlight w:val="none"/>
              </w:rPr>
              <w:t>报价</w:t>
            </w:r>
            <w:r>
              <w:rPr>
                <w:rFonts w:hint="eastAsia" w:ascii="宋体" w:hAnsi="宋体"/>
                <w:color w:val="auto"/>
                <w:kern w:val="0"/>
                <w:szCs w:val="21"/>
                <w:highlight w:val="none"/>
              </w:rPr>
              <w:t>，其二次报价超出采购预算导致已通过评审的响应文件无效的，按供应商在提交响应文件截止时间后撤回响应文件处理。</w:t>
            </w:r>
          </w:p>
          <w:p w14:paraId="4534D844">
            <w:pPr>
              <w:spacing w:line="360" w:lineRule="exact"/>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w:t>
            </w:r>
            <w:r>
              <w:rPr>
                <w:rFonts w:hint="eastAsia" w:ascii="宋体" w:hAnsi="宋体"/>
                <w:color w:val="auto"/>
                <w:szCs w:val="21"/>
                <w:highlight w:val="none"/>
              </w:rPr>
              <w:t>不得超过最高限价</w:t>
            </w:r>
            <w:r>
              <w:rPr>
                <w:rFonts w:hint="eastAsia" w:ascii="宋体" w:hAnsi="宋体"/>
                <w:color w:val="auto"/>
                <w:szCs w:val="21"/>
                <w:highlight w:val="none"/>
                <w:lang w:val="en-US" w:eastAsia="zh-CN"/>
              </w:rPr>
              <w:t>人民币</w:t>
            </w:r>
            <w:r>
              <w:rPr>
                <w:rFonts w:hint="eastAsia" w:ascii="宋体" w:hAnsi="宋体" w:cs="宋体"/>
                <w:b w:val="0"/>
                <w:color w:val="auto"/>
                <w:sz w:val="21"/>
                <w:szCs w:val="21"/>
                <w:highlight w:val="none"/>
                <w:lang w:val="en-US" w:eastAsia="zh-CN"/>
              </w:rPr>
              <w:t>395，000</w:t>
            </w:r>
            <w:r>
              <w:rPr>
                <w:rFonts w:hint="eastAsia" w:ascii="宋体" w:hAnsi="宋体" w:eastAsia="宋体" w:cs="宋体"/>
                <w:b w:val="0"/>
                <w:color w:val="auto"/>
                <w:sz w:val="21"/>
                <w:szCs w:val="21"/>
                <w:highlight w:val="none"/>
                <w:lang w:val="en-US" w:eastAsia="zh-CN"/>
              </w:rPr>
              <w:t>.00</w:t>
            </w:r>
            <w:r>
              <w:rPr>
                <w:rFonts w:hint="eastAsia" w:ascii="宋体" w:hAnsi="宋体"/>
                <w:color w:val="auto"/>
                <w:szCs w:val="21"/>
                <w:highlight w:val="none"/>
              </w:rPr>
              <w:t>元，否则</w:t>
            </w:r>
            <w:r>
              <w:rPr>
                <w:rFonts w:hint="eastAsia" w:ascii="宋体" w:hAnsi="宋体"/>
                <w:color w:val="auto"/>
                <w:szCs w:val="21"/>
                <w:highlight w:val="none"/>
                <w:lang w:val="en-US" w:eastAsia="zh-CN"/>
              </w:rPr>
              <w:t>响应</w:t>
            </w:r>
            <w:r>
              <w:rPr>
                <w:rFonts w:hint="eastAsia" w:ascii="宋体" w:hAnsi="宋体"/>
                <w:color w:val="auto"/>
                <w:szCs w:val="21"/>
                <w:highlight w:val="none"/>
              </w:rPr>
              <w:t>无效。</w:t>
            </w:r>
          </w:p>
        </w:tc>
      </w:tr>
      <w:tr w14:paraId="3C398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34" w:type="dxa"/>
            <w:vAlign w:val="center"/>
          </w:tcPr>
          <w:p w14:paraId="756BD74A">
            <w:pPr>
              <w:spacing w:line="360" w:lineRule="exact"/>
              <w:jc w:val="center"/>
              <w:rPr>
                <w:rFonts w:ascii="宋体" w:hAnsi="宋体"/>
                <w:color w:val="auto"/>
                <w:szCs w:val="21"/>
                <w:highlight w:val="none"/>
              </w:rPr>
            </w:pPr>
            <w:r>
              <w:rPr>
                <w:rFonts w:hint="eastAsia" w:ascii="宋体" w:hAnsi="宋体"/>
                <w:color w:val="auto"/>
                <w:szCs w:val="21"/>
                <w:highlight w:val="none"/>
              </w:rPr>
              <w:t>6</w:t>
            </w:r>
          </w:p>
        </w:tc>
        <w:tc>
          <w:tcPr>
            <w:tcW w:w="1901" w:type="dxa"/>
            <w:vAlign w:val="center"/>
          </w:tcPr>
          <w:p w14:paraId="60EE0818">
            <w:pPr>
              <w:spacing w:line="360" w:lineRule="exact"/>
              <w:jc w:val="center"/>
              <w:rPr>
                <w:rFonts w:ascii="宋体" w:hAnsi="宋体"/>
                <w:color w:val="auto"/>
                <w:position w:val="-2"/>
                <w:szCs w:val="21"/>
                <w:highlight w:val="none"/>
              </w:rPr>
            </w:pPr>
            <w:r>
              <w:rPr>
                <w:rFonts w:hint="eastAsia" w:ascii="宋体" w:hAnsi="宋体"/>
                <w:color w:val="auto"/>
                <w:position w:val="-2"/>
                <w:szCs w:val="21"/>
                <w:highlight w:val="none"/>
              </w:rPr>
              <w:t>响应文件有效期</w:t>
            </w:r>
          </w:p>
        </w:tc>
        <w:tc>
          <w:tcPr>
            <w:tcW w:w="6462" w:type="dxa"/>
            <w:vAlign w:val="center"/>
          </w:tcPr>
          <w:p w14:paraId="015ECB54">
            <w:pPr>
              <w:spacing w:line="360" w:lineRule="exact"/>
              <w:rPr>
                <w:rFonts w:ascii="宋体" w:hAnsi="宋体"/>
                <w:color w:val="auto"/>
                <w:szCs w:val="21"/>
                <w:highlight w:val="none"/>
              </w:rPr>
            </w:pPr>
            <w:r>
              <w:rPr>
                <w:rFonts w:hint="eastAsia" w:ascii="宋体" w:hAnsi="宋体"/>
                <w:color w:val="auto"/>
                <w:szCs w:val="21"/>
                <w:highlight w:val="none"/>
              </w:rPr>
              <w:t>响应文件递交截止时间之日起90天，有效期不足的响应文件将被拒绝。</w:t>
            </w:r>
          </w:p>
        </w:tc>
      </w:tr>
      <w:tr w14:paraId="7F04C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34" w:type="dxa"/>
            <w:vAlign w:val="center"/>
          </w:tcPr>
          <w:p w14:paraId="7C61F21C">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宋体" w:hAnsi="宋体"/>
                <w:color w:val="auto"/>
                <w:szCs w:val="21"/>
                <w:highlight w:val="none"/>
              </w:rPr>
            </w:pPr>
          </w:p>
          <w:p w14:paraId="1386AB3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宋体" w:hAnsi="宋体"/>
                <w:color w:val="auto"/>
                <w:szCs w:val="21"/>
                <w:highlight w:val="none"/>
              </w:rPr>
            </w:pPr>
            <w:r>
              <w:rPr>
                <w:rFonts w:hint="eastAsia" w:ascii="宋体" w:hAnsi="宋体"/>
                <w:color w:val="auto"/>
                <w:szCs w:val="21"/>
                <w:highlight w:val="none"/>
              </w:rPr>
              <w:t>7</w:t>
            </w:r>
          </w:p>
          <w:p w14:paraId="7DC0B05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宋体" w:hAnsi="宋体"/>
                <w:color w:val="auto"/>
                <w:szCs w:val="21"/>
                <w:highlight w:val="none"/>
              </w:rPr>
            </w:pPr>
          </w:p>
        </w:tc>
        <w:tc>
          <w:tcPr>
            <w:tcW w:w="1901" w:type="dxa"/>
            <w:vAlign w:val="center"/>
          </w:tcPr>
          <w:p w14:paraId="5C8759D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宋体" w:hAnsi="宋体"/>
                <w:color w:val="auto"/>
                <w:szCs w:val="21"/>
                <w:highlight w:val="none"/>
              </w:rPr>
            </w:pPr>
            <w:r>
              <w:rPr>
                <w:rFonts w:hint="eastAsia" w:ascii="宋体" w:hAnsi="宋体"/>
                <w:color w:val="auto"/>
                <w:szCs w:val="21"/>
                <w:highlight w:val="none"/>
              </w:rPr>
              <w:t>谈判保证金</w:t>
            </w:r>
          </w:p>
        </w:tc>
        <w:tc>
          <w:tcPr>
            <w:tcW w:w="6462" w:type="dxa"/>
            <w:vAlign w:val="center"/>
          </w:tcPr>
          <w:p w14:paraId="07591489">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据长春市财政局关于取消政府采购投标保证金及竞争性谈判文件工本费等有关事项的通知《长财采购〔2021〕695 号》文件要求，全市政府采购货物和服务招标投标活动及非招标采购方式采购货物、工程和服务不得向诚信记录良好的供应商收取</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保证金，但对于满足《中华人民共和国政府采购法》第二十二条有关规定，经“信用中国”网站查询存在行政处罚信息的供应商，采购人、采购代理机构可以按规定收取</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保保证金。不收取</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保保证金的</w:t>
            </w:r>
            <w:r>
              <w:rPr>
                <w:rFonts w:hint="eastAsia" w:ascii="宋体" w:hAnsi="宋体"/>
                <w:color w:val="auto"/>
                <w:szCs w:val="21"/>
                <w:highlight w:val="none"/>
                <w:lang w:val="en-US" w:eastAsia="zh-CN"/>
              </w:rPr>
              <w:t>供应商</w:t>
            </w:r>
            <w:r>
              <w:rPr>
                <w:rFonts w:hint="eastAsia" w:ascii="宋体" w:hAnsi="宋体"/>
                <w:color w:val="auto"/>
                <w:szCs w:val="21"/>
                <w:highlight w:val="none"/>
                <w:lang w:val="zh-CN"/>
              </w:rPr>
              <w:t>应提供“信用中国”网站查询存在无行政处罚信息查询截图https://www.creditchina.gov.cn/xinxigongshi/xinxishuanggongshi截止时间前1日将截图发至采购代理机构邮箱。</w:t>
            </w:r>
          </w:p>
          <w:p w14:paraId="334E4BF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文件保证金的形式：现金支票、保兑支票、银行汇票、保函，以转账、电汇或支票形式提交的</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保证金应当从</w:t>
            </w:r>
            <w:r>
              <w:rPr>
                <w:rFonts w:hint="eastAsia" w:ascii="宋体" w:hAnsi="宋体"/>
                <w:color w:val="auto"/>
                <w:szCs w:val="21"/>
                <w:highlight w:val="none"/>
                <w:lang w:val="en-US" w:eastAsia="zh-CN"/>
              </w:rPr>
              <w:t>供应商</w:t>
            </w:r>
            <w:r>
              <w:rPr>
                <w:rFonts w:hint="eastAsia" w:ascii="宋体" w:hAnsi="宋体"/>
                <w:color w:val="auto"/>
                <w:szCs w:val="21"/>
                <w:highlight w:val="none"/>
                <w:lang w:val="zh-CN"/>
              </w:rPr>
              <w:t>的基本账户转出。</w:t>
            </w:r>
          </w:p>
          <w:p w14:paraId="5CC528F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保证金的金额：</w:t>
            </w:r>
            <w:r>
              <w:rPr>
                <w:rFonts w:hint="eastAsia" w:ascii="宋体" w:hAnsi="宋体"/>
                <w:color w:val="auto"/>
                <w:szCs w:val="21"/>
                <w:highlight w:val="none"/>
                <w:lang w:val="en-US" w:eastAsia="zh-CN"/>
              </w:rPr>
              <w:t>3,000</w:t>
            </w:r>
            <w:r>
              <w:rPr>
                <w:rFonts w:hint="eastAsia" w:ascii="宋体" w:hAnsi="宋体"/>
                <w:color w:val="auto"/>
                <w:szCs w:val="21"/>
                <w:highlight w:val="none"/>
                <w:lang w:val="zh-CN"/>
              </w:rPr>
              <w:t>.00元</w:t>
            </w:r>
          </w:p>
          <w:p w14:paraId="5BB328E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保证金提交时间：</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保证金须在</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截止时间前完成缴纳，如</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前一天遇有公休日或法定节假日,应在公休日、法定节假日前一天交付到账。</w:t>
            </w:r>
          </w:p>
          <w:p w14:paraId="463BEF5B">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账户名称:吉林省国渡项目管理有限公司</w:t>
            </w:r>
          </w:p>
          <w:p w14:paraId="02375F1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账    号:4200 1188 0910 0059 060</w:t>
            </w:r>
          </w:p>
          <w:p w14:paraId="225BFA0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开 户 行:中国工商银行股份有限公司长春南部都市经济开发区支行</w:t>
            </w:r>
          </w:p>
          <w:p w14:paraId="540EF709">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行    号:4200 1188 0910 0059 060</w:t>
            </w:r>
          </w:p>
          <w:p w14:paraId="71EE708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注：1</w:t>
            </w:r>
            <w:r>
              <w:rPr>
                <w:rFonts w:hint="eastAsia" w:ascii="宋体" w:hAnsi="宋体"/>
                <w:color w:val="auto"/>
                <w:szCs w:val="21"/>
                <w:highlight w:val="none"/>
                <w:lang w:val="en-US" w:eastAsia="zh-CN"/>
              </w:rPr>
              <w:t>.供应商</w:t>
            </w:r>
            <w:r>
              <w:rPr>
                <w:rFonts w:hint="eastAsia" w:ascii="宋体" w:hAnsi="宋体"/>
                <w:color w:val="auto"/>
                <w:szCs w:val="21"/>
                <w:highlight w:val="none"/>
                <w:lang w:val="zh-CN"/>
              </w:rPr>
              <w:t>应在汇款时认真核对收款单位、开户行名称、账号准确无误，确保保证金按时到账，否则后果自负。</w:t>
            </w:r>
          </w:p>
          <w:p w14:paraId="57DC5B8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lang w:val="zh-CN"/>
              </w:rPr>
            </w:pPr>
            <w:r>
              <w:rPr>
                <w:rFonts w:hint="eastAsia" w:ascii="宋体" w:hAnsi="宋体"/>
                <w:color w:val="auto"/>
                <w:szCs w:val="21"/>
                <w:highlight w:val="none"/>
                <w:lang w:val="zh-CN"/>
              </w:rPr>
              <w:t>2.</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保证金应写明标段名称及编号，否则后果自负。(如转账请将底单扫描件发送至</w:t>
            </w:r>
            <w:r>
              <w:rPr>
                <w:rFonts w:hint="eastAsia" w:ascii="宋体" w:hAnsi="宋体"/>
                <w:color w:val="auto"/>
                <w:szCs w:val="21"/>
                <w:highlight w:val="none"/>
                <w:lang w:val="en-US" w:eastAsia="zh-CN"/>
              </w:rPr>
              <w:t>采购</w:t>
            </w:r>
            <w:r>
              <w:rPr>
                <w:rFonts w:hint="eastAsia" w:ascii="宋体" w:hAnsi="宋体"/>
                <w:color w:val="auto"/>
                <w:szCs w:val="21"/>
                <w:highlight w:val="none"/>
                <w:lang w:val="zh-CN"/>
              </w:rPr>
              <w:t>代理公司指定邮箱1933583841@qq.com)。</w:t>
            </w:r>
          </w:p>
          <w:p w14:paraId="5B8E50D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olor w:val="auto"/>
                <w:szCs w:val="21"/>
                <w:highlight w:val="none"/>
              </w:rPr>
            </w:pPr>
            <w:r>
              <w:rPr>
                <w:rFonts w:hint="eastAsia" w:ascii="宋体" w:hAnsi="宋体"/>
                <w:color w:val="auto"/>
                <w:szCs w:val="21"/>
                <w:highlight w:val="none"/>
                <w:lang w:val="zh-CN"/>
              </w:rPr>
              <w:t>3.以保函形式出具的应在</w:t>
            </w:r>
            <w:r>
              <w:rPr>
                <w:rFonts w:hint="eastAsia" w:ascii="宋体" w:hAnsi="宋体"/>
                <w:color w:val="auto"/>
                <w:szCs w:val="21"/>
                <w:highlight w:val="none"/>
                <w:lang w:val="en-US" w:eastAsia="zh-CN"/>
              </w:rPr>
              <w:t>谈判</w:t>
            </w:r>
            <w:r>
              <w:rPr>
                <w:rFonts w:hint="eastAsia" w:ascii="宋体" w:hAnsi="宋体"/>
                <w:color w:val="auto"/>
                <w:szCs w:val="21"/>
                <w:highlight w:val="none"/>
                <w:lang w:val="zh-CN"/>
              </w:rPr>
              <w:t>截止时间前一天(遇有公休日或法定节假日,应在公休日、法定节假日前一天)将保函原件送至</w:t>
            </w:r>
            <w:r>
              <w:rPr>
                <w:rFonts w:hint="eastAsia" w:ascii="宋体" w:hAnsi="宋体"/>
                <w:color w:val="auto"/>
                <w:szCs w:val="21"/>
                <w:highlight w:val="none"/>
                <w:lang w:val="en-US" w:eastAsia="zh-CN"/>
              </w:rPr>
              <w:t>采购</w:t>
            </w:r>
            <w:r>
              <w:rPr>
                <w:rFonts w:hint="eastAsia" w:ascii="宋体" w:hAnsi="宋体"/>
                <w:color w:val="auto"/>
                <w:szCs w:val="21"/>
                <w:highlight w:val="none"/>
                <w:lang w:val="zh-CN"/>
              </w:rPr>
              <w:t>代理公司，否则后果自负。</w:t>
            </w:r>
            <w:r>
              <w:rPr>
                <w:rFonts w:hint="eastAsia" w:ascii="宋体" w:hAnsi="宋体"/>
                <w:color w:val="auto"/>
                <w:szCs w:val="21"/>
                <w:highlight w:val="none"/>
              </w:rPr>
              <w:t xml:space="preserve"> </w:t>
            </w:r>
          </w:p>
        </w:tc>
      </w:tr>
      <w:tr w14:paraId="28DC2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4" w:type="dxa"/>
            <w:vAlign w:val="center"/>
          </w:tcPr>
          <w:p w14:paraId="705A7A9A">
            <w:pPr>
              <w:spacing w:line="360" w:lineRule="exact"/>
              <w:jc w:val="center"/>
              <w:rPr>
                <w:rFonts w:ascii="宋体" w:hAnsi="宋体"/>
                <w:color w:val="auto"/>
                <w:szCs w:val="21"/>
                <w:highlight w:val="none"/>
              </w:rPr>
            </w:pPr>
            <w:r>
              <w:rPr>
                <w:rFonts w:hint="eastAsia" w:ascii="宋体" w:hAnsi="宋体"/>
                <w:color w:val="auto"/>
                <w:szCs w:val="21"/>
                <w:highlight w:val="none"/>
              </w:rPr>
              <w:t>8</w:t>
            </w:r>
          </w:p>
        </w:tc>
        <w:tc>
          <w:tcPr>
            <w:tcW w:w="1901" w:type="dxa"/>
            <w:vAlign w:val="center"/>
          </w:tcPr>
          <w:p w14:paraId="0388CAE2">
            <w:pPr>
              <w:spacing w:line="360" w:lineRule="exact"/>
              <w:jc w:val="center"/>
              <w:rPr>
                <w:rFonts w:ascii="宋体" w:hAnsi="宋体"/>
                <w:color w:val="auto"/>
                <w:szCs w:val="21"/>
                <w:highlight w:val="none"/>
              </w:rPr>
            </w:pPr>
            <w:r>
              <w:rPr>
                <w:rFonts w:hint="eastAsia" w:ascii="宋体" w:hAnsi="宋体"/>
                <w:color w:val="auto"/>
                <w:szCs w:val="21"/>
                <w:highlight w:val="none"/>
              </w:rPr>
              <w:t>响应文件份数</w:t>
            </w:r>
          </w:p>
        </w:tc>
        <w:tc>
          <w:tcPr>
            <w:tcW w:w="6462" w:type="dxa"/>
            <w:vAlign w:val="center"/>
          </w:tcPr>
          <w:p w14:paraId="562B9D70">
            <w:pPr>
              <w:spacing w:line="360" w:lineRule="exact"/>
              <w:rPr>
                <w:rFonts w:hint="default" w:ascii="宋体" w:hAnsi="宋体" w:eastAsia="宋体"/>
                <w:color w:val="auto"/>
                <w:szCs w:val="21"/>
                <w:highlight w:val="none"/>
                <w:lang w:val="en-US" w:eastAsia="zh-CN"/>
              </w:rPr>
            </w:pPr>
            <w:r>
              <w:rPr>
                <w:rFonts w:hint="eastAsia"/>
                <w:color w:val="auto"/>
                <w:highlight w:val="none"/>
                <w:lang w:eastAsia="zh-CN"/>
              </w:rPr>
              <w:t>本项目采用全流程电子化采购，</w:t>
            </w:r>
            <w:r>
              <w:rPr>
                <w:rFonts w:hint="eastAsia" w:ascii="宋体" w:hAnsi="宋体"/>
                <w:color w:val="auto"/>
                <w:szCs w:val="21"/>
                <w:highlight w:val="none"/>
                <w:lang w:val="en-US" w:eastAsia="zh-CN"/>
              </w:rPr>
              <w:t>谈判现场无需提供纸质文件。</w:t>
            </w:r>
          </w:p>
        </w:tc>
      </w:tr>
      <w:tr w14:paraId="16E5A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34" w:type="dxa"/>
            <w:vAlign w:val="center"/>
          </w:tcPr>
          <w:p w14:paraId="6FD63408">
            <w:pPr>
              <w:spacing w:line="360" w:lineRule="exact"/>
              <w:jc w:val="center"/>
              <w:rPr>
                <w:rFonts w:ascii="宋体" w:hAnsi="宋体"/>
                <w:color w:val="auto"/>
                <w:szCs w:val="21"/>
                <w:highlight w:val="none"/>
              </w:rPr>
            </w:pPr>
            <w:r>
              <w:rPr>
                <w:rFonts w:hint="eastAsia" w:ascii="宋体" w:hAnsi="宋体"/>
                <w:color w:val="auto"/>
                <w:szCs w:val="21"/>
                <w:highlight w:val="none"/>
              </w:rPr>
              <w:t>9</w:t>
            </w:r>
          </w:p>
        </w:tc>
        <w:tc>
          <w:tcPr>
            <w:tcW w:w="1901" w:type="dxa"/>
            <w:vAlign w:val="center"/>
          </w:tcPr>
          <w:p w14:paraId="3F60AD50">
            <w:pPr>
              <w:spacing w:line="360" w:lineRule="exact"/>
              <w:jc w:val="center"/>
              <w:rPr>
                <w:rFonts w:ascii="宋体" w:hAnsi="宋体"/>
                <w:color w:val="auto"/>
                <w:szCs w:val="21"/>
                <w:highlight w:val="none"/>
              </w:rPr>
            </w:pPr>
            <w:r>
              <w:rPr>
                <w:rFonts w:hint="eastAsia" w:ascii="宋体" w:hAnsi="宋体"/>
                <w:color w:val="auto"/>
                <w:szCs w:val="21"/>
                <w:highlight w:val="none"/>
              </w:rPr>
              <w:t>响应文件要求</w:t>
            </w:r>
          </w:p>
        </w:tc>
        <w:tc>
          <w:tcPr>
            <w:tcW w:w="6462" w:type="dxa"/>
          </w:tcPr>
          <w:p w14:paraId="6A16A9B1">
            <w:pPr>
              <w:spacing w:line="360" w:lineRule="exact"/>
              <w:rPr>
                <w:rFonts w:ascii="宋体" w:hAnsi="宋体"/>
                <w:color w:val="auto"/>
                <w:szCs w:val="21"/>
                <w:highlight w:val="none"/>
              </w:rPr>
            </w:pPr>
            <w:r>
              <w:rPr>
                <w:rFonts w:hint="eastAsia" w:ascii="宋体" w:hAnsi="宋体"/>
                <w:color w:val="auto"/>
                <w:szCs w:val="21"/>
                <w:highlight w:val="none"/>
              </w:rPr>
              <w:t>供应商应按供应商须知第11.1条“响应文件组成”规定的顺序自编目录及页码，响应文件的“正本”、“副本”应当单独装订成册并标注页码，装订应牢固，不易拆散和换页。封面应注明“正本”、“副本”字样，封面上写明项目名称、项目编号、</w:t>
            </w:r>
            <w:r>
              <w:rPr>
                <w:rFonts w:hint="eastAsia" w:ascii="宋体" w:hAnsi="宋体"/>
                <w:color w:val="auto"/>
                <w:szCs w:val="21"/>
                <w:highlight w:val="none"/>
                <w:lang w:val="en-US" w:eastAsia="zh-CN"/>
              </w:rPr>
              <w:t>采购人</w:t>
            </w:r>
            <w:r>
              <w:rPr>
                <w:rFonts w:hint="eastAsia" w:ascii="宋体" w:hAnsi="宋体"/>
                <w:color w:val="auto"/>
                <w:szCs w:val="21"/>
                <w:highlight w:val="none"/>
              </w:rPr>
              <w:t>、供应商单位名称</w:t>
            </w:r>
            <w:r>
              <w:rPr>
                <w:rFonts w:hint="eastAsia" w:ascii="宋体" w:hAnsi="宋体"/>
                <w:color w:val="auto"/>
                <w:szCs w:val="21"/>
                <w:highlight w:val="none"/>
                <w:lang w:eastAsia="zh-CN"/>
              </w:rPr>
              <w:t>、地址、法定代表人签字盖章、</w:t>
            </w:r>
            <w:r>
              <w:rPr>
                <w:rFonts w:hint="eastAsia" w:ascii="宋体" w:hAnsi="宋体"/>
                <w:color w:val="auto"/>
                <w:szCs w:val="21"/>
                <w:highlight w:val="none"/>
                <w:lang w:val="en-US" w:eastAsia="zh-CN"/>
              </w:rPr>
              <w:t>日期</w:t>
            </w:r>
            <w:r>
              <w:rPr>
                <w:rFonts w:hint="eastAsia" w:ascii="宋体" w:hAnsi="宋体"/>
                <w:color w:val="auto"/>
                <w:szCs w:val="21"/>
                <w:highlight w:val="none"/>
                <w:lang w:eastAsia="zh-CN"/>
              </w:rPr>
              <w:t>等内容组成。</w:t>
            </w:r>
          </w:p>
        </w:tc>
      </w:tr>
      <w:tr w14:paraId="7207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14:paraId="7C9CACB2">
            <w:pPr>
              <w:spacing w:line="360" w:lineRule="exact"/>
              <w:jc w:val="center"/>
              <w:rPr>
                <w:rFonts w:ascii="宋体" w:hAnsi="宋体"/>
                <w:color w:val="auto"/>
                <w:szCs w:val="21"/>
                <w:highlight w:val="none"/>
              </w:rPr>
            </w:pPr>
            <w:r>
              <w:rPr>
                <w:rFonts w:hint="eastAsia" w:ascii="宋体" w:hAnsi="宋体"/>
                <w:color w:val="auto"/>
                <w:szCs w:val="21"/>
                <w:highlight w:val="none"/>
              </w:rPr>
              <w:t>10</w:t>
            </w:r>
          </w:p>
        </w:tc>
        <w:tc>
          <w:tcPr>
            <w:tcW w:w="1901" w:type="dxa"/>
            <w:vAlign w:val="center"/>
          </w:tcPr>
          <w:p w14:paraId="6E32378B">
            <w:pPr>
              <w:spacing w:line="360" w:lineRule="exact"/>
              <w:jc w:val="center"/>
              <w:rPr>
                <w:rFonts w:ascii="宋体" w:hAnsi="宋体"/>
                <w:color w:val="auto"/>
                <w:szCs w:val="21"/>
                <w:highlight w:val="none"/>
              </w:rPr>
            </w:pPr>
            <w:r>
              <w:rPr>
                <w:rFonts w:hint="eastAsia" w:ascii="宋体" w:hAnsi="宋体"/>
                <w:color w:val="auto"/>
                <w:szCs w:val="21"/>
                <w:highlight w:val="none"/>
              </w:rPr>
              <w:t>响应文件包装标记</w:t>
            </w:r>
          </w:p>
        </w:tc>
        <w:tc>
          <w:tcPr>
            <w:tcW w:w="6462" w:type="dxa"/>
            <w:vAlign w:val="center"/>
          </w:tcPr>
          <w:p w14:paraId="002C0DEB">
            <w:pPr>
              <w:spacing w:line="360" w:lineRule="exact"/>
              <w:rPr>
                <w:rFonts w:hint="default" w:ascii="宋体" w:hAnsi="宋体" w:eastAsia="宋体"/>
                <w:color w:val="auto"/>
                <w:spacing w:val="-4"/>
                <w:szCs w:val="21"/>
                <w:highlight w:val="none"/>
                <w:lang w:val="en-US" w:eastAsia="zh-CN"/>
              </w:rPr>
            </w:pPr>
            <w:r>
              <w:rPr>
                <w:rFonts w:hint="eastAsia" w:ascii="宋体" w:hAnsi="宋体"/>
                <w:color w:val="auto"/>
                <w:spacing w:val="-4"/>
                <w:szCs w:val="21"/>
                <w:highlight w:val="none"/>
                <w:lang w:val="en-US" w:eastAsia="zh-CN"/>
              </w:rPr>
              <w:t>无</w:t>
            </w:r>
          </w:p>
        </w:tc>
      </w:tr>
      <w:tr w14:paraId="3570B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34" w:type="dxa"/>
            <w:vAlign w:val="center"/>
          </w:tcPr>
          <w:p w14:paraId="3E153AE8">
            <w:pPr>
              <w:spacing w:line="360" w:lineRule="exact"/>
              <w:jc w:val="center"/>
              <w:rPr>
                <w:rFonts w:ascii="宋体" w:hAnsi="宋体"/>
                <w:color w:val="auto"/>
                <w:szCs w:val="21"/>
                <w:highlight w:val="none"/>
              </w:rPr>
            </w:pPr>
            <w:r>
              <w:rPr>
                <w:rFonts w:hint="eastAsia" w:ascii="宋体" w:hAnsi="宋体"/>
                <w:color w:val="auto"/>
                <w:szCs w:val="21"/>
                <w:highlight w:val="none"/>
              </w:rPr>
              <w:t>11</w:t>
            </w:r>
          </w:p>
        </w:tc>
        <w:tc>
          <w:tcPr>
            <w:tcW w:w="1901" w:type="dxa"/>
            <w:vAlign w:val="center"/>
          </w:tcPr>
          <w:p w14:paraId="0DE35F87">
            <w:pPr>
              <w:spacing w:line="360" w:lineRule="exact"/>
              <w:jc w:val="center"/>
              <w:rPr>
                <w:rFonts w:ascii="宋体" w:hAnsi="宋体"/>
                <w:color w:val="auto"/>
                <w:szCs w:val="21"/>
                <w:highlight w:val="none"/>
              </w:rPr>
            </w:pPr>
            <w:r>
              <w:rPr>
                <w:rFonts w:hint="eastAsia" w:ascii="宋体" w:hAnsi="宋体"/>
                <w:color w:val="auto"/>
                <w:szCs w:val="21"/>
                <w:highlight w:val="none"/>
              </w:rPr>
              <w:t>供应商公章</w:t>
            </w:r>
          </w:p>
        </w:tc>
        <w:tc>
          <w:tcPr>
            <w:tcW w:w="6462" w:type="dxa"/>
            <w:vAlign w:val="center"/>
          </w:tcPr>
          <w:p w14:paraId="77E63E1B">
            <w:pPr>
              <w:spacing w:line="360" w:lineRule="exact"/>
              <w:rPr>
                <w:rFonts w:ascii="宋体" w:hAnsi="宋体"/>
                <w:color w:val="auto"/>
                <w:szCs w:val="21"/>
                <w:highlight w:val="none"/>
              </w:rPr>
            </w:pPr>
            <w:r>
              <w:rPr>
                <w:rFonts w:ascii="宋体" w:hAnsi="宋体" w:cs="宋体"/>
                <w:color w:val="auto"/>
                <w:szCs w:val="21"/>
                <w:highlight w:val="none"/>
              </w:rPr>
              <w:t>本</w:t>
            </w:r>
            <w:r>
              <w:rPr>
                <w:rFonts w:hint="eastAsia" w:ascii="宋体" w:hAnsi="宋体" w:cs="宋体"/>
                <w:color w:val="auto"/>
                <w:szCs w:val="21"/>
                <w:highlight w:val="none"/>
              </w:rPr>
              <w:t>竞争性谈判文件</w:t>
            </w:r>
            <w:r>
              <w:rPr>
                <w:rFonts w:ascii="宋体" w:hAnsi="宋体" w:cs="宋体"/>
                <w:color w:val="auto"/>
                <w:szCs w:val="21"/>
                <w:highlight w:val="none"/>
              </w:rPr>
              <w:t>中描述</w:t>
            </w:r>
            <w:r>
              <w:rPr>
                <w:rFonts w:hint="eastAsia" w:ascii="宋体" w:hAnsi="宋体" w:cs="宋体"/>
                <w:color w:val="auto"/>
                <w:szCs w:val="21"/>
                <w:highlight w:val="none"/>
              </w:rPr>
              <w:t>供应商</w:t>
            </w:r>
            <w:r>
              <w:rPr>
                <w:rFonts w:ascii="宋体" w:hAnsi="宋体" w:cs="宋体"/>
                <w:color w:val="auto"/>
                <w:szCs w:val="21"/>
                <w:highlight w:val="none"/>
              </w:rPr>
              <w:t>的“公章”是指根据我国对公章的管理规定，用</w:t>
            </w:r>
            <w:r>
              <w:rPr>
                <w:rFonts w:hint="eastAsia" w:ascii="宋体" w:hAnsi="宋体" w:cs="宋体"/>
                <w:color w:val="auto"/>
                <w:szCs w:val="21"/>
                <w:highlight w:val="none"/>
              </w:rPr>
              <w:t>供应商</w:t>
            </w:r>
            <w:r>
              <w:rPr>
                <w:rFonts w:ascii="宋体" w:hAnsi="宋体" w:cs="宋体"/>
                <w:color w:val="auto"/>
                <w:szCs w:val="21"/>
                <w:highlight w:val="none"/>
              </w:rPr>
              <w:t>法定主体行为名称制作的印章，除本文件有特殊规定外，</w:t>
            </w:r>
            <w:r>
              <w:rPr>
                <w:rFonts w:hint="eastAsia" w:ascii="宋体" w:hAnsi="宋体" w:cs="宋体"/>
                <w:color w:val="auto"/>
                <w:szCs w:val="21"/>
                <w:highlight w:val="none"/>
              </w:rPr>
              <w:t>供应商</w:t>
            </w:r>
            <w:r>
              <w:rPr>
                <w:rFonts w:ascii="宋体" w:hAnsi="宋体" w:cs="宋体"/>
                <w:color w:val="auto"/>
                <w:szCs w:val="21"/>
                <w:highlight w:val="none"/>
              </w:rPr>
              <w:t>的财务章、部门章、分公司章、工会章、合同章、</w:t>
            </w:r>
            <w:r>
              <w:rPr>
                <w:rFonts w:hint="eastAsia" w:ascii="宋体" w:hAnsi="宋体" w:cs="宋体"/>
                <w:color w:val="auto"/>
                <w:szCs w:val="21"/>
                <w:highlight w:val="none"/>
              </w:rPr>
              <w:t>谈判</w:t>
            </w:r>
            <w:r>
              <w:rPr>
                <w:rFonts w:ascii="宋体" w:hAnsi="宋体" w:cs="宋体"/>
                <w:color w:val="auto"/>
                <w:szCs w:val="21"/>
                <w:highlight w:val="none"/>
              </w:rPr>
              <w:t>专用章、业务专用章及银行的转账章、现金收讫章、现金付讫章</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其他形式非正规公章</w:t>
            </w:r>
            <w:r>
              <w:rPr>
                <w:rFonts w:ascii="宋体" w:hAnsi="宋体" w:cs="宋体"/>
                <w:color w:val="auto"/>
                <w:szCs w:val="21"/>
                <w:highlight w:val="none"/>
              </w:rPr>
              <w:t>等其它形式印章均不能代替公章</w:t>
            </w:r>
            <w:r>
              <w:rPr>
                <w:rFonts w:hint="eastAsia" w:ascii="宋体" w:hAnsi="宋体" w:cs="宋体"/>
                <w:color w:val="auto"/>
                <w:szCs w:val="21"/>
                <w:highlight w:val="none"/>
              </w:rPr>
              <w:t>。</w:t>
            </w:r>
          </w:p>
        </w:tc>
      </w:tr>
      <w:tr w14:paraId="1B1A9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34" w:type="dxa"/>
            <w:vAlign w:val="center"/>
          </w:tcPr>
          <w:p w14:paraId="739C0FF9">
            <w:pPr>
              <w:spacing w:line="360" w:lineRule="exact"/>
              <w:jc w:val="center"/>
              <w:rPr>
                <w:rFonts w:ascii="宋体" w:hAnsi="宋体"/>
                <w:color w:val="auto"/>
                <w:szCs w:val="21"/>
                <w:highlight w:val="none"/>
              </w:rPr>
            </w:pPr>
            <w:r>
              <w:rPr>
                <w:rFonts w:hint="eastAsia" w:ascii="宋体" w:hAnsi="宋体"/>
                <w:color w:val="auto"/>
                <w:szCs w:val="21"/>
                <w:highlight w:val="none"/>
              </w:rPr>
              <w:t>12</w:t>
            </w:r>
          </w:p>
        </w:tc>
        <w:tc>
          <w:tcPr>
            <w:tcW w:w="1901" w:type="dxa"/>
            <w:vAlign w:val="center"/>
          </w:tcPr>
          <w:p w14:paraId="263150C3">
            <w:pPr>
              <w:spacing w:line="360" w:lineRule="exact"/>
              <w:jc w:val="center"/>
              <w:rPr>
                <w:rFonts w:ascii="宋体" w:hAnsi="宋体"/>
                <w:color w:val="auto"/>
                <w:szCs w:val="21"/>
                <w:highlight w:val="none"/>
              </w:rPr>
            </w:pPr>
            <w:r>
              <w:rPr>
                <w:rFonts w:hint="eastAsia" w:ascii="宋体" w:hAnsi="宋体"/>
                <w:color w:val="auto"/>
                <w:szCs w:val="21"/>
                <w:highlight w:val="none"/>
              </w:rPr>
              <w:t>响应文件递交截止时间</w:t>
            </w:r>
          </w:p>
        </w:tc>
        <w:tc>
          <w:tcPr>
            <w:tcW w:w="6462" w:type="dxa"/>
            <w:vAlign w:val="center"/>
          </w:tcPr>
          <w:p w14:paraId="51469624">
            <w:pPr>
              <w:spacing w:line="360" w:lineRule="exact"/>
              <w:rPr>
                <w:rFonts w:hint="default" w:ascii="宋体" w:hAnsi="宋体"/>
                <w:b/>
                <w:i w:val="0"/>
                <w:iCs w:val="0"/>
                <w:color w:val="auto"/>
                <w:szCs w:val="21"/>
                <w:highlight w:val="none"/>
                <w:lang w:val="en-US"/>
              </w:rPr>
            </w:pPr>
            <w:r>
              <w:rPr>
                <w:rFonts w:hint="eastAsia" w:ascii="宋体" w:hAnsi="宋体"/>
                <w:i w:val="0"/>
                <w:iCs w:val="0"/>
                <w:color w:val="auto"/>
                <w:szCs w:val="21"/>
                <w:highlight w:val="none"/>
              </w:rPr>
              <w:t>响应文件递交截止时间：</w:t>
            </w:r>
            <w:r>
              <w:rPr>
                <w:rFonts w:hint="eastAsia" w:ascii="宋体" w:hAnsi="宋体" w:cs="黑体"/>
                <w:b w:val="0"/>
                <w:color w:val="auto"/>
                <w:kern w:val="0"/>
                <w:sz w:val="21"/>
                <w:szCs w:val="21"/>
                <w:highlight w:val="none"/>
                <w:lang w:val="en-US" w:eastAsia="zh-CN"/>
              </w:rPr>
              <w:t>2025年04月15日14点30分（北京时间）</w:t>
            </w:r>
            <w:r>
              <w:rPr>
                <w:rFonts w:hint="eastAsia" w:ascii="宋体" w:hAnsi="宋体" w:cs="黑体"/>
                <w:b w:val="0"/>
                <w:color w:val="auto"/>
                <w:kern w:val="0"/>
                <w:sz w:val="21"/>
                <w:szCs w:val="21"/>
                <w:highlight w:val="none"/>
                <w:lang w:val="en-US" w:eastAsia="zh-CN"/>
              </w:rPr>
              <w:t>。</w:t>
            </w:r>
          </w:p>
        </w:tc>
      </w:tr>
      <w:tr w14:paraId="6E3A0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534" w:type="dxa"/>
            <w:vAlign w:val="center"/>
          </w:tcPr>
          <w:p w14:paraId="3DA04341">
            <w:pPr>
              <w:spacing w:line="36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3</w:t>
            </w:r>
          </w:p>
        </w:tc>
        <w:tc>
          <w:tcPr>
            <w:tcW w:w="1901" w:type="dxa"/>
            <w:vAlign w:val="center"/>
          </w:tcPr>
          <w:p w14:paraId="6AC0B322">
            <w:pPr>
              <w:spacing w:line="360" w:lineRule="exact"/>
              <w:jc w:val="center"/>
              <w:rPr>
                <w:rFonts w:ascii="宋体" w:hAnsi="宋体"/>
                <w:color w:val="auto"/>
                <w:szCs w:val="21"/>
                <w:highlight w:val="none"/>
              </w:rPr>
            </w:pPr>
            <w:r>
              <w:rPr>
                <w:rFonts w:hint="eastAsia" w:ascii="宋体" w:hAnsi="宋体"/>
                <w:color w:val="auto"/>
                <w:szCs w:val="21"/>
                <w:highlight w:val="none"/>
              </w:rPr>
              <w:t>谈判小组组成</w:t>
            </w:r>
          </w:p>
        </w:tc>
        <w:tc>
          <w:tcPr>
            <w:tcW w:w="6462" w:type="dxa"/>
            <w:vAlign w:val="center"/>
          </w:tcPr>
          <w:p w14:paraId="05EF38A3">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谈判及评审工作由采购代理机构负责组织，具体谈判、评审工作由依法组建的谈判小组负责，谈判小组由采购人代表和有关方面的专家组成。</w:t>
            </w:r>
          </w:p>
          <w:p w14:paraId="0F5C5D5B">
            <w:pPr>
              <w:spacing w:line="360" w:lineRule="exact"/>
              <w:rPr>
                <w:rFonts w:ascii="宋体" w:hAnsi="宋体"/>
                <w:i w:val="0"/>
                <w:iCs w:val="0"/>
                <w:color w:val="auto"/>
                <w:szCs w:val="21"/>
                <w:highlight w:val="none"/>
              </w:rPr>
            </w:pPr>
            <w:r>
              <w:rPr>
                <w:rFonts w:hint="eastAsia" w:ascii="宋体" w:hAnsi="宋体"/>
                <w:i w:val="0"/>
                <w:iCs w:val="0"/>
                <w:color w:val="auto"/>
                <w:szCs w:val="21"/>
                <w:highlight w:val="none"/>
              </w:rPr>
              <w:t>谈判小组的构成：</w:t>
            </w:r>
            <w:r>
              <w:rPr>
                <w:rFonts w:hint="eastAsia" w:ascii="宋体" w:hAnsi="宋体"/>
                <w:i w:val="0"/>
                <w:iCs w:val="0"/>
                <w:color w:val="auto"/>
                <w:szCs w:val="21"/>
                <w:highlight w:val="none"/>
                <w:u w:val="single"/>
              </w:rPr>
              <w:t>3</w:t>
            </w:r>
            <w:r>
              <w:rPr>
                <w:rFonts w:hint="eastAsia" w:ascii="宋体" w:hAnsi="宋体"/>
                <w:i w:val="0"/>
                <w:iCs w:val="0"/>
                <w:color w:val="auto"/>
                <w:szCs w:val="21"/>
                <w:highlight w:val="none"/>
              </w:rPr>
              <w:t>人，其中采购人代表</w:t>
            </w:r>
            <w:r>
              <w:rPr>
                <w:rFonts w:hint="eastAsia" w:ascii="宋体" w:hAnsi="宋体"/>
                <w:i w:val="0"/>
                <w:iCs w:val="0"/>
                <w:color w:val="auto"/>
                <w:szCs w:val="21"/>
                <w:highlight w:val="none"/>
                <w:u w:val="single"/>
                <w:lang w:val="en-US" w:eastAsia="zh-CN"/>
              </w:rPr>
              <w:t>0</w:t>
            </w:r>
            <w:r>
              <w:rPr>
                <w:rFonts w:hint="eastAsia" w:ascii="宋体" w:hAnsi="宋体"/>
                <w:i w:val="0"/>
                <w:iCs w:val="0"/>
                <w:color w:val="auto"/>
                <w:szCs w:val="21"/>
                <w:highlight w:val="none"/>
              </w:rPr>
              <w:t>人， 专家</w:t>
            </w:r>
            <w:r>
              <w:rPr>
                <w:rFonts w:hint="eastAsia" w:ascii="宋体" w:hAnsi="宋体"/>
                <w:i w:val="0"/>
                <w:iCs w:val="0"/>
                <w:color w:val="auto"/>
                <w:szCs w:val="21"/>
                <w:highlight w:val="none"/>
                <w:u w:val="single"/>
                <w:lang w:val="en-US" w:eastAsia="zh-CN"/>
              </w:rPr>
              <w:t>3</w:t>
            </w:r>
            <w:r>
              <w:rPr>
                <w:rFonts w:hint="eastAsia" w:ascii="宋体" w:hAnsi="宋体"/>
                <w:i w:val="0"/>
                <w:iCs w:val="0"/>
                <w:color w:val="auto"/>
                <w:szCs w:val="21"/>
                <w:highlight w:val="none"/>
              </w:rPr>
              <w:t>人。专家确定</w:t>
            </w:r>
            <w:r>
              <w:rPr>
                <w:rFonts w:hint="eastAsia" w:ascii="宋体" w:hAnsi="宋体"/>
                <w:i w:val="0"/>
                <w:iCs w:val="0"/>
                <w:color w:val="auto"/>
                <w:szCs w:val="21"/>
                <w:highlight w:val="none"/>
                <w:u w:val="none"/>
              </w:rPr>
              <w:t>方式：</w:t>
            </w:r>
            <w:r>
              <w:rPr>
                <w:rFonts w:hint="eastAsia" w:ascii="宋体" w:hAnsi="宋体"/>
                <w:i w:val="0"/>
                <w:iCs w:val="0"/>
                <w:color w:val="auto"/>
                <w:szCs w:val="21"/>
                <w:highlight w:val="none"/>
                <w:u w:val="none"/>
                <w:lang w:val="zh-CN"/>
              </w:rPr>
              <w:t>从</w:t>
            </w:r>
            <w:r>
              <w:rPr>
                <w:rFonts w:hint="eastAsia" w:ascii="宋体" w:hAnsi="宋体"/>
                <w:i w:val="0"/>
                <w:iCs w:val="0"/>
                <w:color w:val="auto"/>
                <w:szCs w:val="21"/>
                <w:highlight w:val="none"/>
                <w:u w:val="none"/>
                <w:lang w:val="en-US" w:eastAsia="zh-CN"/>
              </w:rPr>
              <w:t>政府采购云平台</w:t>
            </w:r>
            <w:r>
              <w:rPr>
                <w:rFonts w:hint="eastAsia" w:ascii="宋体" w:hAnsi="宋体"/>
                <w:i w:val="0"/>
                <w:iCs w:val="0"/>
                <w:color w:val="auto"/>
                <w:szCs w:val="21"/>
                <w:highlight w:val="none"/>
                <w:u w:val="none"/>
                <w:lang w:val="zh-CN"/>
              </w:rPr>
              <w:t>专家库中随机抽取</w:t>
            </w:r>
            <w:r>
              <w:rPr>
                <w:rFonts w:hint="eastAsia" w:ascii="宋体" w:hAnsi="宋体"/>
                <w:i w:val="0"/>
                <w:iCs w:val="0"/>
                <w:color w:val="auto"/>
                <w:szCs w:val="21"/>
                <w:highlight w:val="none"/>
                <w:u w:val="none"/>
              </w:rPr>
              <w:t xml:space="preserve"> 。</w:t>
            </w:r>
          </w:p>
        </w:tc>
      </w:tr>
      <w:tr w14:paraId="1E2DB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34" w:type="dxa"/>
            <w:vAlign w:val="center"/>
          </w:tcPr>
          <w:p w14:paraId="7DDB88B6">
            <w:pPr>
              <w:spacing w:line="36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4</w:t>
            </w:r>
          </w:p>
        </w:tc>
        <w:tc>
          <w:tcPr>
            <w:tcW w:w="1901" w:type="dxa"/>
            <w:vAlign w:val="center"/>
          </w:tcPr>
          <w:p w14:paraId="47BA2151">
            <w:pPr>
              <w:spacing w:line="360" w:lineRule="exact"/>
              <w:jc w:val="center"/>
              <w:rPr>
                <w:rFonts w:ascii="宋体" w:hAnsi="宋体"/>
                <w:color w:val="auto"/>
                <w:spacing w:val="-6"/>
                <w:szCs w:val="21"/>
                <w:highlight w:val="none"/>
              </w:rPr>
            </w:pPr>
            <w:r>
              <w:rPr>
                <w:rFonts w:hint="eastAsia" w:ascii="宋体" w:hAnsi="宋体"/>
                <w:color w:val="auto"/>
                <w:szCs w:val="21"/>
                <w:highlight w:val="none"/>
              </w:rPr>
              <w:t>谈判时间、地点、人员</w:t>
            </w:r>
          </w:p>
        </w:tc>
        <w:tc>
          <w:tcPr>
            <w:tcW w:w="6462" w:type="dxa"/>
            <w:vAlign w:val="center"/>
          </w:tcPr>
          <w:p w14:paraId="787EDA39">
            <w:pPr>
              <w:spacing w:line="360" w:lineRule="exact"/>
              <w:rPr>
                <w:rFonts w:ascii="宋体" w:hAnsi="宋体"/>
                <w:i w:val="0"/>
                <w:iCs w:val="0"/>
                <w:color w:val="auto"/>
                <w:szCs w:val="21"/>
                <w:highlight w:val="none"/>
              </w:rPr>
            </w:pPr>
            <w:r>
              <w:rPr>
                <w:rFonts w:hint="eastAsia" w:ascii="宋体" w:hAnsi="宋体"/>
                <w:i w:val="0"/>
                <w:iCs w:val="0"/>
                <w:color w:val="auto"/>
                <w:szCs w:val="21"/>
                <w:highlight w:val="none"/>
              </w:rPr>
              <w:t>19.2.1谈判时间：响应文件递交截止时间后。</w:t>
            </w:r>
          </w:p>
          <w:p w14:paraId="58E27AFD">
            <w:pPr>
              <w:spacing w:line="360" w:lineRule="exact"/>
              <w:rPr>
                <w:rFonts w:hint="eastAsia" w:ascii="宋体" w:hAnsi="宋体" w:eastAsia="宋体" w:cs="宋体"/>
                <w:bCs/>
                <w:i w:val="0"/>
                <w:iCs w:val="0"/>
                <w:snapToGrid w:val="0"/>
                <w:color w:val="auto"/>
                <w:szCs w:val="21"/>
                <w:highlight w:val="none"/>
                <w:lang w:val="en-US" w:eastAsia="zh-CN"/>
              </w:rPr>
            </w:pPr>
            <w:r>
              <w:rPr>
                <w:rFonts w:hint="eastAsia" w:ascii="宋体" w:hAnsi="宋体"/>
                <w:i w:val="0"/>
                <w:iCs w:val="0"/>
                <w:color w:val="auto"/>
                <w:szCs w:val="21"/>
                <w:highlight w:val="none"/>
              </w:rPr>
              <w:t>19.2.2谈判地点：</w:t>
            </w:r>
            <w:r>
              <w:rPr>
                <w:rFonts w:hint="eastAsia" w:ascii="宋体" w:hAnsi="宋体" w:cs="宋体"/>
                <w:bCs/>
                <w:i w:val="0"/>
                <w:iCs w:val="0"/>
                <w:snapToGrid w:val="0"/>
                <w:color w:val="auto"/>
                <w:szCs w:val="21"/>
                <w:highlight w:val="none"/>
                <w:lang w:eastAsia="zh-CN"/>
              </w:rPr>
              <w:t>长春市二道区洋浦大街6999号凯利中心AB栋101开标</w:t>
            </w:r>
            <w:r>
              <w:rPr>
                <w:rFonts w:hint="eastAsia" w:ascii="宋体" w:hAnsi="宋体" w:cs="宋体"/>
                <w:bCs/>
                <w:i w:val="0"/>
                <w:iCs w:val="0"/>
                <w:snapToGrid w:val="0"/>
                <w:color w:val="auto"/>
                <w:szCs w:val="21"/>
                <w:highlight w:val="none"/>
                <w:lang w:val="en-US" w:eastAsia="zh-CN"/>
              </w:rPr>
              <w:t>四</w:t>
            </w:r>
            <w:r>
              <w:rPr>
                <w:rFonts w:hint="eastAsia" w:ascii="宋体" w:hAnsi="宋体" w:cs="宋体"/>
                <w:bCs/>
                <w:i w:val="0"/>
                <w:iCs w:val="0"/>
                <w:snapToGrid w:val="0"/>
                <w:color w:val="auto"/>
                <w:szCs w:val="21"/>
                <w:highlight w:val="none"/>
                <w:lang w:eastAsia="zh-CN"/>
              </w:rPr>
              <w:t>室</w:t>
            </w:r>
            <w:r>
              <w:rPr>
                <w:rFonts w:hint="eastAsia" w:ascii="宋体" w:hAnsi="宋体" w:cs="宋体"/>
                <w:bCs/>
                <w:i w:val="0"/>
                <w:iCs w:val="0"/>
                <w:snapToGrid w:val="0"/>
                <w:color w:val="auto"/>
                <w:szCs w:val="21"/>
                <w:highlight w:val="none"/>
                <w:lang w:val="en-US" w:eastAsia="zh-CN"/>
              </w:rPr>
              <w:t>。</w:t>
            </w:r>
          </w:p>
          <w:p w14:paraId="361E7326">
            <w:pPr>
              <w:spacing w:line="360" w:lineRule="exact"/>
              <w:rPr>
                <w:rFonts w:ascii="宋体" w:hAnsi="宋体"/>
                <w:i w:val="0"/>
                <w:iCs w:val="0"/>
                <w:color w:val="auto"/>
                <w:szCs w:val="21"/>
                <w:highlight w:val="none"/>
              </w:rPr>
            </w:pPr>
            <w:r>
              <w:rPr>
                <w:rFonts w:hint="eastAsia" w:ascii="宋体" w:hAnsi="宋体"/>
                <w:i w:val="0"/>
                <w:iCs w:val="0"/>
                <w:color w:val="auto"/>
                <w:szCs w:val="21"/>
                <w:highlight w:val="none"/>
              </w:rPr>
              <w:t>19.2.</w:t>
            </w:r>
            <w:r>
              <w:rPr>
                <w:rFonts w:hint="eastAsia" w:ascii="宋体" w:hAnsi="宋体"/>
                <w:i w:val="0"/>
                <w:iCs w:val="0"/>
                <w:color w:val="auto"/>
                <w:szCs w:val="21"/>
                <w:highlight w:val="none"/>
                <w:lang w:val="en-US" w:eastAsia="zh-CN"/>
              </w:rPr>
              <w:t>3</w:t>
            </w:r>
            <w:r>
              <w:rPr>
                <w:rFonts w:hint="eastAsia" w:ascii="宋体" w:hAnsi="宋体"/>
                <w:i w:val="0"/>
                <w:iCs w:val="0"/>
                <w:color w:val="auto"/>
                <w:szCs w:val="21"/>
                <w:highlight w:val="none"/>
              </w:rPr>
              <w:t>响应文件递交截止时间后，由谈判小组在评标室内开启响应文件。</w:t>
            </w:r>
          </w:p>
        </w:tc>
      </w:tr>
      <w:tr w14:paraId="2108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34" w:type="dxa"/>
            <w:vAlign w:val="center"/>
          </w:tcPr>
          <w:p w14:paraId="53BB6EAA">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15</w:t>
            </w:r>
          </w:p>
        </w:tc>
        <w:tc>
          <w:tcPr>
            <w:tcW w:w="1901" w:type="dxa"/>
            <w:vAlign w:val="center"/>
          </w:tcPr>
          <w:p w14:paraId="3EDE89A1">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谈判程序</w:t>
            </w:r>
          </w:p>
        </w:tc>
        <w:tc>
          <w:tcPr>
            <w:tcW w:w="6462" w:type="dxa"/>
            <w:vAlign w:val="center"/>
          </w:tcPr>
          <w:p w14:paraId="63B4C3DE">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腾讯会议——会议号：</w:t>
            </w:r>
            <w:r>
              <w:rPr>
                <w:rFonts w:hint="eastAsia" w:ascii="宋体" w:hAnsi="宋体"/>
                <w:i w:val="0"/>
                <w:iCs w:val="0"/>
                <w:color w:val="auto"/>
                <w:szCs w:val="21"/>
                <w:highlight w:val="none"/>
              </w:rPr>
              <w:t>789-498-626</w:t>
            </w:r>
            <w:r>
              <w:rPr>
                <w:rFonts w:hint="eastAsia" w:ascii="宋体" w:hAnsi="宋体"/>
                <w:i w:val="0"/>
                <w:iCs w:val="0"/>
                <w:color w:val="auto"/>
                <w:szCs w:val="21"/>
                <w:highlight w:val="none"/>
              </w:rPr>
              <w:t>，各供应商法人或被授权人，用手机或电脑登录腾讯会议，</w:t>
            </w:r>
            <w:r>
              <w:rPr>
                <w:rFonts w:hint="eastAsia" w:ascii="宋体" w:hAnsi="宋体"/>
                <w:i w:val="0"/>
                <w:iCs w:val="0"/>
                <w:color w:val="auto"/>
                <w:szCs w:val="21"/>
                <w:highlight w:val="none"/>
                <w:lang w:val="en-US" w:eastAsia="zh-CN"/>
              </w:rPr>
              <w:t>2</w:t>
            </w:r>
            <w:r>
              <w:rPr>
                <w:rFonts w:hint="eastAsia" w:ascii="宋体" w:hAnsi="宋体" w:cs="黑体"/>
                <w:b w:val="0"/>
                <w:color w:val="auto"/>
                <w:kern w:val="0"/>
                <w:sz w:val="21"/>
                <w:szCs w:val="21"/>
                <w:highlight w:val="none"/>
                <w:lang w:val="en-US" w:eastAsia="zh-CN"/>
              </w:rPr>
              <w:t>025年04月15日14点30分</w:t>
            </w:r>
            <w:r>
              <w:rPr>
                <w:rFonts w:hint="eastAsia" w:ascii="宋体" w:hAnsi="宋体"/>
                <w:i w:val="0"/>
                <w:iCs w:val="0"/>
                <w:color w:val="auto"/>
                <w:szCs w:val="21"/>
                <w:highlight w:val="none"/>
              </w:rPr>
              <w:t>（北京时间）前进入会议进行下列操作。</w:t>
            </w:r>
          </w:p>
          <w:p w14:paraId="0D2A9EF8">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（1）选择“加入会议”——输入“会议号”</w:t>
            </w:r>
          </w:p>
          <w:p w14:paraId="58D2E3C4">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（2）更改“您的备注”，单位简称＋手机号码</w:t>
            </w:r>
          </w:p>
          <w:p w14:paraId="1BD08B24">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（3）进入会议后不要随意打开语音和视频，保持会议秩序。</w:t>
            </w:r>
          </w:p>
          <w:p w14:paraId="25F27FBB">
            <w:pPr>
              <w:spacing w:line="360" w:lineRule="exact"/>
              <w:rPr>
                <w:rFonts w:hint="eastAsia" w:ascii="宋体" w:hAnsi="宋体"/>
                <w:i w:val="0"/>
                <w:iCs w:val="0"/>
                <w:color w:val="auto"/>
                <w:szCs w:val="21"/>
                <w:highlight w:val="none"/>
              </w:rPr>
            </w:pPr>
            <w:r>
              <w:rPr>
                <w:rFonts w:hint="eastAsia" w:ascii="宋体" w:hAnsi="宋体"/>
                <w:i w:val="0"/>
                <w:iCs w:val="0"/>
                <w:color w:val="auto"/>
                <w:szCs w:val="21"/>
                <w:highlight w:val="none"/>
              </w:rPr>
              <w:t>（4）供应商被授权人不要随意退出会议，请做好提前工作安排，准时进行远程会议开标，因个人原因未出席会议的投标单位视为同意本次开标过程，并无异议。</w:t>
            </w:r>
          </w:p>
        </w:tc>
      </w:tr>
      <w:tr w14:paraId="79A1E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34" w:type="dxa"/>
            <w:vAlign w:val="center"/>
          </w:tcPr>
          <w:p w14:paraId="0DEA78F1">
            <w:pPr>
              <w:spacing w:line="36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6</w:t>
            </w:r>
          </w:p>
        </w:tc>
        <w:tc>
          <w:tcPr>
            <w:tcW w:w="1901" w:type="dxa"/>
            <w:vAlign w:val="center"/>
          </w:tcPr>
          <w:p w14:paraId="3A33B4F4">
            <w:pPr>
              <w:spacing w:line="360" w:lineRule="exact"/>
              <w:jc w:val="center"/>
              <w:rPr>
                <w:rFonts w:ascii="宋体" w:hAnsi="宋体"/>
                <w:color w:val="auto"/>
                <w:szCs w:val="21"/>
                <w:highlight w:val="none"/>
              </w:rPr>
            </w:pPr>
            <w:r>
              <w:rPr>
                <w:rFonts w:hint="eastAsia" w:ascii="宋体" w:hAnsi="宋体" w:cs="Arial"/>
                <w:color w:val="auto"/>
                <w:kern w:val="0"/>
                <w:szCs w:val="21"/>
                <w:highlight w:val="none"/>
              </w:rPr>
              <w:t>评审办法</w:t>
            </w:r>
          </w:p>
        </w:tc>
        <w:tc>
          <w:tcPr>
            <w:tcW w:w="6462" w:type="dxa"/>
            <w:vAlign w:val="center"/>
          </w:tcPr>
          <w:p w14:paraId="7E1DD716">
            <w:pPr>
              <w:spacing w:line="360" w:lineRule="exact"/>
              <w:rPr>
                <w:rFonts w:ascii="宋体" w:hAnsi="宋体"/>
                <w:color w:val="auto"/>
                <w:szCs w:val="21"/>
                <w:highlight w:val="none"/>
              </w:rPr>
            </w:pPr>
            <w:r>
              <w:rPr>
                <w:rFonts w:hint="eastAsia" w:ascii="宋体" w:hAnsi="宋体"/>
                <w:color w:val="auto"/>
                <w:szCs w:val="21"/>
                <w:highlight w:val="none"/>
              </w:rPr>
              <w:t>具体详见第四章评审办法。</w:t>
            </w:r>
          </w:p>
        </w:tc>
      </w:tr>
      <w:tr w14:paraId="3F8C2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34" w:type="dxa"/>
            <w:vAlign w:val="center"/>
          </w:tcPr>
          <w:p w14:paraId="18988E1B">
            <w:pPr>
              <w:spacing w:line="36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7</w:t>
            </w:r>
          </w:p>
        </w:tc>
        <w:tc>
          <w:tcPr>
            <w:tcW w:w="1901" w:type="dxa"/>
            <w:vAlign w:val="center"/>
          </w:tcPr>
          <w:p w14:paraId="79919359">
            <w:pPr>
              <w:spacing w:line="360" w:lineRule="exact"/>
              <w:jc w:val="center"/>
              <w:rPr>
                <w:rFonts w:ascii="宋体" w:hAnsi="宋体"/>
                <w:color w:val="auto"/>
                <w:szCs w:val="21"/>
                <w:highlight w:val="none"/>
              </w:rPr>
            </w:pPr>
            <w:r>
              <w:rPr>
                <w:rFonts w:hint="eastAsia" w:ascii="宋体" w:hAnsi="宋体"/>
                <w:color w:val="auto"/>
                <w:szCs w:val="21"/>
                <w:highlight w:val="none"/>
              </w:rPr>
              <w:t>成交结果公告</w:t>
            </w:r>
          </w:p>
          <w:p w14:paraId="44924539">
            <w:pPr>
              <w:spacing w:line="360" w:lineRule="exact"/>
              <w:jc w:val="center"/>
              <w:rPr>
                <w:rFonts w:hint="eastAsia" w:ascii="宋体" w:hAnsi="宋体" w:cs="Arial"/>
                <w:color w:val="auto"/>
                <w:kern w:val="0"/>
                <w:szCs w:val="21"/>
                <w:highlight w:val="none"/>
              </w:rPr>
            </w:pPr>
            <w:r>
              <w:rPr>
                <w:rFonts w:hint="eastAsia" w:ascii="宋体" w:hAnsi="宋体"/>
                <w:color w:val="auto"/>
                <w:szCs w:val="21"/>
                <w:highlight w:val="none"/>
              </w:rPr>
              <w:t>及成交通知书</w:t>
            </w:r>
          </w:p>
        </w:tc>
        <w:tc>
          <w:tcPr>
            <w:tcW w:w="6462" w:type="dxa"/>
            <w:vAlign w:val="center"/>
          </w:tcPr>
          <w:p w14:paraId="799D9580">
            <w:pPr>
              <w:spacing w:line="360" w:lineRule="exact"/>
              <w:rPr>
                <w:rFonts w:ascii="宋体" w:hAnsi="宋体"/>
                <w:color w:val="auto"/>
                <w:szCs w:val="21"/>
                <w:highlight w:val="none"/>
              </w:rPr>
            </w:pPr>
            <w:r>
              <w:rPr>
                <w:rFonts w:hint="eastAsia" w:ascii="宋体" w:hAnsi="宋体"/>
                <w:color w:val="auto"/>
                <w:szCs w:val="21"/>
                <w:highlight w:val="none"/>
              </w:rPr>
              <w:t>1、采购代理机构于评审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结果信息。</w:t>
            </w:r>
          </w:p>
          <w:p w14:paraId="463A47D7">
            <w:pPr>
              <w:spacing w:line="360" w:lineRule="exact"/>
              <w:jc w:val="left"/>
              <w:rPr>
                <w:rFonts w:hint="eastAsia"/>
                <w:color w:val="auto"/>
                <w:highlight w:val="none"/>
              </w:rPr>
            </w:pPr>
            <w:r>
              <w:rPr>
                <w:rFonts w:hint="eastAsia" w:ascii="宋体" w:hAnsi="宋体"/>
                <w:color w:val="auto"/>
                <w:szCs w:val="21"/>
                <w:highlight w:val="none"/>
              </w:rPr>
              <w:t>2、在发布成交结果公告的同时，采购代理机构向成交供应商发出成交通知书。</w:t>
            </w:r>
          </w:p>
        </w:tc>
      </w:tr>
      <w:tr w14:paraId="615CA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534" w:type="dxa"/>
            <w:vAlign w:val="center"/>
          </w:tcPr>
          <w:p w14:paraId="5019298E">
            <w:pPr>
              <w:spacing w:line="36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8</w:t>
            </w:r>
          </w:p>
        </w:tc>
        <w:tc>
          <w:tcPr>
            <w:tcW w:w="1901" w:type="dxa"/>
            <w:vAlign w:val="center"/>
          </w:tcPr>
          <w:p w14:paraId="13FC9936">
            <w:pPr>
              <w:spacing w:line="360" w:lineRule="exact"/>
              <w:jc w:val="center"/>
              <w:rPr>
                <w:rFonts w:ascii="宋体" w:hAnsi="宋体"/>
                <w:color w:val="auto"/>
                <w:position w:val="-2"/>
                <w:szCs w:val="21"/>
                <w:highlight w:val="none"/>
              </w:rPr>
            </w:pPr>
            <w:r>
              <w:rPr>
                <w:rFonts w:hint="eastAsia" w:ascii="宋体" w:hAnsi="宋体"/>
                <w:color w:val="auto"/>
                <w:szCs w:val="21"/>
                <w:highlight w:val="none"/>
              </w:rPr>
              <w:t>履约保证金</w:t>
            </w:r>
          </w:p>
        </w:tc>
        <w:tc>
          <w:tcPr>
            <w:tcW w:w="6462" w:type="dxa"/>
            <w:vAlign w:val="top"/>
          </w:tcPr>
          <w:p w14:paraId="57F75657">
            <w:pPr>
              <w:spacing w:line="360" w:lineRule="exact"/>
              <w:rPr>
                <w:rFonts w:hint="default" w:ascii="宋体" w:hAnsi="宋体"/>
                <w:color w:val="auto"/>
                <w:szCs w:val="21"/>
                <w:highlight w:val="none"/>
                <w:lang w:val="en-US"/>
              </w:rPr>
            </w:pPr>
            <w:r>
              <w:rPr>
                <w:rFonts w:hint="eastAsia" w:ascii="宋体" w:hAnsi="宋体" w:eastAsia="宋体"/>
                <w:color w:val="auto"/>
                <w:szCs w:val="21"/>
                <w:highlight w:val="none"/>
                <w:lang w:val="en-US" w:eastAsia="zh-CN"/>
              </w:rPr>
              <w:t>甲乙双方</w:t>
            </w:r>
            <w:r>
              <w:rPr>
                <w:rFonts w:hint="eastAsia" w:ascii="宋体" w:hAnsi="宋体" w:eastAsia="宋体"/>
                <w:color w:val="auto"/>
                <w:szCs w:val="21"/>
                <w:highlight w:val="none"/>
              </w:rPr>
              <w:t>签订合同时约定。</w:t>
            </w:r>
          </w:p>
        </w:tc>
      </w:tr>
      <w:tr w14:paraId="427A4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Align w:val="center"/>
          </w:tcPr>
          <w:p w14:paraId="0966F082">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19</w:t>
            </w:r>
          </w:p>
        </w:tc>
        <w:tc>
          <w:tcPr>
            <w:tcW w:w="1901" w:type="dxa"/>
            <w:vAlign w:val="center"/>
          </w:tcPr>
          <w:p w14:paraId="722D8502">
            <w:pPr>
              <w:spacing w:line="360" w:lineRule="exact"/>
              <w:jc w:val="center"/>
              <w:rPr>
                <w:rFonts w:ascii="宋体" w:hAnsi="宋体"/>
                <w:color w:val="auto"/>
                <w:szCs w:val="21"/>
                <w:highlight w:val="none"/>
              </w:rPr>
            </w:pPr>
            <w:r>
              <w:rPr>
                <w:rFonts w:hint="eastAsia" w:ascii="宋体" w:hAnsi="宋体"/>
                <w:color w:val="auto"/>
                <w:szCs w:val="21"/>
                <w:highlight w:val="none"/>
                <w:lang w:eastAsia="zh-CN"/>
              </w:rPr>
              <w:t>近年发生诉讼及仲裁情况</w:t>
            </w:r>
          </w:p>
        </w:tc>
        <w:tc>
          <w:tcPr>
            <w:tcW w:w="6462" w:type="dxa"/>
            <w:vAlign w:val="center"/>
          </w:tcPr>
          <w:p w14:paraId="324A9A09">
            <w:pPr>
              <w:spacing w:line="360" w:lineRule="exact"/>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指2022年01月01日至今</w:t>
            </w:r>
          </w:p>
        </w:tc>
      </w:tr>
      <w:tr w14:paraId="6EADF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Align w:val="center"/>
          </w:tcPr>
          <w:p w14:paraId="3CD75DB8">
            <w:pPr>
              <w:spacing w:line="36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0</w:t>
            </w:r>
          </w:p>
        </w:tc>
        <w:tc>
          <w:tcPr>
            <w:tcW w:w="1901" w:type="dxa"/>
            <w:vAlign w:val="center"/>
          </w:tcPr>
          <w:p w14:paraId="49ED3E1C">
            <w:pPr>
              <w:spacing w:line="36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签订合同时间</w:t>
            </w:r>
          </w:p>
        </w:tc>
        <w:tc>
          <w:tcPr>
            <w:tcW w:w="6462" w:type="dxa"/>
            <w:vAlign w:val="center"/>
          </w:tcPr>
          <w:p w14:paraId="1F1256F8">
            <w:pPr>
              <w:spacing w:line="360" w:lineRule="exact"/>
              <w:rPr>
                <w:rFonts w:hint="default" w:ascii="宋体" w:hAnsi="宋体"/>
                <w:color w:val="auto"/>
                <w:szCs w:val="21"/>
                <w:highlight w:val="none"/>
                <w:lang w:val="en-US" w:eastAsia="zh-CN"/>
              </w:rPr>
            </w:pPr>
            <w:r>
              <w:rPr>
                <w:rFonts w:hint="eastAsia" w:ascii="宋体" w:hAnsi="宋体"/>
                <w:color w:val="auto"/>
                <w:szCs w:val="21"/>
                <w:highlight w:val="none"/>
              </w:rPr>
              <w:t>成交通知书发出之日起三十日内。</w:t>
            </w:r>
          </w:p>
        </w:tc>
      </w:tr>
      <w:tr w14:paraId="3953B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534" w:type="dxa"/>
            <w:vAlign w:val="center"/>
          </w:tcPr>
          <w:p w14:paraId="32F365B1">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21</w:t>
            </w:r>
          </w:p>
        </w:tc>
        <w:tc>
          <w:tcPr>
            <w:tcW w:w="1901" w:type="dxa"/>
            <w:vAlign w:val="center"/>
          </w:tcPr>
          <w:p w14:paraId="594C3FF1">
            <w:pPr>
              <w:spacing w:line="360" w:lineRule="exact"/>
              <w:jc w:val="center"/>
              <w:rPr>
                <w:rFonts w:ascii="宋体" w:hAnsi="宋体"/>
                <w:color w:val="auto"/>
                <w:szCs w:val="21"/>
                <w:highlight w:val="none"/>
              </w:rPr>
            </w:pPr>
            <w:r>
              <w:rPr>
                <w:rFonts w:hint="eastAsia" w:ascii="宋体" w:hAnsi="宋体"/>
                <w:color w:val="auto"/>
                <w:szCs w:val="21"/>
                <w:highlight w:val="none"/>
              </w:rPr>
              <w:t>合同备案存档</w:t>
            </w:r>
          </w:p>
        </w:tc>
        <w:tc>
          <w:tcPr>
            <w:tcW w:w="6462" w:type="dxa"/>
            <w:vAlign w:val="center"/>
          </w:tcPr>
          <w:p w14:paraId="1566C4D4">
            <w:pPr>
              <w:spacing w:line="360" w:lineRule="exact"/>
              <w:rPr>
                <w:rFonts w:ascii="宋体" w:hAnsi="宋体"/>
                <w:color w:val="auto"/>
                <w:szCs w:val="21"/>
                <w:highlight w:val="none"/>
              </w:rPr>
            </w:pPr>
            <w:r>
              <w:rPr>
                <w:rFonts w:hint="eastAsia" w:ascii="宋体" w:hAnsi="宋体"/>
                <w:color w:val="auto"/>
                <w:szCs w:val="21"/>
                <w:highlight w:val="none"/>
              </w:rPr>
              <w:t>政府采购合同双方自签订之日起</w:t>
            </w:r>
            <w:r>
              <w:rPr>
                <w:rFonts w:hint="eastAsia" w:ascii="宋体" w:hAnsi="宋体"/>
                <w:color w:val="auto"/>
                <w:szCs w:val="21"/>
                <w:highlight w:val="none"/>
                <w:lang w:val="en-US" w:eastAsia="zh-CN"/>
              </w:rPr>
              <w:t>2</w:t>
            </w:r>
            <w:r>
              <w:rPr>
                <w:rFonts w:hint="eastAsia" w:ascii="宋体" w:hAnsi="宋体"/>
                <w:color w:val="auto"/>
                <w:szCs w:val="21"/>
                <w:highlight w:val="none"/>
              </w:rPr>
              <w:t>个工作日内将合同</w:t>
            </w:r>
            <w:r>
              <w:rPr>
                <w:rFonts w:hint="eastAsia" w:ascii="宋体" w:hAnsi="宋体"/>
                <w:color w:val="auto"/>
                <w:szCs w:val="21"/>
                <w:highlight w:val="none"/>
                <w:lang w:val="en-US" w:eastAsia="zh-CN"/>
              </w:rPr>
              <w:t>扫描件</w:t>
            </w:r>
            <w:r>
              <w:rPr>
                <w:rFonts w:hint="eastAsia" w:ascii="宋体" w:hAnsi="宋体"/>
                <w:color w:val="auto"/>
                <w:szCs w:val="21"/>
                <w:highlight w:val="none"/>
              </w:rPr>
              <w:t>交采购代理机构。</w:t>
            </w:r>
          </w:p>
        </w:tc>
      </w:tr>
      <w:tr w14:paraId="17C43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534" w:type="dxa"/>
            <w:vAlign w:val="center"/>
          </w:tcPr>
          <w:p w14:paraId="497D6081">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22</w:t>
            </w:r>
          </w:p>
        </w:tc>
        <w:tc>
          <w:tcPr>
            <w:tcW w:w="1901" w:type="dxa"/>
            <w:vAlign w:val="center"/>
          </w:tcPr>
          <w:p w14:paraId="30A1B2ED">
            <w:pPr>
              <w:spacing w:line="360" w:lineRule="exact"/>
              <w:jc w:val="center"/>
              <w:rPr>
                <w:rFonts w:ascii="宋体" w:hAnsi="宋体"/>
                <w:color w:val="auto"/>
                <w:szCs w:val="21"/>
                <w:highlight w:val="none"/>
              </w:rPr>
            </w:pPr>
            <w:r>
              <w:rPr>
                <w:rFonts w:hint="eastAsia" w:ascii="宋体" w:hAnsi="宋体"/>
                <w:color w:val="auto"/>
                <w:szCs w:val="21"/>
                <w:highlight w:val="none"/>
              </w:rPr>
              <w:t>采购代理服务费</w:t>
            </w:r>
          </w:p>
        </w:tc>
        <w:tc>
          <w:tcPr>
            <w:tcW w:w="6462" w:type="dxa"/>
            <w:vAlign w:val="center"/>
          </w:tcPr>
          <w:p w14:paraId="74C92CCB">
            <w:pPr>
              <w:pStyle w:val="16"/>
              <w:spacing w:line="400" w:lineRule="exact"/>
              <w:rPr>
                <w:rFonts w:ascii="宋体" w:hAnsi="宋体"/>
                <w:color w:val="auto"/>
                <w:szCs w:val="21"/>
                <w:highlight w:val="none"/>
              </w:rPr>
            </w:pPr>
            <w:r>
              <w:rPr>
                <w:rFonts w:hint="eastAsia" w:ascii="宋体" w:hAnsi="宋体" w:eastAsia="宋体" w:cs="宋体"/>
                <w:bCs/>
                <w:color w:val="auto"/>
                <w:kern w:val="0"/>
                <w:szCs w:val="21"/>
                <w:highlight w:val="none"/>
              </w:rPr>
              <w:t>参考执行国家发展计划委员会计价格〔2015〕299号文件的取费标准</w:t>
            </w:r>
            <w:r>
              <w:rPr>
                <w:rFonts w:hint="eastAsia" w:ascii="宋体" w:hAnsi="宋体" w:eastAsia="宋体" w:cs="宋体"/>
                <w:color w:val="auto"/>
                <w:szCs w:val="21"/>
                <w:highlight w:val="none"/>
                <w:lang w:val="zh-CN"/>
              </w:rPr>
              <w:t>进行计算</w:t>
            </w:r>
            <w:r>
              <w:rPr>
                <w:rFonts w:hint="eastAsia" w:hAnsi="宋体" w:cs="宋体"/>
                <w:color w:val="auto"/>
                <w:szCs w:val="21"/>
                <w:highlight w:val="none"/>
                <w:lang w:val="zh-CN"/>
              </w:rPr>
              <w:t>，</w:t>
            </w:r>
            <w:r>
              <w:rPr>
                <w:rFonts w:hint="eastAsia" w:hAnsi="宋体" w:cs="宋体"/>
                <w:color w:val="auto"/>
                <w:szCs w:val="21"/>
                <w:highlight w:val="none"/>
                <w:lang w:val="en-US" w:eastAsia="zh-CN"/>
              </w:rPr>
              <w:t>由成交单位支付成交价款的2%</w:t>
            </w:r>
            <w:r>
              <w:rPr>
                <w:rFonts w:hint="eastAsia" w:ascii="宋体" w:hAnsi="宋体" w:eastAsia="宋体" w:cs="宋体"/>
                <w:color w:val="auto"/>
                <w:szCs w:val="21"/>
                <w:highlight w:val="none"/>
                <w:lang w:val="zh-CN"/>
              </w:rPr>
              <w:t>。</w:t>
            </w:r>
          </w:p>
        </w:tc>
      </w:tr>
      <w:tr w14:paraId="2E638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534" w:type="dxa"/>
            <w:vAlign w:val="center"/>
          </w:tcPr>
          <w:p w14:paraId="27C3BD83">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23</w:t>
            </w:r>
          </w:p>
        </w:tc>
        <w:tc>
          <w:tcPr>
            <w:tcW w:w="1901" w:type="dxa"/>
            <w:vAlign w:val="center"/>
          </w:tcPr>
          <w:p w14:paraId="215E6FBD">
            <w:pPr>
              <w:spacing w:line="360" w:lineRule="exact"/>
              <w:jc w:val="center"/>
              <w:rPr>
                <w:rFonts w:ascii="宋体" w:hAnsi="宋体"/>
                <w:color w:val="auto"/>
                <w:szCs w:val="21"/>
                <w:highlight w:val="none"/>
              </w:rPr>
            </w:pPr>
            <w:r>
              <w:rPr>
                <w:rFonts w:hint="eastAsia" w:ascii="宋体" w:hAnsi="宋体"/>
                <w:color w:val="auto"/>
                <w:szCs w:val="21"/>
                <w:highlight w:val="none"/>
              </w:rPr>
              <w:t>解释权</w:t>
            </w:r>
          </w:p>
        </w:tc>
        <w:tc>
          <w:tcPr>
            <w:tcW w:w="6462" w:type="dxa"/>
            <w:vAlign w:val="center"/>
          </w:tcPr>
          <w:p w14:paraId="57D90E79">
            <w:pPr>
              <w:spacing w:line="360" w:lineRule="exact"/>
              <w:rPr>
                <w:rFonts w:hint="default" w:hAnsi="宋体" w:eastAsia="宋体"/>
                <w:color w:val="auto"/>
                <w:szCs w:val="21"/>
                <w:highlight w:val="none"/>
                <w:lang w:val="en-US" w:eastAsia="zh-CN"/>
              </w:rPr>
            </w:pPr>
            <w:r>
              <w:rPr>
                <w:rFonts w:hint="eastAsia" w:ascii="宋体" w:hAnsi="宋体"/>
                <w:color w:val="auto"/>
                <w:szCs w:val="21"/>
                <w:highlight w:val="none"/>
              </w:rPr>
              <w:t>本竞争性谈判文件是根据《中华人民共和国政府采购法》、《中华人民共和国政府采购法实施条例》、《政府采购非招标采购方式管理办法》和政府采购管理有关规定编制，本竞争性谈判文件的解释权属于采购代理机构。</w:t>
            </w:r>
          </w:p>
        </w:tc>
      </w:tr>
      <w:tr w14:paraId="2C572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534" w:type="dxa"/>
            <w:vAlign w:val="center"/>
          </w:tcPr>
          <w:p w14:paraId="3C901295">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24</w:t>
            </w:r>
          </w:p>
        </w:tc>
        <w:tc>
          <w:tcPr>
            <w:tcW w:w="1901" w:type="dxa"/>
            <w:vAlign w:val="center"/>
          </w:tcPr>
          <w:p w14:paraId="463D2057">
            <w:pPr>
              <w:spacing w:line="360" w:lineRule="exact"/>
              <w:jc w:val="center"/>
              <w:rPr>
                <w:rFonts w:hint="eastAsia" w:ascii="宋体" w:hAnsi="宋体" w:eastAsia="宋体"/>
                <w:color w:val="auto"/>
                <w:szCs w:val="21"/>
                <w:highlight w:val="none"/>
              </w:rPr>
            </w:pPr>
            <w:r>
              <w:rPr>
                <w:rFonts w:hint="eastAsia" w:ascii="宋体" w:hAnsi="宋体" w:eastAsia="宋体"/>
                <w:color w:val="auto"/>
                <w:szCs w:val="21"/>
                <w:highlight w:val="none"/>
              </w:rPr>
              <w:t>付款方式</w:t>
            </w:r>
          </w:p>
        </w:tc>
        <w:tc>
          <w:tcPr>
            <w:tcW w:w="6462" w:type="dxa"/>
            <w:vAlign w:val="center"/>
          </w:tcPr>
          <w:p w14:paraId="29356E34">
            <w:pPr>
              <w:spacing w:line="360" w:lineRule="exact"/>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甲乙双方</w:t>
            </w:r>
            <w:r>
              <w:rPr>
                <w:rFonts w:hint="eastAsia" w:ascii="宋体" w:hAnsi="宋体" w:eastAsia="宋体"/>
                <w:color w:val="auto"/>
                <w:szCs w:val="21"/>
                <w:highlight w:val="none"/>
              </w:rPr>
              <w:t>签订合同时约定。</w:t>
            </w:r>
          </w:p>
        </w:tc>
      </w:tr>
      <w:tr w14:paraId="7010F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534" w:type="dxa"/>
            <w:vAlign w:val="center"/>
          </w:tcPr>
          <w:p w14:paraId="03CE8D1F">
            <w:pPr>
              <w:spacing w:line="36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25</w:t>
            </w:r>
          </w:p>
        </w:tc>
        <w:tc>
          <w:tcPr>
            <w:tcW w:w="1901" w:type="dxa"/>
            <w:vAlign w:val="center"/>
          </w:tcPr>
          <w:p w14:paraId="17EAA869">
            <w:pPr>
              <w:spacing w:line="360" w:lineRule="exact"/>
              <w:jc w:val="center"/>
              <w:rPr>
                <w:rFonts w:hint="eastAsia" w:ascii="宋体" w:hAnsi="宋体" w:eastAsia="宋体"/>
                <w:color w:val="auto"/>
                <w:szCs w:val="21"/>
                <w:highlight w:val="none"/>
              </w:rPr>
            </w:pPr>
            <w:r>
              <w:rPr>
                <w:rFonts w:hint="eastAsia" w:ascii="宋体" w:hAnsi="宋体" w:eastAsia="宋体"/>
                <w:color w:val="auto"/>
                <w:szCs w:val="21"/>
                <w:highlight w:val="none"/>
              </w:rPr>
              <w:t>合同方式</w:t>
            </w:r>
          </w:p>
        </w:tc>
        <w:tc>
          <w:tcPr>
            <w:tcW w:w="6462" w:type="dxa"/>
            <w:vAlign w:val="center"/>
          </w:tcPr>
          <w:p w14:paraId="3EA6EEAB">
            <w:pPr>
              <w:spacing w:line="360" w:lineRule="exact"/>
              <w:rPr>
                <w:rFonts w:hint="eastAsia" w:ascii="宋体" w:hAnsi="宋体" w:eastAsia="宋体"/>
                <w:color w:val="auto"/>
                <w:szCs w:val="21"/>
                <w:highlight w:val="none"/>
              </w:rPr>
            </w:pPr>
            <w:r>
              <w:rPr>
                <w:rFonts w:hint="eastAsia" w:ascii="宋体" w:hAnsi="宋体" w:eastAsia="宋体"/>
                <w:color w:val="auto"/>
                <w:szCs w:val="21"/>
                <w:highlight w:val="none"/>
              </w:rPr>
              <w:t>固定总价。</w:t>
            </w:r>
          </w:p>
        </w:tc>
      </w:tr>
    </w:tbl>
    <w:p w14:paraId="649FAF63">
      <w:pPr>
        <w:keepNext w:val="0"/>
        <w:keepLines w:val="0"/>
        <w:pageBreakBefore w:val="0"/>
        <w:widowControl w:val="0"/>
        <w:kinsoku/>
        <w:wordWrap/>
        <w:overflowPunct/>
        <w:topLinePunct w:val="0"/>
        <w:autoSpaceDE/>
        <w:autoSpaceDN/>
        <w:bidi w:val="0"/>
        <w:adjustRightInd/>
        <w:snapToGrid/>
        <w:spacing w:line="400" w:lineRule="exact"/>
        <w:ind w:firstLine="211" w:firstLineChars="100"/>
        <w:textAlignment w:val="auto"/>
        <w:rPr>
          <w:rFonts w:ascii="宋体" w:hAnsi="宋体"/>
          <w:color w:val="auto"/>
          <w:highlight w:val="none"/>
        </w:rPr>
      </w:pPr>
      <w:r>
        <w:rPr>
          <w:rFonts w:hint="eastAsia" w:ascii="宋体" w:hAnsi="宋体"/>
          <w:b/>
          <w:color w:val="auto"/>
          <w:szCs w:val="21"/>
          <w:highlight w:val="none"/>
        </w:rPr>
        <w:t>1、适应范围</w:t>
      </w:r>
    </w:p>
    <w:p w14:paraId="7DC57301">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1.1 项目名称及项目编号</w:t>
      </w:r>
    </w:p>
    <w:p w14:paraId="6BFFEB9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olor w:val="auto"/>
          <w:highlight w:val="none"/>
        </w:rPr>
      </w:pPr>
      <w:r>
        <w:rPr>
          <w:rFonts w:hint="eastAsia" w:ascii="宋体" w:hAnsi="宋体"/>
          <w:color w:val="auto"/>
          <w:szCs w:val="21"/>
          <w:highlight w:val="none"/>
        </w:rPr>
        <w:t>项目名称：</w:t>
      </w:r>
      <w:r>
        <w:rPr>
          <w:rFonts w:hint="eastAsia" w:ascii="宋体" w:hAnsi="宋体" w:cs="黑体"/>
          <w:bCs/>
          <w:color w:val="auto"/>
          <w:kern w:val="0"/>
          <w:szCs w:val="21"/>
          <w:highlight w:val="none"/>
          <w:lang w:val="en-US" w:eastAsia="zh-CN"/>
        </w:rPr>
        <w:t>德惠市人民医院全身用X射线计算机体层摄影装置CT机等设备维保服务项目</w:t>
      </w:r>
    </w:p>
    <w:p w14:paraId="2A566B0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rPr>
        <w:t>项目编号：</w:t>
      </w:r>
      <w:r>
        <w:rPr>
          <w:rFonts w:hint="eastAsia" w:ascii="宋体" w:hAnsi="宋体" w:eastAsia="宋体" w:cs="宋体"/>
          <w:b w:val="0"/>
          <w:bCs/>
          <w:snapToGrid w:val="0"/>
          <w:color w:val="auto"/>
          <w:szCs w:val="21"/>
          <w:highlight w:val="none"/>
        </w:rPr>
        <w:t>采购计划-[2025]-00022号-1</w:t>
      </w:r>
    </w:p>
    <w:p w14:paraId="58511C41">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1.2本竞争性谈判文件（以下简称谈判文件）适用于本谈判项目的谈判、评标、合同履约、验收、付款等行为（法律、法规另有规定的，从其规定）。</w:t>
      </w:r>
    </w:p>
    <w:p w14:paraId="106932BF">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eastAsia="宋体"/>
          <w:b/>
          <w:color w:val="auto"/>
          <w:szCs w:val="21"/>
          <w:highlight w:val="none"/>
          <w:lang w:val="en-US" w:eastAsia="zh-CN"/>
        </w:rPr>
      </w:pPr>
      <w:r>
        <w:rPr>
          <w:rFonts w:hint="eastAsia" w:ascii="宋体" w:hAnsi="宋体"/>
          <w:b/>
          <w:color w:val="auto"/>
          <w:szCs w:val="21"/>
          <w:highlight w:val="none"/>
        </w:rPr>
        <w:t>2、定义</w:t>
      </w:r>
      <w:r>
        <w:rPr>
          <w:rFonts w:hint="eastAsia" w:ascii="宋体" w:hAnsi="宋体"/>
          <w:b/>
          <w:color w:val="auto"/>
          <w:szCs w:val="21"/>
          <w:highlight w:val="none"/>
          <w:lang w:val="en-US" w:eastAsia="zh-CN"/>
        </w:rPr>
        <w:t xml:space="preserve"> </w:t>
      </w:r>
    </w:p>
    <w:p w14:paraId="4A315868">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2.1、“供应商”是指符合本次采购项目的供应商资格并提交响应文件、参加谈判的供应商。如果该供应商在本次谈判中成交，即成为“成交供应商”。</w:t>
      </w:r>
    </w:p>
    <w:p w14:paraId="38636FA9">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2.2、“货物”系指按谈判文件规定，供应商须向采购人提供的一切设备、保险、税金、备品备件、工具、手册及其它有关技术资料和材料。</w:t>
      </w:r>
    </w:p>
    <w:p w14:paraId="79A3BA04">
      <w:pPr>
        <w:spacing w:line="400" w:lineRule="exact"/>
        <w:ind w:firstLine="435"/>
        <w:rPr>
          <w:rFonts w:ascii="宋体" w:hAnsi="宋体"/>
          <w:color w:val="auto"/>
          <w:szCs w:val="21"/>
          <w:highlight w:val="none"/>
        </w:rPr>
      </w:pPr>
      <w:r>
        <w:rPr>
          <w:rFonts w:hint="eastAsia" w:ascii="宋体" w:hAnsi="宋体"/>
          <w:color w:val="auto"/>
          <w:szCs w:val="21"/>
          <w:highlight w:val="none"/>
        </w:rPr>
        <w:t>2.3、“服务”系指按谈判文件规定，供应商须承担的安装、调试、技术协助、校准、培训、技术指导以及其他类似的义务。</w:t>
      </w:r>
    </w:p>
    <w:p w14:paraId="4506798F">
      <w:pPr>
        <w:spacing w:line="400" w:lineRule="exact"/>
        <w:ind w:firstLine="435"/>
        <w:rPr>
          <w:rFonts w:ascii="宋体" w:hAnsi="宋体"/>
          <w:color w:val="auto"/>
          <w:szCs w:val="21"/>
          <w:highlight w:val="none"/>
        </w:rPr>
      </w:pPr>
      <w:r>
        <w:rPr>
          <w:rFonts w:hint="eastAsia" w:ascii="宋体" w:hAnsi="宋体"/>
          <w:color w:val="auto"/>
          <w:szCs w:val="21"/>
          <w:highlight w:val="none"/>
        </w:rPr>
        <w:t>2.4、“项目”系指供应商按谈判文件规定向采购人提供的货物和服务。</w:t>
      </w:r>
    </w:p>
    <w:p w14:paraId="15F4E2D3">
      <w:pPr>
        <w:spacing w:line="400" w:lineRule="exact"/>
        <w:ind w:firstLine="435"/>
        <w:rPr>
          <w:rFonts w:hint="eastAsia" w:ascii="宋体" w:hAnsi="宋体"/>
          <w:color w:val="auto"/>
          <w:szCs w:val="21"/>
          <w:highlight w:val="none"/>
        </w:rPr>
      </w:pPr>
      <w:r>
        <w:rPr>
          <w:rFonts w:hint="eastAsia" w:ascii="宋体" w:hAnsi="宋体"/>
          <w:color w:val="auto"/>
          <w:szCs w:val="21"/>
          <w:highlight w:val="none"/>
        </w:rPr>
        <w:t>2.5、“书面形式”包括信函、传真、电报等。</w:t>
      </w:r>
    </w:p>
    <w:p w14:paraId="6DD727D4">
      <w:pPr>
        <w:spacing w:line="400" w:lineRule="exact"/>
        <w:ind w:firstLine="435"/>
        <w:rPr>
          <w:rFonts w:ascii="宋体" w:hAnsi="宋体"/>
          <w:bCs/>
          <w:color w:val="auto"/>
          <w:szCs w:val="21"/>
          <w:highlight w:val="none"/>
        </w:rPr>
      </w:pPr>
      <w:r>
        <w:rPr>
          <w:rFonts w:hint="eastAsia" w:ascii="宋体" w:hAnsi="宋体"/>
          <w:bCs/>
          <w:color w:val="auto"/>
          <w:szCs w:val="21"/>
          <w:highlight w:val="none"/>
        </w:rPr>
        <w:t>2.6、 货物采购需求表中所有条款均为实质性条款。</w:t>
      </w:r>
    </w:p>
    <w:p w14:paraId="7F24FAEE">
      <w:pPr>
        <w:spacing w:line="400" w:lineRule="exact"/>
        <w:ind w:firstLine="435"/>
        <w:rPr>
          <w:rFonts w:ascii="宋体" w:hAnsi="宋体"/>
          <w:b/>
          <w:color w:val="auto"/>
          <w:szCs w:val="21"/>
          <w:highlight w:val="none"/>
        </w:rPr>
      </w:pPr>
      <w:r>
        <w:rPr>
          <w:rFonts w:hint="eastAsia" w:ascii="宋体" w:hAnsi="宋体"/>
          <w:b/>
          <w:color w:val="auto"/>
          <w:szCs w:val="21"/>
          <w:highlight w:val="none"/>
        </w:rPr>
        <w:t>3、供应商资格</w:t>
      </w:r>
    </w:p>
    <w:p w14:paraId="5180B2C5">
      <w:pPr>
        <w:spacing w:line="400" w:lineRule="exact"/>
        <w:ind w:firstLine="435"/>
        <w:rPr>
          <w:rFonts w:ascii="宋体" w:hAnsi="宋体"/>
          <w:color w:val="auto"/>
          <w:szCs w:val="21"/>
          <w:highlight w:val="none"/>
        </w:rPr>
      </w:pPr>
      <w:r>
        <w:rPr>
          <w:rFonts w:hint="eastAsia" w:ascii="宋体" w:hAnsi="宋体"/>
          <w:color w:val="auto"/>
          <w:szCs w:val="21"/>
          <w:highlight w:val="none"/>
        </w:rPr>
        <w:t>见供应商须知前附表。</w:t>
      </w:r>
    </w:p>
    <w:p w14:paraId="7F271CAA">
      <w:pPr>
        <w:spacing w:line="400" w:lineRule="exact"/>
        <w:ind w:firstLine="435"/>
        <w:rPr>
          <w:rFonts w:ascii="宋体" w:hAnsi="宋体"/>
          <w:b/>
          <w:color w:val="auto"/>
          <w:szCs w:val="21"/>
          <w:highlight w:val="none"/>
        </w:rPr>
      </w:pPr>
      <w:r>
        <w:rPr>
          <w:rFonts w:hint="eastAsia" w:ascii="宋体" w:hAnsi="宋体"/>
          <w:b/>
          <w:color w:val="auto"/>
          <w:szCs w:val="21"/>
          <w:highlight w:val="none"/>
        </w:rPr>
        <w:t>4、谈判费用</w:t>
      </w:r>
    </w:p>
    <w:p w14:paraId="0E15D19A">
      <w:pPr>
        <w:spacing w:line="400" w:lineRule="exact"/>
        <w:ind w:firstLine="435"/>
        <w:rPr>
          <w:rFonts w:ascii="宋体" w:hAnsi="宋体"/>
          <w:color w:val="auto"/>
          <w:szCs w:val="21"/>
          <w:highlight w:val="none"/>
        </w:rPr>
      </w:pPr>
      <w:r>
        <w:rPr>
          <w:rFonts w:hint="eastAsia" w:ascii="宋体" w:hAnsi="宋体"/>
          <w:color w:val="auto"/>
          <w:szCs w:val="21"/>
          <w:highlight w:val="none"/>
        </w:rPr>
        <w:t>见供应商须知前附表。</w:t>
      </w:r>
    </w:p>
    <w:p w14:paraId="7945DEAB">
      <w:pPr>
        <w:tabs>
          <w:tab w:val="left" w:pos="1635"/>
        </w:tabs>
        <w:spacing w:line="400" w:lineRule="exact"/>
        <w:ind w:firstLine="435"/>
        <w:rPr>
          <w:rFonts w:hint="eastAsia" w:ascii="宋体" w:hAnsi="宋体"/>
          <w:b/>
          <w:color w:val="auto"/>
          <w:szCs w:val="21"/>
          <w:highlight w:val="none"/>
        </w:rPr>
      </w:pPr>
      <w:r>
        <w:rPr>
          <w:rFonts w:hint="eastAsia" w:ascii="宋体" w:hAnsi="宋体"/>
          <w:b/>
          <w:color w:val="auto"/>
          <w:szCs w:val="21"/>
          <w:highlight w:val="none"/>
        </w:rPr>
        <w:t>5、联合体谈判要求</w:t>
      </w:r>
    </w:p>
    <w:p w14:paraId="05D14587">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本项目不接受联合体参与谈判。</w:t>
      </w:r>
    </w:p>
    <w:p w14:paraId="34A56095">
      <w:pPr>
        <w:tabs>
          <w:tab w:val="left" w:pos="2190"/>
        </w:tabs>
        <w:spacing w:line="400" w:lineRule="exact"/>
        <w:ind w:firstLine="413" w:firstLineChars="196"/>
        <w:rPr>
          <w:rFonts w:ascii="宋体" w:hAnsi="宋体"/>
          <w:b/>
          <w:color w:val="auto"/>
          <w:szCs w:val="21"/>
          <w:highlight w:val="none"/>
        </w:rPr>
      </w:pPr>
      <w:r>
        <w:rPr>
          <w:rFonts w:hint="eastAsia" w:ascii="宋体" w:hAnsi="宋体"/>
          <w:b/>
          <w:color w:val="auto"/>
          <w:szCs w:val="21"/>
          <w:highlight w:val="none"/>
        </w:rPr>
        <w:t>6、质疑和投诉</w:t>
      </w:r>
      <w:r>
        <w:rPr>
          <w:rFonts w:ascii="宋体" w:hAnsi="宋体"/>
          <w:b/>
          <w:color w:val="auto"/>
          <w:szCs w:val="21"/>
          <w:highlight w:val="none"/>
        </w:rPr>
        <w:tab/>
      </w:r>
    </w:p>
    <w:p w14:paraId="48CE5727">
      <w:pPr>
        <w:tabs>
          <w:tab w:val="left" w:pos="2190"/>
        </w:tabs>
        <w:spacing w:line="400" w:lineRule="exact"/>
        <w:ind w:firstLine="435"/>
        <w:rPr>
          <w:rFonts w:hint="eastAsia" w:ascii="宋体" w:hAnsi="宋体"/>
          <w:color w:val="auto"/>
          <w:szCs w:val="21"/>
          <w:highlight w:val="none"/>
        </w:rPr>
      </w:pPr>
      <w:r>
        <w:rPr>
          <w:rFonts w:hint="eastAsia" w:ascii="宋体" w:hAnsi="宋体"/>
          <w:color w:val="auto"/>
          <w:szCs w:val="21"/>
          <w:highlight w:val="none"/>
        </w:rPr>
        <w:t>6.1、</w:t>
      </w:r>
      <w:r>
        <w:rPr>
          <w:rFonts w:hint="eastAsia"/>
          <w:color w:val="auto"/>
          <w:highlight w:val="none"/>
        </w:rPr>
        <w:t>供应对政府采购活动事项有疑问的，可以向采购人、采购代理机构提出询问。</w:t>
      </w:r>
    </w:p>
    <w:p w14:paraId="2FB8AC7A">
      <w:pPr>
        <w:tabs>
          <w:tab w:val="left" w:pos="2190"/>
        </w:tabs>
        <w:spacing w:line="400" w:lineRule="exact"/>
        <w:ind w:firstLine="435"/>
        <w:rPr>
          <w:color w:val="auto"/>
          <w:szCs w:val="21"/>
          <w:highlight w:val="none"/>
        </w:rPr>
      </w:pPr>
      <w:r>
        <w:rPr>
          <w:rFonts w:hint="eastAsia" w:ascii="宋体" w:hAnsi="宋体"/>
          <w:color w:val="auto"/>
          <w:szCs w:val="21"/>
          <w:highlight w:val="none"/>
        </w:rPr>
        <w:t>6.2、供应商认为谈判文件使自己的合法权益受到损害的，应当在为购买谈判文件之日起七个工作日内，以书面形式</w:t>
      </w:r>
      <w:r>
        <w:rPr>
          <w:rFonts w:hint="eastAsia"/>
          <w:color w:val="auto"/>
          <w:szCs w:val="21"/>
          <w:highlight w:val="none"/>
        </w:rPr>
        <w:t>向采购代理机构提出质疑。采购代理机构应认真做好质疑处理工作。</w:t>
      </w:r>
    </w:p>
    <w:p w14:paraId="46015447">
      <w:pPr>
        <w:tabs>
          <w:tab w:val="left" w:pos="2190"/>
        </w:tabs>
        <w:spacing w:line="400" w:lineRule="exact"/>
        <w:ind w:firstLine="435"/>
        <w:rPr>
          <w:color w:val="auto"/>
          <w:szCs w:val="21"/>
          <w:highlight w:val="none"/>
        </w:rPr>
      </w:pPr>
      <w:r>
        <w:rPr>
          <w:rFonts w:hint="eastAsia" w:ascii="宋体" w:hAnsi="宋体"/>
          <w:color w:val="auto"/>
          <w:szCs w:val="21"/>
          <w:highlight w:val="none"/>
        </w:rPr>
        <w:t>6.3、供应商认为采购过程使自己的合法权益受到损害的，应当在为各采购程序环节结束之日起七个工作日内，</w:t>
      </w:r>
      <w:r>
        <w:rPr>
          <w:rFonts w:hint="eastAsia"/>
          <w:color w:val="auto"/>
          <w:szCs w:val="21"/>
          <w:highlight w:val="none"/>
        </w:rPr>
        <w:t>以书面形式向采购代理机构提出质疑。采购代理机构应认真做好质疑处理工作。</w:t>
      </w:r>
    </w:p>
    <w:p w14:paraId="4CF23B38">
      <w:pPr>
        <w:tabs>
          <w:tab w:val="left" w:pos="2190"/>
        </w:tabs>
        <w:spacing w:line="400" w:lineRule="exact"/>
        <w:ind w:firstLine="420" w:firstLineChars="200"/>
        <w:rPr>
          <w:color w:val="auto"/>
          <w:szCs w:val="21"/>
          <w:highlight w:val="none"/>
        </w:rPr>
      </w:pPr>
      <w:r>
        <w:rPr>
          <w:rFonts w:hint="eastAsia" w:ascii="宋体" w:hAnsi="宋体"/>
          <w:color w:val="auto"/>
          <w:szCs w:val="21"/>
          <w:highlight w:val="none"/>
        </w:rPr>
        <w:t>6.4、供应商</w:t>
      </w:r>
      <w:r>
        <w:rPr>
          <w:rFonts w:hint="eastAsia"/>
          <w:color w:val="auto"/>
          <w:szCs w:val="21"/>
          <w:highlight w:val="none"/>
        </w:rPr>
        <w:t>认为成交结果使自己的合法权益受到损害的，应当在成交公告期限届满之日起七个工作日内，以书面形式向采购代理机构提出质疑。采购代理机构应认真做好质疑处理工作。</w:t>
      </w:r>
    </w:p>
    <w:p w14:paraId="19A83DA3">
      <w:pPr>
        <w:tabs>
          <w:tab w:val="left" w:pos="2190"/>
        </w:tabs>
        <w:spacing w:line="400" w:lineRule="exact"/>
        <w:ind w:firstLine="435"/>
        <w:rPr>
          <w:rFonts w:ascii="宋体" w:hAnsi="宋体"/>
          <w:color w:val="auto"/>
          <w:szCs w:val="21"/>
          <w:highlight w:val="none"/>
        </w:rPr>
      </w:pPr>
      <w:r>
        <w:rPr>
          <w:rFonts w:hint="eastAsia" w:ascii="宋体" w:hAnsi="宋体"/>
          <w:color w:val="auto"/>
          <w:szCs w:val="21"/>
          <w:highlight w:val="none"/>
        </w:rPr>
        <w:t>6.5、供应商对采购代理机构的质疑答复不满意或者采购代理机构未在规定的时间内作出答复的，可以在答复期满后十五个工作日内向</w:t>
      </w:r>
      <w:r>
        <w:rPr>
          <w:rFonts w:hint="eastAsia" w:ascii="宋体" w:hAnsi="宋体" w:cs="宋体"/>
          <w:color w:val="auto"/>
          <w:szCs w:val="21"/>
          <w:highlight w:val="none"/>
          <w:lang w:val="en-US" w:eastAsia="zh-CN"/>
        </w:rPr>
        <w:t>主管部门</w:t>
      </w:r>
      <w:r>
        <w:rPr>
          <w:rFonts w:hint="eastAsia" w:ascii="宋体" w:hAnsi="宋体"/>
          <w:color w:val="auto"/>
          <w:szCs w:val="21"/>
          <w:highlight w:val="none"/>
        </w:rPr>
        <w:t>投诉。</w:t>
      </w:r>
    </w:p>
    <w:p w14:paraId="7D8B3DE0">
      <w:pPr>
        <w:tabs>
          <w:tab w:val="left" w:pos="2190"/>
        </w:tabs>
        <w:spacing w:line="380" w:lineRule="exact"/>
        <w:ind w:firstLine="435"/>
        <w:rPr>
          <w:rFonts w:hint="eastAsia" w:ascii="宋体" w:hAnsi="宋体"/>
          <w:color w:val="auto"/>
          <w:szCs w:val="21"/>
          <w:highlight w:val="none"/>
        </w:rPr>
      </w:pPr>
      <w:r>
        <w:rPr>
          <w:rFonts w:hint="eastAsia" w:ascii="宋体" w:hAnsi="宋体"/>
          <w:color w:val="auto"/>
          <w:szCs w:val="21"/>
          <w:highlight w:val="none"/>
        </w:rPr>
        <w:t>6.6、质疑、投诉应当采用书面形式，质疑书、投诉书实行实名制，均应明确阐述谈判文件、采购过程或成交结果中使自己合法权益受到损害的实质性内容，提供相关事实、明确的请求，并提供必要的证明材料。质疑函格式详见附件。</w:t>
      </w:r>
    </w:p>
    <w:p w14:paraId="08F8A024">
      <w:pPr>
        <w:tabs>
          <w:tab w:val="left" w:pos="2190"/>
        </w:tabs>
        <w:spacing w:line="400" w:lineRule="exact"/>
        <w:rPr>
          <w:rFonts w:ascii="宋体" w:hAnsi="宋体"/>
          <w:color w:val="auto"/>
          <w:szCs w:val="21"/>
          <w:highlight w:val="none"/>
        </w:rPr>
      </w:pPr>
      <w:r>
        <w:rPr>
          <w:rFonts w:hint="eastAsia" w:ascii="宋体" w:hAnsi="宋体"/>
          <w:color w:val="auto"/>
          <w:szCs w:val="21"/>
          <w:highlight w:val="none"/>
        </w:rPr>
        <w:t xml:space="preserve">   7、转包与分包</w:t>
      </w:r>
    </w:p>
    <w:p w14:paraId="60914812">
      <w:pPr>
        <w:tabs>
          <w:tab w:val="left" w:pos="2190"/>
        </w:tabs>
        <w:spacing w:line="400" w:lineRule="exact"/>
        <w:ind w:firstLine="435"/>
        <w:rPr>
          <w:rFonts w:ascii="宋体" w:hAnsi="宋体"/>
          <w:color w:val="auto"/>
          <w:szCs w:val="21"/>
          <w:highlight w:val="none"/>
        </w:rPr>
      </w:pPr>
      <w:r>
        <w:rPr>
          <w:rFonts w:hint="eastAsia" w:ascii="宋体" w:hAnsi="宋体"/>
          <w:color w:val="auto"/>
          <w:szCs w:val="21"/>
          <w:highlight w:val="none"/>
        </w:rPr>
        <w:t>7.1、本项目不允许转包。</w:t>
      </w:r>
    </w:p>
    <w:p w14:paraId="2E5DEBB3">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7.2、本项目不可以分包。</w:t>
      </w:r>
    </w:p>
    <w:p w14:paraId="57961533">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8、特别说明</w:t>
      </w:r>
    </w:p>
    <w:p w14:paraId="377B8065">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8.1单位负责人为同一人或者存在直接控股、管理关系的，不得参加同一合同项下</w:t>
      </w:r>
      <w:r>
        <w:rPr>
          <w:rFonts w:hint="eastAsia"/>
          <w:color w:val="auto"/>
          <w:szCs w:val="21"/>
          <w:highlight w:val="none"/>
        </w:rPr>
        <w:t>分标</w:t>
      </w:r>
      <w:r>
        <w:rPr>
          <w:rFonts w:hint="eastAsia" w:ascii="宋体" w:hAnsi="宋体"/>
          <w:color w:val="auto"/>
          <w:szCs w:val="21"/>
          <w:highlight w:val="none"/>
        </w:rPr>
        <w:t>谈判或未划分分标的同一</w:t>
      </w:r>
      <w:r>
        <w:rPr>
          <w:rFonts w:hint="eastAsia"/>
          <w:color w:val="auto"/>
          <w:szCs w:val="21"/>
          <w:highlight w:val="none"/>
        </w:rPr>
        <w:t>合同项下</w:t>
      </w:r>
      <w:r>
        <w:rPr>
          <w:rFonts w:hint="eastAsia" w:ascii="宋体" w:hAnsi="宋体"/>
          <w:color w:val="auto"/>
          <w:szCs w:val="21"/>
          <w:highlight w:val="none"/>
        </w:rPr>
        <w:t>的谈判，否则，响应文件无效。</w:t>
      </w:r>
    </w:p>
    <w:p w14:paraId="60DC9298">
      <w:pPr>
        <w:keepNext w:val="0"/>
        <w:keepLines w:val="0"/>
        <w:pageBreakBefore w:val="0"/>
        <w:tabs>
          <w:tab w:val="left" w:pos="2190"/>
        </w:tabs>
        <w:kinsoku/>
        <w:wordWrap/>
        <w:overflowPunct/>
        <w:topLinePunct w:val="0"/>
        <w:autoSpaceDE/>
        <w:autoSpaceDN/>
        <w:bidi w:val="0"/>
        <w:adjustRightInd/>
        <w:spacing w:line="400" w:lineRule="exact"/>
        <w:ind w:firstLine="435"/>
        <w:textAlignment w:val="auto"/>
        <w:rPr>
          <w:rFonts w:ascii="宋体" w:hAnsi="宋体"/>
          <w:color w:val="auto"/>
          <w:szCs w:val="21"/>
          <w:highlight w:val="none"/>
        </w:rPr>
      </w:pPr>
      <w:r>
        <w:rPr>
          <w:rFonts w:hint="eastAsia" w:ascii="宋体" w:hAnsi="宋体"/>
          <w:color w:val="auto"/>
          <w:szCs w:val="21"/>
          <w:highlight w:val="none"/>
        </w:rPr>
        <w:t>除单一来源采购项目外，为采购项目提供整体设计、规范编制或者项目管理、监理、检测等服务的供应商，不得再参加该采购项目的其他采购活动，否则响应文件无效。</w:t>
      </w:r>
    </w:p>
    <w:p w14:paraId="4E3E5D4A">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color w:val="auto"/>
          <w:highlight w:val="none"/>
        </w:rPr>
      </w:pPr>
      <w:r>
        <w:rPr>
          <w:rFonts w:hint="eastAsia" w:ascii="宋体" w:hAnsi="宋体"/>
          <w:color w:val="auto"/>
          <w:highlight w:val="none"/>
        </w:rPr>
        <w:t>8.2供应商竞标所使用的资格、信誉、荣誉、业绩与企业认证必须为本法人（负责人、自然人）所拥有。供应商竞标所使用的采购项目实施人员必须为本法人（负责人）员工（或必须为本法人或控股公司正式员工）。</w:t>
      </w:r>
    </w:p>
    <w:p w14:paraId="706A9F41">
      <w:pPr>
        <w:pStyle w:val="13"/>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eastAsia" w:ascii="宋体" w:hAnsi="宋体"/>
          <w:color w:val="auto"/>
          <w:highlight w:val="none"/>
        </w:rPr>
      </w:pPr>
      <w:r>
        <w:rPr>
          <w:rFonts w:hint="eastAsia" w:ascii="宋体" w:hAnsi="宋体"/>
          <w:color w:val="auto"/>
          <w:highlight w:val="none"/>
        </w:rPr>
        <w:t>8.</w:t>
      </w:r>
      <w:r>
        <w:rPr>
          <w:rFonts w:hint="eastAsia" w:ascii="宋体" w:hAnsi="宋体"/>
          <w:color w:val="auto"/>
          <w:highlight w:val="none"/>
          <w:lang w:val="en-US" w:eastAsia="zh-CN"/>
        </w:rPr>
        <w:t>3</w:t>
      </w:r>
      <w:r>
        <w:rPr>
          <w:rFonts w:hint="eastAsia" w:ascii="宋体" w:hAnsi="宋体"/>
          <w:color w:val="auto"/>
          <w:highlight w:val="none"/>
        </w:rPr>
        <w:t>供应商应仔细阅读竞争性谈判文件的所有内容，按照竞争性谈判文件的要求提交响应文件，并对所提供的全部资料的真实性承担法律责任。</w:t>
      </w:r>
    </w:p>
    <w:p w14:paraId="72DFD183">
      <w:pPr>
        <w:pStyle w:val="13"/>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eastAsia" w:ascii="宋体" w:hAnsi="宋体"/>
          <w:color w:val="auto"/>
          <w:highlight w:val="none"/>
        </w:rPr>
      </w:pPr>
      <w:r>
        <w:rPr>
          <w:rFonts w:hint="eastAsia" w:ascii="宋体" w:hAnsi="宋体"/>
          <w:color w:val="auto"/>
          <w:highlight w:val="none"/>
        </w:rPr>
        <w:t>8.</w:t>
      </w:r>
      <w:r>
        <w:rPr>
          <w:rFonts w:hint="eastAsia" w:ascii="宋体" w:hAnsi="宋体"/>
          <w:color w:val="auto"/>
          <w:highlight w:val="none"/>
          <w:lang w:val="en-US" w:eastAsia="zh-CN"/>
        </w:rPr>
        <w:t>4</w:t>
      </w:r>
      <w:r>
        <w:rPr>
          <w:rFonts w:hint="eastAsia" w:ascii="宋体" w:hAnsi="宋体"/>
          <w:color w:val="auto"/>
          <w:highlight w:val="none"/>
          <w:lang w:eastAsia="zh-CN"/>
        </w:rPr>
        <w:t xml:space="preserve"> </w:t>
      </w:r>
      <w:r>
        <w:rPr>
          <w:rFonts w:hint="eastAsia" w:ascii="宋体" w:hAnsi="宋体"/>
          <w:color w:val="auto"/>
          <w:highlight w:val="none"/>
        </w:rPr>
        <w:t>供应商在谈判活动中提供任何虚假材料，其响应文件无效，并报监管部门查处；成交后发现的，成交人须依照《中华人民共和国消费者权益保护法》第49条之规定双倍赔偿采购人，且民事赔偿并不免除违法供应商的行政与刑事责任。</w:t>
      </w:r>
    </w:p>
    <w:p w14:paraId="71F75378">
      <w:pPr>
        <w:pStyle w:val="13"/>
        <w:keepNext w:val="0"/>
        <w:keepLines w:val="0"/>
        <w:pageBreakBefore w:val="0"/>
        <w:kinsoku/>
        <w:wordWrap/>
        <w:overflowPunct/>
        <w:topLinePunct w:val="0"/>
        <w:autoSpaceDE/>
        <w:autoSpaceDN/>
        <w:bidi w:val="0"/>
        <w:adjustRightInd/>
        <w:snapToGrid w:val="0"/>
        <w:spacing w:after="0" w:line="380" w:lineRule="exact"/>
        <w:ind w:left="2" w:leftChars="1" w:firstLine="420" w:firstLineChars="200"/>
        <w:textAlignment w:val="auto"/>
        <w:rPr>
          <w:rFonts w:hint="default" w:ascii="宋体" w:hAnsi="宋体" w:eastAsia="宋体"/>
          <w:color w:val="auto"/>
          <w:highlight w:val="none"/>
          <w:lang w:val="en-US" w:eastAsia="zh-CN"/>
        </w:rPr>
      </w:pPr>
      <w:r>
        <w:rPr>
          <w:rFonts w:hint="eastAsia" w:ascii="宋体" w:hAnsi="宋体"/>
          <w:color w:val="auto"/>
          <w:highlight w:val="none"/>
          <w:lang w:val="en-US" w:eastAsia="zh-CN"/>
        </w:rPr>
        <w:t>8.5根据</w:t>
      </w:r>
      <w:r>
        <w:rPr>
          <w:rFonts w:hint="eastAsia" w:ascii="宋体" w:hAnsi="宋体"/>
          <w:color w:val="auto"/>
          <w:highlight w:val="none"/>
        </w:rPr>
        <w:t>《</w:t>
      </w:r>
      <w:r>
        <w:rPr>
          <w:rFonts w:hint="eastAsia" w:ascii="宋体" w:hAnsi="宋体"/>
          <w:color w:val="auto"/>
          <w:highlight w:val="none"/>
          <w:lang w:eastAsia="zh-CN"/>
        </w:rPr>
        <w:t>政府采购促进中小企业发展管理办法</w:t>
      </w:r>
      <w:r>
        <w:rPr>
          <w:rFonts w:hint="eastAsia" w:ascii="宋体" w:hAnsi="宋体"/>
          <w:color w:val="auto"/>
          <w:highlight w:val="none"/>
        </w:rPr>
        <w:t>》</w:t>
      </w:r>
      <w:r>
        <w:rPr>
          <w:rFonts w:hint="eastAsia" w:ascii="宋体" w:hAnsi="宋体"/>
          <w:color w:val="auto"/>
          <w:highlight w:val="none"/>
          <w:lang w:eastAsia="zh-CN"/>
        </w:rPr>
        <w:t>（财库</w:t>
      </w:r>
      <w:r>
        <w:rPr>
          <w:rFonts w:hint="eastAsia" w:ascii="宋体" w:hAnsi="宋体"/>
          <w:color w:val="auto"/>
          <w:highlight w:val="none"/>
          <w:lang w:val="en-US" w:eastAsia="zh-CN"/>
        </w:rPr>
        <w:t>[2020]46号规定</w:t>
      </w:r>
      <w:r>
        <w:rPr>
          <w:rFonts w:hint="eastAsia" w:ascii="宋体" w:hAnsi="宋体"/>
          <w:color w:val="auto"/>
          <w:highlight w:val="none"/>
          <w:lang w:eastAsia="zh-CN"/>
        </w:rPr>
        <w:t>），</w:t>
      </w:r>
      <w:r>
        <w:rPr>
          <w:rFonts w:hint="eastAsia" w:ascii="宋体" w:hAnsi="宋体"/>
          <w:color w:val="auto"/>
          <w:highlight w:val="none"/>
        </w:rPr>
        <w:t>《</w:t>
      </w:r>
      <w:r>
        <w:rPr>
          <w:rFonts w:hint="eastAsia" w:ascii="宋体" w:hAnsi="宋体"/>
          <w:color w:val="auto"/>
          <w:highlight w:val="none"/>
          <w:lang w:eastAsia="zh-CN"/>
        </w:rPr>
        <w:t>吉林省政府采购促进中小企业发展实施方案</w:t>
      </w:r>
      <w:r>
        <w:rPr>
          <w:rFonts w:hint="eastAsia" w:ascii="宋体" w:hAnsi="宋体"/>
          <w:color w:val="auto"/>
          <w:highlight w:val="none"/>
        </w:rPr>
        <w:t>》</w:t>
      </w:r>
      <w:r>
        <w:rPr>
          <w:rFonts w:hint="eastAsia" w:ascii="宋体" w:hAnsi="宋体"/>
          <w:color w:val="auto"/>
          <w:highlight w:val="none"/>
          <w:lang w:eastAsia="zh-CN"/>
        </w:rPr>
        <w:t>的通知</w:t>
      </w:r>
      <w:r>
        <w:rPr>
          <w:rFonts w:hint="eastAsia" w:ascii="宋体" w:hAnsi="宋体" w:cs="宋体"/>
          <w:b w:val="0"/>
          <w:bCs/>
          <w:snapToGrid w:val="0"/>
          <w:color w:val="auto"/>
          <w:szCs w:val="21"/>
          <w:highlight w:val="none"/>
        </w:rPr>
        <w:t>〔202</w:t>
      </w:r>
      <w:r>
        <w:rPr>
          <w:rFonts w:hint="eastAsia" w:ascii="宋体" w:hAnsi="宋体" w:cs="宋体"/>
          <w:b w:val="0"/>
          <w:bCs/>
          <w:snapToGrid w:val="0"/>
          <w:color w:val="auto"/>
          <w:szCs w:val="21"/>
          <w:highlight w:val="none"/>
          <w:lang w:val="en-US" w:eastAsia="zh-CN"/>
        </w:rPr>
        <w:t>1</w:t>
      </w:r>
      <w:r>
        <w:rPr>
          <w:rFonts w:hint="eastAsia" w:ascii="宋体" w:hAnsi="宋体" w:cs="宋体"/>
          <w:b w:val="0"/>
          <w:bCs/>
          <w:snapToGrid w:val="0"/>
          <w:color w:val="auto"/>
          <w:szCs w:val="21"/>
          <w:highlight w:val="none"/>
        </w:rPr>
        <w:t>〕</w:t>
      </w:r>
      <w:r>
        <w:rPr>
          <w:rFonts w:hint="eastAsia" w:ascii="宋体" w:hAnsi="宋体"/>
          <w:color w:val="auto"/>
          <w:highlight w:val="none"/>
          <w:lang w:val="en-US" w:eastAsia="zh-CN"/>
        </w:rPr>
        <w:t>50号文件。</w:t>
      </w:r>
    </w:p>
    <w:p w14:paraId="69814AE4">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bCs/>
          <w:color w:val="auto"/>
          <w:szCs w:val="21"/>
          <w:highlight w:val="none"/>
        </w:rPr>
      </w:pPr>
      <w:r>
        <w:rPr>
          <w:rFonts w:hint="eastAsia" w:ascii="宋体" w:hAnsi="宋体"/>
          <w:bCs/>
          <w:color w:val="auto"/>
          <w:szCs w:val="21"/>
          <w:highlight w:val="none"/>
        </w:rPr>
        <w:t>8.5</w:t>
      </w:r>
      <w:r>
        <w:rPr>
          <w:rFonts w:hint="eastAsia" w:ascii="宋体" w:hAnsi="宋体"/>
          <w:bCs/>
          <w:color w:val="auto"/>
          <w:szCs w:val="21"/>
          <w:highlight w:val="none"/>
          <w:lang w:val="en-US" w:eastAsia="zh-CN"/>
        </w:rPr>
        <w:t>.1</w:t>
      </w:r>
      <w:r>
        <w:rPr>
          <w:rFonts w:hint="eastAsia" w:ascii="宋体" w:hAnsi="宋体"/>
          <w:bCs/>
          <w:color w:val="auto"/>
          <w:szCs w:val="21"/>
          <w:highlight w:val="none"/>
        </w:rPr>
        <w:t>大中型企业和其他自然人、法人或者其他组织与小型、微型企业组成联合体投标，联合体协议中约定小型、微型企业的协议合同金额占到联合体协议合同总金额30%以上的，联合体投标价给予</w:t>
      </w:r>
      <w:r>
        <w:rPr>
          <w:rFonts w:hint="eastAsia" w:ascii="宋体" w:hAnsi="宋体"/>
          <w:bCs/>
          <w:color w:val="auto"/>
          <w:szCs w:val="21"/>
          <w:highlight w:val="none"/>
          <w:lang w:val="en-US" w:eastAsia="zh-CN"/>
        </w:rPr>
        <w:t>4</w:t>
      </w:r>
      <w:r>
        <w:rPr>
          <w:rFonts w:hint="eastAsia" w:ascii="宋体" w:hAnsi="宋体"/>
          <w:bCs/>
          <w:color w:val="auto"/>
          <w:szCs w:val="21"/>
          <w:highlight w:val="none"/>
        </w:rPr>
        <w:t>%的扣除，扣除后的价格为评标价；联合体各方均为小型、微型企业的，联合体视同为小型、微型企业享受本办法第四条、第五条规定的扶持政策（计算方式见“</w:t>
      </w:r>
      <w:r>
        <w:rPr>
          <w:rFonts w:hint="eastAsia" w:ascii="宋体" w:hAnsi="宋体"/>
          <w:bCs/>
          <w:color w:val="auto"/>
          <w:szCs w:val="21"/>
          <w:highlight w:val="none"/>
          <w:lang w:eastAsia="zh-CN"/>
        </w:rPr>
        <w:t>评审办法</w:t>
      </w:r>
      <w:r>
        <w:rPr>
          <w:rFonts w:hint="eastAsia" w:ascii="宋体" w:hAnsi="宋体"/>
          <w:bCs/>
          <w:color w:val="auto"/>
          <w:szCs w:val="21"/>
          <w:highlight w:val="none"/>
        </w:rPr>
        <w:t>”）。组成联合体的大中型企业和其他自然人、法人或者其他组织，与小型、微型企业之间不得存在投资关系。（是否接受联合体具体见第一章“竞争性谈判公告”）</w:t>
      </w:r>
    </w:p>
    <w:p w14:paraId="365556C7">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bCs/>
          <w:color w:val="auto"/>
          <w:szCs w:val="21"/>
          <w:highlight w:val="none"/>
        </w:rPr>
      </w:pPr>
      <w:r>
        <w:rPr>
          <w:rFonts w:hint="eastAsia" w:ascii="宋体" w:hAnsi="宋体"/>
          <w:bCs/>
          <w:color w:val="auto"/>
          <w:szCs w:val="21"/>
          <w:highlight w:val="none"/>
        </w:rPr>
        <w:t>8.5.</w:t>
      </w:r>
      <w:r>
        <w:rPr>
          <w:rFonts w:hint="eastAsia" w:ascii="宋体" w:hAnsi="宋体"/>
          <w:bCs/>
          <w:color w:val="auto"/>
          <w:szCs w:val="21"/>
          <w:highlight w:val="none"/>
          <w:lang w:val="en-US" w:eastAsia="zh-CN"/>
        </w:rPr>
        <w:t>2</w:t>
      </w:r>
      <w:r>
        <w:rPr>
          <w:rFonts w:hint="eastAsia" w:ascii="宋体" w:hAnsi="宋体"/>
          <w:bCs/>
          <w:color w:val="auto"/>
          <w:szCs w:val="21"/>
          <w:highlight w:val="none"/>
        </w:rPr>
        <w:t>成交产品为小型和微型企业产品的，成交结果将同时公告产品企业《中小企业声明函》，接受社会监督。</w:t>
      </w:r>
    </w:p>
    <w:p w14:paraId="125162AC">
      <w:pPr>
        <w:keepNext w:val="0"/>
        <w:keepLines w:val="0"/>
        <w:pageBreakBefore w:val="0"/>
        <w:kinsoku/>
        <w:wordWrap/>
        <w:overflowPunct/>
        <w:topLinePunct w:val="0"/>
        <w:autoSpaceDE w:val="0"/>
        <w:autoSpaceDN w:val="0"/>
        <w:bidi w:val="0"/>
        <w:adjustRightInd w:val="0"/>
        <w:snapToGrid/>
        <w:spacing w:line="380" w:lineRule="exact"/>
        <w:ind w:firstLine="420" w:firstLineChars="200"/>
        <w:jc w:val="left"/>
        <w:textAlignment w:val="auto"/>
        <w:rPr>
          <w:rFonts w:hint="eastAsia" w:ascii="宋体" w:hAnsi="宋体" w:cs="宋体"/>
          <w:bCs/>
          <w:color w:val="auto"/>
          <w:szCs w:val="18"/>
          <w:highlight w:val="none"/>
          <w:lang w:val="zh-CN"/>
        </w:rPr>
      </w:pPr>
      <w:r>
        <w:rPr>
          <w:rFonts w:hint="eastAsia" w:ascii="宋体" w:hAnsi="宋体" w:cs="宋体"/>
          <w:bCs/>
          <w:color w:val="auto"/>
          <w:szCs w:val="18"/>
          <w:highlight w:val="none"/>
          <w:lang w:val="en-US" w:eastAsia="zh-CN"/>
        </w:rPr>
        <w:t>8.5.3供应商</w:t>
      </w:r>
      <w:r>
        <w:rPr>
          <w:rFonts w:hint="eastAsia" w:ascii="宋体" w:hAnsi="宋体" w:cs="宋体"/>
          <w:bCs/>
          <w:color w:val="auto"/>
          <w:szCs w:val="18"/>
          <w:highlight w:val="none"/>
          <w:lang w:val="zh-CN"/>
        </w:rPr>
        <w:t>不得存在下列情形之一：</w:t>
      </w:r>
    </w:p>
    <w:p w14:paraId="13E5A906">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bCs/>
          <w:color w:val="auto"/>
          <w:szCs w:val="18"/>
          <w:highlight w:val="none"/>
          <w:lang w:val="zh-CN"/>
        </w:rPr>
        <w:t xml:space="preserve">     </w:t>
      </w:r>
      <w:r>
        <w:rPr>
          <w:rFonts w:hint="eastAsia" w:ascii="宋体" w:hAnsi="宋体" w:cs="宋体"/>
          <w:color w:val="auto"/>
          <w:szCs w:val="21"/>
          <w:highlight w:val="none"/>
        </w:rPr>
        <w:t>（1）为招标人不具有独立法人资格的附属机构（单位）；</w:t>
      </w:r>
    </w:p>
    <w:p w14:paraId="2E3C572B">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（2）与招标人存在利害关系且可能影响招标公正性；</w:t>
      </w:r>
    </w:p>
    <w:p w14:paraId="288A407B">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（3）与本招标项目的其他投标人为同一个单位负责人；</w:t>
      </w:r>
    </w:p>
    <w:p w14:paraId="436DC4DD">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（4）与本招标项目的其他投标人存在控股、管理关系；</w:t>
      </w:r>
    </w:p>
    <w:p w14:paraId="659F293D">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（5）为本招标项目的代建人；</w:t>
      </w:r>
    </w:p>
    <w:p w14:paraId="0A0DC8EC">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（6）为本招标项目的</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w:t>
      </w:r>
    </w:p>
    <w:p w14:paraId="1FB89CC2">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（7）与本招标项目的代建人或</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同为一个法定代表人；</w:t>
      </w:r>
    </w:p>
    <w:p w14:paraId="050DBE57">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（8）与本招标项目的代建人或</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存在控股或参股关系；</w:t>
      </w:r>
    </w:p>
    <w:p w14:paraId="2130B79E">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（9）与本招标项目的施工承包人以及建筑材料、建筑构配件和设备</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有隶属关系或者其他利害关系；</w:t>
      </w:r>
    </w:p>
    <w:p w14:paraId="296BC54B">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（10）被依法暂停或者取消投标资格；</w:t>
      </w:r>
    </w:p>
    <w:p w14:paraId="1D69DFEA">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（11）被责令停产停业、暂扣或者吊销许可证、暂扣或者吊销执照；</w:t>
      </w:r>
    </w:p>
    <w:p w14:paraId="5C7B1822">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（12）进入清算程序，或被宣告破产，或其他丧失履约能力的情形；</w:t>
      </w:r>
    </w:p>
    <w:p w14:paraId="58DAFA6E">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（13）在最近三年内发生重大施工质量问题（以相关行业主管部门的行政处罚决定或司法机关出具的有关法律文书为准）；</w:t>
      </w:r>
    </w:p>
    <w:p w14:paraId="2DAE67D3">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（14）被工商行政管理机关在全国企业信用信息公示系统中列入严重违法失信企业名单；</w:t>
      </w:r>
    </w:p>
    <w:p w14:paraId="7D027DD0">
      <w:pPr>
        <w:keepNext w:val="0"/>
        <w:keepLines w:val="0"/>
        <w:pageBreakBefore w:val="0"/>
        <w:kinsoku/>
        <w:wordWrap/>
        <w:overflowPunct/>
        <w:topLinePunct w:val="0"/>
        <w:bidi w:val="0"/>
        <w:snapToGrid/>
        <w:spacing w:line="38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     （15）被最高人民法院在“信用中国”网站（www.creditchina.gov.cn）列入失信被执行人名单及</w:t>
      </w:r>
      <w:r>
        <w:rPr>
          <w:rFonts w:hint="eastAsia" w:ascii="宋体" w:hAnsi="宋体" w:cs="宋体"/>
          <w:color w:val="auto"/>
          <w:kern w:val="0"/>
          <w:szCs w:val="21"/>
          <w:highlight w:val="none"/>
        </w:rPr>
        <w:t>重大税收违法案件当事人名单</w:t>
      </w:r>
      <w:r>
        <w:rPr>
          <w:rFonts w:hint="eastAsia" w:ascii="宋体" w:hAnsi="宋体" w:cs="宋体"/>
          <w:color w:val="auto"/>
          <w:szCs w:val="21"/>
          <w:highlight w:val="none"/>
        </w:rPr>
        <w:t>；</w:t>
      </w:r>
    </w:p>
    <w:p w14:paraId="2873AE78">
      <w:pPr>
        <w:keepNext w:val="0"/>
        <w:keepLines w:val="0"/>
        <w:pageBreakBefore w:val="0"/>
        <w:kinsoku/>
        <w:wordWrap/>
        <w:overflowPunct/>
        <w:topLinePunct w:val="0"/>
        <w:bidi w:val="0"/>
        <w:snapToGrid/>
        <w:spacing w:line="380" w:lineRule="exact"/>
        <w:textAlignment w:val="auto"/>
        <w:rPr>
          <w:rFonts w:hint="eastAsia"/>
          <w:color w:val="auto"/>
          <w:highlight w:val="none"/>
        </w:rPr>
      </w:pPr>
      <w:r>
        <w:rPr>
          <w:rFonts w:hint="eastAsia" w:ascii="宋体" w:hAnsi="宋体" w:cs="宋体"/>
          <w:color w:val="auto"/>
          <w:szCs w:val="21"/>
          <w:highlight w:val="none"/>
        </w:rPr>
        <w:t xml:space="preserve">     （1</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）法律法规或投标人须知前附表规定的其他情形。</w:t>
      </w:r>
    </w:p>
    <w:p w14:paraId="4A855D51">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color w:val="auto"/>
          <w:szCs w:val="21"/>
          <w:highlight w:val="none"/>
        </w:rPr>
      </w:pPr>
      <w:r>
        <w:rPr>
          <w:rFonts w:hint="eastAsia" w:ascii="宋体" w:hAnsi="宋体"/>
          <w:bCs/>
          <w:color w:val="auto"/>
          <w:szCs w:val="21"/>
          <w:highlight w:val="none"/>
        </w:rPr>
        <w:t>8.6根据财库〔2017〕141号《三部门联合发布关于促进残疾人就业政府采购政策的通知》第三条规定，在政府采购活动中，残疾人福利性单位视同小型、微型企业，享受预留份额、评审中</w:t>
      </w:r>
      <w:r>
        <w:rPr>
          <w:rFonts w:hint="eastAsia" w:ascii="宋体" w:hAnsi="宋体"/>
          <w:color w:val="auto"/>
          <w:szCs w:val="21"/>
          <w:highlight w:val="none"/>
        </w:rPr>
        <w:t>价格扣除等促进中小企业发展的政府采购政策。向残疾人福利性单位采购的金额，计入面向中小企业采购的统计数据。残疾人福利性单位属于小型、微型企业的，不重复享受政策。</w:t>
      </w:r>
    </w:p>
    <w:p w14:paraId="0CB1670A">
      <w:pPr>
        <w:keepNext w:val="0"/>
        <w:keepLines w:val="0"/>
        <w:pageBreakBefore w:val="0"/>
        <w:widowControl/>
        <w:kinsoku/>
        <w:wordWrap/>
        <w:overflowPunct/>
        <w:topLinePunct w:val="0"/>
        <w:autoSpaceDE/>
        <w:autoSpaceDN/>
        <w:bidi w:val="0"/>
        <w:adjustRightInd/>
        <w:spacing w:line="380" w:lineRule="exact"/>
        <w:ind w:firstLine="420" w:firstLineChars="200"/>
        <w:jc w:val="left"/>
        <w:textAlignment w:val="auto"/>
        <w:rPr>
          <w:rFonts w:hint="eastAsia" w:ascii="宋体" w:hAnsi="宋体"/>
          <w:color w:val="auto"/>
          <w:szCs w:val="21"/>
          <w:highlight w:val="none"/>
        </w:rPr>
      </w:pPr>
      <w:r>
        <w:rPr>
          <w:rFonts w:hint="eastAsia" w:ascii="宋体" w:hAnsi="宋体"/>
          <w:color w:val="auto"/>
          <w:szCs w:val="21"/>
          <w:highlight w:val="none"/>
        </w:rPr>
        <w:t>8.6.1符合条件的残疾人福利性单位在参加政府采购活动时，应当提供本通知规定的《残疾人福利性单位声明函》（见本竞争性谈判文件第六章附件），并对声明的真实性负责。</w:t>
      </w:r>
    </w:p>
    <w:p w14:paraId="68AC3B47">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lang w:eastAsia="zh-CN"/>
        </w:rPr>
        <w:t>）</w:t>
      </w:r>
      <w:r>
        <w:rPr>
          <w:rFonts w:hint="eastAsia" w:ascii="宋体" w:hAnsi="宋体"/>
          <w:color w:val="auto"/>
          <w:szCs w:val="21"/>
          <w:highlight w:val="none"/>
        </w:rPr>
        <w:t>供应商为残疾人福利性单位的，采购人或者其委托的采购代理机构应当随中标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lang w:eastAsia="zh-CN"/>
        </w:rPr>
        <w:t>）</w:t>
      </w:r>
      <w:r>
        <w:rPr>
          <w:rFonts w:hint="eastAsia" w:ascii="宋体" w:hAnsi="宋体"/>
          <w:color w:val="auto"/>
          <w:szCs w:val="21"/>
          <w:highlight w:val="none"/>
        </w:rPr>
        <w:t>结果同时公告其《残疾人福利性单位声明函》，接受社会监督。</w:t>
      </w:r>
    </w:p>
    <w:p w14:paraId="48A4B9BA">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8.6.2供应商提供的《残疾人福利性单位声明函》与事实不符的，依照《政府采购法》第七十七条第一款的规定追究法律责任。</w:t>
      </w:r>
    </w:p>
    <w:p w14:paraId="364AA2DA">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8.6.3享受政府采购支持政策的残疾人福利性单位应当同时满足以下条件：</w:t>
      </w:r>
    </w:p>
    <w:p w14:paraId="7FA0ACB5">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（1）安置的残疾人占本单位在职职工人数的比例不低于25%（含25%），并且安置的残疾人人数不少于10人（含10人）；</w:t>
      </w:r>
    </w:p>
    <w:p w14:paraId="74779CEA">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（2）依法与安置的每位残疾人签订了一年以上（含一年）的劳动合同或服务协议；</w:t>
      </w:r>
    </w:p>
    <w:p w14:paraId="4D1B9B5E">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（3）为安置的每位残疾人按月足额缴纳了基本养老保险、基本医疗保险、失业保险、工伤保险和生育保险等社会保险费；</w:t>
      </w:r>
    </w:p>
    <w:p w14:paraId="03F32F07">
      <w:pPr>
        <w:widowControl/>
        <w:spacing w:line="38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（4）通过银行等金融机构向安置的每位残疾人，按月支付了不低于单位所在区县适用的经省级人民政府批准的月最低工资标准的工资；</w:t>
      </w:r>
    </w:p>
    <w:p w14:paraId="40CB5F17">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（5）提供本单位制造的货物、承担的工程或者服务（以下简称产品），或者提供其他残疾人福利性单位制造的货物（不包括使用非残疾人福利性单位注册商标的货物）。</w:t>
      </w:r>
    </w:p>
    <w:p w14:paraId="5CB7E7F7">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本文件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249E8F5">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en-US" w:eastAsia="zh-CN"/>
        </w:rPr>
        <w:t>8.7</w:t>
      </w:r>
      <w:r>
        <w:rPr>
          <w:rFonts w:hint="eastAsia" w:ascii="宋体" w:hAnsi="宋体"/>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0CB3EF48">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注：本次采购优先采购《环境标志产品政府采购清单》最新一期内容中的产品，查询网站为：</w:t>
      </w:r>
    </w:p>
    <w:p w14:paraId="31EF77FD">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中华人民共和国财政部网站（http：//www.mof.gov.cn ）；</w:t>
      </w:r>
    </w:p>
    <w:p w14:paraId="0C013C22">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中国政府采购网（http：//www.ccgp.gov.cn）；</w:t>
      </w:r>
    </w:p>
    <w:p w14:paraId="6F8D5467">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中华人民共和国环境保护部网站（http：//www.zhb.gov.cn ）；</w:t>
      </w:r>
    </w:p>
    <w:p w14:paraId="20AD8309">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中国绿色采购网（http：//www.cgpn.org）。</w:t>
      </w:r>
    </w:p>
    <w:p w14:paraId="48290928">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en-US" w:eastAsia="zh-CN"/>
        </w:rPr>
        <w:t>8.8</w:t>
      </w:r>
      <w:r>
        <w:rPr>
          <w:rFonts w:hint="eastAsia" w:ascii="宋体" w:hAnsi="宋体"/>
          <w:color w:val="auto"/>
          <w:szCs w:val="21"/>
          <w:highlight w:val="none"/>
          <w:lang w:val="zh-CN"/>
        </w:rPr>
        <w:t>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02CBF7D8">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379255D5">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中华人民共和国财政部网站（http：//www.mof.gov.cn ）；</w:t>
      </w:r>
    </w:p>
    <w:p w14:paraId="4DFA2265">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中国政府采购网（http：//www.ccgp.gov.cn ）；</w:t>
      </w:r>
    </w:p>
    <w:p w14:paraId="2FE2F911">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国家发展改革委网站（http：//www.ndrc.gov.cn ）；</w:t>
      </w:r>
    </w:p>
    <w:p w14:paraId="05304C62">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color w:val="auto"/>
          <w:szCs w:val="21"/>
          <w:highlight w:val="none"/>
          <w:lang w:val="zh-CN"/>
        </w:rPr>
      </w:pPr>
      <w:r>
        <w:rPr>
          <w:rFonts w:hint="eastAsia" w:ascii="宋体" w:hAnsi="宋体"/>
          <w:color w:val="auto"/>
          <w:szCs w:val="21"/>
          <w:highlight w:val="none"/>
          <w:lang w:val="zh-CN"/>
        </w:rPr>
        <w:t>中国质量认证中心网站（http：//www.cqc.com.cn ）。</w:t>
      </w:r>
    </w:p>
    <w:p w14:paraId="701CAF53">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hint="eastAsia" w:ascii="宋体" w:hAnsi="宋体"/>
          <w:color w:val="auto"/>
          <w:szCs w:val="21"/>
          <w:highlight w:val="none"/>
          <w:lang w:val="zh-CN"/>
        </w:rPr>
      </w:pPr>
      <w:r>
        <w:rPr>
          <w:rFonts w:hint="eastAsia" w:ascii="宋体" w:hAnsi="宋体"/>
          <w:color w:val="auto"/>
          <w:szCs w:val="21"/>
          <w:highlight w:val="none"/>
          <w:lang w:val="en-US" w:eastAsia="zh-CN"/>
        </w:rPr>
        <w:t>8.9</w:t>
      </w:r>
      <w:r>
        <w:rPr>
          <w:rFonts w:hint="eastAsia" w:ascii="宋体" w:hAnsi="宋体"/>
          <w:color w:val="auto"/>
          <w:szCs w:val="21"/>
          <w:highlight w:val="none"/>
          <w:lang w:val="zh-CN"/>
        </w:rPr>
        <w:t>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2289F3F7">
      <w:pPr>
        <w:tabs>
          <w:tab w:val="left" w:pos="2190"/>
        </w:tabs>
        <w:spacing w:line="380" w:lineRule="exact"/>
        <w:ind w:firstLine="435"/>
        <w:jc w:val="center"/>
        <w:rPr>
          <w:rFonts w:ascii="宋体" w:hAnsi="宋体"/>
          <w:b/>
          <w:color w:val="auto"/>
          <w:sz w:val="28"/>
          <w:szCs w:val="28"/>
          <w:highlight w:val="none"/>
        </w:rPr>
      </w:pPr>
      <w:r>
        <w:rPr>
          <w:rFonts w:hint="eastAsia" w:ascii="宋体" w:hAnsi="宋体"/>
          <w:b/>
          <w:color w:val="auto"/>
          <w:sz w:val="28"/>
          <w:szCs w:val="28"/>
          <w:highlight w:val="none"/>
        </w:rPr>
        <w:t>二、谈判文件</w:t>
      </w:r>
    </w:p>
    <w:p w14:paraId="11D7CC26">
      <w:pPr>
        <w:tabs>
          <w:tab w:val="left" w:pos="2190"/>
        </w:tabs>
        <w:spacing w:line="400" w:lineRule="exact"/>
        <w:ind w:firstLine="437"/>
        <w:rPr>
          <w:rFonts w:ascii="宋体" w:hAnsi="宋体"/>
          <w:b/>
          <w:color w:val="auto"/>
          <w:szCs w:val="21"/>
          <w:highlight w:val="none"/>
        </w:rPr>
      </w:pPr>
      <w:r>
        <w:rPr>
          <w:rFonts w:hint="eastAsia" w:ascii="宋体" w:hAnsi="宋体"/>
          <w:b/>
          <w:color w:val="auto"/>
          <w:szCs w:val="21"/>
          <w:highlight w:val="none"/>
        </w:rPr>
        <w:t>9、谈判文件的构成</w:t>
      </w:r>
    </w:p>
    <w:p w14:paraId="1605606E">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（1）竞争性谈判公告；</w:t>
      </w:r>
    </w:p>
    <w:p w14:paraId="51853CF6">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（2）供应商须知；</w:t>
      </w:r>
    </w:p>
    <w:p w14:paraId="7834A8FE">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val="en-US" w:eastAsia="zh-CN"/>
        </w:rPr>
        <w:t>服务</w:t>
      </w:r>
      <w:r>
        <w:rPr>
          <w:rFonts w:hint="eastAsia" w:ascii="宋体" w:hAnsi="宋体"/>
          <w:color w:val="auto"/>
          <w:szCs w:val="21"/>
          <w:highlight w:val="none"/>
        </w:rPr>
        <w:t>采购需求</w:t>
      </w:r>
      <w:r>
        <w:rPr>
          <w:rFonts w:hint="eastAsia" w:ascii="宋体" w:hAnsi="宋体"/>
          <w:b/>
          <w:color w:val="auto"/>
          <w:szCs w:val="21"/>
          <w:highlight w:val="none"/>
        </w:rPr>
        <w:t>（“</w:t>
      </w:r>
      <w:r>
        <w:rPr>
          <w:rFonts w:hint="eastAsia" w:ascii="宋体" w:hAnsi="宋体"/>
          <w:b/>
          <w:color w:val="auto"/>
          <w:szCs w:val="21"/>
          <w:highlight w:val="none"/>
          <w:lang w:val="en-US" w:eastAsia="zh-CN"/>
        </w:rPr>
        <w:t>服务</w:t>
      </w:r>
      <w:r>
        <w:rPr>
          <w:rFonts w:hint="eastAsia" w:ascii="宋体" w:hAnsi="宋体"/>
          <w:b/>
          <w:color w:val="auto"/>
          <w:szCs w:val="21"/>
          <w:highlight w:val="none"/>
        </w:rPr>
        <w:t>采购需求”中的所有条款要求均为实质性要求）；</w:t>
      </w:r>
    </w:p>
    <w:p w14:paraId="036E394B">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（4）评审方法；</w:t>
      </w:r>
    </w:p>
    <w:p w14:paraId="37382659">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（5）采购合同（合同主要条款及格式）；</w:t>
      </w:r>
    </w:p>
    <w:p w14:paraId="27127C7D">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（6）响应文件格式。</w:t>
      </w:r>
    </w:p>
    <w:p w14:paraId="5FA0043E">
      <w:pPr>
        <w:tabs>
          <w:tab w:val="left" w:pos="2190"/>
        </w:tabs>
        <w:spacing w:line="400" w:lineRule="exact"/>
        <w:ind w:firstLine="437"/>
        <w:rPr>
          <w:rFonts w:ascii="宋体" w:hAnsi="宋体"/>
          <w:b/>
          <w:color w:val="auto"/>
          <w:szCs w:val="21"/>
          <w:highlight w:val="none"/>
        </w:rPr>
      </w:pPr>
      <w:r>
        <w:rPr>
          <w:rFonts w:hint="eastAsia" w:ascii="宋体" w:hAnsi="宋体"/>
          <w:b/>
          <w:color w:val="auto"/>
          <w:szCs w:val="21"/>
          <w:highlight w:val="none"/>
        </w:rPr>
        <w:t>10、谈判文件的澄清与修改</w:t>
      </w:r>
    </w:p>
    <w:p w14:paraId="7F990097">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10.1、供应商应认真阅读谈判文件，发现其中有误或有不合理要求的，应在谈判截止日期二日前以书面形式要求采购代理机构澄清。</w:t>
      </w:r>
    </w:p>
    <w:p w14:paraId="09B27E0A">
      <w:pPr>
        <w:tabs>
          <w:tab w:val="left" w:pos="2190"/>
        </w:tabs>
        <w:spacing w:line="400" w:lineRule="exact"/>
        <w:ind w:firstLine="437"/>
        <w:rPr>
          <w:rFonts w:hint="eastAsia" w:ascii="宋体" w:hAnsi="宋体"/>
          <w:color w:val="auto"/>
          <w:szCs w:val="21"/>
          <w:highlight w:val="none"/>
        </w:rPr>
      </w:pPr>
      <w:r>
        <w:rPr>
          <w:rFonts w:hint="eastAsia" w:ascii="宋体" w:hAnsi="宋体"/>
          <w:color w:val="auto"/>
          <w:szCs w:val="21"/>
          <w:highlight w:val="none"/>
        </w:rPr>
        <w:t>10.2、提交首次响应文件截止之日前，采购代理机构可以对已发出的谈判文件进行必要澄清或者修改，澄清或者修改的内容可能影响响应文件编制的，采购代理机构应当在提交首次响应文件递交截止时间三个工作日前在本项目竞争性谈判公告发布的同一媒体上发布更正公告，不足三个工作日的，应当顺延首次响应文件递交截止时间。</w:t>
      </w:r>
    </w:p>
    <w:p w14:paraId="60A06E89">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10.3采购代理机构在竞争性谈判公告发布的相关网站发布更正公告的同时，视同供应商已知晓竞争性谈判文件的澄清或者修改，供应商应将澄清或者修改的内容考虑在响应文件中，供应商在响应文件递交截止前未登录竞争性谈判公告发布的相关网站查看澄清或者修改的，造成供应商的响应文件不符合竞争性谈判文件要求或废标的，由供应商自行承担责任。</w:t>
      </w:r>
    </w:p>
    <w:p w14:paraId="5D5C3423">
      <w:pPr>
        <w:tabs>
          <w:tab w:val="left" w:pos="2190"/>
        </w:tabs>
        <w:spacing w:line="400" w:lineRule="exact"/>
        <w:ind w:firstLine="437"/>
        <w:rPr>
          <w:rFonts w:ascii="宋体" w:hAnsi="宋体"/>
          <w:color w:val="auto"/>
          <w:szCs w:val="21"/>
          <w:highlight w:val="none"/>
        </w:rPr>
      </w:pPr>
      <w:r>
        <w:rPr>
          <w:rFonts w:hint="eastAsia" w:ascii="宋体" w:hAnsi="宋体"/>
          <w:color w:val="auto"/>
          <w:szCs w:val="21"/>
          <w:highlight w:val="none"/>
        </w:rPr>
        <w:t>10.3、澄清、答复、修改、补充的内容为谈判文件的组成部分。当澄清、答复、修改、补充通知就同一内容的表述不一致时，以最后发出的文件为准。</w:t>
      </w:r>
    </w:p>
    <w:p w14:paraId="4B235E2A">
      <w:pPr>
        <w:keepNext w:val="0"/>
        <w:keepLines w:val="0"/>
        <w:pageBreakBefore w:val="0"/>
        <w:widowControl w:val="0"/>
        <w:tabs>
          <w:tab w:val="left" w:pos="2190"/>
        </w:tabs>
        <w:kinsoku/>
        <w:wordWrap/>
        <w:overflowPunct/>
        <w:topLinePunct w:val="0"/>
        <w:autoSpaceDE/>
        <w:autoSpaceDN/>
        <w:bidi w:val="0"/>
        <w:adjustRightInd/>
        <w:snapToGrid/>
        <w:spacing w:line="400" w:lineRule="exact"/>
        <w:ind w:firstLine="437"/>
        <w:textAlignment w:val="auto"/>
        <w:rPr>
          <w:rFonts w:ascii="宋体" w:hAnsi="宋体"/>
          <w:color w:val="auto"/>
          <w:szCs w:val="21"/>
          <w:highlight w:val="none"/>
        </w:rPr>
      </w:pPr>
      <w:r>
        <w:rPr>
          <w:rFonts w:hint="eastAsia" w:ascii="宋体" w:hAnsi="宋体"/>
          <w:color w:val="auto"/>
          <w:szCs w:val="21"/>
          <w:highlight w:val="none"/>
        </w:rPr>
        <w:t>10.4、谈判文件的澄清、答复、修改或补充都应该通过本项目采购代理机构以法定形式发布，采购人非通过本机构，不得擅自澄清、答复、修改或补充谈判文件。</w:t>
      </w:r>
    </w:p>
    <w:p w14:paraId="73DE54F6">
      <w:pPr>
        <w:keepNext w:val="0"/>
        <w:keepLines w:val="0"/>
        <w:pageBreakBefore w:val="0"/>
        <w:widowControl w:val="0"/>
        <w:tabs>
          <w:tab w:val="left" w:pos="2190"/>
        </w:tabs>
        <w:kinsoku/>
        <w:wordWrap/>
        <w:overflowPunct/>
        <w:topLinePunct w:val="0"/>
        <w:autoSpaceDE/>
        <w:autoSpaceDN/>
        <w:bidi w:val="0"/>
        <w:adjustRightInd/>
        <w:snapToGrid/>
        <w:spacing w:line="400" w:lineRule="exact"/>
        <w:ind w:firstLine="435"/>
        <w:jc w:val="center"/>
        <w:textAlignment w:val="auto"/>
        <w:rPr>
          <w:rFonts w:ascii="宋体" w:hAnsi="宋体"/>
          <w:b/>
          <w:color w:val="auto"/>
          <w:sz w:val="28"/>
          <w:szCs w:val="28"/>
          <w:highlight w:val="none"/>
        </w:rPr>
      </w:pPr>
      <w:r>
        <w:rPr>
          <w:rFonts w:hint="eastAsia" w:ascii="宋体" w:hAnsi="宋体"/>
          <w:b/>
          <w:color w:val="auto"/>
          <w:sz w:val="28"/>
          <w:szCs w:val="28"/>
          <w:highlight w:val="none"/>
        </w:rPr>
        <w:t>三、竞争性谈判响应文件的编制</w:t>
      </w:r>
    </w:p>
    <w:p w14:paraId="7E2A6981">
      <w:pPr>
        <w:pStyle w:val="16"/>
        <w:spacing w:line="400" w:lineRule="exact"/>
        <w:ind w:firstLine="422" w:firstLineChars="200"/>
        <w:rPr>
          <w:rFonts w:hint="eastAsia"/>
          <w:b/>
          <w:bCs/>
          <w:color w:val="auto"/>
          <w:highlight w:val="none"/>
        </w:rPr>
      </w:pPr>
      <w:r>
        <w:rPr>
          <w:rFonts w:hint="eastAsia"/>
          <w:b/>
          <w:bCs/>
          <w:color w:val="auto"/>
          <w:highlight w:val="none"/>
        </w:rPr>
        <w:t>11</w:t>
      </w:r>
      <w:r>
        <w:rPr>
          <w:rFonts w:hint="eastAsia"/>
          <w:b/>
          <w:bCs/>
          <w:color w:val="auto"/>
          <w:highlight w:val="none"/>
          <w:lang w:val="en-US" w:eastAsia="zh-CN"/>
        </w:rPr>
        <w:t>.</w:t>
      </w:r>
      <w:r>
        <w:rPr>
          <w:rFonts w:hint="eastAsia"/>
          <w:b/>
          <w:bCs/>
          <w:color w:val="auto"/>
          <w:highlight w:val="none"/>
        </w:rPr>
        <w:t>供应商应按竞争性谈判文件第六章“响应文件格式”编制响应文件。</w:t>
      </w:r>
    </w:p>
    <w:p w14:paraId="2C9D5146">
      <w:pPr>
        <w:pStyle w:val="16"/>
        <w:spacing w:line="400" w:lineRule="exact"/>
        <w:ind w:firstLine="420" w:firstLineChars="200"/>
        <w:rPr>
          <w:rFonts w:hint="eastAsia" w:hAnsi="宋体" w:eastAsia="宋体"/>
          <w:color w:val="auto"/>
          <w:szCs w:val="21"/>
          <w:highlight w:val="none"/>
          <w:lang w:eastAsia="zh-CN"/>
        </w:rPr>
      </w:pPr>
      <w:r>
        <w:rPr>
          <w:rFonts w:hint="eastAsia"/>
          <w:color w:val="auto"/>
          <w:highlight w:val="none"/>
        </w:rPr>
        <w:t>11.</w:t>
      </w:r>
      <w:r>
        <w:rPr>
          <w:rFonts w:hint="eastAsia"/>
          <w:color w:val="auto"/>
          <w:highlight w:val="none"/>
          <w:lang w:val="en-US" w:eastAsia="zh-CN"/>
        </w:rPr>
        <w:t>1</w:t>
      </w:r>
      <w:r>
        <w:rPr>
          <w:rFonts w:hint="eastAsia" w:hAnsi="宋体"/>
          <w:color w:val="auto"/>
          <w:szCs w:val="21"/>
          <w:highlight w:val="none"/>
        </w:rPr>
        <w:t>响应文件电子版</w:t>
      </w:r>
      <w:r>
        <w:rPr>
          <w:rFonts w:hint="eastAsia" w:hAnsi="宋体"/>
          <w:color w:val="auto"/>
          <w:szCs w:val="21"/>
          <w:highlight w:val="none"/>
          <w:lang w:eastAsia="zh-CN"/>
        </w:rPr>
        <w:t>（</w:t>
      </w:r>
      <w:r>
        <w:rPr>
          <w:rFonts w:hint="eastAsia" w:hAnsi="宋体"/>
          <w:color w:val="auto"/>
          <w:szCs w:val="21"/>
          <w:highlight w:val="none"/>
          <w:lang w:val="en-US" w:eastAsia="zh-CN"/>
        </w:rPr>
        <w:t>谈判后提供</w:t>
      </w:r>
      <w:r>
        <w:rPr>
          <w:rFonts w:hint="eastAsia" w:hAnsi="宋体"/>
          <w:color w:val="auto"/>
          <w:szCs w:val="21"/>
          <w:highlight w:val="none"/>
          <w:lang w:eastAsia="zh-CN"/>
        </w:rPr>
        <w:t>）</w:t>
      </w:r>
    </w:p>
    <w:p w14:paraId="30F42BA9">
      <w:pPr>
        <w:pStyle w:val="16"/>
        <w:spacing w:line="400" w:lineRule="exact"/>
        <w:ind w:firstLine="420" w:firstLineChars="200"/>
        <w:rPr>
          <w:rFonts w:hint="eastAsia" w:hAnsi="宋体" w:eastAsia="宋体"/>
          <w:color w:val="auto"/>
          <w:highlight w:val="none"/>
          <w:lang w:eastAsia="zh-CN"/>
        </w:rPr>
      </w:pPr>
      <w:r>
        <w:rPr>
          <w:rFonts w:hint="eastAsia" w:hAnsi="宋体"/>
          <w:color w:val="auto"/>
          <w:highlight w:val="none"/>
        </w:rPr>
        <w:t>供应商在递交响应文件时，同时递交响应文件电子版</w:t>
      </w:r>
      <w:r>
        <w:rPr>
          <w:rFonts w:hint="eastAsia" w:hAnsi="宋体"/>
          <w:color w:val="auto"/>
          <w:highlight w:val="none"/>
          <w:lang w:val="en-US" w:eastAsia="zh-CN"/>
        </w:rPr>
        <w:t>二</w:t>
      </w:r>
      <w:r>
        <w:rPr>
          <w:rFonts w:hint="eastAsia" w:hAnsi="宋体"/>
          <w:color w:val="auto"/>
          <w:highlight w:val="none"/>
        </w:rPr>
        <w:t>份</w:t>
      </w:r>
      <w:r>
        <w:rPr>
          <w:rFonts w:hint="eastAsia" w:hAnsi="宋体"/>
          <w:color w:val="auto"/>
          <w:highlight w:val="none"/>
          <w:lang w:eastAsia="zh-CN"/>
        </w:rPr>
        <w:t>。</w:t>
      </w:r>
    </w:p>
    <w:p w14:paraId="10B86819">
      <w:pPr>
        <w:snapToGrid w:val="0"/>
        <w:spacing w:line="360" w:lineRule="exact"/>
        <w:ind w:firstLine="210" w:firstLineChars="100"/>
        <w:jc w:val="left"/>
        <w:rPr>
          <w:rFonts w:hint="eastAsia" w:ascii="宋体" w:hAnsi="宋体" w:cs="Courier New"/>
          <w:color w:val="auto"/>
          <w:szCs w:val="21"/>
          <w:highlight w:val="none"/>
        </w:rPr>
      </w:pPr>
      <w:r>
        <w:rPr>
          <w:rFonts w:hint="eastAsia" w:ascii="宋体" w:hAnsi="宋体" w:cs="Courier New"/>
          <w:color w:val="auto"/>
          <w:szCs w:val="21"/>
          <w:highlight w:val="none"/>
        </w:rPr>
        <w:t>（1）响应文件电子版内容：与纸质响应文件一致。</w:t>
      </w:r>
    </w:p>
    <w:p w14:paraId="49CC0775">
      <w:pPr>
        <w:snapToGrid w:val="0"/>
        <w:spacing w:line="360" w:lineRule="exact"/>
        <w:ind w:firstLine="210" w:firstLineChars="100"/>
        <w:jc w:val="left"/>
        <w:rPr>
          <w:rFonts w:hint="eastAsia" w:ascii="宋体" w:hAnsi="宋体" w:cs="Courier New"/>
          <w:color w:val="auto"/>
          <w:szCs w:val="21"/>
          <w:highlight w:val="none"/>
        </w:rPr>
      </w:pPr>
      <w:r>
        <w:rPr>
          <w:rFonts w:hint="eastAsia" w:ascii="宋体" w:hAnsi="宋体" w:cs="Courier New"/>
          <w:color w:val="auto"/>
          <w:szCs w:val="21"/>
          <w:highlight w:val="none"/>
        </w:rPr>
        <w:t>（2）响应文件电子版份数：</w:t>
      </w:r>
      <w:r>
        <w:rPr>
          <w:rFonts w:hint="eastAsia" w:ascii="宋体" w:hAnsi="宋体" w:cs="Courier New"/>
          <w:color w:val="auto"/>
          <w:szCs w:val="21"/>
          <w:highlight w:val="none"/>
          <w:lang w:val="en-US" w:eastAsia="zh-CN"/>
        </w:rPr>
        <w:t>2</w:t>
      </w:r>
      <w:r>
        <w:rPr>
          <w:rFonts w:hint="eastAsia" w:ascii="宋体" w:hAnsi="宋体" w:cs="Courier New"/>
          <w:color w:val="auto"/>
          <w:szCs w:val="21"/>
          <w:highlight w:val="none"/>
        </w:rPr>
        <w:t>份。</w:t>
      </w:r>
    </w:p>
    <w:p w14:paraId="600C36BD">
      <w:pPr>
        <w:snapToGrid w:val="0"/>
        <w:spacing w:line="360" w:lineRule="exact"/>
        <w:ind w:firstLine="210" w:firstLineChars="100"/>
        <w:jc w:val="left"/>
        <w:rPr>
          <w:rFonts w:hint="eastAsia" w:ascii="宋体" w:hAnsi="宋体" w:cs="Courier New"/>
          <w:color w:val="auto"/>
          <w:szCs w:val="21"/>
          <w:highlight w:val="none"/>
        </w:rPr>
      </w:pPr>
      <w:r>
        <w:rPr>
          <w:rFonts w:hint="eastAsia" w:ascii="宋体" w:hAnsi="宋体" w:cs="Courier New"/>
          <w:color w:val="auto"/>
          <w:szCs w:val="21"/>
          <w:highlight w:val="none"/>
        </w:rPr>
        <w:t>（3）响应文件电子版形式：PDF及Word两种格式，PDF格式包含所有</w:t>
      </w:r>
      <w:r>
        <w:rPr>
          <w:rFonts w:hint="eastAsia" w:ascii="宋体" w:hAnsi="宋体" w:cs="Courier New"/>
          <w:color w:val="auto"/>
          <w:szCs w:val="21"/>
          <w:highlight w:val="none"/>
          <w:lang w:eastAsia="zh-CN"/>
        </w:rPr>
        <w:t>响应文件</w:t>
      </w:r>
      <w:r>
        <w:rPr>
          <w:rFonts w:hint="eastAsia" w:ascii="宋体" w:hAnsi="宋体" w:cs="Courier New"/>
          <w:color w:val="auto"/>
          <w:szCs w:val="21"/>
          <w:highlight w:val="none"/>
        </w:rPr>
        <w:t>签字及盖章内容。</w:t>
      </w:r>
    </w:p>
    <w:p w14:paraId="436F3A3C">
      <w:pPr>
        <w:pStyle w:val="16"/>
        <w:spacing w:line="400" w:lineRule="exact"/>
        <w:ind w:firstLine="210" w:firstLineChars="100"/>
        <w:rPr>
          <w:rFonts w:hint="eastAsia" w:hAnsi="宋体" w:cs="Courier New"/>
          <w:color w:val="auto"/>
          <w:szCs w:val="21"/>
          <w:highlight w:val="none"/>
        </w:rPr>
      </w:pPr>
      <w:r>
        <w:rPr>
          <w:rFonts w:hint="eastAsia" w:hAnsi="宋体" w:cs="Courier New"/>
          <w:color w:val="auto"/>
          <w:szCs w:val="21"/>
          <w:highlight w:val="none"/>
        </w:rPr>
        <w:t>（4）响应文件电子版方式：响应文件电子版光盘或U盘</w:t>
      </w:r>
      <w:r>
        <w:rPr>
          <w:rFonts w:hint="eastAsia" w:hAnsi="宋体" w:cs="Courier New"/>
          <w:color w:val="auto"/>
          <w:szCs w:val="21"/>
          <w:highlight w:val="none"/>
          <w:lang w:eastAsia="zh-CN"/>
        </w:rPr>
        <w:t>同</w:t>
      </w:r>
      <w:r>
        <w:rPr>
          <w:rFonts w:hint="eastAsia" w:hAnsi="宋体" w:cs="Courier New"/>
          <w:color w:val="auto"/>
          <w:szCs w:val="21"/>
          <w:highlight w:val="none"/>
        </w:rPr>
        <w:t>纸质版响应文件一并</w:t>
      </w:r>
      <w:r>
        <w:rPr>
          <w:rFonts w:hint="eastAsia" w:hAnsi="宋体" w:cs="Courier New"/>
          <w:color w:val="auto"/>
          <w:szCs w:val="21"/>
          <w:highlight w:val="none"/>
          <w:lang w:val="en-US" w:eastAsia="zh-CN"/>
        </w:rPr>
        <w:t>送到采购代理机构公司</w:t>
      </w:r>
      <w:r>
        <w:rPr>
          <w:rFonts w:hint="eastAsia" w:hAnsi="宋体" w:cs="Courier New"/>
          <w:color w:val="auto"/>
          <w:szCs w:val="21"/>
          <w:highlight w:val="none"/>
        </w:rPr>
        <w:t>。</w:t>
      </w:r>
    </w:p>
    <w:p w14:paraId="441D6F7B">
      <w:pPr>
        <w:pStyle w:val="16"/>
        <w:spacing w:line="400" w:lineRule="exact"/>
        <w:ind w:firstLine="422" w:firstLineChars="200"/>
        <w:rPr>
          <w:rFonts w:hAnsi="宋体"/>
          <w:b/>
          <w:color w:val="auto"/>
          <w:szCs w:val="21"/>
          <w:highlight w:val="none"/>
        </w:rPr>
      </w:pPr>
      <w:r>
        <w:rPr>
          <w:rFonts w:hint="eastAsia" w:hAnsi="宋体"/>
          <w:b/>
          <w:color w:val="auto"/>
          <w:szCs w:val="21"/>
          <w:highlight w:val="none"/>
        </w:rPr>
        <w:t>12、</w:t>
      </w:r>
      <w:r>
        <w:rPr>
          <w:rFonts w:hint="eastAsia"/>
          <w:b/>
          <w:color w:val="auto"/>
          <w:highlight w:val="none"/>
        </w:rPr>
        <w:t>响应</w:t>
      </w:r>
      <w:r>
        <w:rPr>
          <w:rFonts w:hint="eastAsia" w:hAnsi="宋体"/>
          <w:b/>
          <w:color w:val="auto"/>
          <w:szCs w:val="21"/>
          <w:highlight w:val="none"/>
        </w:rPr>
        <w:t>文件的语言及计量</w:t>
      </w:r>
    </w:p>
    <w:p w14:paraId="51F16803">
      <w:pPr>
        <w:tabs>
          <w:tab w:val="left" w:pos="1305"/>
        </w:tabs>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12.1、</w:t>
      </w:r>
      <w:r>
        <w:rPr>
          <w:rFonts w:hint="eastAsia"/>
          <w:color w:val="auto"/>
          <w:highlight w:val="none"/>
        </w:rPr>
        <w:t>响应</w:t>
      </w:r>
      <w:r>
        <w:rPr>
          <w:rFonts w:hint="eastAsia" w:ascii="宋体" w:hAnsi="宋体"/>
          <w:color w:val="auto"/>
          <w:szCs w:val="21"/>
          <w:highlight w:val="none"/>
        </w:rPr>
        <w:t>文件以及供应商与采购代理机构就有关谈判事宜的所有来往函电，均应以中文汉语书写。供应商提交的支持文件和印刷的文献可以使用别的语言，但其相应内容必须附有中文翻译文本，在解释</w:t>
      </w:r>
      <w:r>
        <w:rPr>
          <w:rFonts w:hint="eastAsia"/>
          <w:color w:val="auto"/>
          <w:highlight w:val="none"/>
        </w:rPr>
        <w:t>响应</w:t>
      </w:r>
      <w:r>
        <w:rPr>
          <w:rFonts w:hint="eastAsia" w:ascii="宋体" w:hAnsi="宋体"/>
          <w:color w:val="auto"/>
          <w:szCs w:val="21"/>
          <w:highlight w:val="none"/>
        </w:rPr>
        <w:t>文件时以中文翻译文本为准。</w:t>
      </w:r>
    </w:p>
    <w:p w14:paraId="56672FE4">
      <w:pPr>
        <w:tabs>
          <w:tab w:val="left" w:pos="1305"/>
        </w:tabs>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12.2、谈判计量单位，谈判文件已有明确规定的，使用谈判文件规定的计量单位；谈判文件没有规定的，应采用中华人民共和国法定计量单位（货币单位：人民币元），否则视同未响应。</w:t>
      </w:r>
    </w:p>
    <w:p w14:paraId="03789064">
      <w:pPr>
        <w:tabs>
          <w:tab w:val="left" w:pos="1305"/>
        </w:tabs>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13、谈判报价</w:t>
      </w:r>
    </w:p>
    <w:p w14:paraId="03F9B22B">
      <w:pPr>
        <w:tabs>
          <w:tab w:val="left" w:pos="1305"/>
        </w:tabs>
        <w:spacing w:line="380" w:lineRule="exact"/>
        <w:ind w:firstLine="420" w:firstLineChars="200"/>
        <w:rPr>
          <w:rFonts w:ascii="宋体" w:hAnsi="宋体"/>
          <w:color w:val="auto"/>
          <w:szCs w:val="21"/>
          <w:highlight w:val="none"/>
        </w:rPr>
      </w:pPr>
      <w:r>
        <w:rPr>
          <w:rFonts w:hint="eastAsia" w:ascii="宋体" w:hAnsi="宋体"/>
          <w:color w:val="auto"/>
          <w:szCs w:val="21"/>
          <w:highlight w:val="none"/>
        </w:rPr>
        <w:t>13.1、谈判报价应按谈判文件中相关附表格式填写。最后报价</w:t>
      </w:r>
      <w:r>
        <w:rPr>
          <w:rFonts w:hint="eastAsia" w:ascii="宋体" w:hAnsi="宋体"/>
          <w:color w:val="auto"/>
          <w:kern w:val="0"/>
          <w:szCs w:val="21"/>
          <w:highlight w:val="none"/>
        </w:rPr>
        <w:t>超过所竞项目采购预算总金额的，响应文件作相应无效处理。</w:t>
      </w:r>
    </w:p>
    <w:p w14:paraId="64DC11A6">
      <w:pPr>
        <w:tabs>
          <w:tab w:val="left" w:pos="1305"/>
        </w:tabs>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13.2、供应商必须就“</w:t>
      </w:r>
      <w:r>
        <w:rPr>
          <w:rFonts w:hint="eastAsia" w:ascii="宋体" w:hAnsi="宋体"/>
          <w:color w:val="auto"/>
          <w:szCs w:val="21"/>
          <w:highlight w:val="none"/>
          <w:lang w:val="en-US" w:eastAsia="zh-CN"/>
        </w:rPr>
        <w:t>服务</w:t>
      </w:r>
      <w:r>
        <w:rPr>
          <w:rFonts w:hint="eastAsia" w:ascii="宋体" w:hAnsi="宋体"/>
          <w:color w:val="auto"/>
          <w:szCs w:val="21"/>
          <w:highlight w:val="none"/>
        </w:rPr>
        <w:t>采购需求”中所有货物内容作完整唯一报价，否则，其响应文件无效。响应文件只允许有一个报价，有选择的或有条件的报价将不予接受。</w:t>
      </w:r>
    </w:p>
    <w:p w14:paraId="54C5530C">
      <w:pPr>
        <w:tabs>
          <w:tab w:val="left" w:pos="1305"/>
        </w:tabs>
        <w:spacing w:line="380" w:lineRule="exact"/>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13.</w:t>
      </w:r>
      <w:r>
        <w:rPr>
          <w:rFonts w:hint="eastAsia" w:ascii="宋体" w:hAnsi="宋体"/>
          <w:color w:val="auto"/>
          <w:kern w:val="0"/>
          <w:szCs w:val="21"/>
          <w:highlight w:val="none"/>
          <w:lang w:val="en-US" w:eastAsia="zh-CN"/>
        </w:rPr>
        <w:t>3</w:t>
      </w:r>
      <w:r>
        <w:rPr>
          <w:rFonts w:hint="eastAsia" w:ascii="宋体" w:hAnsi="宋体"/>
          <w:color w:val="auto"/>
          <w:kern w:val="0"/>
          <w:szCs w:val="21"/>
          <w:highlight w:val="none"/>
        </w:rPr>
        <w:t>未书面退出谈判的</w:t>
      </w:r>
      <w:r>
        <w:rPr>
          <w:rFonts w:ascii="宋体" w:hAnsi="宋体"/>
          <w:color w:val="auto"/>
          <w:kern w:val="0"/>
          <w:szCs w:val="21"/>
          <w:highlight w:val="none"/>
        </w:rPr>
        <w:t>供应商在规定时间内</w:t>
      </w:r>
      <w:r>
        <w:rPr>
          <w:rFonts w:hint="eastAsia" w:ascii="宋体" w:hAnsi="宋体"/>
          <w:color w:val="auto"/>
          <w:kern w:val="0"/>
          <w:szCs w:val="21"/>
          <w:highlight w:val="none"/>
          <w:lang w:val="en-US" w:eastAsia="zh-CN"/>
        </w:rPr>
        <w:t>线上</w:t>
      </w:r>
      <w:r>
        <w:rPr>
          <w:rFonts w:ascii="宋体" w:hAnsi="宋体"/>
          <w:color w:val="auto"/>
          <w:kern w:val="0"/>
          <w:szCs w:val="21"/>
          <w:highlight w:val="none"/>
        </w:rPr>
        <w:t>提交最后报价</w:t>
      </w:r>
      <w:r>
        <w:rPr>
          <w:rFonts w:hint="eastAsia" w:ascii="宋体" w:hAnsi="宋体"/>
          <w:color w:val="auto"/>
          <w:kern w:val="0"/>
          <w:szCs w:val="21"/>
          <w:highlight w:val="none"/>
        </w:rPr>
        <w:t>，其最后报价超出采购预算导致已通过评审的响应文件无效的，按供应商在提交响应文件截止时间后撤回响应文件处理。</w:t>
      </w:r>
    </w:p>
    <w:p w14:paraId="45F60C9D">
      <w:pPr>
        <w:tabs>
          <w:tab w:val="left" w:pos="1305"/>
        </w:tabs>
        <w:spacing w:line="38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14. 响应文件有效期</w:t>
      </w:r>
    </w:p>
    <w:p w14:paraId="48D2904E">
      <w:pPr>
        <w:tabs>
          <w:tab w:val="left" w:pos="1305"/>
        </w:tabs>
        <w:spacing w:line="38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14.1 响应文件有效期：响应文件递交截止时间之日起90天，有效期不足的响应文件将被拒绝。</w:t>
      </w:r>
    </w:p>
    <w:p w14:paraId="116E3881">
      <w:pPr>
        <w:tabs>
          <w:tab w:val="left" w:pos="1305"/>
        </w:tabs>
        <w:spacing w:line="38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14.2 出现特殊情况下，需要延长响应文件有效期的，采购代理机构以书面形式通知供应商延长响应文件有效期。供应商同意延长的，不能修改响应文件。供应商拒绝延长的，其响应文件无效。</w:t>
      </w:r>
    </w:p>
    <w:p w14:paraId="61161B9B">
      <w:pPr>
        <w:numPr>
          <w:ilvl w:val="0"/>
          <w:numId w:val="2"/>
        </w:numPr>
        <w:tabs>
          <w:tab w:val="left" w:pos="1305"/>
        </w:tabs>
        <w:spacing w:line="380" w:lineRule="exact"/>
        <w:ind w:firstLine="422" w:firstLineChars="200"/>
        <w:rPr>
          <w:rFonts w:hint="eastAsia" w:ascii="宋体" w:hAnsi="宋体"/>
          <w:b w:val="0"/>
          <w:bCs/>
          <w:color w:val="auto"/>
          <w:szCs w:val="21"/>
          <w:highlight w:val="none"/>
        </w:rPr>
      </w:pPr>
      <w:r>
        <w:rPr>
          <w:rFonts w:hint="eastAsia" w:ascii="宋体" w:hAnsi="宋体"/>
          <w:b/>
          <w:color w:val="auto"/>
          <w:szCs w:val="21"/>
          <w:highlight w:val="none"/>
        </w:rPr>
        <w:t>谈判保证金：</w:t>
      </w:r>
      <w:r>
        <w:rPr>
          <w:rFonts w:hint="eastAsia" w:ascii="宋体" w:hAnsi="宋体"/>
          <w:b w:val="0"/>
          <w:bCs/>
          <w:color w:val="auto"/>
          <w:szCs w:val="21"/>
          <w:highlight w:val="none"/>
          <w:lang w:val="en-US" w:eastAsia="zh-CN"/>
        </w:rPr>
        <w:t>详见供应商须知前附表。</w:t>
      </w:r>
    </w:p>
    <w:p w14:paraId="3D6790DC">
      <w:pPr>
        <w:tabs>
          <w:tab w:val="left" w:pos="1305"/>
        </w:tabs>
        <w:spacing w:line="380" w:lineRule="exact"/>
        <w:ind w:firstLine="422" w:firstLineChars="200"/>
        <w:rPr>
          <w:rFonts w:ascii="宋体" w:hAnsi="宋体"/>
          <w:b/>
          <w:color w:val="auto"/>
          <w:szCs w:val="21"/>
          <w:highlight w:val="none"/>
        </w:rPr>
      </w:pPr>
      <w:r>
        <w:rPr>
          <w:rFonts w:hint="eastAsia" w:ascii="宋体" w:hAnsi="宋体"/>
          <w:b/>
          <w:color w:val="auto"/>
          <w:szCs w:val="21"/>
          <w:highlight w:val="none"/>
        </w:rPr>
        <w:t>16. 响应文件的份数、装订、</w:t>
      </w:r>
      <w:r>
        <w:rPr>
          <w:rFonts w:hint="eastAsia" w:ascii="宋体" w:hAnsi="宋体" w:cs="Courier New"/>
          <w:b/>
          <w:color w:val="auto"/>
          <w:szCs w:val="21"/>
          <w:highlight w:val="none"/>
        </w:rPr>
        <w:t>签署</w:t>
      </w:r>
    </w:p>
    <w:p w14:paraId="11BBDFE2">
      <w:pPr>
        <w:tabs>
          <w:tab w:val="left" w:pos="1305"/>
        </w:tabs>
        <w:spacing w:line="380" w:lineRule="exact"/>
        <w:ind w:firstLine="420" w:firstLineChars="200"/>
        <w:rPr>
          <w:rFonts w:ascii="宋体" w:hAnsi="宋体"/>
          <w:color w:val="auto"/>
          <w:szCs w:val="21"/>
          <w:highlight w:val="none"/>
        </w:rPr>
      </w:pPr>
      <w:r>
        <w:rPr>
          <w:rFonts w:hint="eastAsia" w:ascii="宋体" w:hAnsi="宋体"/>
          <w:color w:val="auto"/>
          <w:szCs w:val="21"/>
          <w:highlight w:val="none"/>
        </w:rPr>
        <w:t>16</w:t>
      </w:r>
      <w:r>
        <w:rPr>
          <w:rFonts w:ascii="宋体" w:hAnsi="宋体"/>
          <w:color w:val="auto"/>
          <w:szCs w:val="21"/>
          <w:highlight w:val="none"/>
        </w:rPr>
        <w:t>.1</w:t>
      </w:r>
      <w:r>
        <w:rPr>
          <w:rFonts w:hint="eastAsia" w:ascii="宋体" w:hAnsi="宋体"/>
          <w:color w:val="auto"/>
          <w:szCs w:val="21"/>
          <w:highlight w:val="none"/>
        </w:rPr>
        <w:t xml:space="preserve"> 响应文件份数：正本壹本，副本贰本，须完整提交（</w:t>
      </w:r>
      <w:r>
        <w:rPr>
          <w:rFonts w:ascii="宋体" w:hAnsi="宋体"/>
          <w:color w:val="auto"/>
          <w:szCs w:val="21"/>
          <w:highlight w:val="none"/>
        </w:rPr>
        <w:t>A4</w:t>
      </w:r>
      <w:r>
        <w:rPr>
          <w:rFonts w:hint="eastAsia" w:ascii="宋体" w:hAnsi="宋体"/>
          <w:color w:val="auto"/>
          <w:szCs w:val="21"/>
          <w:highlight w:val="none"/>
        </w:rPr>
        <w:t>纸装订）。</w:t>
      </w:r>
    </w:p>
    <w:p w14:paraId="5835E8C4">
      <w:pPr>
        <w:tabs>
          <w:tab w:val="left" w:pos="1305"/>
        </w:tabs>
        <w:spacing w:line="380" w:lineRule="exact"/>
        <w:ind w:firstLine="420" w:firstLineChars="200"/>
        <w:rPr>
          <w:rFonts w:hint="eastAsia" w:ascii="宋体" w:hAnsi="宋体" w:eastAsia="宋体"/>
          <w:b/>
          <w:color w:val="auto"/>
          <w:szCs w:val="21"/>
          <w:highlight w:val="none"/>
          <w:lang w:eastAsia="zh-CN"/>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.2</w:t>
      </w:r>
      <w:r>
        <w:rPr>
          <w:rFonts w:hint="eastAsia" w:ascii="宋体" w:hAnsi="宋体"/>
          <w:color w:val="auto"/>
          <w:szCs w:val="21"/>
          <w:highlight w:val="none"/>
        </w:rPr>
        <w:t xml:space="preserve"> 响应文件装订要求：供应商应按供应商须知第11.1条“响应文件组成”规定的顺序自编目录及页码。响应文件的“正本”、“副本”应当单独装订成册并标注页码，装订应牢固，不易拆散和换页。封面</w:t>
      </w:r>
      <w:r>
        <w:rPr>
          <w:rFonts w:hint="eastAsia" w:ascii="宋体" w:hAnsi="宋体"/>
          <w:color w:val="auto"/>
          <w:szCs w:val="21"/>
          <w:highlight w:val="none"/>
          <w:lang w:val="en-US" w:eastAsia="zh-CN"/>
        </w:rPr>
        <w:t>右上角</w:t>
      </w:r>
      <w:r>
        <w:rPr>
          <w:rFonts w:hint="eastAsia" w:ascii="宋体" w:hAnsi="宋体"/>
          <w:color w:val="auto"/>
          <w:szCs w:val="21"/>
          <w:highlight w:val="none"/>
        </w:rPr>
        <w:t>应注明“正本”、“副本”字样，封面上写明项目名称、项目编号、</w:t>
      </w:r>
      <w:r>
        <w:rPr>
          <w:rFonts w:hint="eastAsia" w:ascii="宋体" w:hAnsi="宋体"/>
          <w:color w:val="auto"/>
          <w:szCs w:val="21"/>
          <w:highlight w:val="none"/>
          <w:lang w:val="en-US" w:eastAsia="zh-CN"/>
        </w:rPr>
        <w:t>采购人</w:t>
      </w:r>
      <w:r>
        <w:rPr>
          <w:rFonts w:hint="eastAsia" w:ascii="宋体" w:hAnsi="宋体"/>
          <w:color w:val="auto"/>
          <w:szCs w:val="21"/>
          <w:highlight w:val="none"/>
        </w:rPr>
        <w:t>、供应商单位名称</w:t>
      </w:r>
      <w:r>
        <w:rPr>
          <w:rFonts w:hint="eastAsia" w:ascii="宋体" w:hAnsi="宋体"/>
          <w:color w:val="auto"/>
          <w:szCs w:val="21"/>
          <w:highlight w:val="none"/>
          <w:lang w:eastAsia="zh-CN"/>
        </w:rPr>
        <w:t>、地址、法定代表人签字盖章、</w:t>
      </w:r>
      <w:r>
        <w:rPr>
          <w:rFonts w:hint="eastAsia" w:ascii="宋体" w:hAnsi="宋体"/>
          <w:color w:val="auto"/>
          <w:szCs w:val="21"/>
          <w:highlight w:val="none"/>
          <w:lang w:val="en-US" w:eastAsia="zh-CN"/>
        </w:rPr>
        <w:t>日期</w:t>
      </w:r>
      <w:r>
        <w:rPr>
          <w:rFonts w:hint="eastAsia" w:ascii="宋体" w:hAnsi="宋体"/>
          <w:color w:val="auto"/>
          <w:szCs w:val="21"/>
          <w:highlight w:val="none"/>
          <w:lang w:eastAsia="zh-CN"/>
        </w:rPr>
        <w:t>等内容组成。</w:t>
      </w:r>
    </w:p>
    <w:p w14:paraId="7EE4C916">
      <w:pPr>
        <w:tabs>
          <w:tab w:val="left" w:pos="1305"/>
        </w:tabs>
        <w:spacing w:line="380" w:lineRule="exact"/>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响应文件须由供应商在</w:t>
      </w:r>
      <w:r>
        <w:rPr>
          <w:rFonts w:hint="eastAsia" w:ascii="宋体" w:hAnsi="宋体"/>
          <w:color w:val="auto"/>
          <w:szCs w:val="21"/>
          <w:highlight w:val="none"/>
          <w:lang w:val="en-US" w:eastAsia="zh-CN"/>
        </w:rPr>
        <w:t>谈判文件</w:t>
      </w:r>
      <w:r>
        <w:rPr>
          <w:rFonts w:hint="eastAsia" w:ascii="宋体" w:hAnsi="宋体"/>
          <w:color w:val="auto"/>
          <w:szCs w:val="21"/>
          <w:highlight w:val="none"/>
        </w:rPr>
        <w:t>规定</w:t>
      </w:r>
      <w:r>
        <w:rPr>
          <w:rFonts w:hint="eastAsia" w:ascii="宋体" w:hAnsi="宋体"/>
          <w:color w:val="auto"/>
          <w:szCs w:val="21"/>
          <w:highlight w:val="none"/>
          <w:lang w:val="en-US" w:eastAsia="zh-CN"/>
        </w:rPr>
        <w:t>的准确</w:t>
      </w:r>
      <w:r>
        <w:rPr>
          <w:rFonts w:hint="eastAsia" w:ascii="宋体" w:hAnsi="宋体"/>
          <w:color w:val="auto"/>
          <w:szCs w:val="21"/>
          <w:highlight w:val="none"/>
        </w:rPr>
        <w:t>位置加盖供应商公章（扫描公章</w:t>
      </w:r>
      <w:r>
        <w:rPr>
          <w:rFonts w:hint="eastAsia" w:ascii="宋体" w:hAnsi="宋体"/>
          <w:color w:val="auto"/>
          <w:szCs w:val="21"/>
          <w:highlight w:val="none"/>
          <w:lang w:eastAsia="zh-CN"/>
        </w:rPr>
        <w:t>、</w:t>
      </w:r>
      <w:r>
        <w:rPr>
          <w:rFonts w:ascii="宋体" w:hAnsi="宋体" w:cs="宋体"/>
          <w:color w:val="auto"/>
          <w:szCs w:val="21"/>
          <w:highlight w:val="none"/>
        </w:rPr>
        <w:t>财务章、部门章、分公司章、工会章、合同章、</w:t>
      </w:r>
      <w:r>
        <w:rPr>
          <w:rFonts w:hint="eastAsia" w:ascii="宋体" w:hAnsi="宋体" w:cs="宋体"/>
          <w:color w:val="auto"/>
          <w:szCs w:val="21"/>
          <w:highlight w:val="none"/>
        </w:rPr>
        <w:t>谈判</w:t>
      </w:r>
      <w:r>
        <w:rPr>
          <w:rFonts w:ascii="宋体" w:hAnsi="宋体" w:cs="宋体"/>
          <w:color w:val="auto"/>
          <w:szCs w:val="21"/>
          <w:highlight w:val="none"/>
        </w:rPr>
        <w:t>专用章、业务专用章及银行转账章、现金收讫章、现金付讫章</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其他形式非正规公章</w:t>
      </w:r>
      <w:r>
        <w:rPr>
          <w:rFonts w:ascii="宋体" w:hAnsi="宋体" w:cs="宋体"/>
          <w:color w:val="auto"/>
          <w:szCs w:val="21"/>
          <w:highlight w:val="none"/>
        </w:rPr>
        <w:t>等其它形式印章</w:t>
      </w:r>
      <w:r>
        <w:rPr>
          <w:rFonts w:hint="eastAsia" w:ascii="宋体" w:hAnsi="宋体" w:cs="宋体"/>
          <w:color w:val="auto"/>
          <w:szCs w:val="21"/>
          <w:highlight w:val="none"/>
          <w:lang w:val="en-US" w:eastAsia="zh-CN"/>
        </w:rPr>
        <w:t>均</w:t>
      </w:r>
      <w:r>
        <w:rPr>
          <w:rFonts w:hint="eastAsia" w:ascii="宋体" w:hAnsi="宋体"/>
          <w:color w:val="auto"/>
          <w:szCs w:val="21"/>
          <w:highlight w:val="none"/>
        </w:rPr>
        <w:t>无效，自然人除外）并由法定代表人或授权委托代理人</w:t>
      </w:r>
      <w:r>
        <w:rPr>
          <w:rFonts w:hint="eastAsia"/>
          <w:color w:val="auto"/>
          <w:highlight w:val="none"/>
          <w:lang w:val="en-US" w:eastAsia="zh-CN"/>
        </w:rPr>
        <w:t>签字或签章</w:t>
      </w:r>
      <w:r>
        <w:rPr>
          <w:rFonts w:hint="eastAsia" w:ascii="宋体" w:hAnsi="宋体"/>
          <w:color w:val="auto"/>
          <w:szCs w:val="21"/>
          <w:highlight w:val="none"/>
        </w:rPr>
        <w:t>，</w:t>
      </w:r>
      <w:r>
        <w:rPr>
          <w:rFonts w:hint="eastAsia" w:ascii="宋体" w:hAnsi="宋体"/>
          <w:color w:val="auto"/>
          <w:szCs w:val="21"/>
          <w:highlight w:val="none"/>
          <w:lang w:val="en-US" w:eastAsia="zh-CN"/>
        </w:rPr>
        <w:t>响应文件格式中相对应的位置不得随意签字或盖章，严格按照响应文件格式中要求的位置和签字（盖章）形式进行填写，</w:t>
      </w:r>
      <w:r>
        <w:rPr>
          <w:rFonts w:hint="eastAsia" w:ascii="宋体" w:hAnsi="宋体"/>
          <w:color w:val="auto"/>
          <w:szCs w:val="21"/>
          <w:highlight w:val="none"/>
        </w:rPr>
        <w:t>供应商应写全称，响应文件副本可以是加盖公章（自然人除外）的正本的复印件，当正本与副本不一致时，以正本为准。</w:t>
      </w:r>
    </w:p>
    <w:p w14:paraId="47BD7693">
      <w:pPr>
        <w:spacing w:line="360" w:lineRule="exact"/>
        <w:ind w:firstLine="420" w:firstLineChars="200"/>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 xml:space="preserve"> 响应文件不得涂改，若有修改错漏处，须加盖供应商公章（自然人除外）及法定代表人或负责人或自然人或相应的授权委托代理人</w:t>
      </w:r>
      <w:r>
        <w:rPr>
          <w:rFonts w:hint="eastAsia"/>
          <w:color w:val="auto"/>
          <w:highlight w:val="none"/>
          <w:lang w:val="en-US" w:eastAsia="zh-CN"/>
        </w:rPr>
        <w:t>签字或签章</w:t>
      </w:r>
      <w:r>
        <w:rPr>
          <w:rFonts w:hint="eastAsia" w:ascii="宋体" w:hAnsi="宋体"/>
          <w:color w:val="auto"/>
          <w:szCs w:val="21"/>
          <w:highlight w:val="none"/>
        </w:rPr>
        <w:t>。响应文件因字迹潦草或表达不清所引起的后果由供应商负责。</w:t>
      </w:r>
    </w:p>
    <w:p w14:paraId="0E380058">
      <w:pPr>
        <w:tabs>
          <w:tab w:val="left" w:pos="1305"/>
        </w:tabs>
        <w:spacing w:line="38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17. 响应文件的修改和撤回</w:t>
      </w:r>
    </w:p>
    <w:p w14:paraId="29C4FD9A">
      <w:pPr>
        <w:spacing w:line="360" w:lineRule="auto"/>
        <w:ind w:firstLine="435"/>
        <w:rPr>
          <w:rFonts w:hint="eastAsia" w:ascii="宋体" w:hAnsi="宋体"/>
          <w:color w:val="auto"/>
          <w:szCs w:val="21"/>
          <w:highlight w:val="none"/>
        </w:rPr>
      </w:pPr>
      <w:r>
        <w:rPr>
          <w:rFonts w:hint="eastAsia" w:ascii="宋体" w:hAnsi="宋体"/>
          <w:color w:val="auto"/>
          <w:szCs w:val="21"/>
          <w:highlight w:val="none"/>
        </w:rPr>
        <w:t>17.1 供应商在响应文件递交截止时间之前，可以对已递交的响应文件进行修改或撤回，并书面通知采购代理机构。</w:t>
      </w:r>
    </w:p>
    <w:p w14:paraId="46C21FE6">
      <w:pPr>
        <w:tabs>
          <w:tab w:val="left" w:pos="1305"/>
        </w:tabs>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17.2 在响应文件递交截止时间后的响应文件有效期内，供应商不得撤回其响应文件。</w:t>
      </w:r>
    </w:p>
    <w:p w14:paraId="70A8F24E">
      <w:pPr>
        <w:tabs>
          <w:tab w:val="left" w:pos="1305"/>
        </w:tabs>
        <w:spacing w:line="360" w:lineRule="auto"/>
        <w:ind w:firstLine="420" w:firstLineChars="200"/>
        <w:rPr>
          <w:rFonts w:hint="eastAsia" w:ascii="宋体" w:hAnsi="宋体"/>
          <w:b w:val="0"/>
          <w:bCs/>
          <w:color w:val="auto"/>
          <w:szCs w:val="21"/>
          <w:highlight w:val="none"/>
        </w:rPr>
      </w:pPr>
      <w:r>
        <w:rPr>
          <w:rFonts w:hint="eastAsia" w:ascii="宋体" w:hAnsi="宋体"/>
          <w:b w:val="0"/>
          <w:bCs/>
          <w:color w:val="auto"/>
          <w:szCs w:val="21"/>
          <w:highlight w:val="none"/>
        </w:rPr>
        <w:t>18. 响应文件的递交</w:t>
      </w:r>
    </w:p>
    <w:p w14:paraId="2CA3274B">
      <w:pPr>
        <w:tabs>
          <w:tab w:val="left" w:pos="1305"/>
        </w:tabs>
        <w:spacing w:line="360" w:lineRule="auto"/>
        <w:ind w:firstLine="420" w:firstLineChars="200"/>
        <w:rPr>
          <w:rFonts w:hint="eastAsia" w:ascii="宋体" w:hAnsi="宋体" w:eastAsia="宋体"/>
          <w:b w:val="0"/>
          <w:bCs/>
          <w:color w:val="auto"/>
          <w:szCs w:val="21"/>
          <w:highlight w:val="none"/>
          <w:lang w:val="en-US" w:eastAsia="zh-CN"/>
        </w:rPr>
      </w:pPr>
      <w:r>
        <w:rPr>
          <w:rFonts w:hint="eastAsia" w:ascii="宋体" w:hAnsi="宋体"/>
          <w:b w:val="0"/>
          <w:bCs/>
          <w:color w:val="auto"/>
          <w:szCs w:val="21"/>
          <w:highlight w:val="none"/>
        </w:rPr>
        <w:t>18.1响应文件递交截止时间及递交起止时间</w:t>
      </w:r>
      <w:r>
        <w:rPr>
          <w:rFonts w:hint="eastAsia" w:ascii="宋体" w:hAnsi="宋体"/>
          <w:b w:val="0"/>
          <w:bCs/>
          <w:color w:val="auto"/>
          <w:szCs w:val="21"/>
          <w:highlight w:val="none"/>
          <w:lang w:eastAsia="zh-CN"/>
        </w:rPr>
        <w:t>。</w:t>
      </w:r>
    </w:p>
    <w:p w14:paraId="36B6A1EC">
      <w:pPr>
        <w:tabs>
          <w:tab w:val="left" w:pos="1305"/>
        </w:tabs>
        <w:spacing w:line="360" w:lineRule="auto"/>
        <w:ind w:firstLine="420" w:firstLineChars="200"/>
        <w:rPr>
          <w:rFonts w:hint="eastAsia" w:ascii="宋体" w:hAnsi="宋体"/>
          <w:b w:val="0"/>
          <w:bCs/>
          <w:color w:val="auto"/>
          <w:szCs w:val="21"/>
          <w:highlight w:val="none"/>
        </w:rPr>
      </w:pPr>
      <w:r>
        <w:rPr>
          <w:rFonts w:hint="eastAsia" w:ascii="宋体" w:hAnsi="宋体"/>
          <w:b w:val="0"/>
          <w:bCs/>
          <w:color w:val="auto"/>
          <w:szCs w:val="21"/>
          <w:highlight w:val="none"/>
        </w:rPr>
        <w:t>响应文件递交截止时间：</w:t>
      </w:r>
      <w:r>
        <w:rPr>
          <w:rFonts w:hint="eastAsia" w:ascii="宋体" w:hAnsi="宋体"/>
          <w:b w:val="0"/>
          <w:bCs/>
          <w:color w:val="auto"/>
          <w:szCs w:val="21"/>
          <w:highlight w:val="none"/>
          <w:lang w:val="en-US" w:eastAsia="zh-CN"/>
        </w:rPr>
        <w:t>2</w:t>
      </w:r>
      <w:r>
        <w:rPr>
          <w:rFonts w:hint="eastAsia" w:ascii="宋体" w:hAnsi="宋体" w:cs="黑体"/>
          <w:b w:val="0"/>
          <w:bCs/>
          <w:color w:val="auto"/>
          <w:kern w:val="0"/>
          <w:sz w:val="21"/>
          <w:szCs w:val="21"/>
          <w:highlight w:val="none"/>
          <w:lang w:val="en-US" w:eastAsia="zh-CN"/>
        </w:rPr>
        <w:t>025年04月15日14点30分。</w:t>
      </w:r>
    </w:p>
    <w:p w14:paraId="59EF8FA9">
      <w:pPr>
        <w:keepNext w:val="0"/>
        <w:keepLines w:val="0"/>
        <w:pageBreakBefore w:val="0"/>
        <w:widowControl w:val="0"/>
        <w:tabs>
          <w:tab w:val="left" w:pos="1305"/>
        </w:tabs>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b w:val="0"/>
          <w:bCs/>
          <w:color w:val="auto"/>
          <w:szCs w:val="21"/>
          <w:highlight w:val="none"/>
          <w:lang w:eastAsia="zh-CN"/>
        </w:rPr>
      </w:pPr>
      <w:r>
        <w:rPr>
          <w:rFonts w:hint="eastAsia" w:ascii="宋体" w:hAnsi="宋体"/>
          <w:b w:val="0"/>
          <w:bCs/>
          <w:color w:val="auto"/>
          <w:szCs w:val="21"/>
          <w:highlight w:val="none"/>
        </w:rPr>
        <w:t>18.2 响应文件</w:t>
      </w:r>
      <w:r>
        <w:rPr>
          <w:rFonts w:hint="eastAsia" w:ascii="宋体" w:hAnsi="宋体"/>
          <w:b w:val="0"/>
          <w:bCs/>
          <w:color w:val="auto"/>
          <w:szCs w:val="21"/>
          <w:highlight w:val="none"/>
          <w:lang w:val="en-US" w:eastAsia="zh-CN"/>
        </w:rPr>
        <w:t>纸质版</w:t>
      </w:r>
      <w:r>
        <w:rPr>
          <w:rFonts w:hint="eastAsia" w:ascii="宋体" w:hAnsi="宋体"/>
          <w:b w:val="0"/>
          <w:bCs/>
          <w:color w:val="auto"/>
          <w:szCs w:val="21"/>
          <w:highlight w:val="none"/>
        </w:rPr>
        <w:t>递交地点：长春市南关区生态大街与和美路交汇中懋天地8号楼1105室</w:t>
      </w:r>
      <w:r>
        <w:rPr>
          <w:rFonts w:hint="eastAsia" w:ascii="宋体" w:hAnsi="宋体"/>
          <w:b w:val="0"/>
          <w:bCs/>
          <w:color w:val="auto"/>
          <w:szCs w:val="21"/>
          <w:highlight w:val="none"/>
          <w:lang w:eastAsia="zh-CN"/>
        </w:rPr>
        <w:t>。</w:t>
      </w:r>
    </w:p>
    <w:p w14:paraId="355A6284">
      <w:pPr>
        <w:keepNext w:val="0"/>
        <w:keepLines w:val="0"/>
        <w:pageBreakBefore w:val="0"/>
        <w:widowControl w:val="0"/>
        <w:tabs>
          <w:tab w:val="left" w:pos="1305"/>
        </w:tabs>
        <w:kinsoku/>
        <w:wordWrap/>
        <w:overflowPunct/>
        <w:topLinePunct w:val="0"/>
        <w:autoSpaceDE/>
        <w:autoSpaceDN/>
        <w:bidi w:val="0"/>
        <w:adjustRightInd/>
        <w:snapToGrid/>
        <w:spacing w:line="360" w:lineRule="auto"/>
        <w:ind w:firstLine="562" w:firstLineChars="200"/>
        <w:jc w:val="center"/>
        <w:textAlignment w:val="auto"/>
        <w:rPr>
          <w:rFonts w:hint="eastAsia" w:ascii="宋体" w:hAnsi="宋体"/>
          <w:b/>
          <w:color w:val="auto"/>
          <w:sz w:val="28"/>
          <w:szCs w:val="28"/>
          <w:highlight w:val="none"/>
        </w:rPr>
      </w:pPr>
      <w:r>
        <w:rPr>
          <w:rFonts w:hint="eastAsia" w:ascii="宋体" w:hAnsi="宋体"/>
          <w:b/>
          <w:color w:val="auto"/>
          <w:sz w:val="28"/>
          <w:szCs w:val="28"/>
          <w:highlight w:val="none"/>
        </w:rPr>
        <w:t>四、竞争性谈判（简称谈判）与评审</w:t>
      </w:r>
    </w:p>
    <w:p w14:paraId="2C5BD729">
      <w:pPr>
        <w:keepNext w:val="0"/>
        <w:keepLines w:val="0"/>
        <w:pageBreakBefore w:val="0"/>
        <w:widowControl w:val="0"/>
        <w:tabs>
          <w:tab w:val="center" w:pos="4411"/>
          <w:tab w:val="left" w:pos="5475"/>
        </w:tabs>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b/>
          <w:color w:val="auto"/>
          <w:szCs w:val="21"/>
          <w:highlight w:val="none"/>
        </w:rPr>
      </w:pPr>
      <w:r>
        <w:rPr>
          <w:rFonts w:hint="eastAsia" w:ascii="宋体" w:hAnsi="宋体"/>
          <w:b/>
          <w:color w:val="auto"/>
          <w:szCs w:val="21"/>
          <w:highlight w:val="none"/>
        </w:rPr>
        <w:t>19. 谈判小组组成及谈判时间、地点、人员</w:t>
      </w:r>
    </w:p>
    <w:p w14:paraId="149C3FFE">
      <w:pPr>
        <w:keepNext w:val="0"/>
        <w:keepLines w:val="0"/>
        <w:pageBreakBefore w:val="0"/>
        <w:widowControl w:val="0"/>
        <w:kinsoku/>
        <w:wordWrap/>
        <w:overflowPunct/>
        <w:topLinePunct w:val="0"/>
        <w:autoSpaceDE/>
        <w:autoSpaceDN/>
        <w:bidi w:val="0"/>
        <w:adjustRightInd/>
        <w:snapToGrid/>
        <w:spacing w:line="400" w:lineRule="exact"/>
        <w:ind w:firstLine="435"/>
        <w:textAlignment w:val="auto"/>
        <w:rPr>
          <w:rFonts w:hint="eastAsia" w:ascii="宋体" w:hAnsi="宋体"/>
          <w:b/>
          <w:color w:val="auto"/>
          <w:szCs w:val="21"/>
          <w:highlight w:val="none"/>
        </w:rPr>
      </w:pPr>
      <w:r>
        <w:rPr>
          <w:rFonts w:hint="eastAsia" w:ascii="宋体" w:hAnsi="宋体"/>
          <w:b/>
          <w:color w:val="auto"/>
          <w:szCs w:val="21"/>
          <w:highlight w:val="none"/>
        </w:rPr>
        <w:t>19.1 谈判小组组成：</w:t>
      </w:r>
    </w:p>
    <w:p w14:paraId="58AE565B">
      <w:pPr>
        <w:spacing w:line="380" w:lineRule="exact"/>
        <w:ind w:firstLine="435"/>
        <w:rPr>
          <w:rFonts w:hint="eastAsia" w:ascii="宋体" w:hAnsi="宋体"/>
          <w:color w:val="auto"/>
          <w:szCs w:val="21"/>
          <w:highlight w:val="none"/>
          <w:u w:val="none"/>
        </w:rPr>
      </w:pPr>
      <w:r>
        <w:rPr>
          <w:rFonts w:hint="eastAsia" w:ascii="宋体" w:hAnsi="宋体"/>
          <w:color w:val="auto"/>
          <w:szCs w:val="21"/>
          <w:highlight w:val="none"/>
        </w:rPr>
        <w:t>谈判及评审工作由采购代理机构负责组织，具体谈判、评审工作由依法组建的谈判小组负责，谈判小组有关方面的专家组成。谈判小组的构成：</w:t>
      </w:r>
      <w:r>
        <w:rPr>
          <w:rFonts w:hint="eastAsia" w:ascii="宋体" w:hAnsi="宋体"/>
          <w:color w:val="auto"/>
          <w:szCs w:val="21"/>
          <w:highlight w:val="none"/>
          <w:u w:val="none"/>
        </w:rPr>
        <w:t>3人，其中采购人代表0人，专家3人。专家确定方式：</w:t>
      </w:r>
      <w:r>
        <w:rPr>
          <w:rFonts w:hint="eastAsia" w:ascii="宋体" w:hAnsi="宋体"/>
          <w:color w:val="auto"/>
          <w:szCs w:val="21"/>
          <w:highlight w:val="none"/>
          <w:u w:val="none"/>
          <w:lang w:val="zh-CN"/>
        </w:rPr>
        <w:t>从</w:t>
      </w:r>
      <w:r>
        <w:rPr>
          <w:rFonts w:hint="eastAsia" w:ascii="宋体" w:hAnsi="宋体"/>
          <w:color w:val="auto"/>
          <w:szCs w:val="21"/>
          <w:highlight w:val="none"/>
          <w:u w:val="none"/>
          <w:lang w:val="en-US" w:eastAsia="zh-CN"/>
        </w:rPr>
        <w:t>政府采购云平台</w:t>
      </w:r>
      <w:r>
        <w:rPr>
          <w:rFonts w:hint="eastAsia" w:ascii="宋体" w:hAnsi="宋体"/>
          <w:color w:val="auto"/>
          <w:szCs w:val="21"/>
          <w:highlight w:val="none"/>
          <w:u w:val="none"/>
          <w:lang w:val="zh-CN"/>
        </w:rPr>
        <w:t>专家库中随机抽取</w:t>
      </w:r>
      <w:r>
        <w:rPr>
          <w:rFonts w:hint="eastAsia" w:ascii="宋体" w:hAnsi="宋体"/>
          <w:color w:val="auto"/>
          <w:szCs w:val="21"/>
          <w:highlight w:val="none"/>
          <w:u w:val="none"/>
        </w:rPr>
        <w:t>。</w:t>
      </w:r>
    </w:p>
    <w:p w14:paraId="610F15F6">
      <w:pPr>
        <w:tabs>
          <w:tab w:val="left" w:pos="1140"/>
        </w:tabs>
        <w:spacing w:line="380" w:lineRule="exact"/>
        <w:ind w:left="420" w:leftChars="172" w:hanging="59" w:hangingChars="28"/>
        <w:rPr>
          <w:rFonts w:hint="eastAsia" w:ascii="宋体" w:hAnsi="宋体"/>
          <w:b/>
          <w:color w:val="auto"/>
          <w:szCs w:val="21"/>
          <w:highlight w:val="none"/>
        </w:rPr>
      </w:pPr>
      <w:r>
        <w:rPr>
          <w:rFonts w:hint="eastAsia" w:ascii="宋体" w:hAnsi="宋体"/>
          <w:b/>
          <w:color w:val="auto"/>
          <w:szCs w:val="21"/>
          <w:highlight w:val="none"/>
        </w:rPr>
        <w:t>19.2 谈判时间、地点、人员：</w:t>
      </w:r>
    </w:p>
    <w:p w14:paraId="35A1B33C">
      <w:pPr>
        <w:spacing w:line="380" w:lineRule="exact"/>
        <w:ind w:left="315" w:leftChars="150" w:firstLine="105" w:firstLineChars="50"/>
        <w:rPr>
          <w:rFonts w:hint="eastAsia" w:ascii="宋体" w:hAnsi="宋体"/>
          <w:color w:val="auto"/>
          <w:szCs w:val="21"/>
          <w:highlight w:val="none"/>
        </w:rPr>
      </w:pPr>
      <w:r>
        <w:rPr>
          <w:rFonts w:hint="eastAsia" w:ascii="宋体" w:hAnsi="宋体"/>
          <w:color w:val="auto"/>
          <w:szCs w:val="21"/>
          <w:highlight w:val="none"/>
        </w:rPr>
        <w:t>19.2.1 谈判时间：</w:t>
      </w:r>
      <w:r>
        <w:rPr>
          <w:rFonts w:hint="eastAsia" w:ascii="宋体" w:hAnsi="宋体"/>
          <w:color w:val="auto"/>
          <w:position w:val="-2"/>
          <w:szCs w:val="21"/>
          <w:highlight w:val="none"/>
        </w:rPr>
        <w:t>响应文件递交</w:t>
      </w:r>
      <w:r>
        <w:rPr>
          <w:rFonts w:hint="eastAsia" w:ascii="宋体" w:hAnsi="宋体"/>
          <w:color w:val="auto"/>
          <w:szCs w:val="21"/>
          <w:highlight w:val="none"/>
        </w:rPr>
        <w:t>截止时间后。</w:t>
      </w:r>
    </w:p>
    <w:p w14:paraId="038BA05F">
      <w:pPr>
        <w:spacing w:line="38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19.2.2 谈判地点：</w:t>
      </w:r>
      <w:r>
        <w:rPr>
          <w:rFonts w:hint="eastAsia" w:ascii="宋体" w:hAnsi="宋体"/>
          <w:color w:val="auto"/>
          <w:szCs w:val="21"/>
          <w:highlight w:val="none"/>
          <w:lang w:eastAsia="zh-CN"/>
        </w:rPr>
        <w:t>长春市二道区洋浦大街6999号凯利中心AB栋101开标</w:t>
      </w:r>
      <w:r>
        <w:rPr>
          <w:rFonts w:hint="eastAsia" w:ascii="宋体" w:hAnsi="宋体"/>
          <w:color w:val="auto"/>
          <w:szCs w:val="21"/>
          <w:highlight w:val="none"/>
          <w:lang w:val="en-US" w:eastAsia="zh-CN"/>
        </w:rPr>
        <w:t>四</w:t>
      </w:r>
      <w:r>
        <w:rPr>
          <w:rFonts w:hint="eastAsia" w:ascii="宋体" w:hAnsi="宋体"/>
          <w:color w:val="auto"/>
          <w:szCs w:val="21"/>
          <w:highlight w:val="none"/>
          <w:lang w:eastAsia="zh-CN"/>
        </w:rPr>
        <w:t>室</w:t>
      </w:r>
      <w:r>
        <w:rPr>
          <w:rFonts w:hint="eastAsia" w:ascii="宋体" w:hAnsi="宋体" w:cs="宋体"/>
          <w:color w:val="auto"/>
          <w:szCs w:val="21"/>
          <w:highlight w:val="none"/>
        </w:rPr>
        <w:t>。</w:t>
      </w:r>
    </w:p>
    <w:p w14:paraId="6303B6DC">
      <w:pPr>
        <w:tabs>
          <w:tab w:val="left" w:pos="1140"/>
        </w:tabs>
        <w:spacing w:line="380" w:lineRule="exact"/>
        <w:ind w:left="420" w:leftChars="200"/>
        <w:rPr>
          <w:rFonts w:hint="eastAsia" w:ascii="宋体" w:hAnsi="宋体"/>
          <w:color w:val="auto"/>
          <w:szCs w:val="21"/>
          <w:highlight w:val="none"/>
        </w:rPr>
      </w:pPr>
      <w:r>
        <w:rPr>
          <w:rFonts w:hint="eastAsia" w:ascii="宋体" w:hAnsi="宋体"/>
          <w:color w:val="auto"/>
          <w:szCs w:val="21"/>
          <w:highlight w:val="none"/>
        </w:rPr>
        <w:t>19.2.3 谈判参加人员：</w:t>
      </w:r>
      <w:r>
        <w:rPr>
          <w:rFonts w:hint="eastAsia" w:ascii="宋体" w:hAnsi="宋体"/>
          <w:color w:val="auto"/>
          <w:szCs w:val="21"/>
          <w:highlight w:val="none"/>
          <w:lang w:val="en-US" w:eastAsia="zh-CN"/>
        </w:rPr>
        <w:t>通过线上“政采云”</w:t>
      </w:r>
      <w:r>
        <w:rPr>
          <w:rFonts w:hint="eastAsia"/>
          <w:color w:val="auto"/>
          <w:highlight w:val="none"/>
          <w:lang w:eastAsia="zh-CN"/>
        </w:rPr>
        <w:t>（网址：http</w:t>
      </w:r>
      <w:r>
        <w:rPr>
          <w:rFonts w:hint="eastAsia" w:ascii="宋体" w:hAnsi="宋体" w:eastAsia="宋体" w:cs="Times New Roman"/>
          <w:color w:val="auto"/>
          <w:highlight w:val="none"/>
          <w:lang w:eastAsia="zh-CN"/>
        </w:rPr>
        <w:t xml:space="preserve">:// </w:t>
      </w:r>
      <w:r>
        <w:rPr>
          <w:rFonts w:hint="eastAsia" w:ascii="宋体" w:hAnsi="宋体" w:eastAsia="宋体" w:cs="Times New Roman"/>
          <w:color w:val="auto"/>
          <w:highlight w:val="none"/>
          <w:lang w:eastAsia="zh-CN"/>
        </w:rPr>
        <w:fldChar w:fldCharType="begin"/>
      </w:r>
      <w:r>
        <w:rPr>
          <w:rFonts w:hint="eastAsia" w:ascii="宋体" w:hAnsi="宋体" w:eastAsia="宋体" w:cs="Times New Roman"/>
          <w:color w:val="auto"/>
          <w:highlight w:val="none"/>
          <w:lang w:eastAsia="zh-CN"/>
        </w:rPr>
        <w:instrText xml:space="preserve"> HYPERLINK "http://www.zcygov.cn）递交电子版响应文件。" </w:instrText>
      </w:r>
      <w:r>
        <w:rPr>
          <w:rFonts w:hint="eastAsia" w:ascii="宋体" w:hAnsi="宋体" w:eastAsia="宋体" w:cs="Times New Roman"/>
          <w:color w:val="auto"/>
          <w:highlight w:val="none"/>
          <w:lang w:eastAsia="zh-CN"/>
        </w:rPr>
        <w:fldChar w:fldCharType="separate"/>
      </w:r>
      <w:r>
        <w:rPr>
          <w:rFonts w:hint="eastAsia" w:ascii="宋体" w:hAnsi="宋体" w:eastAsia="宋体" w:cs="Times New Roman"/>
          <w:color w:val="auto"/>
          <w:highlight w:val="none"/>
          <w:lang w:eastAsia="zh-CN"/>
        </w:rPr>
        <w:t>www.zcygov.cn）</w:t>
      </w:r>
      <w:r>
        <w:rPr>
          <w:rFonts w:hint="eastAsia" w:ascii="宋体" w:hAnsi="宋体" w:eastAsia="宋体" w:cs="Times New Roman"/>
          <w:color w:val="auto"/>
          <w:highlight w:val="none"/>
          <w:lang w:eastAsia="zh-CN"/>
        </w:rPr>
        <w:fldChar w:fldCharType="end"/>
      </w:r>
      <w:r>
        <w:rPr>
          <w:rFonts w:hint="eastAsia" w:ascii="宋体" w:hAnsi="宋体"/>
          <w:color w:val="auto"/>
          <w:szCs w:val="21"/>
          <w:highlight w:val="none"/>
          <w:lang w:val="en-US" w:eastAsia="zh-CN"/>
        </w:rPr>
        <w:t>平台进行参与谈判</w:t>
      </w:r>
      <w:r>
        <w:rPr>
          <w:rFonts w:hint="eastAsia" w:ascii="宋体" w:hAnsi="宋体"/>
          <w:color w:val="auto"/>
          <w:szCs w:val="21"/>
          <w:highlight w:val="none"/>
        </w:rPr>
        <w:t>。</w:t>
      </w:r>
    </w:p>
    <w:p w14:paraId="5C968D2E">
      <w:pPr>
        <w:tabs>
          <w:tab w:val="left" w:pos="1140"/>
        </w:tabs>
        <w:spacing w:line="380" w:lineRule="exact"/>
        <w:ind w:left="420" w:leftChars="200"/>
        <w:rPr>
          <w:rFonts w:ascii="宋体" w:hAnsi="宋体"/>
          <w:color w:val="auto"/>
          <w:szCs w:val="21"/>
          <w:highlight w:val="none"/>
        </w:rPr>
      </w:pPr>
      <w:r>
        <w:rPr>
          <w:rFonts w:hint="eastAsia" w:ascii="宋体" w:hAnsi="宋体"/>
          <w:color w:val="auto"/>
          <w:position w:val="-2"/>
          <w:szCs w:val="21"/>
          <w:highlight w:val="none"/>
        </w:rPr>
        <w:t xml:space="preserve">19.2.4 </w:t>
      </w:r>
      <w:r>
        <w:rPr>
          <w:rFonts w:hint="eastAsia" w:ascii="宋体" w:hAnsi="宋体"/>
          <w:color w:val="auto"/>
          <w:position w:val="-2"/>
          <w:szCs w:val="21"/>
          <w:highlight w:val="none"/>
          <w:lang w:val="en-US" w:eastAsia="zh-CN"/>
        </w:rPr>
        <w:t>本项目</w:t>
      </w:r>
      <w:r>
        <w:rPr>
          <w:rFonts w:hint="eastAsia" w:ascii="宋体" w:hAnsi="宋体"/>
          <w:color w:val="auto"/>
          <w:szCs w:val="21"/>
          <w:highlight w:val="none"/>
          <w:lang w:val="en-US" w:eastAsia="zh-CN"/>
        </w:rPr>
        <w:t>不再当场进行唱标</w:t>
      </w:r>
      <w:r>
        <w:rPr>
          <w:rFonts w:hint="eastAsia" w:ascii="宋体" w:hAnsi="宋体"/>
          <w:color w:val="auto"/>
          <w:szCs w:val="21"/>
          <w:highlight w:val="none"/>
        </w:rPr>
        <w:t>，由谈判小组在评标室内开启响应文件。</w:t>
      </w:r>
      <w:r>
        <w:rPr>
          <w:rFonts w:ascii="宋体" w:hAnsi="宋体"/>
          <w:color w:val="auto"/>
          <w:szCs w:val="21"/>
          <w:highlight w:val="none"/>
        </w:rPr>
        <w:t xml:space="preserve">  </w:t>
      </w:r>
    </w:p>
    <w:p w14:paraId="44610D48">
      <w:pPr>
        <w:tabs>
          <w:tab w:val="left" w:pos="1140"/>
        </w:tabs>
        <w:spacing w:line="380" w:lineRule="exact"/>
        <w:ind w:left="420" w:leftChars="172" w:hanging="59" w:hangingChars="28"/>
        <w:rPr>
          <w:rFonts w:hint="eastAsia" w:ascii="宋体" w:hAnsi="宋体"/>
          <w:b/>
          <w:color w:val="auto"/>
          <w:szCs w:val="21"/>
          <w:highlight w:val="none"/>
        </w:rPr>
      </w:pPr>
      <w:r>
        <w:rPr>
          <w:rFonts w:hint="eastAsia" w:ascii="宋体" w:hAnsi="宋体"/>
          <w:b/>
          <w:color w:val="auto"/>
          <w:szCs w:val="21"/>
          <w:highlight w:val="none"/>
        </w:rPr>
        <w:t>20. 评审原则和评审办法</w:t>
      </w:r>
    </w:p>
    <w:p w14:paraId="3414BFC6">
      <w:pPr>
        <w:tabs>
          <w:tab w:val="left" w:pos="1140"/>
        </w:tabs>
        <w:spacing w:line="380" w:lineRule="exact"/>
        <w:ind w:firstLine="359" w:firstLineChars="171"/>
        <w:rPr>
          <w:rFonts w:hint="eastAsia" w:ascii="宋体" w:hAnsi="宋体"/>
          <w:color w:val="auto"/>
          <w:szCs w:val="21"/>
          <w:highlight w:val="none"/>
        </w:rPr>
      </w:pPr>
      <w:r>
        <w:rPr>
          <w:rFonts w:hint="eastAsia" w:ascii="宋体" w:hAnsi="宋体"/>
          <w:color w:val="auto"/>
          <w:szCs w:val="20"/>
          <w:highlight w:val="none"/>
        </w:rPr>
        <w:t xml:space="preserve">20.1 </w:t>
      </w:r>
      <w:r>
        <w:rPr>
          <w:rFonts w:hint="eastAsia" w:ascii="宋体" w:hAnsi="宋体"/>
          <w:color w:val="auto"/>
          <w:szCs w:val="21"/>
          <w:highlight w:val="none"/>
        </w:rPr>
        <w:t>谈判小组必须坚持公平、公正、科学和择优的原则。</w:t>
      </w:r>
    </w:p>
    <w:p w14:paraId="4D359420">
      <w:pPr>
        <w:tabs>
          <w:tab w:val="left" w:pos="1140"/>
        </w:tabs>
        <w:spacing w:line="380" w:lineRule="exact"/>
        <w:ind w:firstLine="359" w:firstLineChars="171"/>
        <w:rPr>
          <w:rFonts w:hint="eastAsia" w:ascii="宋体" w:hAnsi="宋体"/>
          <w:color w:val="auto"/>
          <w:szCs w:val="21"/>
          <w:highlight w:val="none"/>
        </w:rPr>
      </w:pPr>
      <w:r>
        <w:rPr>
          <w:rFonts w:hint="eastAsia" w:ascii="宋体" w:hAnsi="宋体"/>
          <w:color w:val="auto"/>
          <w:szCs w:val="20"/>
          <w:highlight w:val="none"/>
        </w:rPr>
        <w:t xml:space="preserve">20.2 </w:t>
      </w:r>
      <w:r>
        <w:rPr>
          <w:rFonts w:hint="eastAsia" w:ascii="宋体" w:hAnsi="宋体"/>
          <w:color w:val="auto"/>
          <w:szCs w:val="21"/>
          <w:highlight w:val="none"/>
        </w:rPr>
        <w:t>评审办法：具体详见第四章评审办法。</w:t>
      </w:r>
    </w:p>
    <w:p w14:paraId="68F0904D">
      <w:pPr>
        <w:pStyle w:val="16"/>
        <w:spacing w:line="380" w:lineRule="exact"/>
        <w:ind w:firstLine="359" w:firstLineChars="171"/>
        <w:rPr>
          <w:rFonts w:hint="eastAsia" w:hAnsi="宋体"/>
          <w:color w:val="auto"/>
          <w:szCs w:val="21"/>
          <w:highlight w:val="none"/>
        </w:rPr>
      </w:pPr>
      <w:r>
        <w:rPr>
          <w:rFonts w:hint="eastAsia" w:hAnsi="宋体"/>
          <w:color w:val="auto"/>
          <w:szCs w:val="21"/>
          <w:highlight w:val="none"/>
        </w:rPr>
        <w:t>20.3 谈判小组应按谈判文件进行评审，不得擅自更改评审办法。</w:t>
      </w:r>
    </w:p>
    <w:p w14:paraId="7ACCD5CB">
      <w:pPr>
        <w:pStyle w:val="16"/>
        <w:spacing w:line="380" w:lineRule="exact"/>
        <w:ind w:firstLine="359" w:firstLineChars="171"/>
        <w:rPr>
          <w:rFonts w:hint="eastAsia" w:hAnsi="宋体"/>
          <w:color w:val="auto"/>
          <w:szCs w:val="21"/>
          <w:highlight w:val="none"/>
        </w:rPr>
      </w:pPr>
      <w:r>
        <w:rPr>
          <w:rFonts w:hint="eastAsia" w:hAnsi="宋体"/>
          <w:color w:val="auto"/>
          <w:szCs w:val="21"/>
          <w:highlight w:val="none"/>
        </w:rPr>
        <w:t>20.4 在评审过程中，谈判小组任何人不得对某个供应商发表任何倾向性意见，不得向其他谈判小组成员明示或者暗示自己的评审意见。</w:t>
      </w:r>
    </w:p>
    <w:p w14:paraId="42C79B52">
      <w:pPr>
        <w:tabs>
          <w:tab w:val="left" w:pos="1140"/>
        </w:tabs>
        <w:spacing w:line="380" w:lineRule="exact"/>
        <w:ind w:firstLine="359" w:firstLineChars="171"/>
        <w:rPr>
          <w:rFonts w:hint="eastAsia" w:ascii="宋体" w:hAnsi="宋体"/>
          <w:color w:val="auto"/>
          <w:szCs w:val="21"/>
          <w:highlight w:val="none"/>
        </w:rPr>
      </w:pPr>
      <w:r>
        <w:rPr>
          <w:rFonts w:hint="eastAsia" w:ascii="宋体" w:hAnsi="宋体"/>
          <w:color w:val="auto"/>
          <w:szCs w:val="21"/>
          <w:highlight w:val="none"/>
        </w:rPr>
        <w:t>20.5 谈判小组成员对需要共同认定的事项存在争议的，按照少数服从多数的原则作出结论。持不　　　　　　　　　　　　　　　　　　　　　　　　　　　　　　　　　　　　　　　　　　　　　　　　　　　　　　　　　　　　　　　　　　　　　　同意见的谈判小组成员应当在评审报告上签署不同意见并说明理由，否则视为同意。</w:t>
      </w:r>
    </w:p>
    <w:p w14:paraId="34642EC6">
      <w:pPr>
        <w:tabs>
          <w:tab w:val="left" w:pos="1140"/>
        </w:tabs>
        <w:spacing w:line="380" w:lineRule="exact"/>
        <w:ind w:left="420" w:leftChars="172" w:hanging="59" w:hangingChars="28"/>
        <w:rPr>
          <w:rFonts w:hint="eastAsia" w:ascii="宋体" w:hAnsi="宋体"/>
          <w:b/>
          <w:color w:val="auto"/>
          <w:szCs w:val="21"/>
          <w:highlight w:val="none"/>
        </w:rPr>
      </w:pPr>
      <w:r>
        <w:rPr>
          <w:rFonts w:hint="eastAsia" w:ascii="宋体" w:hAnsi="宋体"/>
          <w:b/>
          <w:color w:val="auto"/>
          <w:szCs w:val="21"/>
          <w:highlight w:val="none"/>
        </w:rPr>
        <w:t>21. 评审程序及谈判要求</w:t>
      </w:r>
    </w:p>
    <w:p w14:paraId="2B881154">
      <w:pPr>
        <w:pStyle w:val="16"/>
        <w:spacing w:line="380" w:lineRule="exact"/>
        <w:ind w:firstLine="315" w:firstLineChars="150"/>
        <w:rPr>
          <w:rFonts w:hint="eastAsia" w:hAnsi="宋体"/>
          <w:color w:val="auto"/>
          <w:szCs w:val="21"/>
          <w:highlight w:val="none"/>
        </w:rPr>
      </w:pPr>
      <w:r>
        <w:rPr>
          <w:rFonts w:hint="eastAsia" w:hAnsi="宋体"/>
          <w:color w:val="auto"/>
          <w:szCs w:val="21"/>
          <w:highlight w:val="none"/>
        </w:rPr>
        <w:t>21.1 采购代理机构核实谈判小组成员身份，告知回避要求，宣布评审工作纪律和程序，统一保管通讯工具或相关电子设备，推选谈判小组组长。</w:t>
      </w:r>
    </w:p>
    <w:p w14:paraId="66F0DBC2">
      <w:pPr>
        <w:spacing w:line="380" w:lineRule="exact"/>
        <w:ind w:firstLine="315" w:firstLineChars="150"/>
        <w:rPr>
          <w:rFonts w:hint="eastAsia" w:ascii="宋体" w:hAnsi="宋体" w:cs="Arial"/>
          <w:color w:val="auto"/>
          <w:kern w:val="0"/>
          <w:szCs w:val="21"/>
          <w:highlight w:val="none"/>
        </w:rPr>
      </w:pPr>
      <w:r>
        <w:rPr>
          <w:rFonts w:hint="eastAsia" w:ascii="宋体" w:hAnsi="宋体"/>
          <w:color w:val="auto"/>
          <w:szCs w:val="21"/>
          <w:highlight w:val="none"/>
        </w:rPr>
        <w:t xml:space="preserve">21.2 </w:t>
      </w:r>
      <w:r>
        <w:rPr>
          <w:rFonts w:ascii="宋体" w:hAnsi="宋体"/>
          <w:color w:val="auto"/>
          <w:szCs w:val="21"/>
          <w:highlight w:val="none"/>
        </w:rPr>
        <w:t>谈判小组</w:t>
      </w:r>
      <w:r>
        <w:rPr>
          <w:rFonts w:hint="eastAsia" w:ascii="宋体" w:hAnsi="宋体"/>
          <w:color w:val="auto"/>
          <w:szCs w:val="21"/>
          <w:highlight w:val="none"/>
        </w:rPr>
        <w:t>应当对发布公告的竞争性谈判文件（简称谈判文件）进行确认，</w:t>
      </w:r>
      <w:r>
        <w:rPr>
          <w:rFonts w:ascii="宋体" w:hAnsi="宋体" w:cs="Arial"/>
          <w:color w:val="auto"/>
          <w:kern w:val="0"/>
          <w:szCs w:val="21"/>
          <w:highlight w:val="none"/>
        </w:rPr>
        <w:t>审查供应商的响应文件并作出评价；要求供应商解释或者澄清其响应文件；编写评审报告；告知采购人、采购代理机构在评审过程中发现的供应商的违法违规行为。</w:t>
      </w:r>
    </w:p>
    <w:p w14:paraId="2AFC2E9E">
      <w:pPr>
        <w:spacing w:line="380" w:lineRule="exact"/>
        <w:ind w:firstLine="315" w:firstLineChars="150"/>
        <w:rPr>
          <w:rFonts w:hint="eastAsia" w:ascii="宋体" w:hAnsi="宋体" w:eastAsia="宋体"/>
          <w:color w:val="auto"/>
          <w:szCs w:val="21"/>
          <w:highlight w:val="none"/>
          <w:lang w:eastAsia="zh-CN"/>
        </w:rPr>
      </w:pPr>
      <w:r>
        <w:rPr>
          <w:rFonts w:hint="eastAsia" w:ascii="宋体" w:hAnsi="宋体"/>
          <w:color w:val="auto"/>
          <w:szCs w:val="21"/>
          <w:highlight w:val="none"/>
        </w:rPr>
        <w:t>21.3</w:t>
      </w:r>
      <w:r>
        <w:rPr>
          <w:rFonts w:ascii="宋体" w:hAnsi="宋体" w:cs="Arial"/>
          <w:color w:val="auto"/>
          <w:kern w:val="0"/>
          <w:szCs w:val="21"/>
          <w:highlight w:val="none"/>
        </w:rPr>
        <w:t>谈判小组</w:t>
      </w:r>
      <w:r>
        <w:rPr>
          <w:rFonts w:hint="eastAsia" w:ascii="宋体" w:hAnsi="宋体"/>
          <w:color w:val="auto"/>
          <w:szCs w:val="21"/>
          <w:highlight w:val="none"/>
        </w:rPr>
        <w:t>依据法律法规和竞争性谈判文件的规定，首先对响应文件中的资格证明等进行资格性审查，以确定供应商是否具备本项目供应商资格</w:t>
      </w:r>
      <w:r>
        <w:rPr>
          <w:rFonts w:hint="eastAsia" w:ascii="宋体" w:hAnsi="宋体"/>
          <w:color w:val="auto"/>
          <w:szCs w:val="21"/>
          <w:highlight w:val="none"/>
          <w:lang w:eastAsia="zh-CN"/>
        </w:rPr>
        <w:t>。</w:t>
      </w:r>
    </w:p>
    <w:p w14:paraId="4B828250">
      <w:pPr>
        <w:spacing w:line="380" w:lineRule="exact"/>
        <w:ind w:firstLine="315" w:firstLineChars="150"/>
        <w:rPr>
          <w:rFonts w:hint="eastAsia" w:ascii="宋体" w:hAnsi="宋体" w:cs="Arial"/>
          <w:color w:val="auto"/>
          <w:kern w:val="0"/>
          <w:szCs w:val="21"/>
          <w:highlight w:val="none"/>
        </w:rPr>
      </w:pPr>
      <w:r>
        <w:rPr>
          <w:rFonts w:hint="eastAsia" w:ascii="宋体" w:hAnsi="宋体" w:cs="Arial"/>
          <w:color w:val="auto"/>
          <w:kern w:val="0"/>
          <w:szCs w:val="21"/>
          <w:highlight w:val="none"/>
        </w:rPr>
        <w:t>在进行资格性审查时，谈判小组将进入《国家企业信用信息公示系统》对企业股东及出资等信息进行查询，对存在《中华人民共和国政府采购法实施条例》第十八条第一款情形的，其响应文件将被视为无效文件。</w:t>
      </w:r>
    </w:p>
    <w:p w14:paraId="681C0282">
      <w:pPr>
        <w:spacing w:line="380" w:lineRule="exact"/>
        <w:ind w:firstLine="315" w:firstLineChars="150"/>
        <w:rPr>
          <w:rFonts w:hint="eastAsia" w:ascii="宋体" w:hAnsi="宋体" w:cs="Arial"/>
          <w:color w:val="auto"/>
          <w:kern w:val="0"/>
          <w:szCs w:val="21"/>
          <w:highlight w:val="none"/>
        </w:rPr>
      </w:pPr>
      <w:r>
        <w:rPr>
          <w:rFonts w:hint="eastAsia" w:ascii="宋体" w:hAnsi="宋体" w:cs="Arial"/>
          <w:color w:val="auto"/>
          <w:kern w:val="0"/>
          <w:szCs w:val="21"/>
          <w:highlight w:val="none"/>
        </w:rPr>
        <w:t>审查流程</w:t>
      </w:r>
    </w:p>
    <w:p w14:paraId="046F803A">
      <w:pPr>
        <w:spacing w:line="380" w:lineRule="exact"/>
        <w:ind w:firstLine="315" w:firstLineChars="150"/>
        <w:rPr>
          <w:rFonts w:hint="eastAsia" w:ascii="宋体" w:hAnsi="宋体" w:cs="Arial"/>
          <w:color w:val="auto"/>
          <w:kern w:val="0"/>
          <w:szCs w:val="21"/>
          <w:highlight w:val="none"/>
        </w:rPr>
      </w:pPr>
      <w:r>
        <w:rPr>
          <w:rFonts w:hint="eastAsia" w:ascii="宋体" w:hAnsi="宋体" w:cs="Arial"/>
          <w:color w:val="auto"/>
          <w:kern w:val="0"/>
          <w:szCs w:val="21"/>
          <w:highlight w:val="none"/>
        </w:rPr>
        <w:t>1、进入《国家企业信用信息公示系统》（网址：http://www.gsxt.gov.cn/index.html），输入企业名称，进入企业信息主页面。</w:t>
      </w:r>
    </w:p>
    <w:p w14:paraId="4DE9C3E9">
      <w:pPr>
        <w:spacing w:line="380" w:lineRule="exact"/>
        <w:ind w:firstLine="315" w:firstLineChars="150"/>
        <w:rPr>
          <w:rFonts w:hint="eastAsia" w:ascii="宋体" w:hAnsi="宋体" w:cs="Arial"/>
          <w:color w:val="auto"/>
          <w:kern w:val="0"/>
          <w:szCs w:val="21"/>
          <w:highlight w:val="none"/>
        </w:rPr>
      </w:pPr>
      <w:r>
        <w:rPr>
          <w:rFonts w:hint="eastAsia" w:ascii="宋体" w:hAnsi="宋体" w:cs="Arial"/>
          <w:color w:val="auto"/>
          <w:kern w:val="0"/>
          <w:szCs w:val="21"/>
          <w:highlight w:val="none"/>
        </w:rPr>
        <w:t>2、查看主页 “股东及出资信息”栏，或年报中的“股东及出资信息”栏信息。</w:t>
      </w:r>
    </w:p>
    <w:p w14:paraId="3BA3521D">
      <w:pPr>
        <w:spacing w:line="360" w:lineRule="exact"/>
        <w:ind w:firstLine="315" w:firstLineChars="150"/>
        <w:rPr>
          <w:rFonts w:hint="eastAsia" w:ascii="宋体" w:hAnsi="宋体" w:cs="Arial"/>
          <w:color w:val="auto"/>
          <w:kern w:val="0"/>
          <w:szCs w:val="21"/>
          <w:highlight w:val="none"/>
        </w:rPr>
      </w:pPr>
      <w:r>
        <w:rPr>
          <w:rFonts w:hint="eastAsia" w:ascii="宋体" w:hAnsi="宋体" w:cs="Arial"/>
          <w:color w:val="auto"/>
          <w:kern w:val="0"/>
          <w:szCs w:val="21"/>
          <w:highlight w:val="none"/>
        </w:rPr>
        <w:t>3、将各供应商的股东及出资信息进行比对，如发现存在单位负责人为同一人或者存在直接控股、管理关系的不同供应商参加同一合同项下的政府采购活动，按无效处理。</w:t>
      </w:r>
    </w:p>
    <w:p w14:paraId="1110C552">
      <w:pPr>
        <w:spacing w:line="360" w:lineRule="exact"/>
        <w:ind w:firstLine="315" w:firstLineChars="150"/>
        <w:rPr>
          <w:rFonts w:hint="eastAsia" w:ascii="宋体" w:hAnsi="宋体"/>
          <w:color w:val="auto"/>
          <w:szCs w:val="21"/>
          <w:highlight w:val="none"/>
        </w:rPr>
      </w:pPr>
      <w:r>
        <w:rPr>
          <w:rFonts w:hint="eastAsia" w:ascii="宋体" w:hAnsi="宋体" w:cs="Arial"/>
          <w:color w:val="auto"/>
          <w:kern w:val="0"/>
          <w:szCs w:val="21"/>
          <w:highlight w:val="none"/>
        </w:rPr>
        <w:t>4、将相关资料打印存档。</w:t>
      </w:r>
    </w:p>
    <w:p w14:paraId="5A9A485B">
      <w:pPr>
        <w:spacing w:line="360" w:lineRule="exact"/>
        <w:ind w:firstLine="315" w:firstLineChars="150"/>
        <w:rPr>
          <w:rFonts w:hint="eastAsia" w:ascii="宋体" w:hAnsi="宋体"/>
          <w:color w:val="auto"/>
          <w:szCs w:val="21"/>
          <w:highlight w:val="none"/>
        </w:rPr>
      </w:pPr>
      <w:r>
        <w:rPr>
          <w:rFonts w:hint="eastAsia" w:ascii="宋体" w:hAnsi="宋体"/>
          <w:color w:val="auto"/>
          <w:szCs w:val="21"/>
          <w:highlight w:val="none"/>
        </w:rPr>
        <w:t>再对通过资格性审查的供应商响应文件的有效性、完整性和对谈判文件的响应程度进行符合性审查，以确定是否对谈判文件的实质性要求做出响应。</w:t>
      </w:r>
    </w:p>
    <w:p w14:paraId="51975A04">
      <w:pPr>
        <w:spacing w:line="380" w:lineRule="exact"/>
        <w:ind w:firstLine="420" w:firstLineChars="200"/>
        <w:rPr>
          <w:rFonts w:hint="eastAsia" w:ascii="宋体" w:hAnsi="宋体" w:cs="宋体"/>
          <w:color w:val="auto"/>
          <w:szCs w:val="21"/>
          <w:highlight w:val="none"/>
        </w:rPr>
      </w:pPr>
      <w:r>
        <w:rPr>
          <w:rFonts w:hint="eastAsia" w:ascii="宋体" w:hAnsi="宋体" w:cs="Arial"/>
          <w:color w:val="auto"/>
          <w:kern w:val="0"/>
          <w:szCs w:val="21"/>
          <w:highlight w:val="none"/>
        </w:rPr>
        <w:t>21.4谈判小组在对响应文件的资格性和符合性进行审查时，如发现供应商提供的证明文件不齐全或不符合规定形式的，应一次性告之供应商。</w:t>
      </w:r>
    </w:p>
    <w:p w14:paraId="3564B050">
      <w:pPr>
        <w:spacing w:line="360" w:lineRule="exact"/>
        <w:ind w:firstLine="420" w:firstLineChars="200"/>
        <w:rPr>
          <w:rFonts w:hint="eastAsia" w:ascii="宋体" w:hAnsi="宋体" w:cs="Arial"/>
          <w:color w:val="auto"/>
          <w:kern w:val="0"/>
          <w:szCs w:val="21"/>
          <w:highlight w:val="none"/>
        </w:rPr>
      </w:pPr>
      <w:r>
        <w:rPr>
          <w:rFonts w:hint="eastAsia" w:ascii="宋体" w:hAnsi="宋体" w:cs="Arial"/>
          <w:color w:val="auto"/>
          <w:kern w:val="0"/>
          <w:szCs w:val="21"/>
          <w:highlight w:val="none"/>
        </w:rPr>
        <w:t>21.5谈判小组</w:t>
      </w:r>
      <w:r>
        <w:rPr>
          <w:rFonts w:ascii="宋体" w:hAnsi="宋体" w:cs="Arial"/>
          <w:color w:val="auto"/>
          <w:kern w:val="0"/>
          <w:szCs w:val="21"/>
          <w:highlight w:val="none"/>
        </w:rPr>
        <w:t>在对响应文件的有效性、完整性和响应程度进行审查时，可以要求供应商对</w:t>
      </w:r>
      <w:r>
        <w:rPr>
          <w:rFonts w:hint="eastAsia" w:ascii="宋体" w:hAnsi="宋体"/>
          <w:color w:val="auto"/>
          <w:szCs w:val="21"/>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ascii="宋体" w:hAnsi="宋体"/>
          <w:color w:val="auto"/>
          <w:szCs w:val="21"/>
          <w:highlight w:val="none"/>
        </w:rPr>
        <w:t>由其法定代表人</w:t>
      </w:r>
      <w:r>
        <w:rPr>
          <w:rFonts w:hint="eastAsia" w:ascii="宋体" w:hAnsi="宋体"/>
          <w:color w:val="auto"/>
          <w:szCs w:val="21"/>
          <w:highlight w:val="none"/>
        </w:rPr>
        <w:t>或负责人或自然人</w:t>
      </w:r>
      <w:r>
        <w:rPr>
          <w:rFonts w:ascii="宋体" w:hAnsi="宋体"/>
          <w:color w:val="auto"/>
          <w:szCs w:val="21"/>
          <w:highlight w:val="none"/>
        </w:rPr>
        <w:t>或</w:t>
      </w:r>
      <w:r>
        <w:rPr>
          <w:rFonts w:hint="eastAsia" w:ascii="宋体" w:hAnsi="宋体"/>
          <w:color w:val="auto"/>
          <w:szCs w:val="21"/>
          <w:highlight w:val="none"/>
        </w:rPr>
        <w:t>相应的</w:t>
      </w:r>
      <w:r>
        <w:rPr>
          <w:rFonts w:ascii="宋体" w:hAnsi="宋体"/>
          <w:color w:val="auto"/>
          <w:szCs w:val="21"/>
          <w:highlight w:val="none"/>
        </w:rPr>
        <w:t>授权</w:t>
      </w:r>
      <w:r>
        <w:rPr>
          <w:rFonts w:hint="eastAsia" w:ascii="宋体" w:hAnsi="宋体"/>
          <w:color w:val="auto"/>
          <w:szCs w:val="21"/>
          <w:highlight w:val="none"/>
        </w:rPr>
        <w:t>委托</w:t>
      </w:r>
      <w:r>
        <w:rPr>
          <w:rFonts w:ascii="宋体" w:hAnsi="宋体"/>
          <w:color w:val="auto"/>
          <w:szCs w:val="21"/>
          <w:highlight w:val="none"/>
        </w:rPr>
        <w:t>代表签字或者加盖</w:t>
      </w:r>
      <w:r>
        <w:rPr>
          <w:rFonts w:hint="eastAsia" w:ascii="宋体" w:hAnsi="宋体"/>
          <w:color w:val="auto"/>
          <w:szCs w:val="21"/>
          <w:highlight w:val="none"/>
        </w:rPr>
        <w:t>供应商</w:t>
      </w:r>
      <w:r>
        <w:rPr>
          <w:rFonts w:ascii="宋体" w:hAnsi="宋体"/>
          <w:color w:val="auto"/>
          <w:szCs w:val="21"/>
          <w:highlight w:val="none"/>
        </w:rPr>
        <w:t>公章</w:t>
      </w:r>
      <w:r>
        <w:rPr>
          <w:rFonts w:hint="eastAsia" w:ascii="宋体" w:hAnsi="宋体"/>
          <w:color w:val="auto"/>
          <w:szCs w:val="21"/>
          <w:highlight w:val="none"/>
        </w:rPr>
        <w:t>（自然人除外）。</w:t>
      </w:r>
    </w:p>
    <w:p w14:paraId="43892DB1">
      <w:pPr>
        <w:spacing w:line="360" w:lineRule="exact"/>
        <w:ind w:firstLine="420" w:firstLineChars="200"/>
        <w:rPr>
          <w:rFonts w:hint="eastAsia" w:ascii="宋体" w:hAnsi="宋体"/>
          <w:color w:val="auto"/>
          <w:szCs w:val="21"/>
          <w:highlight w:val="none"/>
        </w:rPr>
      </w:pPr>
      <w:r>
        <w:rPr>
          <w:rFonts w:ascii="宋体" w:hAnsi="宋体"/>
          <w:color w:val="auto"/>
          <w:szCs w:val="21"/>
          <w:highlight w:val="none"/>
        </w:rPr>
        <w:t>根据谈判文件规定的程序、评定成交的标准等事</w:t>
      </w:r>
      <w:r>
        <w:rPr>
          <w:rFonts w:hint="eastAsia" w:ascii="宋体" w:hAnsi="宋体"/>
          <w:color w:val="auto"/>
          <w:szCs w:val="21"/>
          <w:highlight w:val="none"/>
        </w:rPr>
        <w:t>项</w:t>
      </w:r>
      <w:r>
        <w:rPr>
          <w:rFonts w:ascii="宋体" w:hAnsi="宋体"/>
          <w:color w:val="auto"/>
          <w:szCs w:val="21"/>
          <w:highlight w:val="none"/>
        </w:rPr>
        <w:t>与实质性响应</w:t>
      </w:r>
      <w:r>
        <w:rPr>
          <w:rFonts w:hint="eastAsia" w:ascii="宋体" w:hAnsi="宋体"/>
          <w:color w:val="auto"/>
          <w:szCs w:val="21"/>
          <w:highlight w:val="none"/>
        </w:rPr>
        <w:t>竞争性</w:t>
      </w:r>
      <w:r>
        <w:rPr>
          <w:rFonts w:ascii="宋体" w:hAnsi="宋体"/>
          <w:color w:val="auto"/>
          <w:szCs w:val="21"/>
          <w:highlight w:val="none"/>
        </w:rPr>
        <w:t>谈判文件要求的</w:t>
      </w:r>
      <w:r>
        <w:rPr>
          <w:rFonts w:hint="eastAsia" w:ascii="宋体" w:hAnsi="宋体"/>
          <w:color w:val="auto"/>
          <w:szCs w:val="21"/>
          <w:highlight w:val="none"/>
        </w:rPr>
        <w:t>供应商</w:t>
      </w:r>
      <w:r>
        <w:rPr>
          <w:rFonts w:ascii="宋体" w:hAnsi="宋体"/>
          <w:color w:val="auto"/>
          <w:szCs w:val="21"/>
          <w:highlight w:val="none"/>
        </w:rPr>
        <w:t>进行谈判。未实质性响应谈判文件的</w:t>
      </w:r>
      <w:r>
        <w:rPr>
          <w:rFonts w:hint="eastAsia" w:ascii="宋体" w:hAnsi="宋体"/>
          <w:color w:val="auto"/>
          <w:szCs w:val="21"/>
          <w:highlight w:val="none"/>
        </w:rPr>
        <w:t>响应文件</w:t>
      </w:r>
      <w:r>
        <w:rPr>
          <w:rFonts w:ascii="宋体" w:hAnsi="宋体"/>
          <w:color w:val="auto"/>
          <w:szCs w:val="21"/>
          <w:highlight w:val="none"/>
        </w:rPr>
        <w:t>按无效处理，谈判小组应当告知有关</w:t>
      </w:r>
      <w:r>
        <w:rPr>
          <w:rFonts w:hint="eastAsia" w:ascii="宋体" w:hAnsi="宋体"/>
          <w:color w:val="auto"/>
          <w:szCs w:val="21"/>
          <w:highlight w:val="none"/>
        </w:rPr>
        <w:t>供应商</w:t>
      </w:r>
      <w:r>
        <w:rPr>
          <w:rFonts w:ascii="宋体" w:hAnsi="宋体"/>
          <w:color w:val="auto"/>
          <w:szCs w:val="21"/>
          <w:highlight w:val="none"/>
        </w:rPr>
        <w:t>。</w:t>
      </w:r>
    </w:p>
    <w:p w14:paraId="6628A7D5">
      <w:pPr>
        <w:spacing w:line="360" w:lineRule="exact"/>
        <w:ind w:firstLine="420" w:firstLineChars="200"/>
        <w:rPr>
          <w:rFonts w:hint="eastAsia" w:ascii="宋体" w:hAnsi="宋体"/>
          <w:color w:val="auto"/>
          <w:szCs w:val="21"/>
          <w:highlight w:val="none"/>
        </w:rPr>
      </w:pPr>
      <w:r>
        <w:rPr>
          <w:rFonts w:hint="eastAsia" w:ascii="宋体" w:hAnsi="宋体" w:cs="宋体"/>
          <w:color w:val="auto"/>
          <w:kern w:val="0"/>
          <w:szCs w:val="21"/>
          <w:highlight w:val="none"/>
        </w:rPr>
        <w:t>谈判小组</w:t>
      </w:r>
      <w:r>
        <w:rPr>
          <w:rFonts w:ascii="宋体" w:hAnsi="宋体"/>
          <w:color w:val="auto"/>
          <w:szCs w:val="21"/>
          <w:highlight w:val="none"/>
        </w:rPr>
        <w:t>所有成员应当</w:t>
      </w:r>
      <w:r>
        <w:rPr>
          <w:rFonts w:hint="eastAsia" w:ascii="宋体" w:hAnsi="宋体" w:cs="宋体"/>
          <w:color w:val="auto"/>
          <w:kern w:val="0"/>
          <w:szCs w:val="21"/>
          <w:highlight w:val="none"/>
        </w:rPr>
        <w:t>按已确定的</w:t>
      </w:r>
      <w:r>
        <w:rPr>
          <w:rFonts w:hint="eastAsia" w:ascii="宋体" w:hAnsi="宋体"/>
          <w:color w:val="auto"/>
          <w:szCs w:val="21"/>
          <w:highlight w:val="none"/>
        </w:rPr>
        <w:t>谈判顺序集中</w:t>
      </w:r>
      <w:r>
        <w:rPr>
          <w:rFonts w:ascii="宋体" w:hAnsi="宋体"/>
          <w:color w:val="auto"/>
          <w:szCs w:val="21"/>
          <w:highlight w:val="none"/>
        </w:rPr>
        <w:t>与</w:t>
      </w:r>
      <w:r>
        <w:rPr>
          <w:rFonts w:hint="eastAsia" w:ascii="宋体" w:hAnsi="宋体"/>
          <w:color w:val="auto"/>
          <w:szCs w:val="21"/>
          <w:highlight w:val="none"/>
        </w:rPr>
        <w:t>供应商</w:t>
      </w:r>
      <w:r>
        <w:rPr>
          <w:rFonts w:ascii="宋体" w:hAnsi="宋体"/>
          <w:color w:val="auto"/>
          <w:szCs w:val="21"/>
          <w:highlight w:val="none"/>
        </w:rPr>
        <w:t>分别</w:t>
      </w:r>
      <w:r>
        <w:rPr>
          <w:rFonts w:hint="eastAsia" w:ascii="宋体" w:hAnsi="宋体"/>
          <w:color w:val="auto"/>
          <w:szCs w:val="21"/>
          <w:highlight w:val="none"/>
          <w:lang w:val="en-US" w:eastAsia="zh-CN"/>
        </w:rPr>
        <w:t>线上</w:t>
      </w:r>
      <w:r>
        <w:rPr>
          <w:rFonts w:ascii="宋体" w:hAnsi="宋体"/>
          <w:color w:val="auto"/>
          <w:szCs w:val="21"/>
          <w:highlight w:val="none"/>
        </w:rPr>
        <w:t>进行谈判，并给予所有实质性响应</w:t>
      </w:r>
      <w:r>
        <w:rPr>
          <w:rFonts w:hint="eastAsia" w:ascii="宋体" w:hAnsi="宋体"/>
          <w:color w:val="auto"/>
          <w:szCs w:val="21"/>
          <w:highlight w:val="none"/>
        </w:rPr>
        <w:t>竞争性</w:t>
      </w:r>
      <w:r>
        <w:rPr>
          <w:rFonts w:ascii="宋体" w:hAnsi="宋体"/>
          <w:color w:val="auto"/>
          <w:szCs w:val="21"/>
          <w:highlight w:val="none"/>
        </w:rPr>
        <w:t>谈判文件要求的</w:t>
      </w:r>
      <w:r>
        <w:rPr>
          <w:rFonts w:hint="eastAsia" w:ascii="宋体" w:hAnsi="宋体"/>
          <w:color w:val="auto"/>
          <w:szCs w:val="21"/>
          <w:highlight w:val="none"/>
        </w:rPr>
        <w:t>供应商</w:t>
      </w:r>
      <w:r>
        <w:rPr>
          <w:rFonts w:ascii="宋体" w:hAnsi="宋体"/>
          <w:color w:val="auto"/>
          <w:szCs w:val="21"/>
          <w:highlight w:val="none"/>
        </w:rPr>
        <w:t>平等的谈判机会。</w:t>
      </w:r>
    </w:p>
    <w:p w14:paraId="0A2F0ACF">
      <w:pPr>
        <w:spacing w:line="360" w:lineRule="exact"/>
        <w:ind w:firstLine="420" w:firstLineChars="200"/>
        <w:rPr>
          <w:rFonts w:hint="eastAsia" w:ascii="宋体" w:hAnsi="宋体"/>
          <w:color w:val="auto"/>
          <w:szCs w:val="21"/>
          <w:highlight w:val="none"/>
        </w:rPr>
      </w:pPr>
      <w:r>
        <w:rPr>
          <w:rFonts w:hint="eastAsia" w:ascii="宋体" w:hAnsi="宋体"/>
          <w:color w:val="auto"/>
          <w:szCs w:val="21"/>
          <w:highlight w:val="none"/>
        </w:rPr>
        <w:t>谈判</w:t>
      </w:r>
      <w:r>
        <w:rPr>
          <w:rFonts w:hint="eastAsia" w:ascii="宋体" w:hAnsi="宋体"/>
          <w:color w:val="auto"/>
          <w:szCs w:val="21"/>
          <w:highlight w:val="none"/>
          <w:lang w:val="en-US" w:eastAsia="zh-CN"/>
        </w:rPr>
        <w:t>过程中及评审结束</w:t>
      </w:r>
      <w:r>
        <w:rPr>
          <w:rFonts w:hint="eastAsia" w:ascii="宋体" w:hAnsi="宋体"/>
          <w:color w:val="auto"/>
          <w:szCs w:val="21"/>
          <w:highlight w:val="none"/>
        </w:rPr>
        <w:t>，谈判小组不得透露与谈判有关的其他供应商的技术资料、价格和其他信息。</w:t>
      </w:r>
    </w:p>
    <w:p w14:paraId="312770FD">
      <w:pPr>
        <w:widowControl/>
        <w:tabs>
          <w:tab w:val="left" w:pos="540"/>
        </w:tabs>
        <w:spacing w:line="36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rPr>
        <w:t>采购代理机构对谈判过程和重要谈判内容进行记录，</w:t>
      </w:r>
      <w:r>
        <w:rPr>
          <w:rFonts w:hint="eastAsia" w:ascii="宋体" w:hAnsi="宋体"/>
          <w:color w:val="auto"/>
          <w:szCs w:val="21"/>
          <w:highlight w:val="none"/>
          <w:lang w:val="en-US" w:eastAsia="zh-CN"/>
        </w:rPr>
        <w:t>供应商对</w:t>
      </w:r>
      <w:r>
        <w:rPr>
          <w:rFonts w:hint="eastAsia" w:ascii="宋体" w:hAnsi="宋体"/>
          <w:color w:val="auto"/>
          <w:szCs w:val="21"/>
          <w:highlight w:val="none"/>
        </w:rPr>
        <w:t>谈判</w:t>
      </w:r>
      <w:r>
        <w:rPr>
          <w:rFonts w:hint="eastAsia" w:ascii="宋体" w:hAnsi="宋体"/>
          <w:color w:val="auto"/>
          <w:szCs w:val="21"/>
          <w:highlight w:val="none"/>
          <w:lang w:val="en-US" w:eastAsia="zh-CN"/>
        </w:rPr>
        <w:t>内容进行</w:t>
      </w:r>
      <w:r>
        <w:rPr>
          <w:rFonts w:hint="eastAsia" w:ascii="宋体" w:hAnsi="宋体"/>
          <w:color w:val="auto"/>
          <w:szCs w:val="21"/>
          <w:highlight w:val="none"/>
        </w:rPr>
        <w:t>确认</w:t>
      </w:r>
      <w:r>
        <w:rPr>
          <w:rFonts w:hint="eastAsia" w:ascii="宋体" w:hAnsi="宋体"/>
          <w:color w:val="auto"/>
          <w:szCs w:val="21"/>
          <w:highlight w:val="none"/>
          <w:lang w:eastAsia="zh-CN"/>
        </w:rPr>
        <w:t>，</w:t>
      </w:r>
      <w:r>
        <w:rPr>
          <w:rFonts w:hint="eastAsia" w:ascii="宋体" w:hAnsi="宋体"/>
          <w:color w:val="auto"/>
          <w:szCs w:val="21"/>
          <w:highlight w:val="none"/>
        </w:rPr>
        <w:t>采购代理机构</w:t>
      </w:r>
      <w:r>
        <w:rPr>
          <w:rFonts w:hint="eastAsia" w:ascii="宋体" w:hAnsi="宋体"/>
          <w:color w:val="auto"/>
          <w:szCs w:val="21"/>
          <w:highlight w:val="none"/>
          <w:lang w:val="en-US" w:eastAsia="zh-CN"/>
        </w:rPr>
        <w:t>对谈判的实质性内容（包含</w:t>
      </w:r>
      <w:r>
        <w:rPr>
          <w:rFonts w:hint="eastAsia" w:ascii="宋体" w:hAnsi="宋体"/>
          <w:color w:val="auto"/>
          <w:szCs w:val="21"/>
          <w:highlight w:val="none"/>
        </w:rPr>
        <w:t>供应商的技术资料、</w:t>
      </w:r>
      <w:r>
        <w:rPr>
          <w:rFonts w:hint="eastAsia" w:ascii="宋体" w:hAnsi="宋体"/>
          <w:color w:val="auto"/>
          <w:szCs w:val="21"/>
          <w:highlight w:val="none"/>
          <w:lang w:val="en-US" w:eastAsia="zh-CN"/>
        </w:rPr>
        <w:t>优惠条件、最终</w:t>
      </w:r>
      <w:r>
        <w:rPr>
          <w:rFonts w:hint="eastAsia" w:ascii="宋体" w:hAnsi="宋体"/>
          <w:color w:val="auto"/>
          <w:szCs w:val="21"/>
          <w:highlight w:val="none"/>
        </w:rPr>
        <w:t>价格</w:t>
      </w:r>
      <w:r>
        <w:rPr>
          <w:rFonts w:hint="eastAsia" w:ascii="宋体" w:hAnsi="宋体"/>
          <w:color w:val="auto"/>
          <w:szCs w:val="21"/>
          <w:highlight w:val="none"/>
          <w:lang w:val="en-US" w:eastAsia="zh-CN"/>
        </w:rPr>
        <w:t>等）不得泄露。</w:t>
      </w:r>
    </w:p>
    <w:p w14:paraId="4D655D49">
      <w:pPr>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21.6</w:t>
      </w:r>
      <w:r>
        <w:rPr>
          <w:rFonts w:ascii="宋体" w:hAnsi="宋体"/>
          <w:color w:val="auto"/>
          <w:szCs w:val="21"/>
          <w:highlight w:val="none"/>
        </w:rPr>
        <w:t>在谈判过程中，谈判小组可以根据谈判文件和谈判情况实质性变动</w:t>
      </w:r>
      <w:r>
        <w:rPr>
          <w:rFonts w:hint="eastAsia" w:ascii="宋体" w:hAnsi="宋体"/>
          <w:color w:val="auto"/>
          <w:szCs w:val="21"/>
          <w:highlight w:val="none"/>
        </w:rPr>
        <w:t>项目</w:t>
      </w:r>
      <w:r>
        <w:rPr>
          <w:rFonts w:ascii="宋体" w:hAnsi="宋体"/>
          <w:color w:val="auto"/>
          <w:szCs w:val="21"/>
          <w:highlight w:val="none"/>
        </w:rPr>
        <w:t>需求中的技术、服务要求以及合同草案条款，但不得变动谈判文件中的其他内容。实质性变动的内容，须经采购人代表确认。</w:t>
      </w:r>
    </w:p>
    <w:p w14:paraId="5109A336">
      <w:pPr>
        <w:spacing w:line="360" w:lineRule="exact"/>
        <w:ind w:firstLine="420" w:firstLineChars="200"/>
        <w:rPr>
          <w:rFonts w:ascii="宋体" w:hAnsi="宋体"/>
          <w:color w:val="auto"/>
          <w:szCs w:val="21"/>
          <w:highlight w:val="none"/>
        </w:rPr>
      </w:pPr>
      <w:r>
        <w:rPr>
          <w:rFonts w:ascii="宋体" w:hAnsi="宋体"/>
          <w:color w:val="auto"/>
          <w:szCs w:val="21"/>
          <w:highlight w:val="none"/>
        </w:rPr>
        <w:t>对谈判文件作出的实质性变动是谈判文件的有效组成部分，谈判小组应当及时以书面形式同时通知所有参加谈判的</w:t>
      </w:r>
      <w:r>
        <w:rPr>
          <w:rFonts w:hint="eastAsia" w:ascii="宋体" w:hAnsi="宋体"/>
          <w:color w:val="auto"/>
          <w:szCs w:val="21"/>
          <w:highlight w:val="none"/>
        </w:rPr>
        <w:t>供应商</w:t>
      </w:r>
      <w:r>
        <w:rPr>
          <w:rFonts w:ascii="宋体" w:hAnsi="宋体"/>
          <w:color w:val="auto"/>
          <w:szCs w:val="21"/>
          <w:highlight w:val="none"/>
        </w:rPr>
        <w:t>。</w:t>
      </w:r>
    </w:p>
    <w:p w14:paraId="2DFA55AA">
      <w:pPr>
        <w:widowControl/>
        <w:spacing w:line="36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21.7</w:t>
      </w:r>
      <w:r>
        <w:rPr>
          <w:rFonts w:ascii="宋体" w:hAnsi="宋体"/>
          <w:color w:val="auto"/>
          <w:kern w:val="0"/>
          <w:szCs w:val="21"/>
          <w:highlight w:val="none"/>
        </w:rPr>
        <w:t>在采购过程中符合竞争要求的供应商或者报价未超过采购预算的供应商不足3家的</w:t>
      </w:r>
      <w:r>
        <w:rPr>
          <w:rFonts w:hint="eastAsia" w:ascii="宋体" w:hAnsi="宋体"/>
          <w:color w:val="auto"/>
          <w:kern w:val="0"/>
          <w:szCs w:val="21"/>
          <w:highlight w:val="none"/>
        </w:rPr>
        <w:t>，采购人或者采购代理机构应当终止竞争性谈判采购活动。</w:t>
      </w:r>
    </w:p>
    <w:p w14:paraId="17ADD93B">
      <w:pPr>
        <w:widowControl/>
        <w:spacing w:line="36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21.8最后报价</w:t>
      </w:r>
    </w:p>
    <w:p w14:paraId="13C5A277">
      <w:pPr>
        <w:spacing w:line="360" w:lineRule="exact"/>
        <w:ind w:firstLine="420" w:firstLineChars="200"/>
        <w:rPr>
          <w:rFonts w:ascii="宋体" w:hAnsi="宋体"/>
          <w:color w:val="auto"/>
          <w:kern w:val="0"/>
          <w:szCs w:val="21"/>
          <w:highlight w:val="none"/>
        </w:rPr>
      </w:pPr>
      <w:r>
        <w:rPr>
          <w:rFonts w:hint="eastAsia" w:ascii="宋体" w:hAnsi="宋体"/>
          <w:color w:val="auto"/>
          <w:kern w:val="0"/>
          <w:szCs w:val="21"/>
          <w:highlight w:val="none"/>
        </w:rPr>
        <w:t>21.8.1</w:t>
      </w:r>
      <w:r>
        <w:rPr>
          <w:rFonts w:ascii="宋体" w:hAnsi="宋体"/>
          <w:color w:val="auto"/>
          <w:kern w:val="0"/>
          <w:szCs w:val="21"/>
          <w:highlight w:val="none"/>
        </w:rPr>
        <w:t>谈判文件能够详细列明采购标的的技术、服务要求的，谈判结束后，谈判小组应当要求所有继续参加谈判的供应商在规定时间内</w:t>
      </w:r>
      <w:r>
        <w:rPr>
          <w:rFonts w:hint="eastAsia" w:ascii="宋体" w:hAnsi="宋体"/>
          <w:color w:val="auto"/>
          <w:kern w:val="0"/>
          <w:szCs w:val="21"/>
          <w:highlight w:val="none"/>
          <w:lang w:val="en-US" w:eastAsia="zh-CN"/>
        </w:rPr>
        <w:t>线上</w:t>
      </w:r>
      <w:r>
        <w:rPr>
          <w:rFonts w:ascii="宋体" w:hAnsi="宋体"/>
          <w:color w:val="auto"/>
          <w:kern w:val="0"/>
          <w:szCs w:val="21"/>
          <w:highlight w:val="none"/>
        </w:rPr>
        <w:t>提交最后报价，提交最后报价的供应商不得少于3家。</w:t>
      </w:r>
    </w:p>
    <w:p w14:paraId="0E68FDCD">
      <w:pPr>
        <w:spacing w:line="360" w:lineRule="exact"/>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21.8.2</w:t>
      </w:r>
      <w:r>
        <w:rPr>
          <w:rFonts w:ascii="宋体" w:hAnsi="宋体"/>
          <w:color w:val="auto"/>
          <w:kern w:val="0"/>
          <w:szCs w:val="21"/>
          <w:highlight w:val="none"/>
        </w:rPr>
        <w:t>谈判文件不能详细列明采购标的的技术、服务要求</w:t>
      </w:r>
      <w:r>
        <w:rPr>
          <w:rFonts w:hint="eastAsia" w:ascii="宋体" w:hAnsi="宋体"/>
          <w:color w:val="auto"/>
          <w:kern w:val="0"/>
          <w:szCs w:val="21"/>
          <w:highlight w:val="none"/>
        </w:rPr>
        <w:t>的</w:t>
      </w:r>
      <w:r>
        <w:rPr>
          <w:rFonts w:ascii="宋体" w:hAnsi="宋体"/>
          <w:color w:val="auto"/>
          <w:kern w:val="0"/>
          <w:szCs w:val="21"/>
          <w:highlight w:val="none"/>
        </w:rPr>
        <w:t>，需</w:t>
      </w:r>
      <w:r>
        <w:rPr>
          <w:rFonts w:hint="eastAsia" w:ascii="宋体" w:hAnsi="宋体"/>
          <w:color w:val="auto"/>
          <w:kern w:val="0"/>
          <w:szCs w:val="21"/>
          <w:highlight w:val="none"/>
        </w:rPr>
        <w:t>由</w:t>
      </w:r>
      <w:r>
        <w:rPr>
          <w:rFonts w:ascii="宋体" w:hAnsi="宋体"/>
          <w:color w:val="auto"/>
          <w:kern w:val="0"/>
          <w:szCs w:val="21"/>
          <w:highlight w:val="none"/>
        </w:rPr>
        <w:t>谈判供应商提供最终设计方案或解决方案的，谈判结束后，谈判小组应当按照少数服从多数的原则投票推荐3家以上</w:t>
      </w:r>
      <w:r>
        <w:rPr>
          <w:rFonts w:hint="eastAsia" w:ascii="宋体" w:hAnsi="宋体"/>
          <w:color w:val="auto"/>
          <w:kern w:val="0"/>
          <w:szCs w:val="21"/>
          <w:highlight w:val="none"/>
        </w:rPr>
        <w:t>（含3家）</w:t>
      </w:r>
      <w:r>
        <w:rPr>
          <w:rFonts w:ascii="宋体" w:hAnsi="宋体"/>
          <w:color w:val="auto"/>
          <w:kern w:val="0"/>
          <w:szCs w:val="21"/>
          <w:highlight w:val="none"/>
        </w:rPr>
        <w:t>供应商的设计方案或者解决方案，并要求其在规定时间内</w:t>
      </w:r>
      <w:r>
        <w:rPr>
          <w:rFonts w:hint="eastAsia" w:ascii="宋体" w:hAnsi="宋体"/>
          <w:color w:val="auto"/>
          <w:kern w:val="0"/>
          <w:szCs w:val="21"/>
          <w:highlight w:val="none"/>
          <w:lang w:val="en-US" w:eastAsia="zh-CN"/>
        </w:rPr>
        <w:t>线上</w:t>
      </w:r>
      <w:r>
        <w:rPr>
          <w:rFonts w:ascii="宋体" w:hAnsi="宋体"/>
          <w:color w:val="auto"/>
          <w:kern w:val="0"/>
          <w:szCs w:val="21"/>
          <w:highlight w:val="none"/>
        </w:rPr>
        <w:t>提交最后报价</w:t>
      </w:r>
      <w:r>
        <w:rPr>
          <w:rFonts w:hint="eastAsia" w:ascii="宋体" w:hAnsi="宋体"/>
          <w:color w:val="auto"/>
          <w:kern w:val="0"/>
          <w:szCs w:val="21"/>
          <w:highlight w:val="none"/>
        </w:rPr>
        <w:t>。</w:t>
      </w:r>
    </w:p>
    <w:p w14:paraId="27824357">
      <w:pPr>
        <w:spacing w:line="360" w:lineRule="exact"/>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21.8.3</w:t>
      </w:r>
      <w:r>
        <w:rPr>
          <w:rFonts w:ascii="宋体" w:hAnsi="宋体"/>
          <w:color w:val="auto"/>
          <w:kern w:val="0"/>
          <w:szCs w:val="21"/>
          <w:highlight w:val="none"/>
        </w:rPr>
        <w:t>最后报价是供应商</w:t>
      </w:r>
      <w:r>
        <w:rPr>
          <w:rFonts w:hint="eastAsia" w:ascii="宋体" w:hAnsi="宋体"/>
          <w:color w:val="auto"/>
          <w:kern w:val="0"/>
          <w:szCs w:val="21"/>
          <w:highlight w:val="none"/>
        </w:rPr>
        <w:t>响应文件</w:t>
      </w:r>
      <w:r>
        <w:rPr>
          <w:rFonts w:ascii="宋体" w:hAnsi="宋体"/>
          <w:color w:val="auto"/>
          <w:kern w:val="0"/>
          <w:szCs w:val="21"/>
          <w:highlight w:val="none"/>
        </w:rPr>
        <w:t>的有效组成部分。</w:t>
      </w:r>
    </w:p>
    <w:p w14:paraId="510D3D6A">
      <w:pPr>
        <w:tabs>
          <w:tab w:val="left" w:pos="1305"/>
        </w:tabs>
        <w:spacing w:line="360" w:lineRule="exact"/>
        <w:ind w:firstLine="420" w:firstLineChars="200"/>
        <w:rPr>
          <w:rFonts w:ascii="宋体" w:hAnsi="宋体"/>
          <w:color w:val="auto"/>
          <w:szCs w:val="21"/>
          <w:highlight w:val="none"/>
        </w:rPr>
      </w:pPr>
      <w:r>
        <w:rPr>
          <w:rFonts w:hint="eastAsia" w:ascii="宋体" w:hAnsi="宋体"/>
          <w:color w:val="auto"/>
          <w:szCs w:val="21"/>
          <w:highlight w:val="none"/>
        </w:rPr>
        <w:t>21.8.4最后报价中谈判报价的大写金额和小写金额不一致的，以大写金额为准；总价金额与按单价汇总金额不一致的，以单价金额计算结果为准；单价金额小数点明显错位的，应以总价为准，并修改单价；对不同文字文本响应文件的解释发生异议的，以中文文本为准。</w:t>
      </w:r>
    </w:p>
    <w:p w14:paraId="337698F1">
      <w:pPr>
        <w:tabs>
          <w:tab w:val="left" w:pos="1305"/>
        </w:tabs>
        <w:spacing w:line="36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按上述勘误修正原则及方法调整或修正响应文件的谈判报价，供应商需签字确认。</w:t>
      </w:r>
    </w:p>
    <w:p w14:paraId="74F9B576">
      <w:pPr>
        <w:spacing w:line="360" w:lineRule="exact"/>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21.9</w:t>
      </w:r>
      <w:r>
        <w:rPr>
          <w:rFonts w:ascii="宋体" w:hAnsi="宋体"/>
          <w:color w:val="auto"/>
          <w:kern w:val="0"/>
          <w:szCs w:val="21"/>
          <w:highlight w:val="none"/>
        </w:rPr>
        <w:t>已提交响应文件的供应商，在</w:t>
      </w:r>
      <w:r>
        <w:rPr>
          <w:rFonts w:hint="eastAsia" w:ascii="宋体" w:hAnsi="宋体"/>
          <w:color w:val="auto"/>
          <w:kern w:val="0"/>
          <w:szCs w:val="21"/>
          <w:highlight w:val="none"/>
          <w:lang w:val="en-US" w:eastAsia="zh-CN"/>
        </w:rPr>
        <w:t>线上</w:t>
      </w:r>
      <w:r>
        <w:rPr>
          <w:rFonts w:ascii="宋体" w:hAnsi="宋体"/>
          <w:color w:val="auto"/>
          <w:kern w:val="0"/>
          <w:szCs w:val="21"/>
          <w:highlight w:val="none"/>
        </w:rPr>
        <w:t>提交最后报价之前，可以根据谈判情况</w:t>
      </w:r>
      <w:r>
        <w:rPr>
          <w:rFonts w:hint="eastAsia" w:ascii="宋体" w:hAnsi="宋体"/>
          <w:color w:val="auto"/>
          <w:kern w:val="0"/>
          <w:szCs w:val="21"/>
          <w:highlight w:val="none"/>
        </w:rPr>
        <w:t>书面</w:t>
      </w:r>
      <w:r>
        <w:rPr>
          <w:rFonts w:ascii="宋体" w:hAnsi="宋体"/>
          <w:color w:val="auto"/>
          <w:kern w:val="0"/>
          <w:szCs w:val="21"/>
          <w:highlight w:val="none"/>
        </w:rPr>
        <w:t>退出谈判</w:t>
      </w:r>
      <w:r>
        <w:rPr>
          <w:rFonts w:hint="eastAsia" w:ascii="宋体" w:hAnsi="宋体"/>
          <w:color w:val="auto"/>
          <w:kern w:val="0"/>
          <w:szCs w:val="21"/>
          <w:highlight w:val="none"/>
        </w:rPr>
        <w:t>。</w:t>
      </w:r>
    </w:p>
    <w:p w14:paraId="49646BB7">
      <w:pPr>
        <w:spacing w:line="360" w:lineRule="exact"/>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未</w:t>
      </w:r>
      <w:r>
        <w:rPr>
          <w:rFonts w:hint="eastAsia" w:ascii="宋体" w:hAnsi="宋体"/>
          <w:color w:val="auto"/>
          <w:kern w:val="0"/>
          <w:szCs w:val="21"/>
          <w:highlight w:val="none"/>
          <w:lang w:val="en-US" w:eastAsia="zh-CN"/>
        </w:rPr>
        <w:t>线上</w:t>
      </w:r>
      <w:r>
        <w:rPr>
          <w:rFonts w:hint="eastAsia" w:ascii="宋体" w:hAnsi="宋体"/>
          <w:color w:val="auto"/>
          <w:kern w:val="0"/>
          <w:szCs w:val="21"/>
          <w:highlight w:val="none"/>
        </w:rPr>
        <w:t>退出谈判的</w:t>
      </w:r>
      <w:r>
        <w:rPr>
          <w:rFonts w:ascii="宋体" w:hAnsi="宋体"/>
          <w:color w:val="auto"/>
          <w:kern w:val="0"/>
          <w:szCs w:val="21"/>
          <w:highlight w:val="none"/>
        </w:rPr>
        <w:t>供应商在规定时间内提交最后报价</w:t>
      </w:r>
      <w:r>
        <w:rPr>
          <w:rFonts w:hint="eastAsia" w:ascii="宋体" w:hAnsi="宋体"/>
          <w:color w:val="auto"/>
          <w:kern w:val="0"/>
          <w:szCs w:val="21"/>
          <w:highlight w:val="none"/>
        </w:rPr>
        <w:t>，其最后报价超出采购预算导致已通过评审的响应文件无效的，按供应商在提交响应文件截止时间后撤回响应文件处理。</w:t>
      </w:r>
    </w:p>
    <w:p w14:paraId="5B3E077B">
      <w:pPr>
        <w:widowControl/>
        <w:tabs>
          <w:tab w:val="left" w:pos="540"/>
        </w:tabs>
        <w:spacing w:line="36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21.10</w:t>
      </w:r>
      <w:r>
        <w:rPr>
          <w:rFonts w:ascii="宋体" w:hAnsi="宋体"/>
          <w:color w:val="auto"/>
          <w:kern w:val="0"/>
          <w:szCs w:val="21"/>
          <w:highlight w:val="none"/>
        </w:rPr>
        <w:t>评审报告</w:t>
      </w:r>
    </w:p>
    <w:p w14:paraId="451EE698">
      <w:pPr>
        <w:spacing w:line="360" w:lineRule="exact"/>
        <w:ind w:firstLine="420" w:firstLineChars="200"/>
        <w:rPr>
          <w:rFonts w:hint="eastAsia" w:ascii="宋体" w:hAnsi="宋体"/>
          <w:color w:val="auto"/>
          <w:kern w:val="0"/>
          <w:sz w:val="24"/>
          <w:highlight w:val="none"/>
        </w:rPr>
      </w:pPr>
      <w:r>
        <w:rPr>
          <w:rFonts w:ascii="宋体" w:hAnsi="宋体"/>
          <w:color w:val="auto"/>
          <w:kern w:val="0"/>
          <w:szCs w:val="21"/>
          <w:highlight w:val="none"/>
        </w:rPr>
        <w:t>谈判小组应当从质量和服务均能满足</w:t>
      </w:r>
      <w:r>
        <w:rPr>
          <w:rFonts w:hint="eastAsia" w:ascii="宋体" w:hAnsi="宋体"/>
          <w:color w:val="auto"/>
          <w:kern w:val="0"/>
          <w:szCs w:val="21"/>
          <w:highlight w:val="none"/>
        </w:rPr>
        <w:t>谈判</w:t>
      </w:r>
      <w:r>
        <w:rPr>
          <w:rFonts w:ascii="宋体" w:hAnsi="宋体"/>
          <w:color w:val="auto"/>
          <w:kern w:val="0"/>
          <w:szCs w:val="21"/>
          <w:highlight w:val="none"/>
        </w:rPr>
        <w:t>文件</w:t>
      </w:r>
      <w:r>
        <w:rPr>
          <w:rFonts w:hint="eastAsia" w:ascii="宋体" w:hAnsi="宋体"/>
          <w:color w:val="auto"/>
          <w:kern w:val="0"/>
          <w:szCs w:val="21"/>
          <w:highlight w:val="none"/>
        </w:rPr>
        <w:t>全部</w:t>
      </w:r>
      <w:r>
        <w:rPr>
          <w:rFonts w:ascii="宋体" w:hAnsi="宋体"/>
          <w:color w:val="auto"/>
          <w:kern w:val="0"/>
          <w:szCs w:val="21"/>
          <w:highlight w:val="none"/>
        </w:rPr>
        <w:t>实质性响应要求的供应商中，按</w:t>
      </w:r>
      <w:r>
        <w:rPr>
          <w:rFonts w:hint="eastAsia" w:ascii="宋体" w:hAnsi="宋体"/>
          <w:color w:val="auto"/>
          <w:kern w:val="0"/>
          <w:szCs w:val="21"/>
          <w:highlight w:val="none"/>
        </w:rPr>
        <w:t>照评审报价（最后报价及享受政府采购政策的优惠扣除）由低到高的顺序</w:t>
      </w:r>
      <w:r>
        <w:rPr>
          <w:rFonts w:ascii="宋体" w:hAnsi="宋体"/>
          <w:color w:val="auto"/>
          <w:kern w:val="0"/>
          <w:szCs w:val="21"/>
          <w:highlight w:val="none"/>
        </w:rPr>
        <w:t>提出3名以上</w:t>
      </w:r>
      <w:r>
        <w:rPr>
          <w:rFonts w:hint="eastAsia" w:ascii="宋体" w:hAnsi="宋体"/>
          <w:color w:val="auto"/>
          <w:kern w:val="0"/>
          <w:szCs w:val="21"/>
          <w:highlight w:val="none"/>
        </w:rPr>
        <w:t>（含3名）</w:t>
      </w:r>
      <w:r>
        <w:rPr>
          <w:rFonts w:ascii="宋体" w:hAnsi="宋体"/>
          <w:color w:val="auto"/>
          <w:kern w:val="0"/>
          <w:szCs w:val="21"/>
          <w:highlight w:val="none"/>
        </w:rPr>
        <w:t>成交候选人，并编写评审报告。</w:t>
      </w:r>
    </w:p>
    <w:p w14:paraId="146739ED">
      <w:pPr>
        <w:spacing w:line="360" w:lineRule="exact"/>
        <w:ind w:firstLine="420" w:firstLineChars="200"/>
        <w:rPr>
          <w:rFonts w:hint="eastAsia" w:ascii="宋体" w:hAnsi="宋体"/>
          <w:color w:val="auto"/>
          <w:szCs w:val="21"/>
          <w:highlight w:val="none"/>
        </w:rPr>
      </w:pPr>
      <w:r>
        <w:rPr>
          <w:rFonts w:hint="eastAsia" w:ascii="宋体" w:hAnsi="宋体"/>
          <w:color w:val="auto"/>
          <w:szCs w:val="21"/>
          <w:highlight w:val="none"/>
        </w:rPr>
        <w:t>21.11在评审过程中出现法律法规和谈判文件均没有明确规定的情形时，由谈判小组现场协商解决，协商不一致的，由全体谈判小组投票表决，以得票率二分之一以上专家的意见为准。</w:t>
      </w:r>
    </w:p>
    <w:p w14:paraId="457B4657">
      <w:pPr>
        <w:spacing w:line="360" w:lineRule="exact"/>
        <w:ind w:firstLine="420" w:firstLineChars="200"/>
        <w:rPr>
          <w:rFonts w:hint="eastAsia" w:ascii="宋体" w:hAnsi="宋体"/>
          <w:color w:val="auto"/>
          <w:szCs w:val="21"/>
          <w:highlight w:val="none"/>
        </w:rPr>
      </w:pPr>
      <w:r>
        <w:rPr>
          <w:rFonts w:hint="eastAsia" w:ascii="宋体" w:hAnsi="宋体"/>
          <w:color w:val="auto"/>
          <w:szCs w:val="21"/>
          <w:highlight w:val="none"/>
        </w:rPr>
        <w:t>21.12采购代理机构发现谈判小组有明显的违规倾向或歧视现象，或不按评审办法进行，或其他不正常行为的，应当及时制止。如制止无效，应及时向</w:t>
      </w:r>
      <w:r>
        <w:rPr>
          <w:rFonts w:hint="eastAsia" w:ascii="宋体" w:hAnsi="宋体"/>
          <w:color w:val="auto"/>
          <w:szCs w:val="21"/>
          <w:highlight w:val="none"/>
          <w:lang w:val="en-US" w:eastAsia="zh-CN"/>
        </w:rPr>
        <w:t>监督部门</w:t>
      </w:r>
      <w:r>
        <w:rPr>
          <w:rFonts w:hint="eastAsia" w:ascii="宋体" w:hAnsi="宋体"/>
          <w:color w:val="auto"/>
          <w:szCs w:val="21"/>
          <w:highlight w:val="none"/>
        </w:rPr>
        <w:t>报告。</w:t>
      </w:r>
    </w:p>
    <w:p w14:paraId="3C360C70">
      <w:pPr>
        <w:pStyle w:val="16"/>
        <w:spacing w:line="360" w:lineRule="exact"/>
        <w:ind w:firstLine="422" w:firstLineChars="200"/>
        <w:rPr>
          <w:rFonts w:hint="eastAsia" w:hAnsi="宋体"/>
          <w:b/>
          <w:bCs/>
          <w:color w:val="auto"/>
          <w:szCs w:val="21"/>
          <w:highlight w:val="none"/>
        </w:rPr>
      </w:pPr>
      <w:r>
        <w:rPr>
          <w:rFonts w:hint="eastAsia" w:hAnsi="宋体"/>
          <w:b/>
          <w:bCs/>
          <w:color w:val="auto"/>
          <w:szCs w:val="21"/>
          <w:highlight w:val="none"/>
        </w:rPr>
        <w:t>22. 确定成交供应商</w:t>
      </w:r>
    </w:p>
    <w:p w14:paraId="54E84E45">
      <w:pPr>
        <w:pStyle w:val="16"/>
        <w:tabs>
          <w:tab w:val="left" w:pos="4214"/>
        </w:tabs>
        <w:spacing w:line="360" w:lineRule="exact"/>
        <w:ind w:firstLine="420" w:firstLineChars="200"/>
        <w:rPr>
          <w:rFonts w:hint="eastAsia" w:hAnsi="宋体"/>
          <w:color w:val="auto"/>
          <w:szCs w:val="21"/>
          <w:highlight w:val="none"/>
        </w:rPr>
      </w:pPr>
      <w:r>
        <w:rPr>
          <w:rFonts w:hint="eastAsia" w:hAnsi="宋体"/>
          <w:color w:val="auto"/>
          <w:szCs w:val="21"/>
          <w:highlight w:val="none"/>
        </w:rPr>
        <w:t>22.1采购单位应当确定谈判小组推荐排名第一的成交候选人为成交供应商。</w:t>
      </w:r>
    </w:p>
    <w:p w14:paraId="013534B3">
      <w:pPr>
        <w:pStyle w:val="16"/>
        <w:spacing w:line="360" w:lineRule="exact"/>
        <w:ind w:firstLine="447" w:firstLineChars="213"/>
        <w:rPr>
          <w:rFonts w:hint="eastAsia" w:hAnsi="宋体"/>
          <w:color w:val="auto"/>
          <w:szCs w:val="21"/>
          <w:highlight w:val="none"/>
        </w:rPr>
      </w:pPr>
      <w:r>
        <w:rPr>
          <w:rFonts w:hint="eastAsia" w:hAnsi="宋体"/>
          <w:color w:val="auto"/>
          <w:szCs w:val="21"/>
          <w:highlight w:val="none"/>
        </w:rPr>
        <w:t>22.2排名第一的成交候选人放弃成交、因不可抗力提出不能履行合同，</w:t>
      </w:r>
      <w:r>
        <w:rPr>
          <w:rFonts w:hint="eastAsia" w:hAnsi="宋体" w:cs="宋体"/>
          <w:color w:val="auto"/>
          <w:kern w:val="0"/>
          <w:szCs w:val="21"/>
          <w:highlight w:val="none"/>
        </w:rPr>
        <w:t>或信用信息记录不符合相关规定的，</w:t>
      </w:r>
      <w:r>
        <w:rPr>
          <w:rFonts w:hint="eastAsia" w:hAnsi="宋体"/>
          <w:color w:val="auto"/>
          <w:szCs w:val="21"/>
          <w:highlight w:val="none"/>
        </w:rPr>
        <w:t>或者谈判文件规定应当提交履约保证金而在规定的期限内未能提交的，采购单位可以确定排名第二的成交候选人为成交供应商</w:t>
      </w:r>
      <w:r>
        <w:rPr>
          <w:rFonts w:hint="eastAsia" w:hAnsi="宋体"/>
          <w:color w:val="auto"/>
          <w:szCs w:val="21"/>
          <w:highlight w:val="none"/>
          <w:lang w:val="en-US" w:eastAsia="zh-CN"/>
        </w:rPr>
        <w:t>或者重新招标</w:t>
      </w:r>
      <w:r>
        <w:rPr>
          <w:rFonts w:hint="eastAsia" w:hAnsi="宋体"/>
          <w:color w:val="auto"/>
          <w:szCs w:val="21"/>
          <w:highlight w:val="none"/>
        </w:rPr>
        <w:t>。</w:t>
      </w:r>
    </w:p>
    <w:p w14:paraId="2CF342E9">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22.3排名第二的成交候选人因前款规定的同样原因不能签订合同的，采购单位可以确定排名第三的成交候选人为成交供应商。</w:t>
      </w:r>
    </w:p>
    <w:p w14:paraId="29D673F4">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22.4成交人信用信息查询：</w:t>
      </w:r>
    </w:p>
    <w:p w14:paraId="33C6E4E9">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根据《关于做好政府采购有关信用主体标识码登记及在政府采购活动中查询使用信用记录有关问题的通知》财</w:t>
      </w:r>
      <w:r>
        <w:rPr>
          <w:rFonts w:hint="eastAsia" w:hAnsi="宋体"/>
          <w:color w:val="auto"/>
          <w:szCs w:val="21"/>
          <w:highlight w:val="none"/>
          <w:lang w:val="en-US" w:eastAsia="zh-CN"/>
        </w:rPr>
        <w:t>库</w:t>
      </w:r>
      <w:r>
        <w:rPr>
          <w:rFonts w:hint="eastAsia" w:hAnsi="宋体"/>
          <w:color w:val="auto"/>
          <w:szCs w:val="21"/>
          <w:highlight w:val="none"/>
        </w:rPr>
        <w:t>〔2016〕</w:t>
      </w:r>
      <w:r>
        <w:rPr>
          <w:rFonts w:hint="eastAsia" w:hAnsi="宋体"/>
          <w:color w:val="auto"/>
          <w:szCs w:val="21"/>
          <w:highlight w:val="none"/>
          <w:lang w:val="en-US" w:eastAsia="zh-CN"/>
        </w:rPr>
        <w:t>125</w:t>
      </w:r>
      <w:r>
        <w:rPr>
          <w:rFonts w:hint="eastAsia" w:hAnsi="宋体"/>
          <w:color w:val="auto"/>
          <w:szCs w:val="21"/>
          <w:highlight w:val="none"/>
        </w:rPr>
        <w:t>号的通知，采购代理机构对成交人的成交资格进行信用查询：</w:t>
      </w:r>
    </w:p>
    <w:p w14:paraId="75A65098">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①查询渠道：“信用中国”网站(www.creditchina.gov.cn)、中国政府采购网(www.ccgp.gov.cn)等；</w:t>
      </w:r>
    </w:p>
    <w:p w14:paraId="3521233C">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②查询截止时点：成交通知书发出前；</w:t>
      </w:r>
    </w:p>
    <w:p w14:paraId="16884B39">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③信用信息查询记录和证据留存方式：在查询网站中直接打印查询记录，打印材料作为采购活动资料保存。</w:t>
      </w:r>
    </w:p>
    <w:p w14:paraId="061483A9">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④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取消其成交候选人资格。采购人依法按照评审报告中谈判小组推荐成交候选人排序表确定排名第二的成交候选人为成交供应商或者重新组织采购。</w:t>
      </w:r>
    </w:p>
    <w:p w14:paraId="6916AA59">
      <w:pPr>
        <w:pStyle w:val="16"/>
        <w:spacing w:line="360" w:lineRule="exact"/>
        <w:ind w:firstLine="420" w:firstLineChars="200"/>
        <w:rPr>
          <w:rFonts w:hint="eastAsia" w:hAnsi="宋体"/>
          <w:color w:val="auto"/>
          <w:szCs w:val="21"/>
          <w:highlight w:val="none"/>
        </w:rPr>
      </w:pPr>
      <w:r>
        <w:rPr>
          <w:rFonts w:hint="eastAsia" w:hAnsi="宋体"/>
          <w:color w:val="auto"/>
          <w:szCs w:val="21"/>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5C63CF7">
      <w:pPr>
        <w:widowControl/>
        <w:shd w:val="clear" w:color="auto" w:fill="FFFFFF"/>
        <w:spacing w:line="360" w:lineRule="exact"/>
        <w:ind w:firstLine="480"/>
        <w:jc w:val="left"/>
        <w:rPr>
          <w:rFonts w:hint="eastAsia" w:ascii="宋体" w:hAnsi="宋体"/>
          <w:b/>
          <w:color w:val="auto"/>
          <w:szCs w:val="21"/>
          <w:highlight w:val="none"/>
        </w:rPr>
      </w:pPr>
      <w:r>
        <w:rPr>
          <w:rFonts w:hint="eastAsia" w:ascii="宋体" w:hAnsi="宋体"/>
          <w:b/>
          <w:bCs/>
          <w:color w:val="auto"/>
          <w:szCs w:val="21"/>
          <w:highlight w:val="none"/>
        </w:rPr>
        <w:t xml:space="preserve">23. </w:t>
      </w:r>
      <w:r>
        <w:rPr>
          <w:rFonts w:hint="eastAsia" w:ascii="宋体" w:hAnsi="宋体"/>
          <w:b/>
          <w:color w:val="auto"/>
          <w:szCs w:val="21"/>
          <w:highlight w:val="none"/>
        </w:rPr>
        <w:t>属于下列情况之一者，响应文件无效：</w:t>
      </w:r>
    </w:p>
    <w:p w14:paraId="1D742406">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（1）未按谈判文件规定完整编制、提交响应文件和未按规定要求签字、盖章的；</w:t>
      </w:r>
    </w:p>
    <w:p w14:paraId="0D933FC9">
      <w:pPr>
        <w:snapToGrid w:val="0"/>
        <w:spacing w:line="360" w:lineRule="exact"/>
        <w:ind w:firstLine="420" w:firstLineChars="200"/>
        <w:outlineLvl w:val="4"/>
        <w:rPr>
          <w:rFonts w:hint="eastAsia" w:ascii="宋体" w:hAnsi="宋体"/>
          <w:color w:val="auto"/>
          <w:szCs w:val="21"/>
          <w:highlight w:val="none"/>
        </w:rPr>
      </w:pPr>
      <w:r>
        <w:rPr>
          <w:rFonts w:hint="eastAsia" w:ascii="宋体" w:hAnsi="宋体"/>
          <w:color w:val="auto"/>
          <w:szCs w:val="21"/>
          <w:highlight w:val="none"/>
        </w:rPr>
        <w:t>（2）不具备谈判文件规定的资格要求的</w:t>
      </w:r>
      <w:r>
        <w:rPr>
          <w:rFonts w:hint="eastAsia" w:ascii="宋体" w:hAnsi="宋体"/>
          <w:color w:val="auto"/>
          <w:highlight w:val="none"/>
        </w:rPr>
        <w:t>；</w:t>
      </w:r>
    </w:p>
    <w:p w14:paraId="5C5AA75C">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（3）响应文件未按谈判文件的内容和要求编制，或提供虚假材料的；</w:t>
      </w:r>
    </w:p>
    <w:p w14:paraId="0C50C2D2">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（4）响应文件</w:t>
      </w:r>
      <w:r>
        <w:rPr>
          <w:rFonts w:hint="eastAsia" w:ascii="宋体" w:hAnsi="宋体"/>
          <w:color w:val="auto"/>
          <w:szCs w:val="21"/>
          <w:highlight w:val="none"/>
          <w:lang w:val="en-US" w:eastAsia="zh-CN"/>
        </w:rPr>
        <w:t>投标</w:t>
      </w:r>
      <w:r>
        <w:rPr>
          <w:rFonts w:hint="eastAsia" w:ascii="宋体" w:hAnsi="宋体"/>
          <w:color w:val="auto"/>
          <w:szCs w:val="21"/>
          <w:highlight w:val="none"/>
        </w:rPr>
        <w:t>有效期、</w:t>
      </w:r>
      <w:r>
        <w:rPr>
          <w:rFonts w:hint="eastAsia" w:ascii="宋体" w:hAnsi="宋体"/>
          <w:color w:val="auto"/>
          <w:szCs w:val="21"/>
          <w:highlight w:val="none"/>
          <w:lang w:val="en-US" w:eastAsia="zh-CN"/>
        </w:rPr>
        <w:t>服务</w:t>
      </w:r>
      <w:r>
        <w:rPr>
          <w:rFonts w:hint="eastAsia" w:ascii="宋体" w:hAnsi="宋体"/>
          <w:color w:val="auto"/>
          <w:szCs w:val="21"/>
          <w:highlight w:val="none"/>
        </w:rPr>
        <w:t>时间、</w:t>
      </w:r>
      <w:r>
        <w:rPr>
          <w:rFonts w:hint="eastAsia" w:ascii="宋体" w:hAnsi="宋体"/>
          <w:color w:val="auto"/>
          <w:szCs w:val="21"/>
          <w:highlight w:val="none"/>
          <w:lang w:val="en-US" w:eastAsia="zh-CN"/>
        </w:rPr>
        <w:t>服务要求</w:t>
      </w:r>
      <w:r>
        <w:rPr>
          <w:rFonts w:hint="eastAsia" w:ascii="宋体" w:hAnsi="宋体"/>
          <w:color w:val="auto"/>
          <w:szCs w:val="21"/>
          <w:highlight w:val="none"/>
        </w:rPr>
        <w:t>、</w:t>
      </w:r>
      <w:r>
        <w:rPr>
          <w:rFonts w:hint="eastAsia" w:ascii="宋体" w:hAnsi="宋体"/>
          <w:color w:val="auto"/>
          <w:szCs w:val="21"/>
          <w:highlight w:val="none"/>
          <w:lang w:val="en-US" w:eastAsia="zh-CN"/>
        </w:rPr>
        <w:t>服务方案、</w:t>
      </w:r>
      <w:r>
        <w:rPr>
          <w:rFonts w:hint="eastAsia" w:ascii="宋体" w:hAnsi="宋体"/>
          <w:color w:val="auto"/>
          <w:szCs w:val="21"/>
          <w:highlight w:val="none"/>
        </w:rPr>
        <w:t>售后服务不能满足谈判文件要求</w:t>
      </w:r>
      <w:r>
        <w:rPr>
          <w:rFonts w:hint="eastAsia" w:ascii="宋体" w:hAnsi="宋体"/>
          <w:color w:val="auto"/>
          <w:szCs w:val="21"/>
          <w:highlight w:val="none"/>
          <w:lang w:val="en-US" w:eastAsia="zh-CN"/>
        </w:rPr>
        <w:t>或未响应</w:t>
      </w:r>
      <w:r>
        <w:rPr>
          <w:rFonts w:hint="eastAsia" w:ascii="宋体" w:hAnsi="宋体"/>
          <w:color w:val="auto"/>
          <w:szCs w:val="21"/>
          <w:highlight w:val="none"/>
        </w:rPr>
        <w:t>的；</w:t>
      </w:r>
    </w:p>
    <w:p w14:paraId="10A29A67">
      <w:pPr>
        <w:snapToGrid w:val="0"/>
        <w:spacing w:line="360" w:lineRule="exact"/>
        <w:ind w:firstLine="420" w:firstLineChars="200"/>
        <w:outlineLvl w:val="4"/>
        <w:rPr>
          <w:rFonts w:hint="default" w:ascii="宋体" w:hAnsi="宋体" w:eastAsia="宋体"/>
          <w:color w:val="auto"/>
          <w:szCs w:val="21"/>
          <w:highlight w:val="none"/>
          <w:lang w:val="en-US" w:eastAsia="zh-CN"/>
        </w:rPr>
      </w:pPr>
      <w:r>
        <w:rPr>
          <w:rFonts w:hint="eastAsia" w:ascii="宋体" w:hAnsi="宋体"/>
          <w:color w:val="auto"/>
          <w:szCs w:val="21"/>
          <w:highlight w:val="none"/>
        </w:rPr>
        <w:t>（5）</w:t>
      </w:r>
      <w:r>
        <w:rPr>
          <w:rFonts w:hint="eastAsia" w:ascii="宋体" w:hAnsi="宋体"/>
          <w:color w:val="auto"/>
          <w:highlight w:val="none"/>
        </w:rPr>
        <w:t>供应商</w:t>
      </w:r>
      <w:r>
        <w:rPr>
          <w:rFonts w:hint="eastAsia" w:ascii="宋体" w:hAnsi="宋体"/>
          <w:color w:val="auto"/>
          <w:szCs w:val="21"/>
          <w:highlight w:val="none"/>
        </w:rPr>
        <w:t>未就“采购需求</w:t>
      </w:r>
      <w:r>
        <w:rPr>
          <w:rFonts w:hint="eastAsia" w:ascii="宋体" w:hAnsi="宋体"/>
          <w:color w:val="auto"/>
          <w:szCs w:val="21"/>
          <w:highlight w:val="none"/>
          <w:lang w:val="en-US" w:eastAsia="zh-CN"/>
        </w:rPr>
        <w:t>表</w:t>
      </w:r>
      <w:r>
        <w:rPr>
          <w:rFonts w:hint="eastAsia" w:ascii="宋体" w:hAnsi="宋体"/>
          <w:color w:val="auto"/>
          <w:szCs w:val="21"/>
          <w:highlight w:val="none"/>
        </w:rPr>
        <w:t>”中所竞所有货物</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服务</w:t>
      </w:r>
      <w:r>
        <w:rPr>
          <w:rFonts w:hint="eastAsia" w:ascii="宋体" w:hAnsi="宋体"/>
          <w:color w:val="auto"/>
          <w:szCs w:val="21"/>
          <w:highlight w:val="none"/>
          <w:lang w:eastAsia="zh-CN"/>
        </w:rPr>
        <w:t>）</w:t>
      </w:r>
      <w:r>
        <w:rPr>
          <w:rFonts w:hint="eastAsia" w:ascii="宋体" w:hAnsi="宋体"/>
          <w:color w:val="auto"/>
          <w:szCs w:val="21"/>
          <w:highlight w:val="none"/>
        </w:rPr>
        <w:t>内容分别作完整唯一报价的</w:t>
      </w:r>
      <w:r>
        <w:rPr>
          <w:rFonts w:hint="eastAsia" w:ascii="宋体" w:hAnsi="宋体"/>
          <w:color w:val="auto"/>
          <w:highlight w:val="none"/>
        </w:rPr>
        <w:t>，或报价超出采购预算总金额的；</w:t>
      </w:r>
      <w:r>
        <w:rPr>
          <w:rFonts w:hint="eastAsia" w:ascii="宋体" w:hAnsi="宋体"/>
          <w:color w:val="auto"/>
          <w:highlight w:val="none"/>
          <w:lang w:val="en-US" w:eastAsia="zh-CN"/>
        </w:rPr>
        <w:t>或未按招要求提供相关资料的。</w:t>
      </w:r>
    </w:p>
    <w:p w14:paraId="05EC4329">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（6）</w:t>
      </w:r>
      <w:r>
        <w:rPr>
          <w:color w:val="auto"/>
          <w:highlight w:val="none"/>
        </w:rPr>
        <w:t>未在谈判小组规定的时间内</w:t>
      </w:r>
      <w:r>
        <w:rPr>
          <w:rFonts w:hint="eastAsia"/>
          <w:color w:val="auto"/>
          <w:highlight w:val="none"/>
        </w:rPr>
        <w:t>重新提交响应文件</w:t>
      </w:r>
      <w:r>
        <w:rPr>
          <w:color w:val="auto"/>
          <w:highlight w:val="none"/>
        </w:rPr>
        <w:t>的</w:t>
      </w:r>
      <w:r>
        <w:rPr>
          <w:rFonts w:hint="eastAsia"/>
          <w:color w:val="auto"/>
          <w:highlight w:val="none"/>
        </w:rPr>
        <w:t>；</w:t>
      </w:r>
    </w:p>
    <w:p w14:paraId="2959C048">
      <w:pPr>
        <w:snapToGrid w:val="0"/>
        <w:spacing w:line="360" w:lineRule="exact"/>
        <w:ind w:firstLine="411" w:firstLineChars="196"/>
        <w:outlineLvl w:val="4"/>
        <w:rPr>
          <w:rFonts w:hint="eastAsia" w:ascii="宋体" w:hAnsi="宋体"/>
          <w:color w:val="auto"/>
          <w:highlight w:val="none"/>
        </w:rPr>
      </w:pPr>
      <w:r>
        <w:rPr>
          <w:rFonts w:hint="eastAsia" w:ascii="宋体" w:hAnsi="宋体"/>
          <w:color w:val="auto"/>
          <w:szCs w:val="21"/>
          <w:highlight w:val="none"/>
        </w:rPr>
        <w:t>（</w:t>
      </w:r>
      <w:r>
        <w:rPr>
          <w:rFonts w:hint="eastAsia" w:ascii="宋体" w:hAnsi="宋体"/>
          <w:color w:val="auto"/>
          <w:highlight w:val="none"/>
        </w:rPr>
        <w:t>7）</w:t>
      </w:r>
      <w:r>
        <w:rPr>
          <w:rFonts w:hint="eastAsia" w:hAnsi="宋体"/>
          <w:color w:val="auto"/>
          <w:szCs w:val="21"/>
          <w:highlight w:val="none"/>
        </w:rPr>
        <w:t>单位负责人为同一人或者存在直接控股、管理关系的不同供应商参加同一合同项下</w:t>
      </w:r>
      <w:r>
        <w:rPr>
          <w:rFonts w:hint="eastAsia"/>
          <w:color w:val="auto"/>
          <w:szCs w:val="21"/>
          <w:highlight w:val="none"/>
        </w:rPr>
        <w:t>分标</w:t>
      </w:r>
      <w:r>
        <w:rPr>
          <w:rFonts w:hint="eastAsia" w:hAnsi="宋体"/>
          <w:color w:val="auto"/>
          <w:szCs w:val="21"/>
          <w:highlight w:val="none"/>
        </w:rPr>
        <w:t>或未划分分标的同一</w:t>
      </w:r>
      <w:r>
        <w:rPr>
          <w:rFonts w:hint="eastAsia"/>
          <w:color w:val="auto"/>
          <w:szCs w:val="21"/>
          <w:highlight w:val="none"/>
        </w:rPr>
        <w:t>合同项下</w:t>
      </w:r>
      <w:r>
        <w:rPr>
          <w:rFonts w:hint="eastAsia" w:hAnsi="宋体"/>
          <w:color w:val="auto"/>
          <w:szCs w:val="21"/>
          <w:highlight w:val="none"/>
        </w:rPr>
        <w:t>的政府采购活动；</w:t>
      </w:r>
    </w:p>
    <w:p w14:paraId="20324D8B">
      <w:pPr>
        <w:pStyle w:val="16"/>
        <w:spacing w:line="360" w:lineRule="exact"/>
        <w:ind w:firstLine="420" w:firstLineChars="200"/>
        <w:rPr>
          <w:rFonts w:hint="eastAsia" w:hAnsi="宋体"/>
          <w:color w:val="auto"/>
          <w:szCs w:val="24"/>
          <w:highlight w:val="none"/>
        </w:rPr>
      </w:pPr>
      <w:r>
        <w:rPr>
          <w:rFonts w:hint="eastAsia" w:hAnsi="宋体"/>
          <w:color w:val="auto"/>
          <w:szCs w:val="24"/>
          <w:highlight w:val="none"/>
        </w:rPr>
        <w:t>（8）未满足谈判文件全部实质性要求的或者响应文件有采购人不能接受的附加条件的；</w:t>
      </w:r>
    </w:p>
    <w:p w14:paraId="55AE2F5D">
      <w:pPr>
        <w:pStyle w:val="16"/>
        <w:spacing w:line="360" w:lineRule="exact"/>
        <w:ind w:firstLine="420" w:firstLineChars="200"/>
        <w:rPr>
          <w:rFonts w:hint="eastAsia" w:hAnsi="宋体"/>
          <w:color w:val="auto"/>
          <w:szCs w:val="24"/>
          <w:highlight w:val="none"/>
        </w:rPr>
      </w:pPr>
      <w:r>
        <w:rPr>
          <w:rFonts w:hint="eastAsia" w:hAnsi="宋体"/>
          <w:color w:val="auto"/>
          <w:szCs w:val="24"/>
          <w:highlight w:val="none"/>
        </w:rPr>
        <w:t>（9）</w:t>
      </w:r>
      <w:r>
        <w:rPr>
          <w:rFonts w:hint="eastAsia" w:hAnsi="宋体"/>
          <w:color w:val="auto"/>
          <w:szCs w:val="21"/>
          <w:highlight w:val="none"/>
        </w:rPr>
        <w:t>不符合法律、法规和谈判文件规定的其他实质性要求和条件的。</w:t>
      </w:r>
    </w:p>
    <w:p w14:paraId="276D66ED">
      <w:pPr>
        <w:snapToGrid w:val="0"/>
        <w:spacing w:line="36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24.有下列情形之一的视为供应商相互串通谈判，响应文件将被视为无效：</w:t>
      </w:r>
    </w:p>
    <w:p w14:paraId="29C35CE0">
      <w:pPr>
        <w:snapToGrid w:val="0"/>
        <w:spacing w:line="360" w:lineRule="exact"/>
        <w:ind w:firstLine="411" w:firstLineChars="196"/>
        <w:rPr>
          <w:rFonts w:hint="eastAsia" w:ascii="宋体" w:hAnsi="宋体"/>
          <w:color w:val="auto"/>
          <w:szCs w:val="21"/>
          <w:highlight w:val="none"/>
        </w:rPr>
      </w:pPr>
      <w:r>
        <w:rPr>
          <w:rFonts w:hint="eastAsia" w:ascii="宋体" w:hAnsi="宋体"/>
          <w:color w:val="auto"/>
          <w:szCs w:val="21"/>
          <w:highlight w:val="none"/>
        </w:rPr>
        <w:t>（1）不同供应商的响应文件由同一单位或者个人编制；或不同供应商报名的IP地址一致的；</w:t>
      </w:r>
    </w:p>
    <w:p w14:paraId="028CEDFA">
      <w:pPr>
        <w:snapToGrid w:val="0"/>
        <w:spacing w:line="360" w:lineRule="exact"/>
        <w:ind w:firstLine="411" w:firstLineChars="196"/>
        <w:rPr>
          <w:rFonts w:hint="eastAsia" w:ascii="宋体" w:hAnsi="宋体"/>
          <w:color w:val="auto"/>
          <w:szCs w:val="21"/>
          <w:highlight w:val="none"/>
        </w:rPr>
      </w:pPr>
      <w:r>
        <w:rPr>
          <w:rFonts w:hint="eastAsia" w:ascii="宋体" w:hAnsi="宋体"/>
          <w:color w:val="auto"/>
          <w:szCs w:val="21"/>
          <w:highlight w:val="none"/>
        </w:rPr>
        <w:t>（2）不同供应商委托同一单位或者个人办理谈判事宜；</w:t>
      </w:r>
    </w:p>
    <w:p w14:paraId="73CB7E31">
      <w:pPr>
        <w:snapToGrid w:val="0"/>
        <w:spacing w:line="360" w:lineRule="exact"/>
        <w:ind w:firstLine="411" w:firstLineChars="196"/>
        <w:rPr>
          <w:rFonts w:hint="eastAsia" w:ascii="宋体" w:hAnsi="宋体"/>
          <w:color w:val="auto"/>
          <w:szCs w:val="21"/>
          <w:highlight w:val="none"/>
        </w:rPr>
      </w:pPr>
      <w:r>
        <w:rPr>
          <w:rFonts w:hint="eastAsia" w:ascii="宋体" w:hAnsi="宋体"/>
          <w:color w:val="auto"/>
          <w:szCs w:val="21"/>
          <w:highlight w:val="none"/>
        </w:rPr>
        <w:t>（3）不同的供应商的响应文件载明的项目管理员为同一个人；</w:t>
      </w:r>
    </w:p>
    <w:p w14:paraId="4817A140">
      <w:pPr>
        <w:snapToGrid w:val="0"/>
        <w:spacing w:line="360" w:lineRule="exact"/>
        <w:ind w:firstLine="411" w:firstLineChars="196"/>
        <w:rPr>
          <w:rFonts w:hint="eastAsia" w:ascii="宋体" w:hAnsi="宋体"/>
          <w:color w:val="auto"/>
          <w:szCs w:val="21"/>
          <w:highlight w:val="none"/>
        </w:rPr>
      </w:pPr>
      <w:r>
        <w:rPr>
          <w:rFonts w:hint="eastAsia" w:ascii="宋体" w:hAnsi="宋体"/>
          <w:color w:val="auto"/>
          <w:szCs w:val="21"/>
          <w:highlight w:val="none"/>
        </w:rPr>
        <w:t>（4）不同供应商的响应文件异常一致或竞标报价呈规律性差异；</w:t>
      </w:r>
    </w:p>
    <w:p w14:paraId="2615434E">
      <w:pPr>
        <w:snapToGrid w:val="0"/>
        <w:spacing w:line="360" w:lineRule="exact"/>
        <w:ind w:firstLine="411" w:firstLineChars="196"/>
        <w:rPr>
          <w:rFonts w:hint="eastAsia" w:ascii="宋体" w:hAnsi="宋体"/>
          <w:color w:val="auto"/>
          <w:szCs w:val="21"/>
          <w:highlight w:val="none"/>
        </w:rPr>
      </w:pPr>
      <w:r>
        <w:rPr>
          <w:rFonts w:hint="eastAsia" w:ascii="宋体" w:hAnsi="宋体"/>
          <w:color w:val="auto"/>
          <w:szCs w:val="21"/>
          <w:highlight w:val="none"/>
        </w:rPr>
        <w:t>（5）不同供应商的响应文件相互混装；</w:t>
      </w:r>
    </w:p>
    <w:p w14:paraId="6121DF9B">
      <w:pPr>
        <w:snapToGrid w:val="0"/>
        <w:spacing w:line="360" w:lineRule="exact"/>
        <w:ind w:firstLine="411" w:firstLineChars="196"/>
        <w:rPr>
          <w:rFonts w:hint="eastAsia" w:ascii="宋体" w:hAnsi="宋体"/>
          <w:color w:val="auto"/>
          <w:highlight w:val="none"/>
        </w:rPr>
      </w:pPr>
      <w:r>
        <w:rPr>
          <w:rFonts w:hint="eastAsia" w:ascii="宋体" w:hAnsi="宋体"/>
          <w:color w:val="auto"/>
          <w:szCs w:val="21"/>
          <w:highlight w:val="none"/>
        </w:rPr>
        <w:t>（6）响应文件实质性要求未做变动，供应商最后报价高于第一次报价的。</w:t>
      </w:r>
    </w:p>
    <w:p w14:paraId="4B3398C3">
      <w:pPr>
        <w:snapToGrid w:val="0"/>
        <w:spacing w:line="360" w:lineRule="exact"/>
        <w:ind w:firstLine="411" w:firstLineChars="196"/>
        <w:outlineLvl w:val="4"/>
        <w:rPr>
          <w:rFonts w:hint="eastAsia" w:ascii="宋体" w:hAnsi="宋体"/>
          <w:bCs/>
          <w:color w:val="auto"/>
          <w:szCs w:val="21"/>
          <w:highlight w:val="none"/>
        </w:rPr>
      </w:pPr>
      <w:r>
        <w:rPr>
          <w:rFonts w:hint="eastAsia" w:ascii="宋体" w:hAnsi="宋体"/>
          <w:bCs/>
          <w:color w:val="auto"/>
          <w:szCs w:val="21"/>
          <w:highlight w:val="none"/>
        </w:rPr>
        <w:t xml:space="preserve">25. </w:t>
      </w:r>
      <w:r>
        <w:rPr>
          <w:rFonts w:ascii="宋体" w:hAnsi="宋体"/>
          <w:bCs/>
          <w:color w:val="auto"/>
          <w:szCs w:val="21"/>
          <w:highlight w:val="none"/>
        </w:rPr>
        <w:t>出现下列情形之一的，采购人或者采购代理机构应当终止竞争性谈判采购活动，发布项目终止公告并说明原因，重新开展采购活动：</w:t>
      </w:r>
    </w:p>
    <w:p w14:paraId="2E2F3FA6">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因情况变化，不再符合规定的竞争性谈判采购方式适用情形的；</w:t>
      </w:r>
    </w:p>
    <w:p w14:paraId="1ACBB522">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出现影响采购公正的违法、违规行为的；</w:t>
      </w:r>
      <w:r>
        <w:rPr>
          <w:rFonts w:hint="eastAsia" w:ascii="宋体" w:hAnsi="宋体"/>
          <w:color w:val="auto"/>
          <w:szCs w:val="21"/>
          <w:highlight w:val="none"/>
        </w:rPr>
        <w:t xml:space="preserve"> </w:t>
      </w:r>
    </w:p>
    <w:p w14:paraId="4CB260AF">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在采购过程中符合竞争要求的供应商或者报价未超过采购预算的供应商不足3家的</w:t>
      </w:r>
      <w:r>
        <w:rPr>
          <w:rFonts w:hint="eastAsia" w:ascii="宋体" w:hAnsi="宋体"/>
          <w:color w:val="auto"/>
          <w:szCs w:val="21"/>
          <w:highlight w:val="none"/>
        </w:rPr>
        <w:t xml:space="preserve">。 </w:t>
      </w:r>
    </w:p>
    <w:p w14:paraId="0130B491">
      <w:pPr>
        <w:snapToGrid w:val="0"/>
        <w:spacing w:line="360" w:lineRule="exact"/>
        <w:ind w:firstLine="422" w:firstLineChars="200"/>
        <w:outlineLvl w:val="4"/>
        <w:rPr>
          <w:rFonts w:hint="eastAsia" w:ascii="宋体" w:hAnsi="宋体"/>
          <w:b/>
          <w:color w:val="auto"/>
          <w:highlight w:val="none"/>
        </w:rPr>
      </w:pPr>
      <w:r>
        <w:rPr>
          <w:rFonts w:hint="eastAsia" w:ascii="宋体" w:hAnsi="宋体"/>
          <w:b/>
          <w:color w:val="auto"/>
          <w:highlight w:val="none"/>
        </w:rPr>
        <w:t>26. 谈判过程的监控</w:t>
      </w:r>
    </w:p>
    <w:p w14:paraId="03BC6C87">
      <w:pPr>
        <w:pStyle w:val="16"/>
        <w:spacing w:line="360" w:lineRule="exact"/>
        <w:ind w:firstLine="411" w:firstLineChars="196"/>
        <w:rPr>
          <w:rFonts w:hint="eastAsia" w:hAnsi="宋体"/>
          <w:color w:val="auto"/>
          <w:highlight w:val="none"/>
        </w:rPr>
      </w:pPr>
      <w:r>
        <w:rPr>
          <w:rFonts w:hint="eastAsia" w:hAnsi="宋体"/>
          <w:color w:val="auto"/>
          <w:highlight w:val="none"/>
        </w:rPr>
        <w:t>本项目谈判过程实行全程录音、录像监控，供应商在谈判过程中所进行的试图影响谈判结果的不公正活动，可能导致其谈判被拒绝。</w:t>
      </w:r>
    </w:p>
    <w:p w14:paraId="3A7348D2">
      <w:pPr>
        <w:pStyle w:val="16"/>
        <w:spacing w:line="360" w:lineRule="exact"/>
        <w:ind w:firstLine="413" w:firstLineChars="196"/>
        <w:rPr>
          <w:rFonts w:hint="eastAsia" w:hAnsi="宋体"/>
          <w:b/>
          <w:color w:val="auto"/>
          <w:highlight w:val="none"/>
        </w:rPr>
      </w:pPr>
      <w:r>
        <w:rPr>
          <w:rFonts w:hint="eastAsia" w:hAnsi="宋体"/>
          <w:b/>
          <w:color w:val="auto"/>
          <w:highlight w:val="none"/>
        </w:rPr>
        <w:t>27</w:t>
      </w:r>
      <w:r>
        <w:rPr>
          <w:rFonts w:hint="eastAsia" w:hAnsi="宋体"/>
          <w:b/>
          <w:color w:val="auto"/>
          <w:szCs w:val="21"/>
          <w:highlight w:val="none"/>
        </w:rPr>
        <w:t xml:space="preserve">. </w:t>
      </w:r>
      <w:r>
        <w:rPr>
          <w:rFonts w:hint="eastAsia" w:hAnsi="宋体"/>
          <w:b/>
          <w:color w:val="auto"/>
          <w:szCs w:val="24"/>
          <w:highlight w:val="none"/>
        </w:rPr>
        <w:t>成交结果公告及成交通知书</w:t>
      </w:r>
    </w:p>
    <w:p w14:paraId="635EB5D2">
      <w:pPr>
        <w:spacing w:line="360" w:lineRule="exact"/>
        <w:ind w:firstLine="420" w:firstLineChars="200"/>
        <w:rPr>
          <w:rFonts w:hint="eastAsia" w:ascii="宋体" w:hAnsi="宋体"/>
          <w:color w:val="auto"/>
          <w:szCs w:val="21"/>
          <w:highlight w:val="none"/>
        </w:rPr>
      </w:pPr>
      <w:r>
        <w:rPr>
          <w:rFonts w:hint="eastAsia" w:ascii="宋体" w:hAnsi="宋体"/>
          <w:color w:val="auto"/>
          <w:highlight w:val="none"/>
        </w:rPr>
        <w:t xml:space="preserve">27.1 </w:t>
      </w:r>
      <w:r>
        <w:rPr>
          <w:rFonts w:hint="eastAsia" w:ascii="宋体" w:hAnsi="宋体"/>
          <w:color w:val="auto"/>
          <w:szCs w:val="21"/>
          <w:highlight w:val="none"/>
        </w:rPr>
        <w:t>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14:paraId="3D7D30B3">
      <w:pPr>
        <w:snapToGrid w:val="0"/>
        <w:spacing w:line="360" w:lineRule="exact"/>
        <w:ind w:firstLine="411" w:firstLineChars="196"/>
        <w:outlineLvl w:val="4"/>
        <w:rPr>
          <w:rFonts w:hint="eastAsia" w:ascii="宋体" w:hAnsi="宋体"/>
          <w:color w:val="auto"/>
          <w:szCs w:val="21"/>
          <w:highlight w:val="none"/>
        </w:rPr>
      </w:pPr>
      <w:r>
        <w:rPr>
          <w:rFonts w:hint="eastAsia" w:ascii="宋体" w:hAnsi="宋体"/>
          <w:color w:val="auto"/>
          <w:szCs w:val="21"/>
          <w:highlight w:val="none"/>
        </w:rPr>
        <w:t>27.2 在发布成交结果公告的同时，采购代理机构向成交供应商发出成交通知书。</w:t>
      </w:r>
    </w:p>
    <w:p w14:paraId="0046CBBD">
      <w:pPr>
        <w:spacing w:line="360" w:lineRule="exact"/>
        <w:ind w:left="420" w:leftChars="200" w:firstLine="0" w:firstLineChars="0"/>
        <w:rPr>
          <w:rFonts w:hint="eastAsia" w:ascii="宋体" w:hAnsi="宋体" w:cs="Times New Roman"/>
          <w:color w:val="auto"/>
          <w:szCs w:val="21"/>
          <w:highlight w:val="none"/>
        </w:rPr>
      </w:pPr>
      <w:r>
        <w:rPr>
          <w:rFonts w:hint="eastAsia" w:ascii="宋体" w:hAnsi="宋体" w:cs="Times New Roman"/>
          <w:color w:val="auto"/>
          <w:szCs w:val="21"/>
          <w:highlight w:val="none"/>
          <w:lang w:val="en-US" w:eastAsia="zh-CN"/>
        </w:rPr>
        <w:t>27.3</w:t>
      </w:r>
      <w:r>
        <w:rPr>
          <w:rFonts w:hint="eastAsia" w:ascii="宋体" w:hAnsi="宋体" w:cs="Times New Roman"/>
          <w:color w:val="auto"/>
          <w:szCs w:val="21"/>
          <w:highlight w:val="none"/>
        </w:rPr>
        <w:t>成交人在领取成交通知书前必须按照</w:t>
      </w:r>
      <w:r>
        <w:rPr>
          <w:rFonts w:hint="eastAsia" w:ascii="宋体" w:hAnsi="宋体" w:cs="Times New Roman"/>
          <w:color w:val="auto"/>
          <w:szCs w:val="21"/>
          <w:highlight w:val="none"/>
          <w:lang w:eastAsia="zh-CN"/>
        </w:rPr>
        <w:t>竞争性谈判文件</w:t>
      </w:r>
      <w:r>
        <w:rPr>
          <w:rFonts w:hint="eastAsia" w:ascii="宋体" w:hAnsi="宋体" w:cs="Times New Roman"/>
          <w:color w:val="auto"/>
          <w:szCs w:val="21"/>
          <w:highlight w:val="none"/>
        </w:rPr>
        <w:t>规定</w:t>
      </w:r>
      <w:r>
        <w:rPr>
          <w:rFonts w:hint="eastAsia" w:ascii="宋体" w:hAnsi="宋体" w:cs="Times New Roman"/>
          <w:color w:val="auto"/>
          <w:szCs w:val="21"/>
          <w:highlight w:val="none"/>
          <w:lang w:eastAsia="zh-CN"/>
        </w:rPr>
        <w:t>一次性向采购代理机构</w:t>
      </w:r>
      <w:r>
        <w:rPr>
          <w:rFonts w:hint="eastAsia" w:ascii="宋体" w:hAnsi="宋体" w:cs="Times New Roman"/>
          <w:color w:val="auto"/>
          <w:szCs w:val="21"/>
          <w:highlight w:val="none"/>
        </w:rPr>
        <w:t>递交招标代理服务费</w:t>
      </w:r>
      <w:r>
        <w:rPr>
          <w:rFonts w:hint="eastAsia" w:ascii="宋体" w:hAnsi="宋体" w:cs="Times New Roman"/>
          <w:color w:val="auto"/>
          <w:szCs w:val="21"/>
          <w:highlight w:val="none"/>
          <w:lang w:val="en-US" w:eastAsia="zh-CN"/>
        </w:rPr>
        <w:t>。</w:t>
      </w:r>
      <w:r>
        <w:rPr>
          <w:rFonts w:hint="eastAsia" w:ascii="宋体" w:hAnsi="宋体" w:cs="Times New Roman"/>
          <w:color w:val="auto"/>
          <w:szCs w:val="21"/>
          <w:highlight w:val="none"/>
        </w:rPr>
        <w:t>27.</w:t>
      </w:r>
      <w:r>
        <w:rPr>
          <w:rFonts w:hint="eastAsia" w:ascii="宋体" w:hAnsi="宋体" w:cs="Times New Roman"/>
          <w:color w:val="auto"/>
          <w:szCs w:val="21"/>
          <w:highlight w:val="none"/>
          <w:lang w:val="en-US" w:eastAsia="zh-CN"/>
        </w:rPr>
        <w:t>4</w:t>
      </w:r>
      <w:r>
        <w:rPr>
          <w:rFonts w:hint="eastAsia" w:ascii="宋体" w:hAnsi="宋体" w:cs="Times New Roman"/>
          <w:color w:val="auto"/>
          <w:szCs w:val="21"/>
          <w:highlight w:val="none"/>
        </w:rPr>
        <w:t>采购代理机构无义务向未成交的供应商解释未成交原因和退还响应文件。</w:t>
      </w:r>
    </w:p>
    <w:p w14:paraId="38C7161F">
      <w:pPr>
        <w:tabs>
          <w:tab w:val="left" w:pos="1140"/>
        </w:tabs>
        <w:spacing w:line="360" w:lineRule="exact"/>
        <w:jc w:val="center"/>
        <w:rPr>
          <w:rFonts w:hint="eastAsia" w:ascii="宋体" w:hAnsi="宋体"/>
          <w:b/>
          <w:color w:val="auto"/>
          <w:sz w:val="28"/>
          <w:szCs w:val="28"/>
          <w:highlight w:val="none"/>
        </w:rPr>
      </w:pPr>
    </w:p>
    <w:p w14:paraId="313EEEE3">
      <w:pPr>
        <w:tabs>
          <w:tab w:val="left" w:pos="1140"/>
        </w:tabs>
        <w:spacing w:line="360" w:lineRule="exact"/>
        <w:jc w:val="center"/>
        <w:rPr>
          <w:rFonts w:hint="eastAsia" w:ascii="宋体" w:hAnsi="宋体"/>
          <w:b/>
          <w:color w:val="auto"/>
          <w:sz w:val="28"/>
          <w:szCs w:val="28"/>
          <w:highlight w:val="none"/>
        </w:rPr>
      </w:pPr>
      <w:r>
        <w:rPr>
          <w:rFonts w:hint="eastAsia" w:ascii="宋体" w:hAnsi="宋体"/>
          <w:b/>
          <w:color w:val="auto"/>
          <w:sz w:val="28"/>
          <w:szCs w:val="28"/>
          <w:highlight w:val="none"/>
        </w:rPr>
        <w:t>五、签订合同</w:t>
      </w:r>
    </w:p>
    <w:p w14:paraId="0B7FDC43">
      <w:pPr>
        <w:spacing w:line="360" w:lineRule="exact"/>
        <w:ind w:firstLine="413" w:firstLineChars="196"/>
        <w:rPr>
          <w:rFonts w:hint="eastAsia" w:ascii="宋体" w:hAnsi="宋体"/>
          <w:b/>
          <w:color w:val="auto"/>
          <w:highlight w:val="none"/>
        </w:rPr>
      </w:pPr>
      <w:r>
        <w:rPr>
          <w:rFonts w:hint="eastAsia" w:ascii="宋体" w:hAnsi="宋体"/>
          <w:b/>
          <w:color w:val="auto"/>
          <w:highlight w:val="none"/>
        </w:rPr>
        <w:t>28</w:t>
      </w:r>
      <w:r>
        <w:rPr>
          <w:rFonts w:hint="eastAsia" w:ascii="宋体" w:hAnsi="宋体"/>
          <w:b/>
          <w:color w:val="auto"/>
          <w:szCs w:val="21"/>
          <w:highlight w:val="none"/>
        </w:rPr>
        <w:t xml:space="preserve">. </w:t>
      </w:r>
      <w:r>
        <w:rPr>
          <w:rFonts w:hint="eastAsia" w:ascii="宋体" w:hAnsi="宋体"/>
          <w:b/>
          <w:color w:val="auto"/>
          <w:highlight w:val="none"/>
        </w:rPr>
        <w:t>履约保证金</w:t>
      </w:r>
    </w:p>
    <w:p w14:paraId="20A72151">
      <w:pPr>
        <w:spacing w:line="360" w:lineRule="exact"/>
        <w:rPr>
          <w:rFonts w:hint="default" w:ascii="宋体" w:hAnsi="宋体" w:eastAsia="宋体"/>
          <w:b/>
          <w:color w:val="auto"/>
          <w:szCs w:val="21"/>
          <w:highlight w:val="none"/>
          <w:lang w:val="en-US" w:eastAsia="zh-CN"/>
        </w:rPr>
      </w:pPr>
      <w:r>
        <w:rPr>
          <w:rFonts w:hint="eastAsia" w:hAnsi="宋体"/>
          <w:b/>
          <w:color w:val="auto"/>
          <w:szCs w:val="21"/>
          <w:highlight w:val="none"/>
        </w:rPr>
        <w:t xml:space="preserve">   </w:t>
      </w:r>
      <w:r>
        <w:rPr>
          <w:rFonts w:hint="eastAsia" w:ascii="宋体" w:hAnsi="宋体"/>
          <w:b/>
          <w:color w:val="auto"/>
          <w:szCs w:val="21"/>
          <w:highlight w:val="none"/>
        </w:rPr>
        <w:t xml:space="preserve"> 28.1 </w:t>
      </w:r>
      <w:r>
        <w:rPr>
          <w:rFonts w:hint="eastAsia" w:ascii="宋体" w:hAnsi="宋体"/>
          <w:color w:val="auto"/>
          <w:szCs w:val="21"/>
          <w:highlight w:val="none"/>
          <w:lang w:val="en-US" w:eastAsia="zh-CN"/>
        </w:rPr>
        <w:t>按照实际与采购人签订的合同要求为准。（以实际签订合同为准）</w:t>
      </w:r>
      <w:r>
        <w:rPr>
          <w:rFonts w:hint="eastAsia" w:ascii="宋体" w:hAnsi="宋体"/>
          <w:b/>
          <w:color w:val="auto"/>
          <w:szCs w:val="21"/>
          <w:highlight w:val="none"/>
          <w:lang w:val="en-US" w:eastAsia="zh-CN"/>
        </w:rPr>
        <w:t>。</w:t>
      </w:r>
    </w:p>
    <w:p w14:paraId="7A588228">
      <w:pPr>
        <w:pStyle w:val="16"/>
        <w:spacing w:line="360" w:lineRule="exact"/>
        <w:ind w:left="6" w:leftChars="3" w:firstLine="422" w:firstLineChars="200"/>
        <w:rPr>
          <w:rFonts w:hint="eastAsia" w:hAnsi="宋体"/>
          <w:b/>
          <w:color w:val="auto"/>
          <w:szCs w:val="21"/>
          <w:highlight w:val="none"/>
        </w:rPr>
      </w:pPr>
      <w:r>
        <w:rPr>
          <w:rFonts w:hint="eastAsia" w:hAnsi="宋体"/>
          <w:b/>
          <w:color w:val="auto"/>
          <w:szCs w:val="21"/>
          <w:highlight w:val="none"/>
        </w:rPr>
        <w:t>29. 签订合同</w:t>
      </w:r>
    </w:p>
    <w:p w14:paraId="18634101">
      <w:pPr>
        <w:tabs>
          <w:tab w:val="left" w:pos="1140"/>
        </w:tabs>
        <w:spacing w:line="360" w:lineRule="exact"/>
        <w:ind w:firstLine="420" w:firstLineChars="200"/>
        <w:rPr>
          <w:rFonts w:hint="eastAsia" w:ascii="宋体" w:hAnsi="宋体"/>
          <w:color w:val="auto"/>
          <w:highlight w:val="none"/>
        </w:rPr>
      </w:pPr>
      <w:r>
        <w:rPr>
          <w:rFonts w:hint="eastAsia" w:ascii="宋体" w:hAnsi="宋体"/>
          <w:color w:val="auto"/>
          <w:highlight w:val="none"/>
        </w:rPr>
        <w:t>29.1 签订合同时间：成交通知书发出之日起30日内。</w:t>
      </w:r>
    </w:p>
    <w:p w14:paraId="4E749960">
      <w:pPr>
        <w:spacing w:line="360" w:lineRule="exact"/>
        <w:ind w:firstLine="420" w:firstLineChars="200"/>
        <w:rPr>
          <w:rFonts w:ascii="宋体" w:hAnsi="宋体"/>
          <w:color w:val="auto"/>
          <w:highlight w:val="none"/>
        </w:rPr>
      </w:pPr>
      <w:r>
        <w:rPr>
          <w:rFonts w:hint="eastAsia" w:ascii="宋体" w:hAnsi="宋体"/>
          <w:color w:val="auto"/>
          <w:highlight w:val="none"/>
        </w:rPr>
        <w:t>29.2如成交供应商有下列情形之一的，情节严重的，由财政部门将其列入不良行为记录名单，在一至三年内禁止参加政府采购活动，并予以通报。采购代理机构可从谈判小组推荐的成交候选人中按顺序重新确定成交供应商或重新组织采购。拒绝签订政府采购合同的成交供应商不得参加对该项目重新开展的采购活</w:t>
      </w:r>
      <w:r>
        <w:rPr>
          <w:rFonts w:hint="eastAsia" w:ascii="宋体" w:hAnsi="宋体"/>
          <w:color w:val="auto"/>
          <w:szCs w:val="21"/>
          <w:highlight w:val="none"/>
        </w:rPr>
        <w:t>动。</w:t>
      </w:r>
    </w:p>
    <w:p w14:paraId="1B9D67EB">
      <w:pPr>
        <w:widowControl/>
        <w:spacing w:line="360" w:lineRule="exact"/>
        <w:jc w:val="left"/>
        <w:rPr>
          <w:rFonts w:ascii="宋体" w:hAnsi="宋体"/>
          <w:color w:val="auto"/>
          <w:highlight w:val="none"/>
        </w:rPr>
      </w:pPr>
      <w:r>
        <w:rPr>
          <w:rFonts w:hint="eastAsia" w:ascii="宋体" w:hAnsi="宋体"/>
          <w:color w:val="auto"/>
          <w:highlight w:val="none"/>
        </w:rPr>
        <w:t>　　（1）成交后不与采购人签订合同的（不可抗力除外）；</w:t>
      </w:r>
    </w:p>
    <w:p w14:paraId="38FF9D74">
      <w:pPr>
        <w:widowControl/>
        <w:spacing w:line="360" w:lineRule="exact"/>
        <w:jc w:val="left"/>
        <w:rPr>
          <w:rFonts w:ascii="宋体" w:hAnsi="宋体"/>
          <w:color w:val="auto"/>
          <w:highlight w:val="none"/>
        </w:rPr>
      </w:pPr>
      <w:r>
        <w:rPr>
          <w:rFonts w:hint="eastAsia" w:ascii="宋体" w:hAnsi="宋体"/>
          <w:color w:val="auto"/>
          <w:highlight w:val="none"/>
        </w:rPr>
        <w:t xml:space="preserve">    （2）将成交项目转让给他人，或者在响应文件中未说明，且未经采购人同意，将成交项目分包给他人的；</w:t>
      </w:r>
    </w:p>
    <w:p w14:paraId="551BA3AD">
      <w:pPr>
        <w:widowControl/>
        <w:spacing w:line="360" w:lineRule="exact"/>
        <w:ind w:firstLine="420"/>
        <w:jc w:val="left"/>
        <w:rPr>
          <w:rFonts w:hint="eastAsia" w:ascii="宋体" w:hAnsi="宋体"/>
          <w:color w:val="auto"/>
          <w:highlight w:val="none"/>
        </w:rPr>
      </w:pPr>
      <w:r>
        <w:rPr>
          <w:rFonts w:hint="eastAsia" w:ascii="宋体" w:hAnsi="宋体"/>
          <w:color w:val="auto"/>
          <w:highlight w:val="none"/>
        </w:rPr>
        <w:t>（3）拒绝履行合同义务的。</w:t>
      </w:r>
    </w:p>
    <w:p w14:paraId="54C07FCA">
      <w:pPr>
        <w:spacing w:line="360" w:lineRule="exact"/>
        <w:ind w:firstLine="420" w:firstLineChars="200"/>
        <w:rPr>
          <w:rFonts w:hint="eastAsia" w:ascii="宋体" w:hAnsi="宋体"/>
          <w:color w:val="auto"/>
          <w:highlight w:val="none"/>
        </w:rPr>
      </w:pPr>
      <w:r>
        <w:rPr>
          <w:rFonts w:hint="eastAsia" w:ascii="宋体" w:hAnsi="宋体"/>
          <w:color w:val="auto"/>
          <w:highlight w:val="none"/>
        </w:rPr>
        <w:t>29.3 合同备案存档：政府采购合同双方自签订之日起</w:t>
      </w:r>
      <w:r>
        <w:rPr>
          <w:rFonts w:hint="eastAsia" w:ascii="宋体" w:hAnsi="宋体"/>
          <w:color w:val="auto"/>
          <w:highlight w:val="none"/>
          <w:lang w:val="en-US" w:eastAsia="zh-CN"/>
        </w:rPr>
        <w:t>1</w:t>
      </w:r>
      <w:r>
        <w:rPr>
          <w:rFonts w:hint="eastAsia" w:ascii="宋体" w:hAnsi="宋体"/>
          <w:color w:val="auto"/>
          <w:highlight w:val="none"/>
        </w:rPr>
        <w:t>个工作日内将合同原件一份交采购代理机构。</w:t>
      </w:r>
    </w:p>
    <w:p w14:paraId="572E48C5">
      <w:pPr>
        <w:pStyle w:val="16"/>
        <w:spacing w:line="380" w:lineRule="exact"/>
        <w:ind w:left="3"/>
        <w:jc w:val="center"/>
        <w:rPr>
          <w:rFonts w:hint="eastAsia" w:hAnsi="宋体"/>
          <w:b/>
          <w:color w:val="auto"/>
          <w:sz w:val="28"/>
          <w:szCs w:val="28"/>
          <w:highlight w:val="none"/>
        </w:rPr>
      </w:pPr>
    </w:p>
    <w:p w14:paraId="750A1F00">
      <w:pPr>
        <w:pStyle w:val="16"/>
        <w:spacing w:line="380" w:lineRule="exact"/>
        <w:ind w:left="3"/>
        <w:jc w:val="center"/>
        <w:rPr>
          <w:rFonts w:hint="eastAsia" w:hAnsi="宋体"/>
          <w:b/>
          <w:color w:val="auto"/>
          <w:sz w:val="28"/>
          <w:szCs w:val="28"/>
          <w:highlight w:val="none"/>
        </w:rPr>
      </w:pPr>
      <w:r>
        <w:rPr>
          <w:rFonts w:hint="eastAsia" w:hAnsi="宋体"/>
          <w:b/>
          <w:color w:val="auto"/>
          <w:sz w:val="28"/>
          <w:szCs w:val="28"/>
          <w:highlight w:val="none"/>
        </w:rPr>
        <w:t>六、其他事项</w:t>
      </w:r>
    </w:p>
    <w:p w14:paraId="36EA396B">
      <w:pPr>
        <w:spacing w:line="380" w:lineRule="exact"/>
        <w:ind w:firstLine="517" w:firstLineChars="245"/>
        <w:rPr>
          <w:rFonts w:hint="eastAsia" w:ascii="宋体" w:hAnsi="宋体"/>
          <w:b/>
          <w:color w:val="auto"/>
          <w:highlight w:val="none"/>
        </w:rPr>
      </w:pPr>
      <w:r>
        <w:rPr>
          <w:rFonts w:hint="eastAsia" w:ascii="宋体" w:hAnsi="宋体"/>
          <w:b/>
          <w:color w:val="auto"/>
          <w:highlight w:val="none"/>
        </w:rPr>
        <w:t>30</w:t>
      </w:r>
      <w:r>
        <w:rPr>
          <w:rFonts w:hint="eastAsia" w:ascii="宋体" w:hAnsi="宋体"/>
          <w:b/>
          <w:color w:val="auto"/>
          <w:szCs w:val="21"/>
          <w:highlight w:val="none"/>
        </w:rPr>
        <w:t xml:space="preserve">. </w:t>
      </w:r>
      <w:r>
        <w:rPr>
          <w:rFonts w:hint="eastAsia" w:ascii="宋体" w:hAnsi="宋体"/>
          <w:b/>
          <w:color w:val="auto"/>
          <w:highlight w:val="none"/>
        </w:rPr>
        <w:t>采购代理服务费</w:t>
      </w:r>
    </w:p>
    <w:p w14:paraId="43E6A065">
      <w:pPr>
        <w:spacing w:line="380" w:lineRule="exact"/>
        <w:jc w:val="left"/>
        <w:rPr>
          <w:rFonts w:hint="default" w:ascii="宋体" w:hAnsi="宋体" w:eastAsia="宋体"/>
          <w:color w:val="auto"/>
          <w:szCs w:val="21"/>
          <w:highlight w:val="none"/>
          <w:lang w:val="en-US" w:eastAsia="zh-CN"/>
        </w:rPr>
      </w:pPr>
      <w:r>
        <w:rPr>
          <w:rFonts w:hint="eastAsia" w:ascii="宋体" w:hAnsi="宋体"/>
          <w:color w:val="auto"/>
          <w:highlight w:val="none"/>
        </w:rPr>
        <w:t xml:space="preserve">  </w:t>
      </w:r>
      <w:r>
        <w:rPr>
          <w:rFonts w:hint="eastAsia" w:ascii="宋体" w:hAnsi="宋体"/>
          <w:color w:val="auto"/>
          <w:highlight w:val="none"/>
          <w:lang w:val="en-US" w:eastAsia="zh-CN"/>
        </w:rPr>
        <w:t xml:space="preserve">      执行《国家发展改革委关于进一步放开建设项目专业服务价格的通知》（发改价格〔2015〕299号），号文件的标准进行计算，由成交单位支付成交价款的2%</w:t>
      </w:r>
      <w:r>
        <w:rPr>
          <w:rFonts w:hint="eastAsia" w:hAnsi="宋体" w:cs="宋体"/>
          <w:bCs/>
          <w:color w:val="auto"/>
          <w:szCs w:val="21"/>
          <w:highlight w:val="none"/>
          <w:lang w:val="en-US" w:eastAsia="zh-CN"/>
        </w:rPr>
        <w:t>。</w:t>
      </w:r>
    </w:p>
    <w:p w14:paraId="018C407A">
      <w:pPr>
        <w:pStyle w:val="3"/>
        <w:keepNext w:val="0"/>
        <w:keepLines w:val="0"/>
        <w:pageBreakBefore w:val="0"/>
        <w:widowControl w:val="0"/>
        <w:kinsoku/>
        <w:wordWrap/>
        <w:overflowPunct/>
        <w:topLinePunct w:val="0"/>
        <w:autoSpaceDE/>
        <w:autoSpaceDN/>
        <w:bidi w:val="0"/>
        <w:adjustRightInd/>
        <w:snapToGrid/>
        <w:spacing w:line="416" w:lineRule="auto"/>
        <w:textAlignment w:val="auto"/>
        <w:rPr>
          <w:rFonts w:hint="eastAsia"/>
          <w:color w:val="auto"/>
          <w:highlight w:val="none"/>
        </w:rPr>
      </w:pPr>
    </w:p>
    <w:p w14:paraId="5CF1DA1F">
      <w:pPr>
        <w:spacing w:line="380" w:lineRule="exact"/>
        <w:rPr>
          <w:rFonts w:hint="eastAsia"/>
          <w:b/>
          <w:color w:val="auto"/>
          <w:sz w:val="32"/>
          <w:szCs w:val="32"/>
          <w:highlight w:val="none"/>
        </w:rPr>
        <w:sectPr>
          <w:footerReference r:id="rId6" w:type="default"/>
          <w:pgSz w:w="11906" w:h="16838"/>
          <w:pgMar w:top="1134" w:right="992" w:bottom="1134" w:left="1134" w:header="851" w:footer="992" w:gutter="0"/>
          <w:pgBorders>
            <w:top w:val="none" w:sz="0" w:space="0"/>
            <w:left w:val="none" w:sz="0" w:space="0"/>
            <w:bottom w:val="none" w:sz="0" w:space="0"/>
            <w:right w:val="none" w:sz="0" w:space="0"/>
          </w:pgBorders>
          <w:pgNumType w:fmt="decimal" w:start="1"/>
          <w:cols w:space="720" w:num="1"/>
          <w:docGrid w:linePitch="312" w:charSpace="0"/>
        </w:sectPr>
      </w:pPr>
      <w:bookmarkStart w:id="7" w:name="_Toc455565643"/>
      <w:bookmarkStart w:id="8" w:name="_Toc432277439"/>
      <w:bookmarkStart w:id="9" w:name="_Toc432264367"/>
    </w:p>
    <w:bookmarkEnd w:id="7"/>
    <w:bookmarkEnd w:id="8"/>
    <w:bookmarkEnd w:id="9"/>
    <w:p w14:paraId="13230078">
      <w:pPr>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jc w:val="center"/>
        <w:textAlignment w:val="auto"/>
        <w:rPr>
          <w:rFonts w:hint="eastAsia"/>
          <w:b/>
          <w:color w:val="auto"/>
          <w:sz w:val="30"/>
          <w:szCs w:val="30"/>
          <w:highlight w:val="none"/>
          <w:lang w:val="zh-CN"/>
        </w:rPr>
      </w:pPr>
      <w:r>
        <w:rPr>
          <w:rFonts w:hint="eastAsia"/>
          <w:b/>
          <w:color w:val="auto"/>
          <w:sz w:val="30"/>
          <w:szCs w:val="30"/>
          <w:highlight w:val="none"/>
          <w:lang w:val="zh-CN"/>
        </w:rPr>
        <w:t>服务采购需求</w:t>
      </w:r>
    </w:p>
    <w:p w14:paraId="36813E85">
      <w:pPr>
        <w:spacing w:line="348" w:lineRule="auto"/>
        <w:rPr>
          <w:rFonts w:hint="default" w:ascii="Arial" w:eastAsia="宋体"/>
          <w:color w:val="auto"/>
          <w:sz w:val="21"/>
          <w:highlight w:val="none"/>
          <w:lang w:val="en-US" w:eastAsia="zh-CN"/>
        </w:rPr>
      </w:pPr>
    </w:p>
    <w:p w14:paraId="2AF63696">
      <w:pPr>
        <w:spacing w:line="360" w:lineRule="auto"/>
        <w:rPr>
          <w:b/>
          <w:sz w:val="24"/>
          <w:szCs w:val="24"/>
          <w:highlight w:val="none"/>
        </w:rPr>
      </w:pPr>
      <w:bookmarkStart w:id="10" w:name="_Toc432277440"/>
      <w:bookmarkStart w:id="11" w:name="_Toc432264368"/>
      <w:bookmarkStart w:id="12" w:name="_Toc455565644"/>
      <w:bookmarkStart w:id="13" w:name="_Toc10263"/>
      <w:r>
        <w:rPr>
          <w:rFonts w:hint="eastAsia"/>
          <w:b/>
          <w:sz w:val="24"/>
          <w:szCs w:val="24"/>
          <w:highlight w:val="none"/>
        </w:rPr>
        <w:t>一、</w:t>
      </w:r>
      <w:r>
        <w:rPr>
          <w:rFonts w:hint="eastAsia"/>
          <w:b/>
          <w:sz w:val="24"/>
          <w:szCs w:val="24"/>
          <w:highlight w:val="none"/>
          <w:lang w:val="en-US" w:eastAsia="zh-CN"/>
        </w:rPr>
        <w:t>维保</w:t>
      </w:r>
      <w:r>
        <w:rPr>
          <w:rFonts w:hint="eastAsia"/>
          <w:b/>
          <w:sz w:val="24"/>
          <w:szCs w:val="24"/>
          <w:highlight w:val="none"/>
        </w:rPr>
        <w:t>设备及服务类型：</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2602"/>
        <w:gridCol w:w="2142"/>
        <w:gridCol w:w="765"/>
        <w:gridCol w:w="2688"/>
      </w:tblGrid>
      <w:tr w14:paraId="67A39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760" w:type="dxa"/>
            <w:vAlign w:val="center"/>
          </w:tcPr>
          <w:p w14:paraId="62490B01">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序号</w:t>
            </w:r>
          </w:p>
        </w:tc>
        <w:tc>
          <w:tcPr>
            <w:tcW w:w="2602" w:type="dxa"/>
            <w:vAlign w:val="center"/>
          </w:tcPr>
          <w:p w14:paraId="7D5D77F1">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设备名称</w:t>
            </w:r>
          </w:p>
        </w:tc>
        <w:tc>
          <w:tcPr>
            <w:tcW w:w="2142" w:type="dxa"/>
            <w:vAlign w:val="center"/>
          </w:tcPr>
          <w:p w14:paraId="2A6FA267">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设备品牌、型号</w:t>
            </w:r>
          </w:p>
        </w:tc>
        <w:tc>
          <w:tcPr>
            <w:tcW w:w="765" w:type="dxa"/>
            <w:vAlign w:val="center"/>
          </w:tcPr>
          <w:p w14:paraId="7851BAEA">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数量</w:t>
            </w:r>
          </w:p>
        </w:tc>
        <w:tc>
          <w:tcPr>
            <w:tcW w:w="2688" w:type="dxa"/>
            <w:vAlign w:val="center"/>
          </w:tcPr>
          <w:p w14:paraId="4A641C37">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备注</w:t>
            </w:r>
          </w:p>
        </w:tc>
      </w:tr>
      <w:tr w14:paraId="7FA23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760" w:type="dxa"/>
            <w:vAlign w:val="center"/>
          </w:tcPr>
          <w:p w14:paraId="5E8BEF0C">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1</w:t>
            </w:r>
          </w:p>
        </w:tc>
        <w:tc>
          <w:tcPr>
            <w:tcW w:w="2602" w:type="dxa"/>
            <w:vAlign w:val="center"/>
          </w:tcPr>
          <w:p w14:paraId="55B646A3">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全身用X射线计算机</w:t>
            </w:r>
          </w:p>
          <w:p w14:paraId="4A43D107">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体层摄影装置CT机</w:t>
            </w:r>
          </w:p>
        </w:tc>
        <w:tc>
          <w:tcPr>
            <w:tcW w:w="2142" w:type="dxa"/>
            <w:vAlign w:val="center"/>
          </w:tcPr>
          <w:p w14:paraId="3B536ED6">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美国GE公司 B</w:t>
            </w:r>
            <w:r>
              <w:rPr>
                <w:rFonts w:ascii="宋体" w:hAnsi="宋体" w:eastAsia="宋体" w:cs="Times New Roman"/>
                <w:sz w:val="24"/>
                <w:szCs w:val="24"/>
                <w:highlight w:val="none"/>
              </w:rPr>
              <w:t>rightSpeed</w:t>
            </w:r>
          </w:p>
        </w:tc>
        <w:tc>
          <w:tcPr>
            <w:tcW w:w="765" w:type="dxa"/>
            <w:vAlign w:val="center"/>
          </w:tcPr>
          <w:p w14:paraId="6E56A3D0">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1台</w:t>
            </w:r>
          </w:p>
        </w:tc>
        <w:tc>
          <w:tcPr>
            <w:tcW w:w="2688" w:type="dxa"/>
            <w:vAlign w:val="center"/>
          </w:tcPr>
          <w:p w14:paraId="5ED26E21">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GE原厂独立后处理工作站、CT附属心电监护仪、CT双筒高压注射器ANT</w:t>
            </w:r>
            <w:r>
              <w:rPr>
                <w:rFonts w:ascii="宋体" w:hAnsi="宋体" w:eastAsia="宋体" w:cs="Times New Roman"/>
                <w:sz w:val="24"/>
                <w:szCs w:val="24"/>
                <w:highlight w:val="none"/>
              </w:rPr>
              <w:t>200200</w:t>
            </w:r>
            <w:r>
              <w:rPr>
                <w:rFonts w:hint="eastAsia" w:ascii="宋体" w:hAnsi="宋体" w:eastAsia="宋体" w:cs="Times New Roman"/>
                <w:sz w:val="24"/>
                <w:szCs w:val="24"/>
                <w:highlight w:val="none"/>
              </w:rPr>
              <w:t>L</w:t>
            </w:r>
          </w:p>
        </w:tc>
      </w:tr>
      <w:tr w14:paraId="1769B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760" w:type="dxa"/>
            <w:vAlign w:val="center"/>
          </w:tcPr>
          <w:p w14:paraId="4ED81AFE">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2</w:t>
            </w:r>
          </w:p>
        </w:tc>
        <w:tc>
          <w:tcPr>
            <w:tcW w:w="2602" w:type="dxa"/>
            <w:vAlign w:val="center"/>
          </w:tcPr>
          <w:p w14:paraId="2AE044EC">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全身用X射线计算机</w:t>
            </w:r>
          </w:p>
          <w:p w14:paraId="00DFEB63">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体层摄影装置CT机</w:t>
            </w:r>
          </w:p>
        </w:tc>
        <w:tc>
          <w:tcPr>
            <w:tcW w:w="2142" w:type="dxa"/>
            <w:vAlign w:val="center"/>
          </w:tcPr>
          <w:p w14:paraId="392002B8">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美国GE公司 B</w:t>
            </w:r>
            <w:r>
              <w:rPr>
                <w:rFonts w:ascii="宋体" w:hAnsi="宋体" w:eastAsia="宋体" w:cs="Times New Roman"/>
                <w:sz w:val="24"/>
                <w:szCs w:val="24"/>
                <w:highlight w:val="none"/>
              </w:rPr>
              <w:t>rightSpeed Eiite</w:t>
            </w:r>
          </w:p>
        </w:tc>
        <w:tc>
          <w:tcPr>
            <w:tcW w:w="765" w:type="dxa"/>
            <w:vAlign w:val="center"/>
          </w:tcPr>
          <w:p w14:paraId="12A8F630">
            <w:pPr>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1台</w:t>
            </w:r>
          </w:p>
        </w:tc>
        <w:tc>
          <w:tcPr>
            <w:tcW w:w="2688" w:type="dxa"/>
            <w:vAlign w:val="center"/>
          </w:tcPr>
          <w:p w14:paraId="398DFC99">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w:t>
            </w:r>
          </w:p>
        </w:tc>
      </w:tr>
      <w:tr w14:paraId="6614E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760" w:type="dxa"/>
            <w:vAlign w:val="center"/>
          </w:tcPr>
          <w:p w14:paraId="43BCCABB">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3</w:t>
            </w:r>
          </w:p>
        </w:tc>
        <w:tc>
          <w:tcPr>
            <w:tcW w:w="2602" w:type="dxa"/>
            <w:vAlign w:val="center"/>
          </w:tcPr>
          <w:p w14:paraId="30093E71">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数字胃肠透视机</w:t>
            </w:r>
          </w:p>
        </w:tc>
        <w:tc>
          <w:tcPr>
            <w:tcW w:w="2142" w:type="dxa"/>
            <w:vAlign w:val="center"/>
          </w:tcPr>
          <w:p w14:paraId="2C399AAE">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西门子Luminos Select</w:t>
            </w:r>
          </w:p>
        </w:tc>
        <w:tc>
          <w:tcPr>
            <w:tcW w:w="765" w:type="dxa"/>
            <w:vAlign w:val="center"/>
          </w:tcPr>
          <w:p w14:paraId="006EB749">
            <w:pPr>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1台</w:t>
            </w:r>
          </w:p>
        </w:tc>
        <w:tc>
          <w:tcPr>
            <w:tcW w:w="2688" w:type="dxa"/>
            <w:vAlign w:val="center"/>
          </w:tcPr>
          <w:p w14:paraId="71816EC4">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w:t>
            </w:r>
          </w:p>
        </w:tc>
      </w:tr>
      <w:tr w14:paraId="3D7E7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760" w:type="dxa"/>
            <w:vAlign w:val="center"/>
          </w:tcPr>
          <w:p w14:paraId="4841D63A">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4</w:t>
            </w:r>
          </w:p>
        </w:tc>
        <w:tc>
          <w:tcPr>
            <w:tcW w:w="2602" w:type="dxa"/>
            <w:vAlign w:val="center"/>
          </w:tcPr>
          <w:p w14:paraId="197CFD5D">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医用诊断X射线透视</w:t>
            </w:r>
          </w:p>
          <w:p w14:paraId="04138A43">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摄影系统</w:t>
            </w:r>
          </w:p>
        </w:tc>
        <w:tc>
          <w:tcPr>
            <w:tcW w:w="2142" w:type="dxa"/>
            <w:vAlign w:val="center"/>
          </w:tcPr>
          <w:p w14:paraId="611018C0">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岛津D</w:t>
            </w:r>
            <w:r>
              <w:rPr>
                <w:rFonts w:ascii="宋体" w:hAnsi="宋体" w:eastAsia="宋体" w:cs="Times New Roman"/>
                <w:sz w:val="24"/>
                <w:szCs w:val="24"/>
                <w:highlight w:val="none"/>
              </w:rPr>
              <w:t>-vision</w:t>
            </w:r>
          </w:p>
        </w:tc>
        <w:tc>
          <w:tcPr>
            <w:tcW w:w="765" w:type="dxa"/>
            <w:vAlign w:val="center"/>
          </w:tcPr>
          <w:p w14:paraId="32E58609">
            <w:pPr>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1台</w:t>
            </w:r>
          </w:p>
        </w:tc>
        <w:tc>
          <w:tcPr>
            <w:tcW w:w="2688" w:type="dxa"/>
            <w:vAlign w:val="center"/>
          </w:tcPr>
          <w:p w14:paraId="2E66CC03">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w:t>
            </w:r>
          </w:p>
        </w:tc>
      </w:tr>
      <w:tr w14:paraId="76A57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760" w:type="dxa"/>
            <w:vAlign w:val="center"/>
          </w:tcPr>
          <w:p w14:paraId="19797C0C">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5</w:t>
            </w:r>
          </w:p>
        </w:tc>
        <w:tc>
          <w:tcPr>
            <w:tcW w:w="2602" w:type="dxa"/>
            <w:vAlign w:val="center"/>
          </w:tcPr>
          <w:p w14:paraId="06024F96">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数字化医用X射线</w:t>
            </w:r>
          </w:p>
          <w:p w14:paraId="740EC4C7">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摄影系统DR机</w:t>
            </w:r>
          </w:p>
        </w:tc>
        <w:tc>
          <w:tcPr>
            <w:tcW w:w="2142" w:type="dxa"/>
            <w:vAlign w:val="center"/>
          </w:tcPr>
          <w:p w14:paraId="7359CFAB">
            <w:pPr>
              <w:widowControl/>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富士 FUJIFILM DR CALNEO</w:t>
            </w:r>
          </w:p>
        </w:tc>
        <w:tc>
          <w:tcPr>
            <w:tcW w:w="765" w:type="dxa"/>
            <w:vAlign w:val="center"/>
          </w:tcPr>
          <w:p w14:paraId="53B2B3D4">
            <w:pPr>
              <w:spacing w:line="240" w:lineRule="auto"/>
              <w:jc w:val="left"/>
              <w:rPr>
                <w:rFonts w:ascii="宋体" w:hAnsi="宋体" w:eastAsia="宋体" w:cs="Times New Roman"/>
                <w:sz w:val="24"/>
                <w:szCs w:val="24"/>
                <w:highlight w:val="none"/>
              </w:rPr>
            </w:pPr>
            <w:r>
              <w:rPr>
                <w:rFonts w:hint="eastAsia" w:ascii="宋体" w:hAnsi="宋体" w:eastAsia="宋体" w:cs="Times New Roman"/>
                <w:sz w:val="24"/>
                <w:szCs w:val="24"/>
                <w:highlight w:val="none"/>
              </w:rPr>
              <w:t>1台</w:t>
            </w:r>
          </w:p>
        </w:tc>
        <w:tc>
          <w:tcPr>
            <w:tcW w:w="2688" w:type="dxa"/>
            <w:vAlign w:val="center"/>
          </w:tcPr>
          <w:p w14:paraId="6E89F68D">
            <w:pPr>
              <w:widowControl/>
              <w:spacing w:line="240" w:lineRule="auto"/>
              <w:jc w:val="center"/>
              <w:rPr>
                <w:rFonts w:ascii="宋体" w:hAnsi="宋体" w:eastAsia="宋体" w:cs="Times New Roman"/>
                <w:sz w:val="24"/>
                <w:szCs w:val="24"/>
                <w:highlight w:val="none"/>
              </w:rPr>
            </w:pPr>
            <w:r>
              <w:rPr>
                <w:rFonts w:hint="eastAsia" w:ascii="宋体" w:hAnsi="宋体" w:eastAsia="宋体" w:cs="Times New Roman"/>
                <w:sz w:val="24"/>
                <w:szCs w:val="24"/>
                <w:highlight w:val="none"/>
              </w:rPr>
              <w:t>/</w:t>
            </w:r>
          </w:p>
        </w:tc>
      </w:tr>
    </w:tbl>
    <w:p w14:paraId="03DFB5E4">
      <w:pPr>
        <w:spacing w:line="360" w:lineRule="auto"/>
        <w:rPr>
          <w:b/>
          <w:sz w:val="24"/>
          <w:szCs w:val="24"/>
          <w:highlight w:val="none"/>
        </w:rPr>
      </w:pPr>
      <w:r>
        <w:rPr>
          <w:rFonts w:hint="eastAsia"/>
          <w:b/>
          <w:sz w:val="24"/>
          <w:szCs w:val="24"/>
          <w:highlight w:val="none"/>
        </w:rPr>
        <w:t>二、维保服务内容要求</w:t>
      </w:r>
    </w:p>
    <w:p w14:paraId="6588C1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w:t>
      </w:r>
      <w:r>
        <w:rPr>
          <w:rFonts w:hint="eastAsia" w:ascii="宋体" w:hAnsi="宋体" w:eastAsia="宋体" w:cs="Times New Roman"/>
          <w:sz w:val="24"/>
          <w:szCs w:val="24"/>
          <w:highlight w:val="none"/>
        </w:rPr>
        <w:t>服务范围：</w:t>
      </w:r>
    </w:p>
    <w:p w14:paraId="71287E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Times New Roman"/>
          <w:sz w:val="24"/>
          <w:szCs w:val="24"/>
          <w:highlight w:val="none"/>
        </w:rPr>
      </w:pPr>
      <w:r>
        <w:rPr>
          <w:rFonts w:hint="eastAsia" w:ascii="宋体" w:hAnsi="宋体" w:eastAsia="宋体" w:cs="Times New Roman"/>
          <w:sz w:val="24"/>
          <w:szCs w:val="24"/>
          <w:highlight w:val="none"/>
        </w:rPr>
        <w:t>（1）CT设备</w:t>
      </w:r>
      <w:r>
        <w:rPr>
          <w:rFonts w:ascii="宋体" w:hAnsi="宋体" w:eastAsia="宋体" w:cs="宋体"/>
          <w:kern w:val="0"/>
          <w:sz w:val="24"/>
          <w:szCs w:val="24"/>
          <w:highlight w:val="none"/>
        </w:rPr>
        <w:t>整机全保(球管</w:t>
      </w:r>
      <w:r>
        <w:rPr>
          <w:rFonts w:hint="eastAsia" w:ascii="宋体" w:hAnsi="宋体" w:eastAsia="宋体" w:cs="宋体"/>
          <w:kern w:val="0"/>
          <w:sz w:val="24"/>
          <w:szCs w:val="24"/>
          <w:highlight w:val="none"/>
        </w:rPr>
        <w:t>除外</w:t>
      </w:r>
      <w:r>
        <w:rPr>
          <w:rFonts w:ascii="宋体" w:hAnsi="宋体" w:eastAsia="宋体" w:cs="宋体"/>
          <w:kern w:val="0"/>
          <w:sz w:val="24"/>
          <w:szCs w:val="24"/>
          <w:highlight w:val="none"/>
        </w:rPr>
        <w:t>)</w:t>
      </w:r>
      <w:r>
        <w:rPr>
          <w:rFonts w:hint="eastAsia" w:ascii="宋体" w:hAnsi="宋体" w:eastAsia="宋体" w:cs="Times New Roman"/>
          <w:sz w:val="24"/>
          <w:szCs w:val="24"/>
          <w:highlight w:val="none"/>
        </w:rPr>
        <w:t>。</w:t>
      </w:r>
    </w:p>
    <w:p w14:paraId="3E98B7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Times New Roman"/>
          <w:sz w:val="24"/>
          <w:szCs w:val="24"/>
          <w:highlight w:val="none"/>
        </w:rPr>
      </w:pPr>
      <w:r>
        <w:rPr>
          <w:rFonts w:hint="eastAsia" w:ascii="宋体" w:hAnsi="宋体" w:eastAsia="宋体" w:cs="Times New Roman"/>
          <w:sz w:val="24"/>
          <w:szCs w:val="24"/>
          <w:highlight w:val="none"/>
        </w:rPr>
        <w:t>（</w:t>
      </w:r>
      <w:r>
        <w:rPr>
          <w:rFonts w:ascii="宋体" w:hAnsi="宋体" w:eastAsia="宋体" w:cs="Times New Roman"/>
          <w:sz w:val="24"/>
          <w:szCs w:val="24"/>
          <w:highlight w:val="none"/>
        </w:rPr>
        <w:t>2</w:t>
      </w:r>
      <w:r>
        <w:rPr>
          <w:rFonts w:hint="eastAsia" w:ascii="宋体" w:hAnsi="宋体" w:eastAsia="宋体" w:cs="Times New Roman"/>
          <w:sz w:val="24"/>
          <w:szCs w:val="24"/>
          <w:highlight w:val="none"/>
        </w:rPr>
        <w:t>）数字胃肠、X射线系统</w:t>
      </w:r>
      <w:r>
        <w:rPr>
          <w:rFonts w:ascii="宋体" w:hAnsi="宋体" w:eastAsia="宋体" w:cs="宋体"/>
          <w:kern w:val="0"/>
          <w:sz w:val="24"/>
          <w:szCs w:val="24"/>
          <w:highlight w:val="none"/>
        </w:rPr>
        <w:t>整机全保包括整机软硬件(不包括球管、探测器或影像增强器)维保</w:t>
      </w:r>
      <w:r>
        <w:rPr>
          <w:rFonts w:hint="eastAsia" w:ascii="宋体" w:hAnsi="宋体" w:eastAsia="宋体" w:cs="Times New Roman"/>
          <w:sz w:val="24"/>
          <w:szCs w:val="24"/>
          <w:highlight w:val="none"/>
        </w:rPr>
        <w:t>。</w:t>
      </w:r>
    </w:p>
    <w:p w14:paraId="1535D6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Times New Roman"/>
          <w:sz w:val="24"/>
          <w:szCs w:val="24"/>
          <w:highlight w:val="none"/>
        </w:rPr>
      </w:pPr>
      <w:r>
        <w:rPr>
          <w:rFonts w:hint="eastAsia" w:ascii="宋体" w:hAnsi="宋体" w:eastAsia="宋体" w:cs="Times New Roman"/>
          <w:sz w:val="24"/>
          <w:szCs w:val="24"/>
          <w:highlight w:val="none"/>
        </w:rPr>
        <w:t>2</w:t>
      </w:r>
      <w:r>
        <w:rPr>
          <w:rFonts w:ascii="宋体" w:hAnsi="宋体" w:eastAsia="宋体" w:cs="Times New Roman"/>
          <w:sz w:val="24"/>
          <w:szCs w:val="24"/>
          <w:highlight w:val="none"/>
        </w:rPr>
        <w:t>.</w:t>
      </w:r>
      <w:r>
        <w:rPr>
          <w:rFonts w:hint="eastAsia" w:ascii="宋体" w:hAnsi="宋体" w:eastAsia="宋体" w:cs="Times New Roman"/>
          <w:sz w:val="24"/>
          <w:szCs w:val="24"/>
          <w:highlight w:val="none"/>
        </w:rPr>
        <w:t>保修期内投标方按1年4次的频率派专业技术人员每季度为设备进行免费整机全面维护保养，包括</w:t>
      </w:r>
      <w:r>
        <w:rPr>
          <w:rFonts w:hint="eastAsia" w:ascii="宋体" w:hAnsi="宋体" w:eastAsia="宋体" w:cs="Times New Roman"/>
          <w:sz w:val="24"/>
          <w:szCs w:val="24"/>
          <w:highlight w:val="none"/>
          <w:lang w:val="en-US" w:eastAsia="zh-CN"/>
        </w:rPr>
        <w:t>但不限于</w:t>
      </w:r>
      <w:r>
        <w:rPr>
          <w:rFonts w:hint="eastAsia" w:ascii="宋体" w:hAnsi="宋体" w:eastAsia="宋体" w:cs="Times New Roman"/>
          <w:sz w:val="24"/>
          <w:szCs w:val="24"/>
          <w:highlight w:val="none"/>
        </w:rPr>
        <w:t>设备除尘保养、设备的安全检查、运行状态检查、影像质量检查</w:t>
      </w:r>
      <w:r>
        <w:rPr>
          <w:rFonts w:hint="eastAsia" w:ascii="宋体" w:hAnsi="宋体" w:eastAsia="宋体" w:cs="Times New Roman"/>
          <w:sz w:val="24"/>
          <w:szCs w:val="24"/>
          <w:highlight w:val="none"/>
          <w:lang w:val="en-US" w:eastAsia="zh-CN"/>
        </w:rPr>
        <w:t>等</w:t>
      </w:r>
      <w:r>
        <w:rPr>
          <w:rFonts w:hint="eastAsia" w:ascii="宋体" w:hAnsi="宋体" w:eastAsia="宋体" w:cs="Times New Roman"/>
          <w:sz w:val="24"/>
          <w:szCs w:val="24"/>
          <w:highlight w:val="none"/>
        </w:rPr>
        <w:t>。每次保养后形成正式文字报告给用户备案，包括设备是否存在问题，并提出指导和建议等。</w:t>
      </w:r>
    </w:p>
    <w:p w14:paraId="37E06E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sz w:val="24"/>
          <w:szCs w:val="24"/>
          <w:highlight w:val="none"/>
        </w:rPr>
      </w:pPr>
      <w:r>
        <w:rPr>
          <w:rFonts w:hint="eastAsia" w:ascii="宋体" w:hAnsi="宋体" w:eastAsia="宋体" w:cs="Times New Roman"/>
          <w:sz w:val="24"/>
          <w:szCs w:val="24"/>
          <w:highlight w:val="none"/>
        </w:rPr>
        <w:t>3</w:t>
      </w:r>
      <w:r>
        <w:rPr>
          <w:rFonts w:ascii="宋体" w:hAnsi="宋体" w:eastAsia="宋体" w:cs="Times New Roman"/>
          <w:sz w:val="24"/>
          <w:szCs w:val="24"/>
          <w:highlight w:val="none"/>
        </w:rPr>
        <w:t>.</w:t>
      </w:r>
      <w:r>
        <w:rPr>
          <w:rFonts w:ascii="宋体" w:hAnsi="宋体" w:eastAsia="宋体"/>
          <w:sz w:val="24"/>
          <w:szCs w:val="24"/>
          <w:highlight w:val="none"/>
        </w:rPr>
        <w:t>在线支持：协助院方技师分析及维修有关设备。在院方拨打维修热线后提供电话支援，资深工程师在线技术支持、答疑，即时诊断机器故障，制定维修方案。</w:t>
      </w:r>
    </w:p>
    <w:p w14:paraId="3F71FA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olor w:val="000000" w:themeColor="text1"/>
          <w:sz w:val="24"/>
          <w:szCs w:val="24"/>
          <w:highlight w:val="none"/>
          <w:lang w:val="en-US" w:eastAsia="zh-CN" w:bidi="mn-Mong-CN"/>
          <w14:textFill>
            <w14:solidFill>
              <w14:schemeClr w14:val="tx1"/>
            </w14:solidFill>
          </w14:textFill>
        </w:rPr>
      </w:pPr>
      <w:r>
        <w:rPr>
          <w:rFonts w:hint="eastAsia" w:ascii="宋体" w:hAnsi="宋体" w:eastAsia="宋体" w:cs="Times New Roman"/>
          <w:sz w:val="24"/>
          <w:szCs w:val="24"/>
          <w:highlight w:val="none"/>
        </w:rPr>
        <w:t>4</w:t>
      </w:r>
      <w:r>
        <w:rPr>
          <w:rFonts w:ascii="宋体" w:hAnsi="宋体" w:eastAsia="宋体" w:cs="Times New Roman"/>
          <w:sz w:val="24"/>
          <w:szCs w:val="24"/>
          <w:highlight w:val="none"/>
        </w:rPr>
        <w:t>.</w:t>
      </w:r>
      <w:r>
        <w:rPr>
          <w:rFonts w:hint="eastAsia" w:ascii="宋体" w:hAnsi="宋体" w:eastAsia="宋体"/>
          <w:sz w:val="24"/>
          <w:szCs w:val="24"/>
          <w:highlight w:val="none"/>
        </w:rPr>
        <w:t>现场维修</w:t>
      </w:r>
      <w:r>
        <w:rPr>
          <w:rFonts w:hint="eastAsia" w:ascii="宋体" w:hAnsi="宋体" w:eastAsia="宋体"/>
          <w:sz w:val="24"/>
          <w:szCs w:val="24"/>
          <w:highlight w:val="none"/>
          <w:lang w:val="en-US" w:eastAsia="zh-CN"/>
        </w:rPr>
        <w:t>及技术支持</w:t>
      </w:r>
      <w:r>
        <w:rPr>
          <w:rFonts w:hint="eastAsia" w:ascii="宋体" w:hAnsi="宋体" w:eastAsia="宋体"/>
          <w:sz w:val="24"/>
          <w:szCs w:val="24"/>
          <w:highlight w:val="none"/>
        </w:rPr>
        <w:t>：接到报修电话后，及时评估设备故障原因，派遣工程师及时前往检修设备。</w:t>
      </w:r>
      <w:r>
        <w:rPr>
          <w:rFonts w:hint="eastAsia" w:ascii="宋体" w:hAnsi="宋体" w:eastAsia="宋体"/>
          <w:sz w:val="24"/>
          <w:szCs w:val="24"/>
          <w:highlight w:val="none"/>
          <w:lang w:val="en-US" w:eastAsia="zh-CN"/>
        </w:rPr>
        <w:t>提供使用科室所需求的定期临床应用和技术操作等培训。</w:t>
      </w:r>
    </w:p>
    <w:p w14:paraId="674185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sz w:val="24"/>
          <w:szCs w:val="24"/>
          <w:highlight w:val="none"/>
        </w:rPr>
      </w:pPr>
      <w:r>
        <w:rPr>
          <w:rFonts w:hint="eastAsia" w:ascii="宋体" w:hAnsi="宋体" w:eastAsia="宋体"/>
          <w:sz w:val="24"/>
          <w:szCs w:val="24"/>
          <w:highlight w:val="none"/>
        </w:rPr>
        <w:t>5.响应时间：接到采购人故障申请后</w:t>
      </w:r>
      <w:r>
        <w:rPr>
          <w:rFonts w:hint="eastAsia" w:ascii="宋体" w:hAnsi="宋体" w:eastAsia="宋体"/>
          <w:sz w:val="24"/>
          <w:szCs w:val="24"/>
          <w:highlight w:val="none"/>
          <w:lang w:val="en-US" w:eastAsia="zh-CN"/>
        </w:rPr>
        <w:t>30分钟</w:t>
      </w:r>
      <w:r>
        <w:rPr>
          <w:rFonts w:hint="eastAsia" w:ascii="宋体" w:hAnsi="宋体" w:eastAsia="宋体"/>
          <w:sz w:val="24"/>
          <w:szCs w:val="24"/>
          <w:highlight w:val="none"/>
        </w:rPr>
        <w:t>内电话响应，如需现场服务，工程师</w:t>
      </w:r>
      <w:r>
        <w:rPr>
          <w:rFonts w:hint="eastAsia" w:ascii="宋体" w:hAnsi="宋体" w:eastAsia="宋体"/>
          <w:sz w:val="24"/>
          <w:szCs w:val="24"/>
          <w:highlight w:val="none"/>
          <w:lang w:val="en-US" w:eastAsia="zh-CN"/>
        </w:rPr>
        <w:t>4</w:t>
      </w:r>
      <w:r>
        <w:rPr>
          <w:rFonts w:hint="eastAsia" w:ascii="宋体" w:hAnsi="宋体" w:eastAsia="宋体"/>
          <w:sz w:val="24"/>
          <w:szCs w:val="24"/>
          <w:highlight w:val="none"/>
        </w:rPr>
        <w:t>小时内到达服务现场</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提供响应时间和到达时间的可行性方案</w:t>
      </w:r>
      <w:r>
        <w:rPr>
          <w:rFonts w:hint="eastAsia" w:ascii="宋体" w:hAnsi="宋体" w:eastAsia="宋体"/>
          <w:sz w:val="24"/>
          <w:szCs w:val="24"/>
          <w:highlight w:val="none"/>
          <w:lang w:eastAsia="zh-CN"/>
        </w:rPr>
        <w:t>）</w:t>
      </w:r>
      <w:r>
        <w:rPr>
          <w:rFonts w:hint="eastAsia" w:ascii="宋体" w:hAnsi="宋体" w:eastAsia="宋体"/>
          <w:sz w:val="24"/>
          <w:szCs w:val="24"/>
          <w:highlight w:val="none"/>
        </w:rPr>
        <w:t>。</w:t>
      </w:r>
    </w:p>
    <w:p w14:paraId="5DBB469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olor w:val="000000" w:themeColor="text1"/>
          <w:sz w:val="24"/>
          <w:szCs w:val="24"/>
          <w:highlight w:val="none"/>
          <w:lang w:bidi="mn-Mong-CN"/>
          <w14:textFill>
            <w14:solidFill>
              <w14:schemeClr w14:val="tx1"/>
            </w14:solidFill>
          </w14:textFill>
        </w:rPr>
      </w:pPr>
      <w:r>
        <w:rPr>
          <w:rFonts w:hint="eastAsia" w:ascii="宋体" w:hAnsi="宋体" w:eastAsia="宋体" w:cs="Times New Roman"/>
          <w:sz w:val="24"/>
          <w:szCs w:val="24"/>
          <w:highlight w:val="none"/>
        </w:rPr>
        <w:t>6</w:t>
      </w:r>
      <w:r>
        <w:rPr>
          <w:rFonts w:ascii="宋体" w:hAnsi="宋体" w:eastAsia="宋体" w:cs="Times New Roman"/>
          <w:sz w:val="24"/>
          <w:szCs w:val="24"/>
          <w:highlight w:val="none"/>
        </w:rPr>
        <w:t>.</w:t>
      </w:r>
      <w:r>
        <w:rPr>
          <w:rFonts w:hint="eastAsia" w:ascii="宋体" w:hAnsi="宋体" w:eastAsia="宋体"/>
          <w:color w:val="000000" w:themeColor="text1"/>
          <w:sz w:val="24"/>
          <w:szCs w:val="24"/>
          <w:highlight w:val="none"/>
          <w:lang w:bidi="mn-Mong-CN"/>
          <w14:textFill>
            <w14:solidFill>
              <w14:schemeClr w14:val="tx1"/>
            </w14:solidFill>
          </w14:textFill>
        </w:rPr>
        <w:t>工程师资质：要求具备经验丰富的专业工程师服务队伍，提供快速优质的现场技术服务。</w:t>
      </w:r>
    </w:p>
    <w:p w14:paraId="32E6C7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szCs w:val="24"/>
          <w:highlight w:val="none"/>
        </w:rPr>
      </w:pPr>
      <w:r>
        <w:rPr>
          <w:rFonts w:hint="eastAsia" w:ascii="宋体" w:hAnsi="宋体" w:eastAsia="宋体" w:cs="Times New Roman"/>
          <w:sz w:val="24"/>
          <w:szCs w:val="24"/>
          <w:highlight w:val="none"/>
        </w:rPr>
        <w:t>7</w:t>
      </w:r>
      <w:r>
        <w:rPr>
          <w:rFonts w:ascii="宋体" w:hAnsi="宋体" w:eastAsia="宋体" w:cs="Times New Roman"/>
          <w:sz w:val="24"/>
          <w:szCs w:val="24"/>
          <w:highlight w:val="none"/>
        </w:rPr>
        <w:t>.</w:t>
      </w:r>
      <w:r>
        <w:rPr>
          <w:rFonts w:hint="eastAsia" w:ascii="宋体" w:hAnsi="宋体" w:eastAsia="宋体"/>
          <w:color w:val="000000" w:themeColor="text1"/>
          <w:sz w:val="24"/>
          <w:szCs w:val="24"/>
          <w:highlight w:val="none"/>
          <w:lang w:bidi="mn-Mong-CN"/>
          <w14:textFill>
            <w14:solidFill>
              <w14:schemeClr w14:val="tx1"/>
            </w14:solidFill>
          </w14:textFill>
        </w:rPr>
        <w:t>开机率保证：按照一年</w:t>
      </w:r>
      <w:r>
        <w:rPr>
          <w:rFonts w:ascii="宋体" w:hAnsi="宋体" w:eastAsia="宋体"/>
          <w:color w:val="000000" w:themeColor="text1"/>
          <w:sz w:val="24"/>
          <w:szCs w:val="24"/>
          <w:highlight w:val="none"/>
          <w:lang w:bidi="mn-Mong-CN"/>
          <w14:textFill>
            <w14:solidFill>
              <w14:schemeClr w14:val="tx1"/>
            </w14:solidFill>
          </w14:textFill>
        </w:rPr>
        <w:t>365</w:t>
      </w:r>
      <w:r>
        <w:rPr>
          <w:rFonts w:hint="eastAsia" w:ascii="宋体" w:hAnsi="宋体" w:eastAsia="宋体"/>
          <w:color w:val="000000" w:themeColor="text1"/>
          <w:sz w:val="24"/>
          <w:szCs w:val="24"/>
          <w:highlight w:val="none"/>
          <w:lang w:bidi="mn-Mong-CN"/>
          <w14:textFill>
            <w14:solidFill>
              <w14:schemeClr w14:val="tx1"/>
            </w14:solidFill>
          </w14:textFill>
        </w:rPr>
        <w:t>天计算，开机率保证9</w:t>
      </w:r>
      <w:r>
        <w:rPr>
          <w:rFonts w:ascii="宋体" w:hAnsi="宋体" w:eastAsia="宋体"/>
          <w:color w:val="000000" w:themeColor="text1"/>
          <w:sz w:val="24"/>
          <w:szCs w:val="24"/>
          <w:highlight w:val="none"/>
          <w:lang w:bidi="mn-Mong-CN"/>
          <w14:textFill>
            <w14:solidFill>
              <w14:schemeClr w14:val="tx1"/>
            </w14:solidFill>
          </w14:textFill>
        </w:rPr>
        <w:t>8</w:t>
      </w:r>
      <w:r>
        <w:rPr>
          <w:rFonts w:hint="eastAsia" w:ascii="宋体" w:hAnsi="宋体" w:eastAsia="宋体"/>
          <w:color w:val="000000" w:themeColor="text1"/>
          <w:sz w:val="24"/>
          <w:szCs w:val="24"/>
          <w:highlight w:val="none"/>
          <w:lang w:bidi="mn-Mong-CN"/>
          <w14:textFill>
            <w14:solidFill>
              <w14:schemeClr w14:val="tx1"/>
            </w14:solidFill>
          </w14:textFill>
        </w:rPr>
        <w:t>%以上，即设备维保每年故障期超过</w:t>
      </w:r>
      <w:r>
        <w:rPr>
          <w:rFonts w:ascii="宋体" w:hAnsi="宋体" w:eastAsia="宋体"/>
          <w:color w:val="000000" w:themeColor="text1"/>
          <w:sz w:val="24"/>
          <w:szCs w:val="24"/>
          <w:highlight w:val="none"/>
          <w:lang w:bidi="mn-Mong-CN"/>
          <w14:textFill>
            <w14:solidFill>
              <w14:schemeClr w14:val="tx1"/>
            </w14:solidFill>
          </w14:textFill>
        </w:rPr>
        <w:t>2</w:t>
      </w:r>
      <w:r>
        <w:rPr>
          <w:rFonts w:hint="eastAsia" w:ascii="宋体" w:hAnsi="宋体" w:eastAsia="宋体"/>
          <w:color w:val="000000" w:themeColor="text1"/>
          <w:sz w:val="24"/>
          <w:szCs w:val="24"/>
          <w:highlight w:val="none"/>
          <w:lang w:bidi="mn-Mong-CN"/>
          <w14:textFill>
            <w14:solidFill>
              <w14:schemeClr w14:val="tx1"/>
            </w14:solidFill>
          </w14:textFill>
        </w:rPr>
        <w:t>%以后，</w:t>
      </w:r>
      <w:r>
        <w:rPr>
          <w:rFonts w:hint="eastAsia" w:ascii="宋体" w:hAnsi="宋体" w:eastAsia="宋体" w:cs="宋体"/>
          <w:sz w:val="24"/>
          <w:szCs w:val="24"/>
          <w:highlight w:val="none"/>
        </w:rPr>
        <w:t>延迟1日，服务期顺延2个自然日。</w:t>
      </w:r>
    </w:p>
    <w:p w14:paraId="4A798A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Times New Roman"/>
          <w:sz w:val="24"/>
          <w:szCs w:val="24"/>
          <w:highlight w:val="none"/>
        </w:rPr>
      </w:pPr>
      <w:r>
        <w:rPr>
          <w:rFonts w:hint="eastAsia" w:ascii="宋体" w:hAnsi="宋体" w:eastAsia="宋体" w:cs="Times New Roman"/>
          <w:sz w:val="24"/>
          <w:szCs w:val="24"/>
          <w:highlight w:val="none"/>
        </w:rPr>
        <w:t>8</w:t>
      </w:r>
      <w:r>
        <w:rPr>
          <w:rFonts w:ascii="宋体" w:hAnsi="宋体" w:eastAsia="宋体" w:cs="Times New Roman"/>
          <w:sz w:val="24"/>
          <w:szCs w:val="24"/>
          <w:highlight w:val="none"/>
        </w:rPr>
        <w:t>.</w:t>
      </w:r>
      <w:r>
        <w:rPr>
          <w:rFonts w:hint="eastAsia" w:ascii="宋体" w:hAnsi="宋体" w:eastAsia="宋体" w:cs="Times New Roman"/>
          <w:sz w:val="24"/>
          <w:szCs w:val="24"/>
          <w:highlight w:val="none"/>
        </w:rPr>
        <w:t>投标方应有</w:t>
      </w:r>
      <w:r>
        <w:rPr>
          <w:rFonts w:hint="eastAsia" w:ascii="宋体" w:hAnsi="宋体" w:eastAsia="宋体" w:cs="Times New Roman"/>
          <w:sz w:val="24"/>
          <w:szCs w:val="24"/>
          <w:highlight w:val="none"/>
          <w:lang w:val="en-US" w:eastAsia="zh-CN"/>
        </w:rPr>
        <w:t>同类设备</w:t>
      </w:r>
      <w:r>
        <w:rPr>
          <w:rFonts w:hint="eastAsia" w:ascii="宋体" w:hAnsi="宋体" w:eastAsia="宋体" w:cs="Times New Roman"/>
          <w:sz w:val="24"/>
          <w:szCs w:val="24"/>
          <w:highlight w:val="none"/>
        </w:rPr>
        <w:t>常用备件库，并确保所更换的备件能满足设备正常运行且不会给设备带来任何损害。</w:t>
      </w:r>
    </w:p>
    <w:p w14:paraId="4D3F56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szCs w:val="24"/>
          <w:highlight w:val="none"/>
          <w:lang w:val="zh-TW"/>
        </w:rPr>
      </w:pPr>
      <w:r>
        <w:rPr>
          <w:rFonts w:hint="eastAsia" w:ascii="宋体" w:hAnsi="宋体" w:eastAsia="宋体" w:cs="Times New Roman"/>
          <w:sz w:val="24"/>
          <w:szCs w:val="24"/>
          <w:highlight w:val="none"/>
        </w:rPr>
        <w:t>9</w:t>
      </w:r>
      <w:r>
        <w:rPr>
          <w:rFonts w:ascii="宋体" w:hAnsi="宋体" w:eastAsia="宋体" w:cs="Times New Roman"/>
          <w:sz w:val="24"/>
          <w:szCs w:val="24"/>
          <w:highlight w:val="none"/>
        </w:rPr>
        <w:t>.</w:t>
      </w:r>
      <w:r>
        <w:rPr>
          <w:rFonts w:hint="eastAsia" w:ascii="宋体" w:hAnsi="宋体" w:eastAsia="宋体" w:cs="宋体"/>
          <w:sz w:val="24"/>
          <w:szCs w:val="24"/>
          <w:highlight w:val="none"/>
          <w:lang w:val="zh-TW"/>
        </w:rPr>
        <w:t>每次维修或保养结束后需提供书面保养、维修报告，经使用科室负责人和</w:t>
      </w:r>
      <w:r>
        <w:rPr>
          <w:rFonts w:hint="eastAsia" w:ascii="宋体" w:hAnsi="宋体" w:eastAsia="宋体" w:cs="宋体"/>
          <w:sz w:val="24"/>
          <w:szCs w:val="24"/>
          <w:highlight w:val="none"/>
          <w:lang w:val="en-US" w:eastAsia="zh-CN"/>
        </w:rPr>
        <w:t>器械科负责人</w:t>
      </w:r>
      <w:r>
        <w:rPr>
          <w:rFonts w:hint="eastAsia" w:ascii="宋体" w:hAnsi="宋体" w:eastAsia="宋体" w:cs="宋体"/>
          <w:sz w:val="24"/>
          <w:szCs w:val="24"/>
          <w:highlight w:val="none"/>
          <w:lang w:val="zh-TW"/>
        </w:rPr>
        <w:t>签字认可后，方可视为单次保养、维修结束。</w:t>
      </w:r>
    </w:p>
    <w:p w14:paraId="5EF07B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szCs w:val="24"/>
          <w:highlight w:val="none"/>
          <w:lang w:val="zh-TW"/>
        </w:rPr>
      </w:pPr>
      <w:r>
        <w:rPr>
          <w:rFonts w:hint="eastAsia" w:ascii="宋体" w:hAnsi="宋体" w:eastAsia="宋体" w:cs="Times New Roman"/>
          <w:sz w:val="24"/>
          <w:szCs w:val="24"/>
          <w:highlight w:val="none"/>
        </w:rPr>
        <w:t>1</w:t>
      </w:r>
      <w:r>
        <w:rPr>
          <w:rFonts w:ascii="宋体" w:hAnsi="宋体" w:eastAsia="宋体" w:cs="Times New Roman"/>
          <w:sz w:val="24"/>
          <w:szCs w:val="24"/>
          <w:highlight w:val="none"/>
        </w:rPr>
        <w:t>0.</w:t>
      </w:r>
      <w:r>
        <w:rPr>
          <w:rFonts w:hint="eastAsia" w:ascii="宋体" w:hAnsi="宋体" w:eastAsia="宋体" w:cs="宋体"/>
          <w:sz w:val="24"/>
          <w:szCs w:val="24"/>
          <w:highlight w:val="none"/>
          <w:lang w:val="zh-TW"/>
        </w:rPr>
        <w:t>维保服务期内工程师维修费、差旅费、食宿费、人工费等费用均涵盖于投标人投标文件的报价中。</w:t>
      </w:r>
    </w:p>
    <w:p w14:paraId="30DF290B">
      <w:pPr>
        <w:bidi w:val="0"/>
        <w:jc w:val="center"/>
        <w:rPr>
          <w:rFonts w:hint="eastAsia"/>
          <w:b/>
          <w:color w:val="auto"/>
          <w:sz w:val="36"/>
          <w:szCs w:val="36"/>
          <w:highlight w:val="none"/>
        </w:rPr>
      </w:pPr>
    </w:p>
    <w:p w14:paraId="32EDBE92">
      <w:pPr>
        <w:bidi w:val="0"/>
        <w:jc w:val="center"/>
        <w:rPr>
          <w:rFonts w:hint="eastAsia"/>
          <w:b/>
          <w:color w:val="auto"/>
          <w:sz w:val="36"/>
          <w:szCs w:val="36"/>
          <w:highlight w:val="none"/>
        </w:rPr>
      </w:pPr>
    </w:p>
    <w:p w14:paraId="68EA8762">
      <w:pPr>
        <w:bidi w:val="0"/>
        <w:jc w:val="center"/>
        <w:rPr>
          <w:rFonts w:hint="eastAsia"/>
          <w:b/>
          <w:color w:val="auto"/>
          <w:sz w:val="36"/>
          <w:szCs w:val="36"/>
          <w:highlight w:val="none"/>
        </w:rPr>
      </w:pPr>
    </w:p>
    <w:p w14:paraId="6C124D9D">
      <w:pPr>
        <w:bidi w:val="0"/>
        <w:jc w:val="center"/>
        <w:rPr>
          <w:rFonts w:hint="eastAsia"/>
          <w:b/>
          <w:color w:val="auto"/>
          <w:sz w:val="36"/>
          <w:szCs w:val="36"/>
          <w:highlight w:val="none"/>
        </w:rPr>
      </w:pPr>
    </w:p>
    <w:p w14:paraId="6249AEEE">
      <w:pPr>
        <w:bidi w:val="0"/>
        <w:jc w:val="center"/>
        <w:rPr>
          <w:rFonts w:hint="eastAsia"/>
          <w:b/>
          <w:color w:val="auto"/>
          <w:sz w:val="36"/>
          <w:szCs w:val="36"/>
          <w:highlight w:val="none"/>
        </w:rPr>
      </w:pPr>
    </w:p>
    <w:p w14:paraId="05B2D66F">
      <w:pPr>
        <w:bidi w:val="0"/>
        <w:jc w:val="center"/>
        <w:rPr>
          <w:rFonts w:hint="eastAsia"/>
          <w:b/>
          <w:color w:val="auto"/>
          <w:sz w:val="36"/>
          <w:szCs w:val="36"/>
          <w:highlight w:val="none"/>
        </w:rPr>
      </w:pPr>
    </w:p>
    <w:p w14:paraId="3D212F6D">
      <w:pPr>
        <w:rPr>
          <w:rFonts w:hint="eastAsia"/>
          <w:b/>
          <w:color w:val="auto"/>
          <w:sz w:val="36"/>
          <w:szCs w:val="36"/>
          <w:highlight w:val="none"/>
        </w:rPr>
      </w:pPr>
      <w:r>
        <w:rPr>
          <w:rFonts w:hint="eastAsia"/>
          <w:b/>
          <w:color w:val="auto"/>
          <w:sz w:val="36"/>
          <w:szCs w:val="36"/>
          <w:highlight w:val="none"/>
        </w:rPr>
        <w:br w:type="page"/>
      </w:r>
    </w:p>
    <w:p w14:paraId="7457D02E">
      <w:pPr>
        <w:bidi w:val="0"/>
        <w:jc w:val="center"/>
        <w:rPr>
          <w:b/>
          <w:bCs/>
          <w:color w:val="auto"/>
          <w:sz w:val="36"/>
          <w:szCs w:val="36"/>
          <w:highlight w:val="none"/>
        </w:rPr>
      </w:pPr>
      <w:r>
        <w:rPr>
          <w:rFonts w:hint="eastAsia"/>
          <w:b/>
          <w:color w:val="auto"/>
          <w:sz w:val="36"/>
          <w:szCs w:val="36"/>
          <w:highlight w:val="none"/>
          <w:lang w:val="en-US" w:eastAsia="zh-CN"/>
        </w:rPr>
        <w:t xml:space="preserve">第四章 </w:t>
      </w:r>
      <w:r>
        <w:rPr>
          <w:rFonts w:hint="eastAsia"/>
          <w:b/>
          <w:color w:val="auto"/>
          <w:sz w:val="36"/>
          <w:szCs w:val="36"/>
          <w:highlight w:val="none"/>
        </w:rPr>
        <w:t>评审方法</w:t>
      </w:r>
      <w:bookmarkEnd w:id="10"/>
      <w:bookmarkEnd w:id="11"/>
      <w:bookmarkEnd w:id="12"/>
    </w:p>
    <w:bookmarkEnd w:id="13"/>
    <w:p w14:paraId="5F046945">
      <w:pPr>
        <w:pStyle w:val="2"/>
        <w:spacing w:line="240" w:lineRule="auto"/>
        <w:jc w:val="center"/>
        <w:rPr>
          <w:rFonts w:hint="eastAsia" w:ascii="宋体" w:hAnsi="宋体" w:cs="宋体"/>
          <w:b w:val="0"/>
          <w:color w:val="auto"/>
          <w:sz w:val="32"/>
          <w:highlight w:val="none"/>
        </w:rPr>
      </w:pPr>
      <w:r>
        <w:rPr>
          <w:rFonts w:hint="eastAsia" w:ascii="宋体" w:hAnsi="宋体" w:cs="宋体"/>
          <w:color w:val="auto"/>
          <w:sz w:val="28"/>
          <w:szCs w:val="28"/>
          <w:highlight w:val="none"/>
        </w:rPr>
        <w:t xml:space="preserve"> </w:t>
      </w:r>
      <w:bookmarkStart w:id="14" w:name="_Toc12246"/>
      <w:bookmarkStart w:id="15" w:name="_Toc8695"/>
      <w:r>
        <w:rPr>
          <w:rFonts w:hint="eastAsia" w:ascii="宋体" w:hAnsi="宋体" w:cs="宋体"/>
          <w:color w:val="auto"/>
          <w:sz w:val="32"/>
          <w:highlight w:val="none"/>
        </w:rPr>
        <w:t>资格审查记录表</w:t>
      </w:r>
      <w:bookmarkEnd w:id="14"/>
      <w:bookmarkEnd w:id="15"/>
    </w:p>
    <w:p w14:paraId="4B86A2A9">
      <w:pPr>
        <w:jc w:val="left"/>
        <w:rPr>
          <w:rFonts w:hint="eastAsia" w:ascii="宋体" w:hAnsi="宋体" w:cs="宋体"/>
          <w:color w:val="auto"/>
          <w:highlight w:val="none"/>
        </w:rPr>
      </w:pPr>
      <w:r>
        <w:rPr>
          <w:rFonts w:hint="eastAsia" w:ascii="宋体" w:hAnsi="宋体" w:cs="宋体"/>
          <w:color w:val="auto"/>
          <w:highlight w:val="none"/>
        </w:rPr>
        <w:t>项目名称：</w:t>
      </w:r>
    </w:p>
    <w:p w14:paraId="2F0A6D15">
      <w:pPr>
        <w:jc w:val="left"/>
        <w:rPr>
          <w:rFonts w:hint="eastAsia" w:ascii="宋体" w:hAnsi="宋体" w:cs="宋体"/>
          <w:b/>
          <w:color w:val="auto"/>
          <w:sz w:val="32"/>
          <w:highlight w:val="none"/>
        </w:rPr>
      </w:pPr>
      <w:r>
        <w:rPr>
          <w:rFonts w:hint="eastAsia" w:ascii="宋体" w:hAnsi="宋体" w:cs="宋体"/>
          <w:color w:val="auto"/>
          <w:highlight w:val="none"/>
        </w:rPr>
        <w:t>项目编号：</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284"/>
        <w:gridCol w:w="3782"/>
        <w:gridCol w:w="1871"/>
        <w:gridCol w:w="492"/>
        <w:gridCol w:w="518"/>
        <w:gridCol w:w="484"/>
      </w:tblGrid>
      <w:tr w14:paraId="004B1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98" w:type="dxa"/>
            <w:vMerge w:val="restart"/>
            <w:noWrap w:val="0"/>
            <w:vAlign w:val="center"/>
          </w:tcPr>
          <w:p w14:paraId="08AC1686">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序号</w:t>
            </w:r>
          </w:p>
        </w:tc>
        <w:tc>
          <w:tcPr>
            <w:tcW w:w="1284" w:type="dxa"/>
            <w:vMerge w:val="restart"/>
            <w:noWrap w:val="0"/>
            <w:vAlign w:val="center"/>
          </w:tcPr>
          <w:p w14:paraId="250979F3">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审查内容</w:t>
            </w:r>
          </w:p>
        </w:tc>
        <w:tc>
          <w:tcPr>
            <w:tcW w:w="5653" w:type="dxa"/>
            <w:gridSpan w:val="2"/>
            <w:vMerge w:val="restart"/>
            <w:noWrap w:val="0"/>
            <w:vAlign w:val="center"/>
          </w:tcPr>
          <w:p w14:paraId="4B61E2FE">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合格条件</w:t>
            </w:r>
          </w:p>
        </w:tc>
        <w:tc>
          <w:tcPr>
            <w:tcW w:w="1494" w:type="dxa"/>
            <w:gridSpan w:val="3"/>
            <w:noWrap w:val="0"/>
            <w:vAlign w:val="center"/>
          </w:tcPr>
          <w:p w14:paraId="71614B8F">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供货商名称</w:t>
            </w:r>
          </w:p>
        </w:tc>
      </w:tr>
      <w:tr w14:paraId="75149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98" w:type="dxa"/>
            <w:vMerge w:val="continue"/>
            <w:noWrap w:val="0"/>
            <w:vAlign w:val="center"/>
          </w:tcPr>
          <w:p w14:paraId="215F1BB3">
            <w:pPr>
              <w:autoSpaceDE w:val="0"/>
              <w:autoSpaceDN w:val="0"/>
              <w:adjustRightInd w:val="0"/>
              <w:spacing w:line="280" w:lineRule="exact"/>
              <w:jc w:val="center"/>
              <w:rPr>
                <w:rFonts w:ascii="宋体" w:hAnsi="宋体" w:cs="宋体"/>
                <w:color w:val="auto"/>
                <w:szCs w:val="21"/>
                <w:highlight w:val="none"/>
                <w:lang w:val="zh-CN"/>
              </w:rPr>
            </w:pPr>
          </w:p>
        </w:tc>
        <w:tc>
          <w:tcPr>
            <w:tcW w:w="1284" w:type="dxa"/>
            <w:vMerge w:val="continue"/>
            <w:noWrap w:val="0"/>
            <w:vAlign w:val="center"/>
          </w:tcPr>
          <w:p w14:paraId="689485A3">
            <w:pPr>
              <w:autoSpaceDE w:val="0"/>
              <w:autoSpaceDN w:val="0"/>
              <w:adjustRightInd w:val="0"/>
              <w:spacing w:line="280" w:lineRule="exact"/>
              <w:jc w:val="center"/>
              <w:rPr>
                <w:rFonts w:ascii="宋体" w:hAnsi="宋体" w:cs="宋体"/>
                <w:color w:val="auto"/>
                <w:szCs w:val="21"/>
                <w:highlight w:val="none"/>
                <w:lang w:val="zh-CN"/>
              </w:rPr>
            </w:pPr>
          </w:p>
        </w:tc>
        <w:tc>
          <w:tcPr>
            <w:tcW w:w="5653" w:type="dxa"/>
            <w:gridSpan w:val="2"/>
            <w:vMerge w:val="continue"/>
            <w:noWrap w:val="0"/>
            <w:vAlign w:val="center"/>
          </w:tcPr>
          <w:p w14:paraId="3D5C5993">
            <w:pPr>
              <w:autoSpaceDE w:val="0"/>
              <w:autoSpaceDN w:val="0"/>
              <w:adjustRightInd w:val="0"/>
              <w:spacing w:line="280" w:lineRule="exact"/>
              <w:jc w:val="center"/>
              <w:rPr>
                <w:rFonts w:ascii="宋体" w:hAnsi="宋体" w:cs="宋体"/>
                <w:color w:val="auto"/>
                <w:szCs w:val="21"/>
                <w:highlight w:val="none"/>
                <w:lang w:val="zh-CN"/>
              </w:rPr>
            </w:pPr>
          </w:p>
        </w:tc>
        <w:tc>
          <w:tcPr>
            <w:tcW w:w="492" w:type="dxa"/>
            <w:noWrap w:val="0"/>
            <w:vAlign w:val="center"/>
          </w:tcPr>
          <w:p w14:paraId="2E90C8B4">
            <w:pPr>
              <w:autoSpaceDE w:val="0"/>
              <w:autoSpaceDN w:val="0"/>
              <w:adjustRightInd w:val="0"/>
              <w:spacing w:line="280" w:lineRule="exact"/>
              <w:jc w:val="center"/>
              <w:rPr>
                <w:rFonts w:ascii="宋体" w:hAnsi="宋体" w:cs="宋体"/>
                <w:color w:val="auto"/>
                <w:szCs w:val="21"/>
                <w:highlight w:val="none"/>
                <w:lang w:val="zh-CN"/>
              </w:rPr>
            </w:pPr>
          </w:p>
        </w:tc>
        <w:tc>
          <w:tcPr>
            <w:tcW w:w="518" w:type="dxa"/>
            <w:noWrap w:val="0"/>
            <w:vAlign w:val="center"/>
          </w:tcPr>
          <w:p w14:paraId="6E253357">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2D4D0F65">
            <w:pPr>
              <w:autoSpaceDE w:val="0"/>
              <w:autoSpaceDN w:val="0"/>
              <w:adjustRightInd w:val="0"/>
              <w:spacing w:line="280" w:lineRule="exact"/>
              <w:jc w:val="center"/>
              <w:rPr>
                <w:rFonts w:ascii="宋体" w:hAnsi="宋体" w:cs="宋体"/>
                <w:color w:val="auto"/>
                <w:szCs w:val="21"/>
                <w:highlight w:val="none"/>
                <w:lang w:val="zh-CN"/>
              </w:rPr>
            </w:pPr>
          </w:p>
        </w:tc>
      </w:tr>
      <w:tr w14:paraId="08E04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98" w:type="dxa"/>
            <w:noWrap w:val="0"/>
            <w:vAlign w:val="center"/>
          </w:tcPr>
          <w:p w14:paraId="206DF8C8">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1</w:t>
            </w:r>
          </w:p>
        </w:tc>
        <w:tc>
          <w:tcPr>
            <w:tcW w:w="1284" w:type="dxa"/>
            <w:noWrap w:val="0"/>
            <w:vAlign w:val="center"/>
          </w:tcPr>
          <w:p w14:paraId="674372AD">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ascii="宋体" w:hAnsi="宋体"/>
                <w:color w:val="auto"/>
                <w:szCs w:val="21"/>
                <w:highlight w:val="none"/>
              </w:rPr>
            </w:pPr>
            <w:r>
              <w:rPr>
                <w:rFonts w:hint="eastAsia" w:ascii="宋体" w:hAnsi="宋体" w:cs="宋体"/>
                <w:bCs/>
                <w:color w:val="auto"/>
                <w:sz w:val="21"/>
                <w:szCs w:val="21"/>
                <w:highlight w:val="none"/>
                <w:lang w:val="zh-CN"/>
              </w:rPr>
              <w:t>营业执照</w:t>
            </w:r>
          </w:p>
        </w:tc>
        <w:tc>
          <w:tcPr>
            <w:tcW w:w="5653" w:type="dxa"/>
            <w:gridSpan w:val="2"/>
            <w:noWrap w:val="0"/>
            <w:vAlign w:val="center"/>
          </w:tcPr>
          <w:p w14:paraId="2FD9EDF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rPr>
              <w:t>具备有效的营业执照</w:t>
            </w:r>
            <w:r>
              <w:rPr>
                <w:rFonts w:hint="eastAsia" w:ascii="宋体" w:hAnsi="宋体" w:eastAsia="宋体" w:cs="宋体"/>
                <w:bCs/>
                <w:color w:val="auto"/>
                <w:sz w:val="21"/>
                <w:szCs w:val="21"/>
                <w:highlight w:val="none"/>
                <w:lang w:val="zh-CN" w:eastAsia="zh-CN"/>
              </w:rPr>
              <w:t>；</w:t>
            </w:r>
          </w:p>
          <w:p w14:paraId="76A45EF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ascii="宋体" w:hAnsi="宋体"/>
                <w:color w:val="auto"/>
                <w:szCs w:val="21"/>
                <w:highlight w:val="none"/>
              </w:rPr>
            </w:pPr>
            <w:r>
              <w:rPr>
                <w:rFonts w:hint="eastAsia" w:ascii="宋体" w:hAnsi="宋体" w:eastAsia="宋体" w:cs="宋体"/>
                <w:bCs/>
                <w:color w:val="auto"/>
                <w:sz w:val="21"/>
                <w:szCs w:val="21"/>
                <w:highlight w:val="none"/>
                <w:lang w:val="zh-CN" w:eastAsia="zh-CN"/>
              </w:rPr>
              <w:t>响应</w:t>
            </w:r>
            <w:r>
              <w:rPr>
                <w:rFonts w:hint="eastAsia" w:ascii="宋体" w:hAnsi="宋体" w:eastAsia="宋体" w:cs="宋体"/>
                <w:bCs/>
                <w:color w:val="auto"/>
                <w:sz w:val="21"/>
                <w:szCs w:val="21"/>
                <w:highlight w:val="none"/>
                <w:lang w:val="zh-CN"/>
              </w:rPr>
              <w:t>文件内附营业执照（副本）复印件加盖</w:t>
            </w: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公章</w:t>
            </w:r>
            <w:r>
              <w:rPr>
                <w:rFonts w:hint="eastAsia" w:ascii="宋体" w:hAnsi="宋体" w:eastAsia="宋体" w:cs="宋体"/>
                <w:bCs/>
                <w:color w:val="auto"/>
                <w:sz w:val="21"/>
                <w:szCs w:val="21"/>
                <w:highlight w:val="none"/>
                <w:lang w:val="zh-CN" w:eastAsia="zh-CN"/>
              </w:rPr>
              <w:t>。</w:t>
            </w:r>
          </w:p>
        </w:tc>
        <w:tc>
          <w:tcPr>
            <w:tcW w:w="492" w:type="dxa"/>
            <w:noWrap w:val="0"/>
            <w:vAlign w:val="center"/>
          </w:tcPr>
          <w:p w14:paraId="0B4FDC36">
            <w:pPr>
              <w:autoSpaceDE w:val="0"/>
              <w:autoSpaceDN w:val="0"/>
              <w:adjustRightInd w:val="0"/>
              <w:spacing w:line="280" w:lineRule="exact"/>
              <w:jc w:val="center"/>
              <w:rPr>
                <w:rFonts w:ascii="宋体" w:hAnsi="宋体" w:cs="宋体"/>
                <w:color w:val="auto"/>
                <w:szCs w:val="21"/>
                <w:highlight w:val="none"/>
                <w:lang w:val="zh-CN"/>
              </w:rPr>
            </w:pPr>
          </w:p>
        </w:tc>
        <w:tc>
          <w:tcPr>
            <w:tcW w:w="518" w:type="dxa"/>
            <w:noWrap w:val="0"/>
            <w:vAlign w:val="center"/>
          </w:tcPr>
          <w:p w14:paraId="5FBC1B49">
            <w:pPr>
              <w:autoSpaceDE w:val="0"/>
              <w:autoSpaceDN w:val="0"/>
              <w:adjustRightInd w:val="0"/>
              <w:spacing w:line="280" w:lineRule="exact"/>
              <w:jc w:val="center"/>
              <w:rPr>
                <w:rFonts w:ascii="宋体" w:hAnsi="宋体" w:cs="宋体"/>
                <w:color w:val="auto"/>
                <w:szCs w:val="21"/>
                <w:highlight w:val="none"/>
                <w:lang w:val="zh-CN"/>
              </w:rPr>
            </w:pPr>
          </w:p>
        </w:tc>
        <w:tc>
          <w:tcPr>
            <w:tcW w:w="484" w:type="dxa"/>
            <w:tcBorders>
              <w:right w:val="single" w:color="auto" w:sz="4" w:space="0"/>
            </w:tcBorders>
            <w:noWrap w:val="0"/>
            <w:vAlign w:val="center"/>
          </w:tcPr>
          <w:p w14:paraId="6609E889">
            <w:pPr>
              <w:autoSpaceDE w:val="0"/>
              <w:autoSpaceDN w:val="0"/>
              <w:adjustRightInd w:val="0"/>
              <w:spacing w:line="280" w:lineRule="exact"/>
              <w:jc w:val="center"/>
              <w:rPr>
                <w:rFonts w:ascii="宋体" w:hAnsi="宋体" w:cs="宋体"/>
                <w:color w:val="auto"/>
                <w:szCs w:val="21"/>
                <w:highlight w:val="none"/>
                <w:lang w:val="zh-CN"/>
              </w:rPr>
            </w:pPr>
          </w:p>
        </w:tc>
      </w:tr>
      <w:tr w14:paraId="22828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98" w:type="dxa"/>
            <w:noWrap w:val="0"/>
            <w:vAlign w:val="center"/>
          </w:tcPr>
          <w:p w14:paraId="3C983DEB">
            <w:pPr>
              <w:autoSpaceDE w:val="0"/>
              <w:autoSpaceDN w:val="0"/>
              <w:adjustRightInd w:val="0"/>
              <w:spacing w:line="280" w:lineRule="exact"/>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c>
          <w:tcPr>
            <w:tcW w:w="1284" w:type="dxa"/>
            <w:noWrap w:val="0"/>
            <w:vAlign w:val="center"/>
          </w:tcPr>
          <w:p w14:paraId="0D2C39D2">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资质要求</w:t>
            </w:r>
          </w:p>
        </w:tc>
        <w:tc>
          <w:tcPr>
            <w:tcW w:w="5653" w:type="dxa"/>
            <w:gridSpan w:val="2"/>
            <w:noWrap w:val="0"/>
            <w:vAlign w:val="center"/>
          </w:tcPr>
          <w:p w14:paraId="571D124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①投标供应商为生产企业的，应提供食品药品监督管理部门颁发的《医疗器械生产许可证》或在有效期内的《医疗器械生产企业许可证》；</w:t>
            </w:r>
          </w:p>
          <w:p w14:paraId="3356059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 xml:space="preserve"> ②投标供应商为经营企业的，应提供食品药品监督管理部门颁发的《第二类医疗器械经营备案凭证》或有效期内的《医疗器械经营企业许可证》。</w:t>
            </w:r>
          </w:p>
          <w:p w14:paraId="4555CC7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响应</w:t>
            </w:r>
            <w:r>
              <w:rPr>
                <w:rFonts w:hint="eastAsia" w:ascii="宋体" w:hAnsi="宋体" w:eastAsia="宋体" w:cs="宋体"/>
                <w:bCs/>
                <w:color w:val="auto"/>
                <w:sz w:val="21"/>
                <w:szCs w:val="21"/>
                <w:highlight w:val="none"/>
                <w:lang w:val="zh-CN"/>
              </w:rPr>
              <w:t>文件内</w:t>
            </w:r>
            <w:r>
              <w:rPr>
                <w:rFonts w:hint="eastAsia" w:ascii="宋体" w:hAnsi="宋体" w:eastAsia="宋体" w:cs="宋体"/>
                <w:bCs/>
                <w:color w:val="auto"/>
                <w:sz w:val="21"/>
                <w:szCs w:val="21"/>
                <w:highlight w:val="none"/>
                <w:lang w:val="en-US" w:eastAsia="zh-CN"/>
              </w:rPr>
              <w:t>附资质证书</w:t>
            </w:r>
            <w:r>
              <w:rPr>
                <w:rFonts w:hint="eastAsia" w:ascii="宋体" w:hAnsi="宋体" w:eastAsia="宋体" w:cs="宋体"/>
                <w:bCs/>
                <w:color w:val="auto"/>
                <w:sz w:val="21"/>
                <w:szCs w:val="21"/>
                <w:highlight w:val="none"/>
                <w:lang w:val="zh-CN"/>
              </w:rPr>
              <w:t>复印件加盖</w:t>
            </w:r>
            <w:r>
              <w:rPr>
                <w:rFonts w:hint="eastAsia" w:ascii="宋体" w:hAnsi="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公章</w:t>
            </w:r>
            <w:r>
              <w:rPr>
                <w:rFonts w:hint="eastAsia" w:ascii="宋体" w:hAnsi="宋体" w:eastAsia="宋体" w:cs="宋体"/>
                <w:bCs/>
                <w:color w:val="auto"/>
                <w:sz w:val="21"/>
                <w:szCs w:val="21"/>
                <w:highlight w:val="none"/>
                <w:lang w:val="zh-CN" w:eastAsia="zh-CN"/>
              </w:rPr>
              <w:t>。</w:t>
            </w:r>
          </w:p>
        </w:tc>
        <w:tc>
          <w:tcPr>
            <w:tcW w:w="492" w:type="dxa"/>
            <w:noWrap w:val="0"/>
            <w:vAlign w:val="center"/>
          </w:tcPr>
          <w:p w14:paraId="30B8EF2D">
            <w:pPr>
              <w:autoSpaceDE w:val="0"/>
              <w:autoSpaceDN w:val="0"/>
              <w:adjustRightInd w:val="0"/>
              <w:spacing w:line="280" w:lineRule="exact"/>
              <w:jc w:val="center"/>
              <w:rPr>
                <w:rFonts w:ascii="宋体" w:hAnsi="宋体" w:cs="宋体"/>
                <w:color w:val="auto"/>
                <w:szCs w:val="21"/>
                <w:highlight w:val="none"/>
                <w:lang w:val="zh-CN"/>
              </w:rPr>
            </w:pPr>
          </w:p>
        </w:tc>
        <w:tc>
          <w:tcPr>
            <w:tcW w:w="518" w:type="dxa"/>
            <w:noWrap w:val="0"/>
            <w:vAlign w:val="center"/>
          </w:tcPr>
          <w:p w14:paraId="2C529D18">
            <w:pPr>
              <w:autoSpaceDE w:val="0"/>
              <w:autoSpaceDN w:val="0"/>
              <w:adjustRightInd w:val="0"/>
              <w:spacing w:line="280" w:lineRule="exact"/>
              <w:jc w:val="center"/>
              <w:rPr>
                <w:rFonts w:ascii="宋体" w:hAnsi="宋体" w:cs="宋体"/>
                <w:color w:val="auto"/>
                <w:szCs w:val="21"/>
                <w:highlight w:val="none"/>
                <w:lang w:val="zh-CN"/>
              </w:rPr>
            </w:pPr>
          </w:p>
        </w:tc>
        <w:tc>
          <w:tcPr>
            <w:tcW w:w="484" w:type="dxa"/>
            <w:tcBorders>
              <w:right w:val="single" w:color="auto" w:sz="4" w:space="0"/>
            </w:tcBorders>
            <w:noWrap w:val="0"/>
            <w:vAlign w:val="center"/>
          </w:tcPr>
          <w:p w14:paraId="71CAE871">
            <w:pPr>
              <w:autoSpaceDE w:val="0"/>
              <w:autoSpaceDN w:val="0"/>
              <w:adjustRightInd w:val="0"/>
              <w:spacing w:line="280" w:lineRule="exact"/>
              <w:jc w:val="center"/>
              <w:rPr>
                <w:rFonts w:ascii="宋体" w:hAnsi="宋体" w:cs="宋体"/>
                <w:color w:val="auto"/>
                <w:szCs w:val="21"/>
                <w:highlight w:val="none"/>
                <w:lang w:val="zh-CN"/>
              </w:rPr>
            </w:pPr>
          </w:p>
        </w:tc>
      </w:tr>
      <w:tr w14:paraId="144B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98" w:type="dxa"/>
            <w:noWrap w:val="0"/>
            <w:vAlign w:val="center"/>
          </w:tcPr>
          <w:p w14:paraId="10210F95">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84" w:type="dxa"/>
            <w:noWrap w:val="0"/>
            <w:vAlign w:val="center"/>
          </w:tcPr>
          <w:p w14:paraId="132974B8">
            <w:pPr>
              <w:keepLines w:val="0"/>
              <w:widowControl w:val="0"/>
              <w:snapToGrid/>
              <w:spacing w:before="0" w:beforeAutospacing="0" w:after="0" w:afterAutospacing="0" w:line="360" w:lineRule="auto"/>
              <w:jc w:val="center"/>
              <w:textAlignment w:val="baseline"/>
              <w:rPr>
                <w:rFonts w:hint="eastAsia" w:ascii="宋体" w:hAnsi="宋体"/>
                <w:color w:val="auto"/>
                <w:szCs w:val="21"/>
                <w:highlight w:val="none"/>
              </w:rPr>
            </w:pPr>
            <w:r>
              <w:rPr>
                <w:rFonts w:hint="eastAsia" w:ascii="宋体" w:hAnsi="宋体" w:cs="宋体"/>
                <w:b w:val="0"/>
                <w:bCs/>
                <w:i w:val="0"/>
                <w:caps w:val="0"/>
                <w:color w:val="auto"/>
                <w:spacing w:val="0"/>
                <w:w w:val="100"/>
                <w:sz w:val="21"/>
                <w:szCs w:val="21"/>
                <w:highlight w:val="none"/>
                <w:lang w:val="zh-CN"/>
              </w:rPr>
              <w:t>财务要求</w:t>
            </w:r>
          </w:p>
        </w:tc>
        <w:tc>
          <w:tcPr>
            <w:tcW w:w="5653" w:type="dxa"/>
            <w:gridSpan w:val="2"/>
            <w:noWrap w:val="0"/>
            <w:vAlign w:val="center"/>
          </w:tcPr>
          <w:p w14:paraId="563D64D1">
            <w:pPr>
              <w:keepLines w:val="0"/>
              <w:widowControl w:val="0"/>
              <w:snapToGrid/>
              <w:spacing w:before="0" w:beforeAutospacing="0" w:after="0" w:afterAutospacing="0" w:line="360" w:lineRule="auto"/>
              <w:jc w:val="left"/>
              <w:textAlignment w:val="baseline"/>
              <w:rPr>
                <w:rFonts w:hint="eastAsia" w:ascii="宋体" w:hAnsi="宋体" w:cs="宋体"/>
                <w:color w:val="auto"/>
                <w:sz w:val="21"/>
                <w:szCs w:val="21"/>
                <w:highlight w:val="none"/>
                <w:lang w:eastAsia="zh-CN"/>
              </w:rPr>
            </w:pPr>
            <w:r>
              <w:rPr>
                <w:rFonts w:hint="eastAsia" w:cs="宋体"/>
                <w:b w:val="0"/>
                <w:bCs/>
                <w:color w:val="auto"/>
                <w:szCs w:val="21"/>
                <w:highlight w:val="none"/>
                <w:lang w:val="en-US" w:eastAsia="zh-CN"/>
              </w:rPr>
              <w:t>供应商</w:t>
            </w:r>
            <w:r>
              <w:rPr>
                <w:rFonts w:hint="eastAsia" w:cs="宋体"/>
                <w:b w:val="0"/>
                <w:bCs/>
                <w:color w:val="auto"/>
                <w:szCs w:val="21"/>
                <w:highlight w:val="none"/>
                <w:lang w:eastAsia="zh-CN"/>
              </w:rPr>
              <w:t>参加采购活动应当提交反映其财务状况、依法缴纳税收和社会保障资金情况的资格条件承诺函，并对资格条件承诺函有关内容的真实性、有效性、合法性负责</w:t>
            </w:r>
            <w:r>
              <w:rPr>
                <w:rFonts w:hint="eastAsia" w:cs="宋体"/>
                <w:b w:val="0"/>
                <w:bCs/>
                <w:color w:val="auto"/>
                <w:szCs w:val="21"/>
                <w:highlight w:val="none"/>
                <w:lang w:val="zh-CN" w:eastAsia="zh-CN"/>
              </w:rPr>
              <w:t>（执行长财采购〔202</w:t>
            </w:r>
            <w:r>
              <w:rPr>
                <w:rFonts w:hint="eastAsia" w:cs="宋体"/>
                <w:b w:val="0"/>
                <w:bCs/>
                <w:color w:val="auto"/>
                <w:szCs w:val="21"/>
                <w:highlight w:val="none"/>
                <w:lang w:eastAsia="zh-CN"/>
              </w:rPr>
              <w:t>2</w:t>
            </w:r>
            <w:r>
              <w:rPr>
                <w:rFonts w:hint="eastAsia" w:cs="宋体"/>
                <w:b w:val="0"/>
                <w:bCs/>
                <w:color w:val="auto"/>
                <w:szCs w:val="21"/>
                <w:highlight w:val="none"/>
                <w:lang w:val="zh-CN" w:eastAsia="zh-CN"/>
              </w:rPr>
              <w:t>〕2066号文件规定）</w:t>
            </w:r>
            <w:r>
              <w:rPr>
                <w:rFonts w:hint="eastAsia" w:ascii="宋体" w:hAnsi="宋体" w:cs="宋体"/>
                <w:color w:val="auto"/>
                <w:sz w:val="21"/>
                <w:szCs w:val="21"/>
                <w:highlight w:val="none"/>
                <w:lang w:eastAsia="zh-CN"/>
              </w:rPr>
              <w:t>。</w:t>
            </w:r>
          </w:p>
          <w:p w14:paraId="6B02C489">
            <w:pPr>
              <w:keepLines w:val="0"/>
              <w:widowControl w:val="0"/>
              <w:snapToGrid/>
              <w:spacing w:before="0" w:beforeAutospacing="0" w:after="0" w:afterAutospacing="0" w:line="360" w:lineRule="auto"/>
              <w:jc w:val="left"/>
              <w:textAlignment w:val="baseline"/>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响应文件内附承诺函并加盖供应商单位公章。</w:t>
            </w:r>
          </w:p>
        </w:tc>
        <w:tc>
          <w:tcPr>
            <w:tcW w:w="492" w:type="dxa"/>
            <w:noWrap w:val="0"/>
            <w:vAlign w:val="center"/>
          </w:tcPr>
          <w:p w14:paraId="1D0C5BC8">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45435118">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36FEC0C5">
            <w:pPr>
              <w:autoSpaceDE w:val="0"/>
              <w:autoSpaceDN w:val="0"/>
              <w:adjustRightInd w:val="0"/>
              <w:spacing w:line="280" w:lineRule="exact"/>
              <w:jc w:val="center"/>
              <w:rPr>
                <w:rFonts w:ascii="宋体" w:hAnsi="宋体" w:cs="宋体"/>
                <w:color w:val="auto"/>
                <w:szCs w:val="21"/>
                <w:highlight w:val="none"/>
                <w:lang w:val="zh-CN"/>
              </w:rPr>
            </w:pPr>
          </w:p>
        </w:tc>
      </w:tr>
      <w:tr w14:paraId="1FA65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98" w:type="dxa"/>
            <w:noWrap w:val="0"/>
            <w:vAlign w:val="center"/>
          </w:tcPr>
          <w:p w14:paraId="41BE793C">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284" w:type="dxa"/>
            <w:noWrap w:val="0"/>
            <w:vAlign w:val="center"/>
          </w:tcPr>
          <w:p w14:paraId="7544EE52">
            <w:pPr>
              <w:keepLines w:val="0"/>
              <w:widowControl w:val="0"/>
              <w:snapToGrid/>
              <w:spacing w:before="0" w:beforeAutospacing="0" w:after="0" w:afterAutospacing="0" w:line="360" w:lineRule="auto"/>
              <w:jc w:val="center"/>
              <w:textAlignment w:val="baseline"/>
              <w:rPr>
                <w:rFonts w:hint="eastAsia" w:ascii="宋体" w:hAnsi="宋体"/>
                <w:color w:val="auto"/>
                <w:szCs w:val="21"/>
                <w:highlight w:val="none"/>
              </w:rPr>
            </w:pPr>
            <w:r>
              <w:rPr>
                <w:rFonts w:hint="eastAsia" w:ascii="宋体" w:hAnsi="宋体" w:cs="宋体"/>
                <w:b w:val="0"/>
                <w:bCs/>
                <w:i w:val="0"/>
                <w:caps w:val="0"/>
                <w:color w:val="auto"/>
                <w:spacing w:val="0"/>
                <w:w w:val="100"/>
                <w:sz w:val="21"/>
                <w:szCs w:val="21"/>
                <w:highlight w:val="none"/>
                <w:lang w:val="zh-CN"/>
              </w:rPr>
              <w:t>信誉要求</w:t>
            </w:r>
          </w:p>
        </w:tc>
        <w:tc>
          <w:tcPr>
            <w:tcW w:w="5653" w:type="dxa"/>
            <w:gridSpan w:val="2"/>
            <w:noWrap w:val="0"/>
            <w:vAlign w:val="center"/>
          </w:tcPr>
          <w:p w14:paraId="07ACAF0D">
            <w:pPr>
              <w:keepLines w:val="0"/>
              <w:widowControl w:val="0"/>
              <w:snapToGrid/>
              <w:spacing w:before="0" w:beforeAutospacing="0" w:after="0" w:afterAutospacing="0" w:line="360" w:lineRule="auto"/>
              <w:jc w:val="left"/>
              <w:textAlignment w:val="baseline"/>
              <w:rPr>
                <w:rFonts w:hint="eastAsia" w:cs="宋体"/>
                <w:b w:val="0"/>
                <w:bCs/>
                <w:color w:val="auto"/>
                <w:szCs w:val="21"/>
                <w:highlight w:val="none"/>
                <w:lang w:val="en-US" w:eastAsia="zh-CN"/>
              </w:rPr>
            </w:pPr>
            <w:r>
              <w:rPr>
                <w:rFonts w:hint="eastAsia" w:cs="宋体"/>
                <w:b w:val="0"/>
                <w:bCs/>
                <w:color w:val="auto"/>
                <w:szCs w:val="21"/>
                <w:highlight w:val="none"/>
                <w:lang w:val="en-US" w:eastAsia="zh-CN"/>
              </w:rPr>
              <w:t>（1）拒绝列入政府取消投标资格记录期间的企业或个人投标（2）供应商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在2022年至今供应商在“中国裁判文书网”(wenshu.court.gov.cn)上无行贿犯罪行为；</w:t>
            </w:r>
          </w:p>
          <w:p w14:paraId="0A5BEBE8">
            <w:pPr>
              <w:keepLines w:val="0"/>
              <w:widowControl w:val="0"/>
              <w:snapToGrid/>
              <w:spacing w:before="0" w:beforeAutospacing="0" w:after="0" w:afterAutospacing="0" w:line="360" w:lineRule="auto"/>
              <w:jc w:val="left"/>
              <w:textAlignment w:val="baseline"/>
              <w:rPr>
                <w:rFonts w:hint="eastAsia" w:ascii="宋体" w:hAnsi="宋体"/>
                <w:color w:val="auto"/>
                <w:szCs w:val="21"/>
                <w:highlight w:val="none"/>
                <w:lang w:val="zh-CN"/>
              </w:rPr>
            </w:pPr>
            <w:r>
              <w:rPr>
                <w:rFonts w:hint="eastAsia" w:cs="宋体"/>
                <w:b w:val="0"/>
                <w:bCs/>
                <w:color w:val="auto"/>
                <w:szCs w:val="21"/>
                <w:highlight w:val="none"/>
                <w:lang w:val="en-US" w:eastAsia="zh-CN"/>
              </w:rPr>
              <w:t>以上提供法定代表人或委托代理人签字或盖章的承诺书。</w:t>
            </w:r>
          </w:p>
        </w:tc>
        <w:tc>
          <w:tcPr>
            <w:tcW w:w="492" w:type="dxa"/>
            <w:noWrap w:val="0"/>
            <w:vAlign w:val="center"/>
          </w:tcPr>
          <w:p w14:paraId="54F82697">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7E8D193A">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06860D71">
            <w:pPr>
              <w:autoSpaceDE w:val="0"/>
              <w:autoSpaceDN w:val="0"/>
              <w:adjustRightInd w:val="0"/>
              <w:spacing w:line="280" w:lineRule="exact"/>
              <w:jc w:val="center"/>
              <w:rPr>
                <w:rFonts w:ascii="宋体" w:hAnsi="宋体" w:cs="宋体"/>
                <w:color w:val="auto"/>
                <w:szCs w:val="21"/>
                <w:highlight w:val="none"/>
                <w:lang w:val="zh-CN"/>
              </w:rPr>
            </w:pPr>
          </w:p>
        </w:tc>
      </w:tr>
      <w:tr w14:paraId="0F3C2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798" w:type="dxa"/>
            <w:noWrap w:val="0"/>
            <w:vAlign w:val="center"/>
          </w:tcPr>
          <w:p w14:paraId="5935D525">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c>
          <w:tcPr>
            <w:tcW w:w="1284" w:type="dxa"/>
            <w:noWrap w:val="0"/>
            <w:vAlign w:val="center"/>
          </w:tcPr>
          <w:p w14:paraId="621842ED">
            <w:pPr>
              <w:keepNext w:val="0"/>
              <w:keepLines w:val="0"/>
              <w:pageBreakBefore w:val="0"/>
              <w:kinsoku/>
              <w:wordWrap/>
              <w:overflowPunct/>
              <w:topLinePunct w:val="0"/>
              <w:autoSpaceDE w:val="0"/>
              <w:autoSpaceDN w:val="0"/>
              <w:bidi w:val="0"/>
              <w:adjustRightInd/>
              <w:snapToGrid/>
              <w:spacing w:line="240" w:lineRule="atLeast"/>
              <w:jc w:val="center"/>
              <w:textAlignment w:val="auto"/>
              <w:rPr>
                <w:rFonts w:hint="eastAsia" w:ascii="宋体" w:hAnsi="宋体"/>
                <w:color w:val="auto"/>
                <w:szCs w:val="21"/>
                <w:highlight w:val="none"/>
              </w:rPr>
            </w:pPr>
            <w:r>
              <w:rPr>
                <w:rFonts w:hint="eastAsia" w:ascii="宋体" w:hAnsi="宋体" w:eastAsia="宋体" w:cs="宋体"/>
                <w:b w:val="0"/>
                <w:bCs/>
                <w:i w:val="0"/>
                <w:caps w:val="0"/>
                <w:color w:val="auto"/>
                <w:spacing w:val="0"/>
                <w:w w:val="100"/>
                <w:sz w:val="21"/>
                <w:szCs w:val="21"/>
                <w:highlight w:val="none"/>
                <w:lang w:val="en-US" w:eastAsia="zh-CN"/>
              </w:rPr>
              <w:t>承诺书</w:t>
            </w:r>
          </w:p>
        </w:tc>
        <w:tc>
          <w:tcPr>
            <w:tcW w:w="5653" w:type="dxa"/>
            <w:gridSpan w:val="2"/>
            <w:noWrap w:val="0"/>
            <w:vAlign w:val="center"/>
          </w:tcPr>
          <w:p w14:paraId="3EEA6FE4">
            <w:pPr>
              <w:keepNext w:val="0"/>
              <w:keepLines w:val="0"/>
              <w:pageBreakBefore w:val="0"/>
              <w:kinsoku/>
              <w:wordWrap/>
              <w:overflowPunct/>
              <w:topLinePunct w:val="0"/>
              <w:autoSpaceDE w:val="0"/>
              <w:autoSpaceDN w:val="0"/>
              <w:bidi w:val="0"/>
              <w:adjustRightInd/>
              <w:snapToGrid/>
              <w:spacing w:line="240" w:lineRule="atLeast"/>
              <w:jc w:val="left"/>
              <w:textAlignment w:val="auto"/>
              <w:rPr>
                <w:rFonts w:hint="eastAsia" w:ascii="宋体" w:hAnsi="宋体" w:cs="宋体"/>
                <w:color w:val="auto"/>
                <w:szCs w:val="21"/>
                <w:highlight w:val="none"/>
                <w:lang w:val="zh-CN"/>
              </w:rPr>
            </w:pPr>
            <w:r>
              <w:rPr>
                <w:rFonts w:hint="eastAsia" w:eastAsia="宋体" w:cs="宋体"/>
                <w:b w:val="0"/>
                <w:bCs/>
                <w:color w:val="auto"/>
                <w:szCs w:val="21"/>
                <w:highlight w:val="none"/>
                <w:lang w:val="zh-CN" w:eastAsia="zh-CN"/>
              </w:rPr>
              <w:t>与采购人存在利害关系可能影响招标公正性的法人、其他组织或者个人，不得参加投标。</w:t>
            </w:r>
            <w:r>
              <w:rPr>
                <w:rFonts w:hint="eastAsia" w:hAnsi="宋体"/>
                <w:color w:val="auto"/>
                <w:szCs w:val="21"/>
                <w:highlight w:val="none"/>
              </w:rPr>
              <w:t>单位负责人为同一人或者存在直接控股、管理关系的不同供应商参加同一合同项下</w:t>
            </w:r>
            <w:r>
              <w:rPr>
                <w:rFonts w:hint="eastAsia"/>
                <w:color w:val="auto"/>
                <w:szCs w:val="21"/>
                <w:highlight w:val="none"/>
              </w:rPr>
              <w:t>分标</w:t>
            </w:r>
            <w:r>
              <w:rPr>
                <w:rFonts w:hint="eastAsia" w:hAnsi="宋体"/>
                <w:color w:val="auto"/>
                <w:szCs w:val="21"/>
                <w:highlight w:val="none"/>
              </w:rPr>
              <w:t>或未划分分标的同一</w:t>
            </w:r>
            <w:r>
              <w:rPr>
                <w:rFonts w:hint="eastAsia"/>
                <w:color w:val="auto"/>
                <w:szCs w:val="21"/>
                <w:highlight w:val="none"/>
              </w:rPr>
              <w:t>合同项下</w:t>
            </w:r>
            <w:r>
              <w:rPr>
                <w:rFonts w:hint="eastAsia" w:hAnsi="宋体"/>
                <w:color w:val="auto"/>
                <w:szCs w:val="21"/>
                <w:highlight w:val="none"/>
              </w:rPr>
              <w:t>的政府采购活动</w:t>
            </w:r>
            <w:r>
              <w:rPr>
                <w:rFonts w:hint="eastAsia" w:eastAsia="宋体" w:cs="宋体"/>
                <w:b w:val="0"/>
                <w:bCs/>
                <w:color w:val="auto"/>
                <w:szCs w:val="21"/>
                <w:highlight w:val="none"/>
                <w:lang w:val="zh-CN" w:eastAsia="zh-CN"/>
              </w:rPr>
              <w:t>。违反这两款规定的，相关投标应当被否决；响应文件内附由法定代表人或其委托代理人签字并加盖供应商公章的承诺书。</w:t>
            </w:r>
          </w:p>
        </w:tc>
        <w:tc>
          <w:tcPr>
            <w:tcW w:w="492" w:type="dxa"/>
            <w:noWrap w:val="0"/>
            <w:vAlign w:val="center"/>
          </w:tcPr>
          <w:p w14:paraId="788D9704">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2EC42898">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1C94A763">
            <w:pPr>
              <w:autoSpaceDE w:val="0"/>
              <w:autoSpaceDN w:val="0"/>
              <w:adjustRightInd w:val="0"/>
              <w:spacing w:line="280" w:lineRule="exact"/>
              <w:jc w:val="center"/>
              <w:rPr>
                <w:rFonts w:ascii="宋体" w:hAnsi="宋体" w:cs="宋体"/>
                <w:color w:val="auto"/>
                <w:szCs w:val="21"/>
                <w:highlight w:val="none"/>
                <w:lang w:val="zh-CN"/>
              </w:rPr>
            </w:pPr>
          </w:p>
        </w:tc>
      </w:tr>
      <w:tr w14:paraId="06C4D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98" w:type="dxa"/>
            <w:noWrap w:val="0"/>
            <w:vAlign w:val="center"/>
          </w:tcPr>
          <w:p w14:paraId="717BFFC8">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1284" w:type="dxa"/>
            <w:noWrap w:val="0"/>
            <w:vAlign w:val="center"/>
          </w:tcPr>
          <w:p w14:paraId="4631F897">
            <w:pPr>
              <w:keepLines w:val="0"/>
              <w:widowControl w:val="0"/>
              <w:snapToGrid/>
              <w:spacing w:before="0" w:beforeAutospacing="0" w:after="0" w:afterAutospacing="0" w:line="360" w:lineRule="auto"/>
              <w:jc w:val="center"/>
              <w:textAlignment w:val="baseline"/>
              <w:rPr>
                <w:rFonts w:hint="eastAsia" w:ascii="宋体" w:hAnsi="宋体"/>
                <w:color w:val="auto"/>
                <w:szCs w:val="21"/>
                <w:highlight w:val="none"/>
              </w:rPr>
            </w:pPr>
            <w:r>
              <w:rPr>
                <w:rFonts w:hint="eastAsia" w:ascii="宋体" w:hAnsi="宋体" w:eastAsia="宋体" w:cs="宋体"/>
                <w:b w:val="0"/>
                <w:bCs/>
                <w:i w:val="0"/>
                <w:caps w:val="0"/>
                <w:color w:val="auto"/>
                <w:spacing w:val="0"/>
                <w:w w:val="100"/>
                <w:sz w:val="21"/>
                <w:szCs w:val="21"/>
                <w:highlight w:val="none"/>
                <w:lang w:val="zh-CN"/>
              </w:rPr>
              <w:t>法人授权委托书</w:t>
            </w:r>
          </w:p>
        </w:tc>
        <w:tc>
          <w:tcPr>
            <w:tcW w:w="5653" w:type="dxa"/>
            <w:gridSpan w:val="2"/>
            <w:noWrap w:val="0"/>
            <w:vAlign w:val="center"/>
          </w:tcPr>
          <w:p w14:paraId="2C743A91">
            <w:pPr>
              <w:keepLines w:val="0"/>
              <w:widowControl w:val="0"/>
              <w:snapToGrid/>
              <w:spacing w:before="0" w:beforeAutospacing="0" w:after="0" w:afterAutospacing="0" w:line="360" w:lineRule="auto"/>
              <w:jc w:val="left"/>
              <w:textAlignment w:val="baseline"/>
              <w:rPr>
                <w:rFonts w:hint="eastAsia" w:ascii="宋体" w:hAnsi="宋体" w:cs="宋体"/>
                <w:color w:val="auto"/>
                <w:szCs w:val="21"/>
                <w:highlight w:val="none"/>
                <w:lang w:val="zh-CN"/>
              </w:rPr>
            </w:pPr>
            <w:r>
              <w:rPr>
                <w:rFonts w:hint="eastAsia" w:ascii="宋体" w:hAnsi="宋体" w:eastAsia="宋体" w:cs="宋体"/>
                <w:b w:val="0"/>
                <w:bCs/>
                <w:i w:val="0"/>
                <w:caps w:val="0"/>
                <w:color w:val="auto"/>
                <w:spacing w:val="0"/>
                <w:w w:val="100"/>
                <w:sz w:val="21"/>
                <w:szCs w:val="21"/>
                <w:highlight w:val="none"/>
                <w:lang w:val="zh-CN"/>
              </w:rPr>
              <w:t>非法定代表人亲自递交响应文件时提供，按</w:t>
            </w:r>
            <w:r>
              <w:rPr>
                <w:rFonts w:hint="eastAsia" w:ascii="宋体" w:hAnsi="宋体" w:cs="宋体"/>
                <w:b w:val="0"/>
                <w:bCs/>
                <w:i w:val="0"/>
                <w:caps w:val="0"/>
                <w:color w:val="auto"/>
                <w:spacing w:val="0"/>
                <w:w w:val="100"/>
                <w:sz w:val="21"/>
                <w:szCs w:val="21"/>
                <w:highlight w:val="none"/>
                <w:lang w:val="en-US" w:eastAsia="zh-CN"/>
              </w:rPr>
              <w:t>谈判</w:t>
            </w:r>
            <w:r>
              <w:rPr>
                <w:rFonts w:hint="eastAsia" w:ascii="宋体" w:hAnsi="宋体" w:eastAsia="宋体" w:cs="宋体"/>
                <w:b w:val="0"/>
                <w:bCs/>
                <w:i w:val="0"/>
                <w:caps w:val="0"/>
                <w:color w:val="auto"/>
                <w:spacing w:val="0"/>
                <w:w w:val="100"/>
                <w:sz w:val="21"/>
                <w:szCs w:val="21"/>
                <w:highlight w:val="none"/>
                <w:lang w:val="zh-CN"/>
              </w:rPr>
              <w:t>文件格式提供附到响应文件内</w:t>
            </w:r>
            <w:r>
              <w:rPr>
                <w:rFonts w:hint="eastAsia" w:ascii="宋体" w:hAnsi="宋体" w:cs="宋体"/>
                <w:b w:val="0"/>
                <w:bCs/>
                <w:i w:val="0"/>
                <w:caps w:val="0"/>
                <w:color w:val="auto"/>
                <w:spacing w:val="0"/>
                <w:w w:val="100"/>
                <w:sz w:val="21"/>
                <w:szCs w:val="21"/>
                <w:highlight w:val="none"/>
                <w:lang w:val="zh-CN"/>
              </w:rPr>
              <w:t>。</w:t>
            </w:r>
          </w:p>
        </w:tc>
        <w:tc>
          <w:tcPr>
            <w:tcW w:w="492" w:type="dxa"/>
            <w:noWrap w:val="0"/>
            <w:vAlign w:val="center"/>
          </w:tcPr>
          <w:p w14:paraId="204CAB53">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6BE4292E">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51C2CD76">
            <w:pPr>
              <w:autoSpaceDE w:val="0"/>
              <w:autoSpaceDN w:val="0"/>
              <w:adjustRightInd w:val="0"/>
              <w:spacing w:line="280" w:lineRule="exact"/>
              <w:jc w:val="center"/>
              <w:rPr>
                <w:rFonts w:ascii="宋体" w:hAnsi="宋体" w:cs="宋体"/>
                <w:color w:val="auto"/>
                <w:szCs w:val="21"/>
                <w:highlight w:val="none"/>
                <w:lang w:val="zh-CN"/>
              </w:rPr>
            </w:pPr>
          </w:p>
        </w:tc>
      </w:tr>
      <w:tr w14:paraId="368A3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98" w:type="dxa"/>
            <w:noWrap w:val="0"/>
            <w:vAlign w:val="center"/>
          </w:tcPr>
          <w:p w14:paraId="1EDA0D64">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1284" w:type="dxa"/>
            <w:noWrap w:val="0"/>
            <w:vAlign w:val="center"/>
          </w:tcPr>
          <w:p w14:paraId="60104903">
            <w:pPr>
              <w:keepLines w:val="0"/>
              <w:widowControl w:val="0"/>
              <w:snapToGrid/>
              <w:spacing w:before="0" w:beforeAutospacing="0" w:after="0" w:afterAutospacing="0" w:line="360" w:lineRule="auto"/>
              <w:jc w:val="center"/>
              <w:textAlignment w:val="baseline"/>
              <w:rPr>
                <w:rFonts w:hint="eastAsia" w:ascii="宋体" w:hAnsi="宋体"/>
                <w:color w:val="auto"/>
                <w:szCs w:val="21"/>
                <w:highlight w:val="none"/>
              </w:rPr>
            </w:pPr>
            <w:r>
              <w:rPr>
                <w:rFonts w:hint="eastAsia" w:ascii="宋体" w:hAnsi="宋体" w:eastAsia="宋体" w:cs="宋体"/>
                <w:b w:val="0"/>
                <w:bCs/>
                <w:i w:val="0"/>
                <w:caps w:val="0"/>
                <w:color w:val="auto"/>
                <w:spacing w:val="0"/>
                <w:w w:val="100"/>
                <w:sz w:val="21"/>
                <w:szCs w:val="21"/>
                <w:highlight w:val="none"/>
                <w:lang w:val="en-US" w:eastAsia="zh-CN"/>
              </w:rPr>
              <w:t>其他要求</w:t>
            </w:r>
          </w:p>
        </w:tc>
        <w:tc>
          <w:tcPr>
            <w:tcW w:w="5653" w:type="dxa"/>
            <w:gridSpan w:val="2"/>
            <w:noWrap w:val="0"/>
            <w:vAlign w:val="center"/>
          </w:tcPr>
          <w:p w14:paraId="372F4584">
            <w:pPr>
              <w:keepLines w:val="0"/>
              <w:widowControl w:val="0"/>
              <w:snapToGrid/>
              <w:spacing w:before="0" w:beforeAutospacing="0" w:after="0" w:afterAutospacing="0" w:line="360" w:lineRule="auto"/>
              <w:jc w:val="left"/>
              <w:textAlignment w:val="baseline"/>
              <w:rPr>
                <w:rFonts w:hint="eastAsia" w:ascii="宋体" w:hAnsi="宋体" w:cs="宋体"/>
                <w:color w:val="auto"/>
                <w:szCs w:val="21"/>
                <w:highlight w:val="none"/>
                <w:lang w:val="zh-CN"/>
              </w:rPr>
            </w:pPr>
            <w:r>
              <w:rPr>
                <w:rFonts w:hint="eastAsia" w:ascii="宋体" w:hAnsi="宋体" w:cs="宋体"/>
                <w:b w:val="0"/>
                <w:bCs/>
                <w:i w:val="0"/>
                <w:caps w:val="0"/>
                <w:color w:val="auto"/>
                <w:spacing w:val="0"/>
                <w:w w:val="100"/>
                <w:sz w:val="21"/>
                <w:szCs w:val="21"/>
                <w:highlight w:val="none"/>
                <w:lang w:val="en-US" w:eastAsia="zh-CN"/>
              </w:rPr>
              <w:t>谈判</w:t>
            </w:r>
            <w:r>
              <w:rPr>
                <w:rFonts w:hint="eastAsia" w:ascii="宋体" w:hAnsi="宋体" w:eastAsia="宋体" w:cs="宋体"/>
                <w:b w:val="0"/>
                <w:bCs/>
                <w:i w:val="0"/>
                <w:caps w:val="0"/>
                <w:color w:val="auto"/>
                <w:spacing w:val="0"/>
                <w:w w:val="100"/>
                <w:sz w:val="21"/>
                <w:szCs w:val="21"/>
                <w:highlight w:val="none"/>
                <w:lang w:val="zh-CN"/>
              </w:rPr>
              <w:t>过程中，供应商所提供的所有证件均需在有效期内且注册单位名称与供应商的名称一致，如企业名称发生变更，需提供主管部门出具的变更证明材料，否则不接受其供应商参与本次</w:t>
            </w:r>
            <w:r>
              <w:rPr>
                <w:rFonts w:hint="eastAsia" w:ascii="宋体" w:hAnsi="宋体" w:eastAsia="宋体" w:cs="宋体"/>
                <w:b w:val="0"/>
                <w:bCs/>
                <w:i w:val="0"/>
                <w:caps w:val="0"/>
                <w:color w:val="auto"/>
                <w:spacing w:val="0"/>
                <w:w w:val="100"/>
                <w:sz w:val="21"/>
                <w:szCs w:val="21"/>
                <w:highlight w:val="none"/>
                <w:lang w:val="en-US" w:eastAsia="zh-CN"/>
              </w:rPr>
              <w:t>采购</w:t>
            </w:r>
            <w:r>
              <w:rPr>
                <w:rFonts w:hint="eastAsia" w:ascii="宋体" w:hAnsi="宋体" w:eastAsia="宋体" w:cs="宋体"/>
                <w:b w:val="0"/>
                <w:bCs/>
                <w:i w:val="0"/>
                <w:caps w:val="0"/>
                <w:color w:val="auto"/>
                <w:spacing w:val="0"/>
                <w:w w:val="100"/>
                <w:sz w:val="21"/>
                <w:szCs w:val="21"/>
                <w:highlight w:val="none"/>
                <w:lang w:val="zh-CN"/>
              </w:rPr>
              <w:t>项目；提供法人代表或其授权委托人签字并加盖公章的承诺书。</w:t>
            </w:r>
          </w:p>
        </w:tc>
        <w:tc>
          <w:tcPr>
            <w:tcW w:w="492" w:type="dxa"/>
            <w:noWrap w:val="0"/>
            <w:vAlign w:val="center"/>
          </w:tcPr>
          <w:p w14:paraId="5EA76CD4">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379F607E">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735A0331">
            <w:pPr>
              <w:autoSpaceDE w:val="0"/>
              <w:autoSpaceDN w:val="0"/>
              <w:adjustRightInd w:val="0"/>
              <w:spacing w:line="280" w:lineRule="exact"/>
              <w:jc w:val="center"/>
              <w:rPr>
                <w:rFonts w:ascii="宋体" w:hAnsi="宋体" w:cs="宋体"/>
                <w:color w:val="auto"/>
                <w:szCs w:val="21"/>
                <w:highlight w:val="none"/>
                <w:lang w:val="zh-CN"/>
              </w:rPr>
            </w:pPr>
          </w:p>
        </w:tc>
      </w:tr>
      <w:tr w14:paraId="5274A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98" w:type="dxa"/>
            <w:noWrap w:val="0"/>
            <w:vAlign w:val="center"/>
          </w:tcPr>
          <w:p w14:paraId="1C087D6E">
            <w:pPr>
              <w:autoSpaceDE w:val="0"/>
              <w:autoSpaceDN w:val="0"/>
              <w:adjustRightInd w:val="0"/>
              <w:spacing w:line="28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8</w:t>
            </w:r>
          </w:p>
        </w:tc>
        <w:tc>
          <w:tcPr>
            <w:tcW w:w="1284" w:type="dxa"/>
            <w:noWrap w:val="0"/>
            <w:vAlign w:val="center"/>
          </w:tcPr>
          <w:p w14:paraId="1D6318A5">
            <w:pPr>
              <w:keepLines w:val="0"/>
              <w:widowControl w:val="0"/>
              <w:snapToGrid/>
              <w:spacing w:before="0" w:beforeAutospacing="0" w:after="0" w:afterAutospacing="0" w:line="360" w:lineRule="auto"/>
              <w:jc w:val="center"/>
              <w:textAlignment w:val="baseline"/>
              <w:rPr>
                <w:rFonts w:hint="eastAsia" w:ascii="宋体" w:hAnsi="宋体"/>
                <w:color w:val="auto"/>
                <w:szCs w:val="21"/>
                <w:highlight w:val="none"/>
              </w:rPr>
            </w:pPr>
            <w:r>
              <w:rPr>
                <w:rFonts w:hint="eastAsia" w:ascii="宋体" w:hAnsi="宋体" w:eastAsia="宋体" w:cs="宋体"/>
                <w:b w:val="0"/>
                <w:bCs/>
                <w:i w:val="0"/>
                <w:caps w:val="0"/>
                <w:color w:val="auto"/>
                <w:spacing w:val="0"/>
                <w:w w:val="100"/>
                <w:sz w:val="21"/>
                <w:szCs w:val="21"/>
                <w:highlight w:val="none"/>
                <w:lang w:val="zh-CN"/>
              </w:rPr>
              <w:t>中小企业声明函</w:t>
            </w:r>
          </w:p>
        </w:tc>
        <w:tc>
          <w:tcPr>
            <w:tcW w:w="5653" w:type="dxa"/>
            <w:gridSpan w:val="2"/>
            <w:noWrap w:val="0"/>
            <w:vAlign w:val="center"/>
          </w:tcPr>
          <w:p w14:paraId="5D4F1883">
            <w:pPr>
              <w:keepLines w:val="0"/>
              <w:widowControl w:val="0"/>
              <w:snapToGrid/>
              <w:spacing w:before="0" w:beforeAutospacing="0" w:after="0" w:afterAutospacing="0" w:line="360" w:lineRule="auto"/>
              <w:jc w:val="left"/>
              <w:textAlignment w:val="baseline"/>
              <w:rPr>
                <w:rFonts w:hint="eastAsia" w:ascii="宋体" w:hAnsi="宋体" w:cs="宋体"/>
                <w:color w:val="auto"/>
                <w:szCs w:val="21"/>
                <w:highlight w:val="none"/>
                <w:lang w:val="zh-CN"/>
              </w:rPr>
            </w:pPr>
            <w:r>
              <w:rPr>
                <w:rFonts w:hint="eastAsia" w:ascii="宋体" w:hAnsi="宋体" w:eastAsia="宋体" w:cs="宋体"/>
                <w:b w:val="0"/>
                <w:bCs/>
                <w:i w:val="0"/>
                <w:caps w:val="0"/>
                <w:color w:val="auto"/>
                <w:spacing w:val="0"/>
                <w:w w:val="100"/>
                <w:sz w:val="21"/>
                <w:szCs w:val="21"/>
                <w:highlight w:val="none"/>
                <w:lang w:val="zh-CN"/>
              </w:rPr>
              <w:t>本项目为专门面向中小企业采购的项目，供应商应为中小微企业</w:t>
            </w:r>
            <w:r>
              <w:rPr>
                <w:rFonts w:hint="eastAsia" w:ascii="宋体" w:hAnsi="宋体" w:eastAsia="宋体" w:cs="宋体"/>
                <w:b w:val="0"/>
                <w:bCs/>
                <w:i w:val="0"/>
                <w:caps w:val="0"/>
                <w:color w:val="auto"/>
                <w:spacing w:val="0"/>
                <w:w w:val="100"/>
                <w:sz w:val="21"/>
                <w:szCs w:val="21"/>
                <w:highlight w:val="none"/>
                <w:lang w:val="en-US" w:eastAsia="zh-CN"/>
              </w:rPr>
              <w:t>或</w:t>
            </w:r>
            <w:r>
              <w:rPr>
                <w:rFonts w:hint="eastAsia" w:ascii="宋体" w:hAnsi="宋体" w:eastAsia="宋体" w:cs="宋体"/>
                <w:b w:val="0"/>
                <w:bCs/>
                <w:i w:val="0"/>
                <w:caps w:val="0"/>
                <w:color w:val="auto"/>
                <w:spacing w:val="0"/>
                <w:w w:val="100"/>
                <w:sz w:val="21"/>
                <w:szCs w:val="21"/>
                <w:highlight w:val="none"/>
                <w:lang w:val="zh-CN"/>
              </w:rPr>
              <w:t>监狱企业</w:t>
            </w:r>
            <w:r>
              <w:rPr>
                <w:rFonts w:hint="eastAsia" w:ascii="宋体" w:hAnsi="宋体" w:eastAsia="宋体" w:cs="宋体"/>
                <w:b w:val="0"/>
                <w:bCs/>
                <w:i w:val="0"/>
                <w:caps w:val="0"/>
                <w:color w:val="auto"/>
                <w:spacing w:val="0"/>
                <w:w w:val="100"/>
                <w:sz w:val="21"/>
                <w:szCs w:val="21"/>
                <w:highlight w:val="none"/>
                <w:lang w:val="en-US" w:eastAsia="zh-CN"/>
              </w:rPr>
              <w:t>或</w:t>
            </w:r>
            <w:r>
              <w:rPr>
                <w:rFonts w:hint="eastAsia" w:ascii="宋体" w:hAnsi="宋体" w:eastAsia="宋体" w:cs="宋体"/>
                <w:b w:val="0"/>
                <w:bCs/>
                <w:i w:val="0"/>
                <w:caps w:val="0"/>
                <w:color w:val="auto"/>
                <w:spacing w:val="0"/>
                <w:w w:val="100"/>
                <w:sz w:val="21"/>
                <w:szCs w:val="21"/>
                <w:highlight w:val="none"/>
                <w:lang w:val="zh-CN"/>
              </w:rPr>
              <w:t>残疾人福利性单位，</w:t>
            </w:r>
            <w:r>
              <w:rPr>
                <w:rFonts w:hint="eastAsia" w:ascii="宋体" w:hAnsi="宋体" w:eastAsia="宋体" w:cs="宋体"/>
                <w:b w:val="0"/>
                <w:bCs/>
                <w:i w:val="0"/>
                <w:caps w:val="0"/>
                <w:color w:val="auto"/>
                <w:spacing w:val="0"/>
                <w:w w:val="100"/>
                <w:sz w:val="21"/>
                <w:szCs w:val="21"/>
                <w:highlight w:val="none"/>
                <w:lang w:val="en-US" w:eastAsia="zh-CN"/>
              </w:rPr>
              <w:t>响应文件</w:t>
            </w:r>
            <w:r>
              <w:rPr>
                <w:rFonts w:hint="eastAsia" w:ascii="宋体" w:hAnsi="宋体" w:eastAsia="宋体" w:cs="宋体"/>
                <w:b w:val="0"/>
                <w:bCs/>
                <w:i w:val="0"/>
                <w:caps w:val="0"/>
                <w:color w:val="auto"/>
                <w:spacing w:val="0"/>
                <w:w w:val="100"/>
                <w:sz w:val="21"/>
                <w:szCs w:val="21"/>
                <w:highlight w:val="none"/>
                <w:lang w:val="zh-CN"/>
              </w:rPr>
              <w:t>内附相关证明材料复印件加盖公章。</w:t>
            </w:r>
          </w:p>
        </w:tc>
        <w:tc>
          <w:tcPr>
            <w:tcW w:w="492" w:type="dxa"/>
            <w:noWrap w:val="0"/>
            <w:vAlign w:val="center"/>
          </w:tcPr>
          <w:p w14:paraId="31C2A564">
            <w:pPr>
              <w:autoSpaceDE w:val="0"/>
              <w:autoSpaceDN w:val="0"/>
              <w:adjustRightInd w:val="0"/>
              <w:spacing w:line="280" w:lineRule="exact"/>
              <w:jc w:val="center"/>
              <w:rPr>
                <w:rFonts w:ascii="宋体" w:hAnsi="宋体" w:cs="宋体"/>
                <w:color w:val="auto"/>
                <w:szCs w:val="21"/>
                <w:highlight w:val="none"/>
              </w:rPr>
            </w:pPr>
          </w:p>
        </w:tc>
        <w:tc>
          <w:tcPr>
            <w:tcW w:w="518" w:type="dxa"/>
            <w:noWrap w:val="0"/>
            <w:vAlign w:val="center"/>
          </w:tcPr>
          <w:p w14:paraId="4C77A113">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3C31A399">
            <w:pPr>
              <w:autoSpaceDE w:val="0"/>
              <w:autoSpaceDN w:val="0"/>
              <w:adjustRightInd w:val="0"/>
              <w:spacing w:line="280" w:lineRule="exact"/>
              <w:jc w:val="center"/>
              <w:rPr>
                <w:rFonts w:ascii="宋体" w:hAnsi="宋体" w:cs="宋体"/>
                <w:color w:val="auto"/>
                <w:szCs w:val="21"/>
                <w:highlight w:val="none"/>
                <w:lang w:val="zh-CN"/>
              </w:rPr>
            </w:pPr>
          </w:p>
        </w:tc>
      </w:tr>
      <w:tr w14:paraId="0321D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082" w:type="dxa"/>
            <w:gridSpan w:val="2"/>
            <w:noWrap w:val="0"/>
            <w:vAlign w:val="center"/>
          </w:tcPr>
          <w:p w14:paraId="358B5259">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谈判小组</w:t>
            </w:r>
          </w:p>
        </w:tc>
        <w:tc>
          <w:tcPr>
            <w:tcW w:w="3782" w:type="dxa"/>
            <w:noWrap w:val="0"/>
            <w:vAlign w:val="center"/>
          </w:tcPr>
          <w:p w14:paraId="13F87EAF">
            <w:pPr>
              <w:autoSpaceDE w:val="0"/>
              <w:autoSpaceDN w:val="0"/>
              <w:adjustRightInd w:val="0"/>
              <w:spacing w:line="280" w:lineRule="exact"/>
              <w:rPr>
                <w:rFonts w:ascii="宋体" w:hAnsi="宋体" w:cs="宋体"/>
                <w:color w:val="auto"/>
                <w:szCs w:val="21"/>
                <w:highlight w:val="none"/>
                <w:lang w:val="zh-CN"/>
              </w:rPr>
            </w:pPr>
          </w:p>
        </w:tc>
        <w:tc>
          <w:tcPr>
            <w:tcW w:w="1871" w:type="dxa"/>
            <w:noWrap w:val="0"/>
            <w:vAlign w:val="center"/>
          </w:tcPr>
          <w:p w14:paraId="08864984">
            <w:pPr>
              <w:autoSpaceDE w:val="0"/>
              <w:autoSpaceDN w:val="0"/>
              <w:adjustRightInd w:val="0"/>
              <w:spacing w:line="28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评审结论</w:t>
            </w:r>
          </w:p>
        </w:tc>
        <w:tc>
          <w:tcPr>
            <w:tcW w:w="492" w:type="dxa"/>
            <w:noWrap w:val="0"/>
            <w:vAlign w:val="center"/>
          </w:tcPr>
          <w:p w14:paraId="14BAC50C">
            <w:pPr>
              <w:autoSpaceDE w:val="0"/>
              <w:autoSpaceDN w:val="0"/>
              <w:adjustRightInd w:val="0"/>
              <w:spacing w:line="280" w:lineRule="exact"/>
              <w:jc w:val="center"/>
              <w:rPr>
                <w:rFonts w:ascii="宋体" w:hAnsi="宋体" w:cs="宋体"/>
                <w:color w:val="auto"/>
                <w:szCs w:val="21"/>
                <w:highlight w:val="none"/>
                <w:lang w:val="zh-CN"/>
              </w:rPr>
            </w:pPr>
          </w:p>
        </w:tc>
        <w:tc>
          <w:tcPr>
            <w:tcW w:w="518" w:type="dxa"/>
            <w:noWrap w:val="0"/>
            <w:vAlign w:val="center"/>
          </w:tcPr>
          <w:p w14:paraId="33FD3227">
            <w:pPr>
              <w:autoSpaceDE w:val="0"/>
              <w:autoSpaceDN w:val="0"/>
              <w:adjustRightInd w:val="0"/>
              <w:spacing w:line="280" w:lineRule="exact"/>
              <w:jc w:val="center"/>
              <w:rPr>
                <w:rFonts w:ascii="宋体" w:hAnsi="宋体" w:cs="宋体"/>
                <w:color w:val="auto"/>
                <w:szCs w:val="21"/>
                <w:highlight w:val="none"/>
                <w:lang w:val="zh-CN"/>
              </w:rPr>
            </w:pPr>
          </w:p>
        </w:tc>
        <w:tc>
          <w:tcPr>
            <w:tcW w:w="484" w:type="dxa"/>
            <w:noWrap w:val="0"/>
            <w:vAlign w:val="center"/>
          </w:tcPr>
          <w:p w14:paraId="6D9494E2">
            <w:pPr>
              <w:autoSpaceDE w:val="0"/>
              <w:autoSpaceDN w:val="0"/>
              <w:adjustRightInd w:val="0"/>
              <w:spacing w:line="280" w:lineRule="exact"/>
              <w:jc w:val="center"/>
              <w:rPr>
                <w:rFonts w:ascii="宋体" w:hAnsi="宋体" w:cs="宋体"/>
                <w:color w:val="auto"/>
                <w:szCs w:val="21"/>
                <w:highlight w:val="none"/>
                <w:lang w:val="zh-CN"/>
              </w:rPr>
            </w:pPr>
          </w:p>
        </w:tc>
      </w:tr>
    </w:tbl>
    <w:p w14:paraId="7BEF5F78">
      <w:pPr>
        <w:autoSpaceDE w:val="0"/>
        <w:autoSpaceDN w:val="0"/>
        <w:adjustRightInd w:val="0"/>
        <w:spacing w:line="360" w:lineRule="auto"/>
        <w:jc w:val="left"/>
        <w:rPr>
          <w:rFonts w:hint="eastAsia" w:ascii="宋体" w:hAnsi="宋体" w:cs="宋体"/>
          <w:color w:val="auto"/>
          <w:spacing w:val="-14"/>
          <w:sz w:val="22"/>
          <w:szCs w:val="22"/>
          <w:highlight w:val="none"/>
        </w:rPr>
      </w:pPr>
      <w:r>
        <w:rPr>
          <w:rFonts w:hint="eastAsia" w:ascii="宋体" w:hAnsi="宋体" w:cs="宋体"/>
          <w:b/>
          <w:color w:val="auto"/>
          <w:sz w:val="22"/>
          <w:szCs w:val="22"/>
          <w:highlight w:val="none"/>
        </w:rPr>
        <w:t>注：</w:t>
      </w:r>
      <w:r>
        <w:rPr>
          <w:rFonts w:hint="eastAsia" w:ascii="宋体" w:hAnsi="宋体" w:cs="宋体"/>
          <w:color w:val="auto"/>
          <w:sz w:val="22"/>
          <w:szCs w:val="22"/>
          <w:highlight w:val="none"/>
        </w:rPr>
        <w:t>（1）上述情况有一项不合格，则资格性检查不合格，按废标处理，不进入符合性检查。</w:t>
      </w:r>
    </w:p>
    <w:p w14:paraId="3CA7DC4C">
      <w:pPr>
        <w:autoSpaceDE w:val="0"/>
        <w:autoSpaceDN w:val="0"/>
        <w:adjustRightInd w:val="0"/>
        <w:spacing w:line="360" w:lineRule="auto"/>
        <w:ind w:firstLine="330" w:firstLineChars="150"/>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（2）每项审查内容合格打“√”，不合格打“×”。评审结论写“合格”或“不合格”。不合格须注明原因。</w:t>
      </w:r>
    </w:p>
    <w:p w14:paraId="0A3C5294">
      <w:pPr>
        <w:pStyle w:val="16"/>
        <w:spacing w:line="360" w:lineRule="auto"/>
        <w:ind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（3）上述审查内容须核验</w:t>
      </w:r>
      <w:r>
        <w:rPr>
          <w:rFonts w:hint="eastAsia" w:ascii="宋体" w:hAnsi="宋体" w:cs="宋体"/>
          <w:color w:val="auto"/>
          <w:sz w:val="22"/>
          <w:szCs w:val="22"/>
          <w:highlight w:val="none"/>
          <w:lang w:eastAsia="zh-CN"/>
        </w:rPr>
        <w:t>的相关资料</w:t>
      </w:r>
      <w:r>
        <w:rPr>
          <w:rFonts w:hint="eastAsia" w:ascii="宋体" w:hAnsi="宋体" w:cs="宋体"/>
          <w:color w:val="auto"/>
          <w:sz w:val="22"/>
          <w:szCs w:val="22"/>
          <w:highlight w:val="none"/>
        </w:rPr>
        <w:t>，</w:t>
      </w:r>
      <w:r>
        <w:rPr>
          <w:rFonts w:hint="eastAsia" w:ascii="宋体" w:hAnsi="宋体" w:cs="宋体"/>
          <w:color w:val="auto"/>
          <w:sz w:val="22"/>
          <w:szCs w:val="22"/>
          <w:highlight w:val="none"/>
          <w:lang w:eastAsia="zh-CN"/>
        </w:rPr>
        <w:t>复印件加盖公章放在响应文件中</w:t>
      </w:r>
      <w:r>
        <w:rPr>
          <w:rFonts w:hint="eastAsia" w:ascii="宋体" w:hAnsi="宋体" w:cs="宋体"/>
          <w:color w:val="auto"/>
          <w:sz w:val="22"/>
          <w:szCs w:val="22"/>
          <w:highlight w:val="none"/>
        </w:rPr>
        <w:t>。</w:t>
      </w:r>
    </w:p>
    <w:p w14:paraId="5B2F7F90">
      <w:pPr>
        <w:pStyle w:val="16"/>
        <w:spacing w:line="360" w:lineRule="auto"/>
        <w:ind w:firstLine="330" w:firstLineChars="150"/>
        <w:rPr>
          <w:rFonts w:hint="eastAsia" w:ascii="宋体" w:hAnsi="宋体" w:cs="宋体"/>
          <w:color w:val="auto"/>
          <w:sz w:val="24"/>
          <w:szCs w:val="24"/>
          <w:highlight w:val="none"/>
        </w:rPr>
      </w:pPr>
      <w:r>
        <w:rPr>
          <w:rFonts w:hint="eastAsia" w:ascii="宋体" w:hAnsi="宋体" w:cs="宋体"/>
          <w:color w:val="auto"/>
          <w:sz w:val="22"/>
          <w:szCs w:val="22"/>
          <w:highlight w:val="none"/>
        </w:rPr>
        <w:t>（4）本表由全体谈判小组成员在共同商议的基础上给出结论，谈判小组成员意见不一致时，按照少数服从多数的原则确定。</w:t>
      </w:r>
    </w:p>
    <w:p w14:paraId="7C7C495E">
      <w:pPr>
        <w:pStyle w:val="2"/>
        <w:spacing w:line="240" w:lineRule="auto"/>
        <w:jc w:val="center"/>
        <w:rPr>
          <w:rFonts w:hint="eastAsia" w:ascii="宋体" w:hAnsi="宋体" w:cs="宋体"/>
          <w:b w:val="0"/>
          <w:color w:val="auto"/>
          <w:sz w:val="24"/>
          <w:highlight w:val="none"/>
        </w:rPr>
      </w:pPr>
      <w:r>
        <w:rPr>
          <w:rFonts w:hint="eastAsia" w:ascii="宋体" w:hAnsi="宋体" w:cs="宋体"/>
          <w:color w:val="auto"/>
          <w:sz w:val="20"/>
          <w:highlight w:val="none"/>
        </w:rPr>
        <w:br w:type="page"/>
      </w:r>
      <w:r>
        <w:rPr>
          <w:rFonts w:hint="eastAsia" w:ascii="宋体" w:hAnsi="宋体" w:cs="宋体"/>
          <w:b w:val="0"/>
          <w:color w:val="auto"/>
          <w:sz w:val="32"/>
          <w:highlight w:val="none"/>
        </w:rPr>
        <w:t xml:space="preserve"> </w:t>
      </w:r>
      <w:bookmarkStart w:id="16" w:name="_Toc23480"/>
      <w:bookmarkStart w:id="17" w:name="_Toc4924"/>
      <w:r>
        <w:rPr>
          <w:rFonts w:hint="eastAsia" w:ascii="宋体" w:hAnsi="宋体" w:cs="宋体"/>
          <w:bCs w:val="0"/>
          <w:color w:val="auto"/>
          <w:sz w:val="28"/>
          <w:szCs w:val="40"/>
          <w:highlight w:val="none"/>
        </w:rPr>
        <w:t>符合性检查记录表</w:t>
      </w:r>
      <w:bookmarkEnd w:id="16"/>
      <w:bookmarkEnd w:id="17"/>
    </w:p>
    <w:p w14:paraId="6CD91BD0">
      <w:pPr>
        <w:rPr>
          <w:rFonts w:hint="eastAsia" w:ascii="宋体" w:hAnsi="宋体" w:cs="宋体"/>
          <w:color w:val="auto"/>
          <w:highlight w:val="none"/>
        </w:rPr>
      </w:pPr>
      <w:r>
        <w:rPr>
          <w:rFonts w:hint="eastAsia" w:ascii="宋体" w:hAnsi="宋体" w:cs="宋体"/>
          <w:color w:val="auto"/>
          <w:highlight w:val="none"/>
        </w:rPr>
        <w:t xml:space="preserve">项目名称： </w:t>
      </w:r>
    </w:p>
    <w:p w14:paraId="42373F2B">
      <w:pPr>
        <w:rPr>
          <w:rFonts w:hint="eastAsia" w:ascii="宋体" w:hAnsi="宋体" w:cs="宋体"/>
          <w:color w:val="auto"/>
          <w:highlight w:val="none"/>
        </w:rPr>
      </w:pPr>
      <w:r>
        <w:rPr>
          <w:rFonts w:hint="eastAsia" w:ascii="宋体" w:hAnsi="宋体" w:cs="宋体"/>
          <w:color w:val="auto"/>
          <w:highlight w:val="none"/>
        </w:rPr>
        <w:t xml:space="preserve">项目编号：                           </w:t>
      </w:r>
    </w:p>
    <w:tbl>
      <w:tblPr>
        <w:tblStyle w:val="36"/>
        <w:tblW w:w="9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4102"/>
        <w:gridCol w:w="2399"/>
        <w:gridCol w:w="704"/>
        <w:gridCol w:w="704"/>
        <w:gridCol w:w="705"/>
      </w:tblGrid>
      <w:tr w14:paraId="16F1C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7" w:hRule="atLeast"/>
          <w:jc w:val="center"/>
        </w:trPr>
        <w:tc>
          <w:tcPr>
            <w:tcW w:w="719" w:type="dxa"/>
            <w:vMerge w:val="restart"/>
            <w:noWrap w:val="0"/>
            <w:vAlign w:val="center"/>
          </w:tcPr>
          <w:p w14:paraId="7EE79E97">
            <w:pPr>
              <w:autoSpaceDE w:val="0"/>
              <w:autoSpaceDN w:val="0"/>
              <w:adjustRightInd w:val="0"/>
              <w:spacing w:line="300" w:lineRule="auto"/>
              <w:jc w:val="center"/>
              <w:rPr>
                <w:rFonts w:ascii="宋体" w:hAnsi="宋体" w:cs="宋体"/>
                <w:bCs/>
                <w:color w:val="auto"/>
                <w:szCs w:val="21"/>
                <w:highlight w:val="none"/>
                <w:lang w:val="zh-CN"/>
              </w:rPr>
            </w:pPr>
            <w:r>
              <w:rPr>
                <w:rFonts w:hint="eastAsia" w:ascii="宋体" w:hAnsi="宋体" w:cs="宋体"/>
                <w:bCs/>
                <w:color w:val="auto"/>
                <w:szCs w:val="21"/>
                <w:highlight w:val="none"/>
                <w:lang w:val="zh-CN"/>
              </w:rPr>
              <w:t>序号</w:t>
            </w:r>
          </w:p>
        </w:tc>
        <w:tc>
          <w:tcPr>
            <w:tcW w:w="6501" w:type="dxa"/>
            <w:gridSpan w:val="2"/>
            <w:vMerge w:val="restart"/>
            <w:noWrap w:val="0"/>
            <w:vAlign w:val="center"/>
          </w:tcPr>
          <w:p w14:paraId="7372224F">
            <w:pPr>
              <w:autoSpaceDE w:val="0"/>
              <w:autoSpaceDN w:val="0"/>
              <w:adjustRightInd w:val="0"/>
              <w:spacing w:line="300" w:lineRule="auto"/>
              <w:jc w:val="center"/>
              <w:rPr>
                <w:rFonts w:ascii="宋体" w:hAnsi="宋体" w:cs="宋体"/>
                <w:bCs/>
                <w:color w:val="auto"/>
                <w:szCs w:val="21"/>
                <w:highlight w:val="none"/>
                <w:lang w:val="zh-CN"/>
              </w:rPr>
            </w:pPr>
            <w:r>
              <w:rPr>
                <w:rFonts w:hint="eastAsia" w:ascii="宋体" w:hAnsi="宋体" w:cs="宋体"/>
                <w:bCs/>
                <w:color w:val="auto"/>
                <w:szCs w:val="21"/>
                <w:highlight w:val="none"/>
                <w:lang w:val="zh-CN"/>
              </w:rPr>
              <w:t>评审内容</w:t>
            </w:r>
          </w:p>
        </w:tc>
        <w:tc>
          <w:tcPr>
            <w:tcW w:w="2113" w:type="dxa"/>
            <w:gridSpan w:val="3"/>
            <w:noWrap w:val="0"/>
            <w:vAlign w:val="center"/>
          </w:tcPr>
          <w:p w14:paraId="39BE8DF5">
            <w:pPr>
              <w:autoSpaceDE w:val="0"/>
              <w:autoSpaceDN w:val="0"/>
              <w:adjustRightInd w:val="0"/>
              <w:jc w:val="center"/>
              <w:rPr>
                <w:rFonts w:ascii="宋体" w:hAnsi="宋体" w:cs="宋体"/>
                <w:bCs/>
                <w:color w:val="auto"/>
                <w:szCs w:val="21"/>
                <w:highlight w:val="none"/>
                <w:lang w:val="zh-CN"/>
              </w:rPr>
            </w:pPr>
            <w:r>
              <w:rPr>
                <w:rFonts w:hint="eastAsia" w:ascii="宋体" w:hAnsi="宋体" w:cs="宋体"/>
                <w:bCs/>
                <w:color w:val="auto"/>
                <w:szCs w:val="21"/>
                <w:highlight w:val="none"/>
                <w:lang w:val="zh-CN"/>
              </w:rPr>
              <w:t>供货商名称</w:t>
            </w:r>
          </w:p>
        </w:tc>
      </w:tr>
      <w:tr w14:paraId="2B2FB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jc w:val="center"/>
        </w:trPr>
        <w:tc>
          <w:tcPr>
            <w:tcW w:w="719" w:type="dxa"/>
            <w:vMerge w:val="continue"/>
            <w:noWrap w:val="0"/>
            <w:vAlign w:val="center"/>
          </w:tcPr>
          <w:p w14:paraId="5B3A7776">
            <w:pPr>
              <w:autoSpaceDE w:val="0"/>
              <w:autoSpaceDN w:val="0"/>
              <w:adjustRightInd w:val="0"/>
              <w:spacing w:line="300" w:lineRule="auto"/>
              <w:jc w:val="center"/>
              <w:rPr>
                <w:rFonts w:ascii="宋体" w:hAnsi="宋体" w:cs="宋体"/>
                <w:bCs/>
                <w:color w:val="auto"/>
                <w:szCs w:val="21"/>
                <w:highlight w:val="none"/>
                <w:lang w:val="zh-CN"/>
              </w:rPr>
            </w:pPr>
          </w:p>
        </w:tc>
        <w:tc>
          <w:tcPr>
            <w:tcW w:w="6501" w:type="dxa"/>
            <w:gridSpan w:val="2"/>
            <w:vMerge w:val="continue"/>
            <w:noWrap w:val="0"/>
            <w:vAlign w:val="center"/>
          </w:tcPr>
          <w:p w14:paraId="1F673577">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441939CA">
            <w:pPr>
              <w:rPr>
                <w:rFonts w:ascii="宋体" w:hAnsi="宋体" w:cs="宋体"/>
                <w:color w:val="auto"/>
                <w:szCs w:val="21"/>
                <w:highlight w:val="none"/>
                <w:lang w:val="zh-CN"/>
              </w:rPr>
            </w:pPr>
          </w:p>
        </w:tc>
        <w:tc>
          <w:tcPr>
            <w:tcW w:w="704" w:type="dxa"/>
            <w:noWrap w:val="0"/>
            <w:vAlign w:val="center"/>
          </w:tcPr>
          <w:p w14:paraId="4BD137A2">
            <w:pPr>
              <w:rPr>
                <w:rFonts w:ascii="宋体" w:hAnsi="宋体" w:cs="宋体"/>
                <w:color w:val="auto"/>
                <w:szCs w:val="21"/>
                <w:highlight w:val="none"/>
                <w:lang w:val="zh-CN"/>
              </w:rPr>
            </w:pPr>
          </w:p>
        </w:tc>
        <w:tc>
          <w:tcPr>
            <w:tcW w:w="705" w:type="dxa"/>
            <w:noWrap w:val="0"/>
            <w:vAlign w:val="center"/>
          </w:tcPr>
          <w:p w14:paraId="1DA78C47">
            <w:pPr>
              <w:rPr>
                <w:rFonts w:ascii="宋体" w:hAnsi="宋体" w:cs="宋体"/>
                <w:color w:val="auto"/>
                <w:szCs w:val="21"/>
                <w:highlight w:val="none"/>
                <w:lang w:val="zh-CN"/>
              </w:rPr>
            </w:pPr>
            <w:r>
              <w:rPr>
                <w:rFonts w:hint="eastAsia" w:ascii="宋体" w:hAnsi="宋体" w:cs="宋体"/>
                <w:color w:val="auto"/>
                <w:szCs w:val="21"/>
                <w:highlight w:val="none"/>
                <w:lang w:val="zh-CN"/>
              </w:rPr>
              <w:t>……</w:t>
            </w:r>
          </w:p>
        </w:tc>
      </w:tr>
      <w:tr w14:paraId="14669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top"/>
          </w:tcPr>
          <w:p w14:paraId="561FEE78">
            <w:pPr>
              <w:adjustRightInd w:val="0"/>
              <w:snapToGrid w:val="0"/>
              <w:spacing w:line="520" w:lineRule="exac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1</w:t>
            </w:r>
          </w:p>
        </w:tc>
        <w:tc>
          <w:tcPr>
            <w:tcW w:w="6501" w:type="dxa"/>
            <w:gridSpan w:val="2"/>
            <w:noWrap w:val="0"/>
            <w:vAlign w:val="center"/>
          </w:tcPr>
          <w:p w14:paraId="78B43534">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供应商名称与企业法人营业执照名称一致</w:t>
            </w:r>
          </w:p>
        </w:tc>
        <w:tc>
          <w:tcPr>
            <w:tcW w:w="704" w:type="dxa"/>
            <w:noWrap w:val="0"/>
            <w:vAlign w:val="center"/>
          </w:tcPr>
          <w:p w14:paraId="62752462">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6E8AA9CF">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2D4241A5">
            <w:pPr>
              <w:autoSpaceDE w:val="0"/>
              <w:autoSpaceDN w:val="0"/>
              <w:adjustRightInd w:val="0"/>
              <w:spacing w:line="300" w:lineRule="auto"/>
              <w:jc w:val="center"/>
              <w:rPr>
                <w:rFonts w:ascii="宋体" w:hAnsi="宋体" w:cs="宋体"/>
                <w:bCs/>
                <w:color w:val="auto"/>
                <w:szCs w:val="21"/>
                <w:highlight w:val="none"/>
                <w:lang w:val="zh-CN"/>
              </w:rPr>
            </w:pPr>
          </w:p>
        </w:tc>
      </w:tr>
      <w:tr w14:paraId="10F97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1338980A">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2</w:t>
            </w:r>
          </w:p>
        </w:tc>
        <w:tc>
          <w:tcPr>
            <w:tcW w:w="6501" w:type="dxa"/>
            <w:gridSpan w:val="2"/>
            <w:noWrap w:val="0"/>
            <w:vAlign w:val="center"/>
          </w:tcPr>
          <w:p w14:paraId="673F7926">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响应文件的盖章、签署及填写符合竞争性谈判文件的要求</w:t>
            </w:r>
          </w:p>
        </w:tc>
        <w:tc>
          <w:tcPr>
            <w:tcW w:w="704" w:type="dxa"/>
            <w:noWrap w:val="0"/>
            <w:vAlign w:val="center"/>
          </w:tcPr>
          <w:p w14:paraId="3B336622">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1883F932">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7393364D">
            <w:pPr>
              <w:autoSpaceDE w:val="0"/>
              <w:autoSpaceDN w:val="0"/>
              <w:adjustRightInd w:val="0"/>
              <w:spacing w:line="300" w:lineRule="auto"/>
              <w:jc w:val="center"/>
              <w:rPr>
                <w:rFonts w:ascii="宋体" w:hAnsi="宋体" w:cs="宋体"/>
                <w:bCs/>
                <w:color w:val="auto"/>
                <w:szCs w:val="21"/>
                <w:highlight w:val="none"/>
                <w:lang w:val="zh-CN"/>
              </w:rPr>
            </w:pPr>
          </w:p>
        </w:tc>
      </w:tr>
      <w:tr w14:paraId="7331E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263D7988">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3</w:t>
            </w:r>
          </w:p>
        </w:tc>
        <w:tc>
          <w:tcPr>
            <w:tcW w:w="6501" w:type="dxa"/>
            <w:gridSpan w:val="2"/>
            <w:tcBorders>
              <w:bottom w:val="single" w:color="auto" w:sz="4" w:space="0"/>
            </w:tcBorders>
            <w:noWrap w:val="0"/>
            <w:vAlign w:val="center"/>
          </w:tcPr>
          <w:p w14:paraId="73D6E179">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lang w:val="en-US" w:eastAsia="zh-CN"/>
              </w:rPr>
              <w:t>谈判</w:t>
            </w:r>
            <w:r>
              <w:rPr>
                <w:rFonts w:hint="eastAsia" w:ascii="宋体" w:hAnsi="宋体"/>
                <w:bCs/>
                <w:snapToGrid w:val="0"/>
                <w:color w:val="auto"/>
                <w:szCs w:val="21"/>
                <w:highlight w:val="none"/>
              </w:rPr>
              <w:t>有效期满足竞争性谈判文件要求</w:t>
            </w:r>
          </w:p>
        </w:tc>
        <w:tc>
          <w:tcPr>
            <w:tcW w:w="704" w:type="dxa"/>
            <w:noWrap w:val="0"/>
            <w:vAlign w:val="center"/>
          </w:tcPr>
          <w:p w14:paraId="40C1663B">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3D6B2F7C">
            <w:pPr>
              <w:autoSpaceDE w:val="0"/>
              <w:autoSpaceDN w:val="0"/>
              <w:adjustRightInd w:val="0"/>
              <w:spacing w:line="300" w:lineRule="auto"/>
              <w:jc w:val="center"/>
              <w:rPr>
                <w:rFonts w:ascii="宋体" w:hAnsi="宋体" w:cs="宋体"/>
                <w:bCs/>
                <w:color w:val="auto"/>
                <w:szCs w:val="21"/>
                <w:highlight w:val="none"/>
                <w:lang w:val="zh-CN"/>
              </w:rPr>
            </w:pPr>
          </w:p>
        </w:tc>
        <w:tc>
          <w:tcPr>
            <w:tcW w:w="705" w:type="dxa"/>
            <w:tcBorders>
              <w:bottom w:val="single" w:color="auto" w:sz="4" w:space="0"/>
            </w:tcBorders>
            <w:noWrap w:val="0"/>
            <w:vAlign w:val="center"/>
          </w:tcPr>
          <w:p w14:paraId="48AE3A2B">
            <w:pPr>
              <w:autoSpaceDE w:val="0"/>
              <w:autoSpaceDN w:val="0"/>
              <w:adjustRightInd w:val="0"/>
              <w:spacing w:line="300" w:lineRule="auto"/>
              <w:jc w:val="center"/>
              <w:rPr>
                <w:rFonts w:ascii="宋体" w:hAnsi="宋体" w:cs="宋体"/>
                <w:bCs/>
                <w:color w:val="auto"/>
                <w:szCs w:val="21"/>
                <w:highlight w:val="none"/>
                <w:lang w:val="zh-CN"/>
              </w:rPr>
            </w:pPr>
          </w:p>
        </w:tc>
      </w:tr>
      <w:tr w14:paraId="67E9B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tcBorders>
              <w:bottom w:val="single" w:color="auto" w:sz="4" w:space="0"/>
            </w:tcBorders>
            <w:noWrap w:val="0"/>
            <w:vAlign w:val="center"/>
          </w:tcPr>
          <w:p w14:paraId="7B2B16BE">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4</w:t>
            </w:r>
          </w:p>
        </w:tc>
        <w:tc>
          <w:tcPr>
            <w:tcW w:w="6501" w:type="dxa"/>
            <w:gridSpan w:val="2"/>
            <w:tcBorders>
              <w:bottom w:val="single" w:color="auto" w:sz="4" w:space="0"/>
            </w:tcBorders>
            <w:noWrap w:val="0"/>
            <w:vAlign w:val="center"/>
          </w:tcPr>
          <w:p w14:paraId="7CF4996C">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合同履行期限（服务期）满足竞争性谈判文件要求</w:t>
            </w:r>
          </w:p>
        </w:tc>
        <w:tc>
          <w:tcPr>
            <w:tcW w:w="704" w:type="dxa"/>
            <w:noWrap w:val="0"/>
            <w:vAlign w:val="center"/>
          </w:tcPr>
          <w:p w14:paraId="379BA550">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07652201">
            <w:pPr>
              <w:autoSpaceDE w:val="0"/>
              <w:autoSpaceDN w:val="0"/>
              <w:adjustRightInd w:val="0"/>
              <w:spacing w:line="300" w:lineRule="auto"/>
              <w:jc w:val="center"/>
              <w:rPr>
                <w:rFonts w:ascii="宋体" w:hAnsi="宋体" w:cs="宋体"/>
                <w:bCs/>
                <w:color w:val="auto"/>
                <w:szCs w:val="21"/>
                <w:highlight w:val="none"/>
                <w:lang w:val="zh-CN"/>
              </w:rPr>
            </w:pPr>
          </w:p>
        </w:tc>
        <w:tc>
          <w:tcPr>
            <w:tcW w:w="705" w:type="dxa"/>
            <w:tcBorders>
              <w:bottom w:val="single" w:color="auto" w:sz="4" w:space="0"/>
            </w:tcBorders>
            <w:noWrap w:val="0"/>
            <w:vAlign w:val="center"/>
          </w:tcPr>
          <w:p w14:paraId="65EAD9DC">
            <w:pPr>
              <w:autoSpaceDE w:val="0"/>
              <w:autoSpaceDN w:val="0"/>
              <w:adjustRightInd w:val="0"/>
              <w:spacing w:line="300" w:lineRule="auto"/>
              <w:jc w:val="center"/>
              <w:rPr>
                <w:rFonts w:ascii="宋体" w:hAnsi="宋体" w:cs="宋体"/>
                <w:bCs/>
                <w:color w:val="auto"/>
                <w:szCs w:val="21"/>
                <w:highlight w:val="none"/>
                <w:lang w:val="zh-CN"/>
              </w:rPr>
            </w:pPr>
          </w:p>
        </w:tc>
      </w:tr>
      <w:tr w14:paraId="6E286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0937C51B">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5</w:t>
            </w:r>
          </w:p>
        </w:tc>
        <w:tc>
          <w:tcPr>
            <w:tcW w:w="6501" w:type="dxa"/>
            <w:gridSpan w:val="2"/>
            <w:noWrap w:val="0"/>
            <w:vAlign w:val="center"/>
          </w:tcPr>
          <w:p w14:paraId="4785DD88">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lang w:val="en-US" w:eastAsia="zh-CN"/>
              </w:rPr>
              <w:t>响应</w:t>
            </w:r>
            <w:r>
              <w:rPr>
                <w:rFonts w:hint="eastAsia" w:ascii="宋体" w:hAnsi="宋体"/>
                <w:bCs/>
                <w:snapToGrid w:val="0"/>
                <w:color w:val="auto"/>
                <w:szCs w:val="21"/>
                <w:highlight w:val="none"/>
              </w:rPr>
              <w:t>报价低于最高限价</w:t>
            </w:r>
          </w:p>
        </w:tc>
        <w:tc>
          <w:tcPr>
            <w:tcW w:w="704" w:type="dxa"/>
            <w:noWrap w:val="0"/>
            <w:vAlign w:val="center"/>
          </w:tcPr>
          <w:p w14:paraId="1A3E683C">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3AACF067">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6E4D157C">
            <w:pPr>
              <w:autoSpaceDE w:val="0"/>
              <w:autoSpaceDN w:val="0"/>
              <w:adjustRightInd w:val="0"/>
              <w:spacing w:line="300" w:lineRule="auto"/>
              <w:jc w:val="center"/>
              <w:rPr>
                <w:rFonts w:ascii="宋体" w:hAnsi="宋体" w:cs="宋体"/>
                <w:bCs/>
                <w:color w:val="auto"/>
                <w:szCs w:val="21"/>
                <w:highlight w:val="none"/>
                <w:lang w:val="zh-CN"/>
              </w:rPr>
            </w:pPr>
          </w:p>
        </w:tc>
      </w:tr>
      <w:tr w14:paraId="7DAA2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43BDD3F4">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6</w:t>
            </w:r>
          </w:p>
        </w:tc>
        <w:tc>
          <w:tcPr>
            <w:tcW w:w="6501" w:type="dxa"/>
            <w:gridSpan w:val="2"/>
            <w:noWrap w:val="0"/>
            <w:vAlign w:val="center"/>
          </w:tcPr>
          <w:p w14:paraId="3101649F">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响应文件无</w:t>
            </w:r>
            <w:r>
              <w:rPr>
                <w:rFonts w:hint="eastAsia" w:ascii="宋体" w:hAnsi="宋体"/>
                <w:bCs/>
                <w:snapToGrid w:val="0"/>
                <w:color w:val="auto"/>
                <w:szCs w:val="21"/>
                <w:highlight w:val="none"/>
                <w:lang w:val="en-US" w:eastAsia="zh-CN"/>
              </w:rPr>
              <w:t>采购人</w:t>
            </w:r>
            <w:r>
              <w:rPr>
                <w:rFonts w:hint="eastAsia" w:ascii="宋体" w:hAnsi="宋体"/>
                <w:bCs/>
                <w:snapToGrid w:val="0"/>
                <w:color w:val="auto"/>
                <w:szCs w:val="21"/>
                <w:highlight w:val="none"/>
              </w:rPr>
              <w:t>不能接受的条件</w:t>
            </w:r>
          </w:p>
        </w:tc>
        <w:tc>
          <w:tcPr>
            <w:tcW w:w="704" w:type="dxa"/>
            <w:noWrap w:val="0"/>
            <w:vAlign w:val="center"/>
          </w:tcPr>
          <w:p w14:paraId="2C000319">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29578AFC">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655962C0">
            <w:pPr>
              <w:autoSpaceDE w:val="0"/>
              <w:autoSpaceDN w:val="0"/>
              <w:adjustRightInd w:val="0"/>
              <w:spacing w:line="300" w:lineRule="auto"/>
              <w:jc w:val="center"/>
              <w:rPr>
                <w:rFonts w:ascii="宋体" w:hAnsi="宋体" w:cs="宋体"/>
                <w:bCs/>
                <w:color w:val="auto"/>
                <w:szCs w:val="21"/>
                <w:highlight w:val="none"/>
                <w:lang w:val="zh-CN"/>
              </w:rPr>
            </w:pPr>
          </w:p>
        </w:tc>
      </w:tr>
      <w:tr w14:paraId="19095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41C73E25">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7</w:t>
            </w:r>
          </w:p>
        </w:tc>
        <w:tc>
          <w:tcPr>
            <w:tcW w:w="6501" w:type="dxa"/>
            <w:gridSpan w:val="2"/>
            <w:noWrap w:val="0"/>
            <w:vAlign w:val="center"/>
          </w:tcPr>
          <w:p w14:paraId="14B10785">
            <w:pPr>
              <w:adjustRightInd w:val="0"/>
              <w:snapToGrid w:val="0"/>
              <w:spacing w:line="0" w:lineRule="atLeast"/>
              <w:textAlignment w:val="baseline"/>
              <w:rPr>
                <w:rFonts w:hint="default" w:ascii="宋体" w:hAnsi="宋体"/>
                <w:bCs/>
                <w:snapToGrid w:val="0"/>
                <w:color w:val="auto"/>
                <w:szCs w:val="21"/>
                <w:highlight w:val="none"/>
                <w:lang w:val="en-US"/>
              </w:rPr>
            </w:pPr>
            <w:r>
              <w:rPr>
                <w:rFonts w:hint="eastAsia" w:ascii="宋体" w:hAnsi="宋体"/>
                <w:bCs/>
                <w:snapToGrid w:val="0"/>
                <w:color w:val="auto"/>
                <w:szCs w:val="21"/>
                <w:highlight w:val="none"/>
                <w:lang w:val="en-US" w:eastAsia="zh-CN"/>
              </w:rPr>
              <w:t>响应第三章服务采购需求的标准要求</w:t>
            </w:r>
          </w:p>
        </w:tc>
        <w:tc>
          <w:tcPr>
            <w:tcW w:w="704" w:type="dxa"/>
            <w:noWrap w:val="0"/>
            <w:vAlign w:val="center"/>
          </w:tcPr>
          <w:p w14:paraId="3C57E176">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0F147484">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2F1BBBFF">
            <w:pPr>
              <w:autoSpaceDE w:val="0"/>
              <w:autoSpaceDN w:val="0"/>
              <w:adjustRightInd w:val="0"/>
              <w:spacing w:line="300" w:lineRule="auto"/>
              <w:jc w:val="center"/>
              <w:rPr>
                <w:rFonts w:ascii="宋体" w:hAnsi="宋体" w:cs="宋体"/>
                <w:bCs/>
                <w:color w:val="auto"/>
                <w:szCs w:val="21"/>
                <w:highlight w:val="none"/>
                <w:lang w:val="zh-CN"/>
              </w:rPr>
            </w:pPr>
          </w:p>
        </w:tc>
      </w:tr>
      <w:tr w14:paraId="05493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003EBA0C">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8</w:t>
            </w:r>
          </w:p>
        </w:tc>
        <w:tc>
          <w:tcPr>
            <w:tcW w:w="6501" w:type="dxa"/>
            <w:gridSpan w:val="2"/>
            <w:noWrap w:val="0"/>
            <w:vAlign w:val="center"/>
          </w:tcPr>
          <w:p w14:paraId="345B83D5">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响应竞争性谈判文件规定的全部实质性条款</w:t>
            </w:r>
          </w:p>
        </w:tc>
        <w:tc>
          <w:tcPr>
            <w:tcW w:w="704" w:type="dxa"/>
            <w:noWrap w:val="0"/>
            <w:vAlign w:val="center"/>
          </w:tcPr>
          <w:p w14:paraId="20A05C78">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2ED3B6CA">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566078D9">
            <w:pPr>
              <w:autoSpaceDE w:val="0"/>
              <w:autoSpaceDN w:val="0"/>
              <w:adjustRightInd w:val="0"/>
              <w:spacing w:line="300" w:lineRule="auto"/>
              <w:jc w:val="center"/>
              <w:rPr>
                <w:rFonts w:ascii="宋体" w:hAnsi="宋体" w:cs="宋体"/>
                <w:bCs/>
                <w:color w:val="auto"/>
                <w:szCs w:val="21"/>
                <w:highlight w:val="none"/>
                <w:lang w:val="zh-CN"/>
              </w:rPr>
            </w:pPr>
          </w:p>
        </w:tc>
      </w:tr>
      <w:tr w14:paraId="03913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111A7657">
            <w:pPr>
              <w:adjustRightInd w:val="0"/>
              <w:snapToGrid w:val="0"/>
              <w:spacing w:line="0" w:lineRule="atLeast"/>
              <w:jc w:val="center"/>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9</w:t>
            </w:r>
          </w:p>
        </w:tc>
        <w:tc>
          <w:tcPr>
            <w:tcW w:w="6501" w:type="dxa"/>
            <w:gridSpan w:val="2"/>
            <w:noWrap w:val="0"/>
            <w:vAlign w:val="center"/>
          </w:tcPr>
          <w:p w14:paraId="0B6220A2">
            <w:pPr>
              <w:adjustRightInd w:val="0"/>
              <w:snapToGrid w:val="0"/>
              <w:spacing w:line="0" w:lineRule="atLeast"/>
              <w:textAlignment w:val="baseline"/>
              <w:rPr>
                <w:rFonts w:ascii="宋体" w:hAnsi="宋体"/>
                <w:bCs/>
                <w:snapToGrid w:val="0"/>
                <w:color w:val="auto"/>
                <w:szCs w:val="21"/>
                <w:highlight w:val="none"/>
              </w:rPr>
            </w:pPr>
            <w:r>
              <w:rPr>
                <w:rFonts w:hint="eastAsia" w:ascii="宋体" w:hAnsi="宋体"/>
                <w:bCs/>
                <w:snapToGrid w:val="0"/>
                <w:color w:val="auto"/>
                <w:szCs w:val="21"/>
                <w:highlight w:val="none"/>
              </w:rPr>
              <w:t>响应文件关键内容完整、字迹清晰</w:t>
            </w:r>
          </w:p>
        </w:tc>
        <w:tc>
          <w:tcPr>
            <w:tcW w:w="704" w:type="dxa"/>
            <w:noWrap w:val="0"/>
            <w:vAlign w:val="center"/>
          </w:tcPr>
          <w:p w14:paraId="61CD20DA">
            <w:pPr>
              <w:autoSpaceDE w:val="0"/>
              <w:autoSpaceDN w:val="0"/>
              <w:adjustRightInd w:val="0"/>
              <w:spacing w:line="300" w:lineRule="auto"/>
              <w:jc w:val="center"/>
              <w:rPr>
                <w:rFonts w:ascii="宋体" w:hAnsi="宋体" w:cs="宋体"/>
                <w:bCs/>
                <w:color w:val="auto"/>
                <w:szCs w:val="21"/>
                <w:highlight w:val="none"/>
                <w:lang w:val="zh-CN"/>
              </w:rPr>
            </w:pPr>
          </w:p>
        </w:tc>
        <w:tc>
          <w:tcPr>
            <w:tcW w:w="704" w:type="dxa"/>
            <w:noWrap w:val="0"/>
            <w:vAlign w:val="center"/>
          </w:tcPr>
          <w:p w14:paraId="3F677F9D">
            <w:pPr>
              <w:autoSpaceDE w:val="0"/>
              <w:autoSpaceDN w:val="0"/>
              <w:adjustRightInd w:val="0"/>
              <w:spacing w:line="300" w:lineRule="auto"/>
              <w:jc w:val="center"/>
              <w:rPr>
                <w:rFonts w:ascii="宋体" w:hAnsi="宋体" w:cs="宋体"/>
                <w:bCs/>
                <w:color w:val="auto"/>
                <w:szCs w:val="21"/>
                <w:highlight w:val="none"/>
                <w:lang w:val="zh-CN"/>
              </w:rPr>
            </w:pPr>
          </w:p>
        </w:tc>
        <w:tc>
          <w:tcPr>
            <w:tcW w:w="705" w:type="dxa"/>
            <w:noWrap w:val="0"/>
            <w:vAlign w:val="center"/>
          </w:tcPr>
          <w:p w14:paraId="6282B311">
            <w:pPr>
              <w:autoSpaceDE w:val="0"/>
              <w:autoSpaceDN w:val="0"/>
              <w:adjustRightInd w:val="0"/>
              <w:spacing w:line="300" w:lineRule="auto"/>
              <w:jc w:val="center"/>
              <w:rPr>
                <w:rFonts w:ascii="宋体" w:hAnsi="宋体" w:cs="宋体"/>
                <w:bCs/>
                <w:color w:val="auto"/>
                <w:szCs w:val="21"/>
                <w:highlight w:val="none"/>
                <w:lang w:val="zh-CN"/>
              </w:rPr>
            </w:pPr>
          </w:p>
        </w:tc>
      </w:tr>
      <w:tr w14:paraId="77F0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19" w:type="dxa"/>
            <w:noWrap w:val="0"/>
            <w:vAlign w:val="center"/>
          </w:tcPr>
          <w:p w14:paraId="202D6E3A">
            <w:pPr>
              <w:autoSpaceDE w:val="0"/>
              <w:autoSpaceDN w:val="0"/>
              <w:adjustRightInd w:val="0"/>
              <w:jc w:val="center"/>
              <w:rPr>
                <w:rFonts w:ascii="宋体" w:hAnsi="宋体" w:cs="宋体"/>
                <w:bCs/>
                <w:color w:val="auto"/>
                <w:szCs w:val="21"/>
                <w:highlight w:val="none"/>
                <w:lang w:val="zh-CN"/>
              </w:rPr>
            </w:pPr>
            <w:r>
              <w:rPr>
                <w:rFonts w:hint="eastAsia" w:ascii="宋体" w:hAnsi="宋体" w:cs="宋体"/>
                <w:bCs/>
                <w:color w:val="auto"/>
                <w:szCs w:val="21"/>
                <w:highlight w:val="none"/>
                <w:lang w:val="zh-CN"/>
              </w:rPr>
              <w:t>谈判小组</w:t>
            </w:r>
          </w:p>
        </w:tc>
        <w:tc>
          <w:tcPr>
            <w:tcW w:w="4102" w:type="dxa"/>
            <w:noWrap w:val="0"/>
            <w:vAlign w:val="center"/>
          </w:tcPr>
          <w:p w14:paraId="0F2A9579">
            <w:pPr>
              <w:autoSpaceDE w:val="0"/>
              <w:autoSpaceDN w:val="0"/>
              <w:adjustRightInd w:val="0"/>
              <w:rPr>
                <w:rFonts w:ascii="宋体" w:hAnsi="宋体" w:cs="宋体"/>
                <w:bCs/>
                <w:color w:val="auto"/>
                <w:spacing w:val="-14"/>
                <w:szCs w:val="21"/>
                <w:highlight w:val="none"/>
                <w:lang w:val="zh-CN"/>
              </w:rPr>
            </w:pPr>
          </w:p>
        </w:tc>
        <w:tc>
          <w:tcPr>
            <w:tcW w:w="2399" w:type="dxa"/>
            <w:noWrap w:val="0"/>
            <w:vAlign w:val="center"/>
          </w:tcPr>
          <w:p w14:paraId="4CB15BC0">
            <w:pPr>
              <w:autoSpaceDE w:val="0"/>
              <w:autoSpaceDN w:val="0"/>
              <w:adjustRightInd w:val="0"/>
              <w:jc w:val="center"/>
              <w:rPr>
                <w:rFonts w:ascii="宋体" w:hAnsi="宋体" w:cs="宋体"/>
                <w:bCs/>
                <w:color w:val="auto"/>
                <w:szCs w:val="21"/>
                <w:highlight w:val="none"/>
                <w:lang w:val="zh-CN"/>
              </w:rPr>
            </w:pPr>
            <w:r>
              <w:rPr>
                <w:rFonts w:hint="eastAsia" w:ascii="宋体" w:hAnsi="宋体" w:cs="宋体"/>
                <w:bCs/>
                <w:color w:val="auto"/>
                <w:szCs w:val="21"/>
                <w:highlight w:val="none"/>
                <w:lang w:val="zh-CN"/>
              </w:rPr>
              <w:t>评审</w:t>
            </w:r>
          </w:p>
          <w:p w14:paraId="1504F726">
            <w:pPr>
              <w:autoSpaceDE w:val="0"/>
              <w:autoSpaceDN w:val="0"/>
              <w:adjustRightInd w:val="0"/>
              <w:jc w:val="center"/>
              <w:rPr>
                <w:rFonts w:ascii="宋体" w:hAnsi="宋体" w:cs="宋体"/>
                <w:bCs/>
                <w:color w:val="auto"/>
                <w:spacing w:val="-14"/>
                <w:szCs w:val="21"/>
                <w:highlight w:val="none"/>
                <w:lang w:val="zh-CN"/>
              </w:rPr>
            </w:pPr>
            <w:r>
              <w:rPr>
                <w:rFonts w:hint="eastAsia" w:ascii="宋体" w:hAnsi="宋体" w:cs="宋体"/>
                <w:bCs/>
                <w:color w:val="auto"/>
                <w:szCs w:val="21"/>
                <w:highlight w:val="none"/>
                <w:lang w:val="zh-CN"/>
              </w:rPr>
              <w:t>结论</w:t>
            </w:r>
          </w:p>
        </w:tc>
        <w:tc>
          <w:tcPr>
            <w:tcW w:w="704" w:type="dxa"/>
            <w:noWrap w:val="0"/>
            <w:vAlign w:val="center"/>
          </w:tcPr>
          <w:p w14:paraId="7D882702">
            <w:pPr>
              <w:autoSpaceDE w:val="0"/>
              <w:autoSpaceDN w:val="0"/>
              <w:adjustRightInd w:val="0"/>
              <w:jc w:val="center"/>
              <w:rPr>
                <w:rFonts w:ascii="宋体" w:hAnsi="宋体" w:cs="宋体"/>
                <w:bCs/>
                <w:color w:val="auto"/>
                <w:szCs w:val="21"/>
                <w:highlight w:val="none"/>
                <w:lang w:val="zh-CN"/>
              </w:rPr>
            </w:pPr>
          </w:p>
        </w:tc>
        <w:tc>
          <w:tcPr>
            <w:tcW w:w="704" w:type="dxa"/>
            <w:noWrap w:val="0"/>
            <w:vAlign w:val="center"/>
          </w:tcPr>
          <w:p w14:paraId="43F81BD2">
            <w:pPr>
              <w:autoSpaceDE w:val="0"/>
              <w:autoSpaceDN w:val="0"/>
              <w:adjustRightInd w:val="0"/>
              <w:jc w:val="center"/>
              <w:rPr>
                <w:rFonts w:ascii="宋体" w:hAnsi="宋体" w:cs="宋体"/>
                <w:bCs/>
                <w:color w:val="auto"/>
                <w:szCs w:val="21"/>
                <w:highlight w:val="none"/>
                <w:lang w:val="zh-CN"/>
              </w:rPr>
            </w:pPr>
          </w:p>
        </w:tc>
        <w:tc>
          <w:tcPr>
            <w:tcW w:w="705" w:type="dxa"/>
            <w:noWrap w:val="0"/>
            <w:vAlign w:val="center"/>
          </w:tcPr>
          <w:p w14:paraId="05CBEC9B">
            <w:pPr>
              <w:autoSpaceDE w:val="0"/>
              <w:autoSpaceDN w:val="0"/>
              <w:adjustRightInd w:val="0"/>
              <w:jc w:val="center"/>
              <w:rPr>
                <w:rFonts w:ascii="宋体" w:hAnsi="宋体" w:cs="宋体"/>
                <w:bCs/>
                <w:color w:val="auto"/>
                <w:szCs w:val="21"/>
                <w:highlight w:val="none"/>
                <w:lang w:val="zh-CN"/>
              </w:rPr>
            </w:pPr>
          </w:p>
        </w:tc>
      </w:tr>
    </w:tbl>
    <w:p w14:paraId="157D633B">
      <w:pPr>
        <w:pStyle w:val="16"/>
        <w:spacing w:line="360" w:lineRule="auto"/>
        <w:rPr>
          <w:rFonts w:hint="eastAsia" w:ascii="宋体" w:hAnsi="宋体" w:cs="宋体"/>
          <w:b/>
          <w:color w:val="auto"/>
          <w:szCs w:val="21"/>
          <w:highlight w:val="none"/>
        </w:rPr>
      </w:pPr>
    </w:p>
    <w:p w14:paraId="12940E03">
      <w:pPr>
        <w:autoSpaceDE w:val="0"/>
        <w:autoSpaceDN w:val="0"/>
        <w:adjustRightInd w:val="0"/>
        <w:spacing w:line="360" w:lineRule="auto"/>
        <w:jc w:val="left"/>
        <w:rPr>
          <w:rFonts w:hint="eastAsia" w:ascii="宋体" w:hAnsi="宋体" w:cs="宋体"/>
          <w:color w:val="auto"/>
          <w:spacing w:val="-14"/>
          <w:sz w:val="22"/>
          <w:szCs w:val="22"/>
          <w:highlight w:val="none"/>
        </w:rPr>
      </w:pPr>
      <w:r>
        <w:rPr>
          <w:rFonts w:hint="eastAsia" w:ascii="宋体" w:hAnsi="宋体" w:cs="宋体"/>
          <w:b/>
          <w:color w:val="auto"/>
          <w:sz w:val="22"/>
          <w:szCs w:val="22"/>
          <w:highlight w:val="none"/>
        </w:rPr>
        <w:t>注：</w:t>
      </w:r>
      <w:r>
        <w:rPr>
          <w:rFonts w:hint="eastAsia" w:ascii="宋体" w:hAnsi="宋体" w:cs="宋体"/>
          <w:color w:val="auto"/>
          <w:sz w:val="22"/>
          <w:szCs w:val="22"/>
          <w:highlight w:val="none"/>
        </w:rPr>
        <w:t>（1）上述情况有一项不合格，则符合性检查不合格，投标按废标处理。</w:t>
      </w:r>
    </w:p>
    <w:p w14:paraId="3EE1990F">
      <w:pPr>
        <w:autoSpaceDE w:val="0"/>
        <w:autoSpaceDN w:val="0"/>
        <w:adjustRightInd w:val="0"/>
        <w:spacing w:line="360" w:lineRule="auto"/>
        <w:ind w:firstLine="330" w:firstLineChars="150"/>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（2）每项审查内容合格打“√”，不合格打“×”。评审结论写“合格”或“不合格”。不合格须注明原因。</w:t>
      </w:r>
    </w:p>
    <w:p w14:paraId="31657DA5">
      <w:pPr>
        <w:pStyle w:val="16"/>
        <w:spacing w:line="360" w:lineRule="auto"/>
        <w:ind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（3）本表由全体谈判小组成员在共同商议的基础上给出结论，谈判小组成员意见不一致时，按照少数服从多数的原则确定。</w:t>
      </w:r>
    </w:p>
    <w:p w14:paraId="6DAC66B6">
      <w:pPr>
        <w:spacing w:line="360" w:lineRule="auto"/>
        <w:rPr>
          <w:rFonts w:hint="eastAsia" w:ascii="宋体" w:hAnsi="宋体" w:cs="宋体"/>
          <w:color w:val="auto"/>
          <w:sz w:val="24"/>
          <w:szCs w:val="32"/>
          <w:highlight w:val="none"/>
        </w:rPr>
      </w:pPr>
    </w:p>
    <w:p w14:paraId="74715B5E">
      <w:pPr>
        <w:autoSpaceDE w:val="0"/>
        <w:autoSpaceDN w:val="0"/>
        <w:adjustRightInd w:val="0"/>
        <w:spacing w:line="0" w:lineRule="atLeast"/>
        <w:jc w:val="left"/>
        <w:rPr>
          <w:rFonts w:hint="eastAsia" w:ascii="宋体" w:hAnsi="宋体" w:cs="宋体"/>
          <w:color w:val="auto"/>
          <w:sz w:val="20"/>
          <w:szCs w:val="20"/>
          <w:highlight w:val="none"/>
        </w:rPr>
        <w:sectPr>
          <w:footerReference r:id="rId9" w:type="first"/>
          <w:headerReference r:id="rId7" w:type="default"/>
          <w:footerReference r:id="rId8" w:type="default"/>
          <w:pgSz w:w="11906" w:h="16838"/>
          <w:pgMar w:top="1418" w:right="1418" w:bottom="1418" w:left="1418" w:header="851" w:footer="737" w:gutter="0"/>
          <w:pgNumType w:fmt="decimal"/>
          <w:cols w:space="720" w:num="1"/>
          <w:docGrid w:linePitch="507" w:charSpace="0"/>
        </w:sectPr>
      </w:pPr>
    </w:p>
    <w:p w14:paraId="504FC88D">
      <w:pPr>
        <w:pStyle w:val="16"/>
        <w:spacing w:line="380" w:lineRule="exact"/>
        <w:rPr>
          <w:rFonts w:hint="eastAsia" w:hAnsi="宋体"/>
          <w:b/>
          <w:bCs/>
          <w:color w:val="auto"/>
          <w:szCs w:val="21"/>
          <w:highlight w:val="none"/>
        </w:rPr>
      </w:pPr>
      <w:r>
        <w:rPr>
          <w:rFonts w:hint="eastAsia" w:hAnsi="宋体"/>
          <w:b/>
          <w:bCs/>
          <w:color w:val="auto"/>
          <w:szCs w:val="21"/>
          <w:highlight w:val="none"/>
          <w:lang w:val="en-US" w:eastAsia="zh-CN"/>
        </w:rPr>
        <w:t xml:space="preserve">    </w:t>
      </w:r>
      <w:r>
        <w:rPr>
          <w:rFonts w:hint="eastAsia" w:hAnsi="宋体"/>
          <w:b/>
          <w:bCs/>
          <w:color w:val="auto"/>
          <w:szCs w:val="21"/>
          <w:highlight w:val="none"/>
        </w:rPr>
        <w:t>一、评审依据</w:t>
      </w:r>
    </w:p>
    <w:p w14:paraId="5F94B6CB">
      <w:pPr>
        <w:pStyle w:val="16"/>
        <w:spacing w:line="380" w:lineRule="exact"/>
        <w:ind w:firstLine="420" w:firstLineChars="200"/>
        <w:rPr>
          <w:rFonts w:hint="eastAsia" w:hAnsi="宋体"/>
          <w:bCs/>
          <w:color w:val="auto"/>
          <w:highlight w:val="none"/>
        </w:rPr>
      </w:pPr>
      <w:r>
        <w:rPr>
          <w:rFonts w:hint="eastAsia" w:hAnsi="宋体"/>
          <w:bCs/>
          <w:color w:val="auto"/>
          <w:highlight w:val="none"/>
        </w:rPr>
        <w:t>1. 评审依据：谈判小组以谈判文件和响应文件为评审依据。</w:t>
      </w:r>
    </w:p>
    <w:p w14:paraId="6DBEA548">
      <w:pPr>
        <w:pStyle w:val="16"/>
        <w:spacing w:line="380" w:lineRule="exact"/>
        <w:ind w:firstLine="420" w:firstLineChars="200"/>
        <w:rPr>
          <w:rFonts w:hint="eastAsia" w:hAnsi="宋体"/>
          <w:bCs/>
          <w:color w:val="auto"/>
          <w:highlight w:val="none"/>
        </w:rPr>
      </w:pPr>
      <w:r>
        <w:rPr>
          <w:rFonts w:hint="eastAsia" w:hAnsi="宋体"/>
          <w:bCs/>
          <w:color w:val="auto"/>
          <w:highlight w:val="none"/>
        </w:rPr>
        <w:t>2. 根据财库〔2012〕69号文规定，采购人和采购代理机构、竞争性谈判小组成员要严格遵守政府采购相关法律制度，依法履行各自职责，公正、客观、审慎地组织和参与评审工作。</w:t>
      </w:r>
    </w:p>
    <w:p w14:paraId="03098379">
      <w:pPr>
        <w:pStyle w:val="16"/>
        <w:spacing w:line="380" w:lineRule="exact"/>
        <w:ind w:firstLine="422" w:firstLineChars="200"/>
        <w:rPr>
          <w:rFonts w:hint="eastAsia" w:hAnsi="宋体"/>
          <w:b/>
          <w:bCs/>
          <w:color w:val="auto"/>
          <w:szCs w:val="21"/>
          <w:highlight w:val="none"/>
        </w:rPr>
      </w:pPr>
      <w:r>
        <w:rPr>
          <w:rFonts w:hint="eastAsia" w:hAnsi="宋体"/>
          <w:b/>
          <w:bCs/>
          <w:color w:val="auto"/>
          <w:szCs w:val="21"/>
          <w:highlight w:val="none"/>
        </w:rPr>
        <w:t>二、评审办法</w:t>
      </w:r>
    </w:p>
    <w:p w14:paraId="2EBCA9B1">
      <w:pPr>
        <w:pStyle w:val="16"/>
        <w:spacing w:line="380" w:lineRule="exact"/>
        <w:ind w:firstLine="420"/>
        <w:rPr>
          <w:rFonts w:hint="eastAsia" w:hAnsi="宋体" w:cs="Arial"/>
          <w:color w:val="auto"/>
          <w:kern w:val="0"/>
          <w:szCs w:val="21"/>
          <w:highlight w:val="none"/>
        </w:rPr>
      </w:pPr>
      <w:r>
        <w:rPr>
          <w:rFonts w:hint="eastAsia" w:hAnsi="宋体" w:cs="Arial"/>
          <w:color w:val="auto"/>
          <w:kern w:val="0"/>
          <w:szCs w:val="21"/>
          <w:highlight w:val="none"/>
        </w:rPr>
        <w:t>1. 谈判小组应当从质量和服务均能满足竞争性谈判文件全部实质性响应要求的供应商中，按照评审第二次有效报价由低到高顺序提出3名以上（含3名）成交候选人。</w:t>
      </w:r>
    </w:p>
    <w:p w14:paraId="7866760C">
      <w:pPr>
        <w:pStyle w:val="16"/>
        <w:spacing w:line="380" w:lineRule="exact"/>
        <w:ind w:firstLine="420" w:firstLineChars="200"/>
        <w:rPr>
          <w:rFonts w:hint="eastAsia" w:hAnsi="宋体" w:cs="Arial"/>
          <w:color w:val="auto"/>
          <w:kern w:val="0"/>
          <w:szCs w:val="21"/>
          <w:highlight w:val="none"/>
        </w:rPr>
      </w:pPr>
      <w:r>
        <w:rPr>
          <w:rFonts w:hint="eastAsia" w:hAnsi="宋体" w:cs="Arial"/>
          <w:color w:val="auto"/>
          <w:kern w:val="0"/>
          <w:szCs w:val="21"/>
          <w:highlight w:val="none"/>
        </w:rPr>
        <w:t>2. 按照《政府采购促进中小企业发展</w:t>
      </w:r>
      <w:r>
        <w:rPr>
          <w:rFonts w:hint="eastAsia" w:hAnsi="宋体" w:cs="Arial"/>
          <w:color w:val="auto"/>
          <w:kern w:val="0"/>
          <w:szCs w:val="21"/>
          <w:highlight w:val="none"/>
          <w:lang w:val="en-US" w:eastAsia="zh-CN"/>
        </w:rPr>
        <w:t>管理</w:t>
      </w:r>
      <w:r>
        <w:rPr>
          <w:rFonts w:hint="eastAsia" w:hAnsi="宋体" w:cs="Arial"/>
          <w:color w:val="auto"/>
          <w:kern w:val="0"/>
          <w:szCs w:val="21"/>
          <w:highlight w:val="none"/>
        </w:rPr>
        <w:t>办法》（财库[20</w:t>
      </w:r>
      <w:r>
        <w:rPr>
          <w:rFonts w:hint="eastAsia" w:hAnsi="宋体" w:cs="Arial"/>
          <w:color w:val="auto"/>
          <w:kern w:val="0"/>
          <w:szCs w:val="21"/>
          <w:highlight w:val="none"/>
          <w:lang w:val="en-US" w:eastAsia="zh-CN"/>
        </w:rPr>
        <w:t>20</w:t>
      </w:r>
      <w:r>
        <w:rPr>
          <w:rFonts w:hint="eastAsia" w:hAnsi="宋体" w:cs="Arial"/>
          <w:color w:val="auto"/>
          <w:kern w:val="0"/>
          <w:szCs w:val="21"/>
          <w:highlight w:val="none"/>
        </w:rPr>
        <w:t>]</w:t>
      </w:r>
      <w:r>
        <w:rPr>
          <w:rFonts w:hint="eastAsia" w:hAnsi="宋体" w:cs="Arial"/>
          <w:color w:val="auto"/>
          <w:kern w:val="0"/>
          <w:szCs w:val="21"/>
          <w:highlight w:val="none"/>
          <w:lang w:val="en-US" w:eastAsia="zh-CN"/>
        </w:rPr>
        <w:t>46</w:t>
      </w:r>
      <w:r>
        <w:rPr>
          <w:rFonts w:hint="eastAsia" w:hAnsi="宋体" w:cs="Arial"/>
          <w:color w:val="auto"/>
          <w:kern w:val="0"/>
          <w:szCs w:val="21"/>
          <w:highlight w:val="none"/>
        </w:rPr>
        <w:t>号）</w:t>
      </w:r>
      <w:r>
        <w:rPr>
          <w:rFonts w:hint="eastAsia" w:hAnsi="宋体" w:cs="Arial"/>
          <w:color w:val="auto"/>
          <w:kern w:val="0"/>
          <w:szCs w:val="21"/>
          <w:highlight w:val="none"/>
          <w:lang w:eastAsia="zh-CN"/>
        </w:rPr>
        <w:t>、《关于进一步加大政府采购支持中小企业力度的通知》（财库[2022] 19号）、《关于政府采购支持监狱企业发展有关问题的通知》（财库[2014] 68号）、《关于促进残疾人就业政府采购政策的通知》（财库[2017] 141号）等国家</w:t>
      </w:r>
      <w:r>
        <w:rPr>
          <w:rFonts w:hint="eastAsia" w:hAnsi="宋体" w:cs="Arial"/>
          <w:color w:val="auto"/>
          <w:kern w:val="0"/>
          <w:szCs w:val="21"/>
          <w:highlight w:val="none"/>
          <w:lang w:val="en-US" w:eastAsia="zh-CN"/>
        </w:rPr>
        <w:t>文件最新</w:t>
      </w:r>
      <w:r>
        <w:rPr>
          <w:rFonts w:hint="eastAsia" w:hAnsi="宋体" w:cs="Arial"/>
          <w:color w:val="auto"/>
          <w:kern w:val="0"/>
          <w:szCs w:val="21"/>
          <w:highlight w:val="none"/>
        </w:rPr>
        <w:t>规定：</w:t>
      </w:r>
    </w:p>
    <w:p w14:paraId="65F89E85">
      <w:pPr>
        <w:pStyle w:val="16"/>
        <w:spacing w:line="380" w:lineRule="exact"/>
        <w:ind w:firstLine="420" w:firstLineChars="200"/>
        <w:rPr>
          <w:rFonts w:hint="eastAsia" w:hAnsi="宋体"/>
          <w:color w:val="auto"/>
          <w:highlight w:val="none"/>
        </w:rPr>
      </w:pPr>
      <w:r>
        <w:rPr>
          <w:rFonts w:hint="eastAsia" w:hAnsi="宋体"/>
          <w:color w:val="auto"/>
          <w:highlight w:val="none"/>
        </w:rPr>
        <w:t>（</w:t>
      </w:r>
      <w:r>
        <w:rPr>
          <w:rFonts w:hint="eastAsia" w:hAnsi="宋体"/>
          <w:color w:val="auto"/>
          <w:highlight w:val="none"/>
          <w:lang w:val="en-US" w:eastAsia="zh-CN"/>
        </w:rPr>
        <w:t>1</w:t>
      </w:r>
      <w:r>
        <w:rPr>
          <w:rFonts w:hint="eastAsia" w:hAnsi="宋体"/>
          <w:color w:val="auto"/>
          <w:highlight w:val="none"/>
        </w:rPr>
        <w:t>）评审报价=最后报价</w:t>
      </w:r>
      <w:r>
        <w:rPr>
          <w:rFonts w:hint="eastAsia" w:hAnsi="宋体"/>
          <w:color w:val="auto"/>
          <w:highlight w:val="none"/>
          <w:lang w:eastAsia="zh-CN"/>
        </w:rPr>
        <w:t>（</w:t>
      </w:r>
      <w:r>
        <w:rPr>
          <w:rFonts w:hint="eastAsia" w:hAnsi="宋体"/>
          <w:color w:val="auto"/>
          <w:highlight w:val="none"/>
          <w:lang w:val="en-US" w:eastAsia="zh-CN"/>
        </w:rPr>
        <w:t>第二次有效报价</w:t>
      </w:r>
      <w:r>
        <w:rPr>
          <w:rFonts w:hint="eastAsia" w:hAnsi="宋体"/>
          <w:color w:val="auto"/>
          <w:highlight w:val="none"/>
          <w:lang w:eastAsia="zh-CN"/>
        </w:rPr>
        <w:t>）</w:t>
      </w:r>
      <w:r>
        <w:rPr>
          <w:rFonts w:hint="eastAsia" w:hAnsi="宋体"/>
          <w:color w:val="auto"/>
          <w:highlight w:val="none"/>
        </w:rPr>
        <w:t>。</w:t>
      </w:r>
    </w:p>
    <w:p w14:paraId="1CE8DCBD">
      <w:pPr>
        <w:pStyle w:val="16"/>
        <w:spacing w:line="380" w:lineRule="exact"/>
        <w:ind w:firstLine="411" w:firstLineChars="196"/>
        <w:rPr>
          <w:rFonts w:hint="eastAsia" w:hAnsi="宋体"/>
          <w:bCs/>
          <w:color w:val="auto"/>
          <w:highlight w:val="none"/>
        </w:rPr>
      </w:pPr>
      <w:r>
        <w:rPr>
          <w:rFonts w:hint="eastAsia" w:hAnsi="宋体"/>
          <w:bCs/>
          <w:color w:val="auto"/>
          <w:szCs w:val="21"/>
          <w:highlight w:val="none"/>
          <w:lang w:val="en-US" w:eastAsia="zh-CN"/>
        </w:rPr>
        <w:t>3</w:t>
      </w:r>
      <w:r>
        <w:rPr>
          <w:rFonts w:hint="eastAsia" w:hAnsi="宋体"/>
          <w:bCs/>
          <w:color w:val="auto"/>
          <w:szCs w:val="21"/>
          <w:highlight w:val="none"/>
        </w:rPr>
        <w:t>. 评审时，</w:t>
      </w:r>
      <w:r>
        <w:rPr>
          <w:rFonts w:hint="eastAsia" w:hAnsi="宋体"/>
          <w:bCs/>
          <w:color w:val="auto"/>
          <w:highlight w:val="none"/>
        </w:rPr>
        <w:t>应当将通过资格性审查和符合性审查各供应商的评审报价，按照</w:t>
      </w:r>
      <w:r>
        <w:rPr>
          <w:rFonts w:hint="eastAsia" w:hAnsi="宋体" w:cs="Arial"/>
          <w:bCs/>
          <w:color w:val="auto"/>
          <w:kern w:val="0"/>
          <w:szCs w:val="21"/>
          <w:highlight w:val="none"/>
        </w:rPr>
        <w:t>由低到高顺序排序，</w:t>
      </w:r>
      <w:r>
        <w:rPr>
          <w:rFonts w:hint="eastAsia" w:hAnsi="宋体"/>
          <w:bCs/>
          <w:color w:val="auto"/>
          <w:highlight w:val="none"/>
        </w:rPr>
        <w:t>当评审报价相同时，以最后第二次报价低的优先排序；当最后报价相同时，采用抽签方式决定排序。</w:t>
      </w:r>
    </w:p>
    <w:p w14:paraId="26B46DAE">
      <w:pPr>
        <w:pStyle w:val="16"/>
        <w:spacing w:line="380" w:lineRule="exact"/>
        <w:ind w:firstLine="411" w:firstLineChars="196"/>
        <w:rPr>
          <w:rFonts w:hint="eastAsia" w:eastAsia="宋体"/>
          <w:color w:val="auto"/>
          <w:highlight w:val="none"/>
          <w:lang w:val="en-US" w:eastAsia="zh-CN"/>
        </w:rPr>
      </w:pPr>
      <w:r>
        <w:rPr>
          <w:rFonts w:hint="eastAsia" w:hAnsi="宋体"/>
          <w:bCs/>
          <w:color w:val="auto"/>
          <w:highlight w:val="none"/>
          <w:lang w:val="en-US" w:eastAsia="zh-CN"/>
        </w:rPr>
        <w:t>4、中华人民共和国财政部令第87号《政府采购货物和服务招标投标管理办法》，采用最低评标价法的采购项目，提供相同品牌产品的不同供应商参加同一合同项下投标的，以其中通过资格审查、符合性审查且报价最低的参加评标；报价相同的，由采购人或者采购人委托谈判小组按照招标文件规定的方式确定一个参加评标的供应商，招标文件未规定的采取随机抽取方式确定，其他投标无效。</w:t>
      </w:r>
    </w:p>
    <w:p w14:paraId="1A52C355">
      <w:pPr>
        <w:pStyle w:val="16"/>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hAnsi="宋体"/>
          <w:bCs/>
          <w:color w:val="auto"/>
          <w:szCs w:val="21"/>
          <w:highlight w:val="none"/>
        </w:rPr>
      </w:pPr>
      <w:r>
        <w:rPr>
          <w:rFonts w:hint="eastAsia" w:hAnsi="宋体"/>
          <w:bCs/>
          <w:color w:val="auto"/>
          <w:szCs w:val="21"/>
          <w:highlight w:val="none"/>
        </w:rPr>
        <w:t>三、成交候选人推荐原则</w:t>
      </w:r>
    </w:p>
    <w:p w14:paraId="4FDD4EBC">
      <w:pPr>
        <w:pStyle w:val="16"/>
        <w:keepNext w:val="0"/>
        <w:keepLines w:val="0"/>
        <w:pageBreakBefore w:val="0"/>
        <w:widowControl w:val="0"/>
        <w:tabs>
          <w:tab w:val="left" w:pos="4214"/>
        </w:tabs>
        <w:kinsoku/>
        <w:wordWrap/>
        <w:overflowPunct/>
        <w:topLinePunct w:val="0"/>
        <w:autoSpaceDE/>
        <w:autoSpaceDN/>
        <w:bidi w:val="0"/>
        <w:adjustRightInd/>
        <w:snapToGrid/>
        <w:spacing w:line="400" w:lineRule="exact"/>
        <w:ind w:firstLine="420" w:firstLineChars="200"/>
        <w:textAlignment w:val="auto"/>
        <w:rPr>
          <w:rFonts w:hint="eastAsia" w:hAnsi="宋体"/>
          <w:color w:val="auto"/>
          <w:szCs w:val="21"/>
          <w:highlight w:val="none"/>
        </w:rPr>
      </w:pPr>
      <w:r>
        <w:rPr>
          <w:rFonts w:hint="eastAsia" w:hAnsi="宋体"/>
          <w:color w:val="auto"/>
          <w:szCs w:val="21"/>
          <w:highlight w:val="none"/>
        </w:rPr>
        <w:t>（1）采购单位应当确定谈判小组推荐排名第一的成交候选人为成交供应商。</w:t>
      </w:r>
    </w:p>
    <w:p w14:paraId="4C3DFB23">
      <w:pPr>
        <w:pStyle w:val="16"/>
        <w:keepNext w:val="0"/>
        <w:keepLines w:val="0"/>
        <w:pageBreakBefore w:val="0"/>
        <w:widowControl w:val="0"/>
        <w:kinsoku/>
        <w:wordWrap/>
        <w:overflowPunct/>
        <w:topLinePunct w:val="0"/>
        <w:autoSpaceDE/>
        <w:autoSpaceDN/>
        <w:bidi w:val="0"/>
        <w:adjustRightInd/>
        <w:snapToGrid/>
        <w:spacing w:line="400" w:lineRule="exact"/>
        <w:ind w:firstLine="447" w:firstLineChars="213"/>
        <w:textAlignment w:val="auto"/>
        <w:rPr>
          <w:rFonts w:hint="eastAsia" w:hAnsi="宋体"/>
          <w:color w:val="auto"/>
          <w:szCs w:val="21"/>
          <w:highlight w:val="none"/>
        </w:rPr>
      </w:pPr>
      <w:r>
        <w:rPr>
          <w:rFonts w:hint="eastAsia" w:hAnsi="宋体"/>
          <w:color w:val="auto"/>
          <w:szCs w:val="21"/>
          <w:highlight w:val="none"/>
        </w:rPr>
        <w:t>（2）排名第一的成交候选人放弃成交、因不可抗力提出不能履行合同，或者竞争性谈判文件规定应当提交履约保证金而在规定的期限内未能提交的，采购单位可以确定排名第二的成交候选人为成交供应商。</w:t>
      </w:r>
    </w:p>
    <w:p w14:paraId="23CF78F4">
      <w:pPr>
        <w:pStyle w:val="16"/>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hAnsi="宋体"/>
          <w:color w:val="auto"/>
          <w:szCs w:val="21"/>
          <w:highlight w:val="none"/>
        </w:rPr>
      </w:pPr>
      <w:r>
        <w:rPr>
          <w:rFonts w:hint="eastAsia" w:hAnsi="宋体"/>
          <w:color w:val="auto"/>
          <w:szCs w:val="21"/>
          <w:highlight w:val="none"/>
        </w:rPr>
        <w:t>（3</w:t>
      </w:r>
      <w:r>
        <w:rPr>
          <w:rFonts w:hAnsi="宋体"/>
          <w:color w:val="auto"/>
          <w:szCs w:val="21"/>
          <w:highlight w:val="none"/>
        </w:rPr>
        <w:t>）</w:t>
      </w:r>
      <w:r>
        <w:rPr>
          <w:rFonts w:hint="eastAsia" w:hAnsi="宋体"/>
          <w:color w:val="auto"/>
          <w:szCs w:val="21"/>
          <w:highlight w:val="none"/>
        </w:rPr>
        <w:t>排名第二的成交候选人因前款规定的同样原因不能签订合同的，采购单位可以确定排名第三的成交候选人为成交供应商。</w:t>
      </w:r>
    </w:p>
    <w:p w14:paraId="087A87F3">
      <w:pPr>
        <w:pStyle w:val="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hAnsi="宋体"/>
          <w:color w:val="auto"/>
          <w:szCs w:val="21"/>
          <w:highlight w:val="none"/>
          <w:lang w:val="en-US" w:eastAsia="zh-CN"/>
        </w:rPr>
      </w:pPr>
      <w:r>
        <w:rPr>
          <w:rFonts w:hint="eastAsia" w:hAnsi="宋体"/>
          <w:color w:val="auto"/>
          <w:szCs w:val="21"/>
          <w:highlight w:val="none"/>
          <w:lang w:val="en-US" w:eastAsia="zh-CN"/>
        </w:rPr>
        <w:t xml:space="preserve">     （4）采购人也可重新采购。</w:t>
      </w:r>
    </w:p>
    <w:p w14:paraId="24C789C3">
      <w:pPr>
        <w:pStyle w:val="16"/>
        <w:spacing w:line="380" w:lineRule="exact"/>
        <w:ind w:firstLine="422" w:firstLineChars="200"/>
        <w:rPr>
          <w:rFonts w:hint="eastAsia" w:ascii="宋体" w:hAnsi="宋体" w:eastAsia="宋体" w:cs="Times New Roman"/>
          <w:b/>
          <w:bCs/>
          <w:color w:val="auto"/>
          <w:szCs w:val="21"/>
          <w:highlight w:val="none"/>
        </w:rPr>
      </w:pPr>
      <w:r>
        <w:rPr>
          <w:rFonts w:hint="eastAsia" w:hAnsi="宋体" w:cs="Times New Roman"/>
          <w:b/>
          <w:bCs/>
          <w:color w:val="auto"/>
          <w:szCs w:val="21"/>
          <w:highlight w:val="none"/>
          <w:lang w:val="en-US" w:eastAsia="zh-CN"/>
        </w:rPr>
        <w:t>四</w:t>
      </w:r>
      <w:r>
        <w:rPr>
          <w:rFonts w:hint="eastAsia" w:ascii="宋体" w:hAnsi="宋体" w:eastAsia="宋体" w:cs="Times New Roman"/>
          <w:b/>
          <w:bCs/>
          <w:color w:val="auto"/>
          <w:szCs w:val="21"/>
          <w:highlight w:val="none"/>
          <w:lang w:eastAsia="zh-CN"/>
        </w:rPr>
        <w:t>、</w:t>
      </w:r>
      <w:r>
        <w:rPr>
          <w:rFonts w:hint="eastAsia" w:ascii="宋体" w:hAnsi="宋体" w:eastAsia="宋体" w:cs="Times New Roman"/>
          <w:b/>
          <w:bCs/>
          <w:color w:val="auto"/>
          <w:szCs w:val="21"/>
          <w:highlight w:val="none"/>
        </w:rPr>
        <w:t>否绝投标</w:t>
      </w:r>
      <w:bookmarkStart w:id="18" w:name="_Toc252705915"/>
      <w:bookmarkStart w:id="19" w:name="_Toc231873587"/>
      <w:r>
        <w:rPr>
          <w:rFonts w:hint="eastAsia" w:ascii="宋体" w:hAnsi="宋体" w:eastAsia="宋体" w:cs="Times New Roman"/>
          <w:b/>
          <w:bCs/>
          <w:color w:val="auto"/>
          <w:szCs w:val="21"/>
          <w:highlight w:val="none"/>
        </w:rPr>
        <w:t>情形</w:t>
      </w:r>
    </w:p>
    <w:bookmarkEnd w:id="18"/>
    <w:bookmarkEnd w:id="19"/>
    <w:p w14:paraId="5F690AFA">
      <w:pPr>
        <w:shd w:val="clear" w:color="auto" w:fill="auto"/>
        <w:spacing w:line="360" w:lineRule="auto"/>
        <w:ind w:firstLine="420" w:firstLineChars="200"/>
        <w:rPr>
          <w:rFonts w:hint="eastAsia" w:ascii="宋体" w:hAnsi="宋体" w:eastAsia="宋体" w:cs="宋体"/>
          <w:color w:val="auto"/>
          <w:szCs w:val="28"/>
          <w:highlight w:val="none"/>
        </w:rPr>
      </w:pPr>
      <w:r>
        <w:rPr>
          <w:rFonts w:hint="eastAsia" w:ascii="宋体" w:hAnsi="宋体" w:cs="宋体"/>
          <w:color w:val="auto"/>
          <w:szCs w:val="28"/>
          <w:highlight w:val="none"/>
          <w:lang w:val="en-US" w:eastAsia="zh-CN"/>
        </w:rPr>
        <w:t>4</w:t>
      </w:r>
      <w:r>
        <w:rPr>
          <w:rFonts w:hint="eastAsia" w:ascii="宋体" w:hAnsi="宋体" w:eastAsia="宋体" w:cs="宋体"/>
          <w:color w:val="auto"/>
          <w:szCs w:val="28"/>
          <w:highlight w:val="none"/>
        </w:rPr>
        <w:t>.1除</w:t>
      </w:r>
      <w:r>
        <w:rPr>
          <w:rFonts w:hint="eastAsia" w:ascii="宋体" w:hAnsi="宋体" w:cs="宋体"/>
          <w:color w:val="auto"/>
          <w:szCs w:val="28"/>
          <w:highlight w:val="none"/>
          <w:lang w:eastAsia="zh-CN"/>
        </w:rPr>
        <w:t>谈判</w:t>
      </w:r>
      <w:r>
        <w:rPr>
          <w:rFonts w:hint="eastAsia" w:ascii="宋体" w:hAnsi="宋体" w:eastAsia="宋体" w:cs="宋体"/>
          <w:color w:val="auto"/>
          <w:szCs w:val="28"/>
          <w:highlight w:val="none"/>
        </w:rPr>
        <w:t>文件另有规定，供应商存在下列情况之一的，</w:t>
      </w:r>
      <w:r>
        <w:rPr>
          <w:rFonts w:hint="eastAsia" w:ascii="宋体" w:hAnsi="宋体" w:cs="宋体"/>
          <w:color w:val="auto"/>
          <w:szCs w:val="28"/>
          <w:highlight w:val="none"/>
          <w:lang w:val="en-US" w:eastAsia="zh-CN"/>
        </w:rPr>
        <w:t>响应</w:t>
      </w:r>
      <w:r>
        <w:rPr>
          <w:rFonts w:hint="eastAsia" w:ascii="宋体" w:hAnsi="宋体" w:eastAsia="宋体" w:cs="宋体"/>
          <w:color w:val="auto"/>
          <w:szCs w:val="28"/>
          <w:highlight w:val="none"/>
        </w:rPr>
        <w:t>无效：</w:t>
      </w:r>
    </w:p>
    <w:p w14:paraId="5472E38B">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lang w:val="en-US" w:eastAsia="zh-CN"/>
        </w:rPr>
        <w:t>未按谈判文件编制要求进行编制响应文件</w:t>
      </w:r>
      <w:r>
        <w:rPr>
          <w:rFonts w:hint="eastAsia" w:ascii="宋体" w:hAnsi="宋体" w:cs="宋体"/>
          <w:color w:val="auto"/>
          <w:szCs w:val="28"/>
          <w:highlight w:val="none"/>
          <w:lang w:val="en-US" w:eastAsia="zh-CN"/>
        </w:rPr>
        <w:t>和</w:t>
      </w:r>
      <w:r>
        <w:rPr>
          <w:rFonts w:hint="eastAsia" w:ascii="宋体" w:hAnsi="宋体" w:eastAsia="宋体" w:cs="宋体"/>
          <w:color w:val="auto"/>
          <w:szCs w:val="28"/>
          <w:highlight w:val="none"/>
        </w:rPr>
        <w:t>签字</w:t>
      </w:r>
      <w:r>
        <w:rPr>
          <w:rFonts w:hint="eastAsia" w:ascii="宋体" w:hAnsi="宋体" w:cs="宋体"/>
          <w:color w:val="auto"/>
          <w:szCs w:val="28"/>
          <w:highlight w:val="none"/>
          <w:lang w:eastAsia="zh-CN"/>
        </w:rPr>
        <w:t>、</w:t>
      </w:r>
      <w:r>
        <w:rPr>
          <w:rFonts w:hint="eastAsia" w:ascii="宋体" w:hAnsi="宋体" w:eastAsia="宋体" w:cs="宋体"/>
          <w:color w:val="auto"/>
          <w:szCs w:val="28"/>
          <w:highlight w:val="none"/>
        </w:rPr>
        <w:t>盖章的；</w:t>
      </w:r>
    </w:p>
    <w:p w14:paraId="749839F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lang w:eastAsia="zh-CN"/>
        </w:rPr>
      </w:pPr>
      <w:r>
        <w:rPr>
          <w:rFonts w:hint="eastAsia" w:ascii="宋体" w:hAnsi="宋体" w:eastAsia="宋体" w:cs="宋体"/>
          <w:color w:val="auto"/>
          <w:szCs w:val="28"/>
          <w:highlight w:val="none"/>
        </w:rPr>
        <w:t>（2）响应文件未按</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文件要求编制填写</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lang w:val="en-US" w:eastAsia="zh-CN"/>
        </w:rPr>
        <w:t>签字盖章</w:t>
      </w:r>
      <w:r>
        <w:rPr>
          <w:rFonts w:hint="eastAsia" w:ascii="宋体" w:hAnsi="宋体" w:eastAsia="宋体" w:cs="宋体"/>
          <w:color w:val="auto"/>
          <w:szCs w:val="28"/>
          <w:highlight w:val="none"/>
        </w:rPr>
        <w:t>，或内容不全、字迹模糊、难以辨认的</w:t>
      </w:r>
      <w:r>
        <w:rPr>
          <w:rFonts w:hint="eastAsia" w:ascii="宋体" w:hAnsi="宋体" w:cs="宋体"/>
          <w:color w:val="auto"/>
          <w:szCs w:val="28"/>
          <w:highlight w:val="none"/>
          <w:lang w:eastAsia="zh-CN"/>
        </w:rPr>
        <w:t>；</w:t>
      </w:r>
    </w:p>
    <w:p w14:paraId="5A7F6719">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3</w:t>
      </w:r>
      <w:r>
        <w:rPr>
          <w:rFonts w:hint="eastAsia" w:ascii="宋体" w:hAnsi="宋体" w:eastAsia="宋体" w:cs="宋体"/>
          <w:color w:val="auto"/>
          <w:szCs w:val="28"/>
          <w:highlight w:val="none"/>
        </w:rPr>
        <w:t>）供应商不符合资格条件或未按</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文件规定提供资格证明文件的；</w:t>
      </w:r>
    </w:p>
    <w:p w14:paraId="48D2EE44">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4</w:t>
      </w:r>
      <w:r>
        <w:rPr>
          <w:rFonts w:hint="eastAsia" w:ascii="宋体" w:hAnsi="宋体" w:eastAsia="宋体" w:cs="宋体"/>
          <w:color w:val="auto"/>
          <w:szCs w:val="28"/>
          <w:highlight w:val="none"/>
        </w:rPr>
        <w:t>）未能实质性响应</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文件商务和技术要求的；</w:t>
      </w:r>
    </w:p>
    <w:p w14:paraId="18B89527">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5</w:t>
      </w:r>
      <w:r>
        <w:rPr>
          <w:rFonts w:hint="eastAsia" w:ascii="宋体" w:hAnsi="宋体" w:eastAsia="宋体" w:cs="宋体"/>
          <w:color w:val="auto"/>
          <w:szCs w:val="28"/>
          <w:highlight w:val="none"/>
        </w:rPr>
        <w:t>）投标有效期不足的</w:t>
      </w:r>
      <w:r>
        <w:rPr>
          <w:rFonts w:hint="eastAsia" w:ascii="宋体" w:hAnsi="宋体" w:eastAsia="宋体" w:cs="宋体"/>
          <w:color w:val="auto"/>
          <w:szCs w:val="28"/>
          <w:highlight w:val="none"/>
          <w:lang w:val="en-US" w:eastAsia="zh-CN"/>
        </w:rPr>
        <w:t>或未响应的</w:t>
      </w:r>
      <w:r>
        <w:rPr>
          <w:rFonts w:hint="eastAsia" w:ascii="宋体" w:hAnsi="宋体" w:eastAsia="宋体" w:cs="宋体"/>
          <w:color w:val="auto"/>
          <w:szCs w:val="28"/>
          <w:highlight w:val="none"/>
        </w:rPr>
        <w:t>；</w:t>
      </w:r>
    </w:p>
    <w:p w14:paraId="429C4E6D">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6</w:t>
      </w:r>
      <w:r>
        <w:rPr>
          <w:rFonts w:hint="eastAsia" w:ascii="宋体" w:hAnsi="宋体" w:eastAsia="宋体" w:cs="宋体"/>
          <w:color w:val="auto"/>
          <w:szCs w:val="28"/>
          <w:highlight w:val="none"/>
        </w:rPr>
        <w:t>）报价货币不是人民币的;</w:t>
      </w:r>
    </w:p>
    <w:p w14:paraId="118471BB">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Cs w:val="28"/>
          <w:highlight w:val="none"/>
          <w:lang w:val="en-US" w:eastAsia="zh-CN"/>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7</w:t>
      </w:r>
      <w:r>
        <w:rPr>
          <w:rFonts w:hint="eastAsia" w:ascii="宋体" w:hAnsi="宋体" w:eastAsia="宋体" w:cs="宋体"/>
          <w:color w:val="auto"/>
          <w:szCs w:val="28"/>
          <w:highlight w:val="none"/>
        </w:rPr>
        <w:t>）报价超过</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文件中规定的预算金额或者最高限价的；</w:t>
      </w:r>
      <w:r>
        <w:rPr>
          <w:rFonts w:hint="eastAsia" w:ascii="宋体" w:hAnsi="宋体" w:eastAsia="宋体" w:cs="宋体"/>
          <w:color w:val="auto"/>
          <w:szCs w:val="28"/>
          <w:highlight w:val="none"/>
          <w:lang w:val="en-US" w:eastAsia="zh-CN"/>
        </w:rPr>
        <w:t>低于供应商成本价格；在规定时间内未作出说明和递交证明材料的；</w:t>
      </w:r>
    </w:p>
    <w:p w14:paraId="1085C360">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cs="宋体"/>
          <w:color w:val="auto"/>
          <w:szCs w:val="28"/>
          <w:highlight w:val="none"/>
          <w:lang w:val="en-US" w:eastAsia="zh-CN"/>
        </w:rPr>
        <w:t>8</w:t>
      </w:r>
      <w:r>
        <w:rPr>
          <w:rFonts w:hint="eastAsia" w:ascii="宋体" w:hAnsi="宋体" w:eastAsia="宋体" w:cs="宋体"/>
          <w:color w:val="auto"/>
          <w:szCs w:val="28"/>
          <w:highlight w:val="none"/>
        </w:rPr>
        <w:t>）串通投标或弄虚作假或有其他违法行为的；</w:t>
      </w:r>
    </w:p>
    <w:p w14:paraId="750FACBF">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cs="宋体"/>
          <w:color w:val="auto"/>
          <w:szCs w:val="28"/>
          <w:highlight w:val="none"/>
          <w:lang w:val="en-US" w:eastAsia="zh-CN"/>
        </w:rPr>
        <w:t>9</w:t>
      </w:r>
      <w:r>
        <w:rPr>
          <w:rFonts w:hint="eastAsia" w:ascii="宋体" w:hAnsi="宋体" w:eastAsia="宋体" w:cs="宋体"/>
          <w:color w:val="auto"/>
          <w:szCs w:val="28"/>
          <w:highlight w:val="none"/>
        </w:rPr>
        <w:t>）未按</w:t>
      </w:r>
      <w:r>
        <w:rPr>
          <w:rFonts w:hint="eastAsia" w:ascii="宋体" w:hAnsi="宋体" w:cs="宋体"/>
          <w:color w:val="auto"/>
          <w:szCs w:val="28"/>
          <w:highlight w:val="none"/>
          <w:lang w:val="en-US" w:eastAsia="zh-CN"/>
        </w:rPr>
        <w:t>谈判</w:t>
      </w:r>
      <w:r>
        <w:rPr>
          <w:rFonts w:hint="eastAsia" w:ascii="宋体" w:hAnsi="宋体" w:eastAsia="宋体" w:cs="宋体"/>
          <w:color w:val="auto"/>
          <w:szCs w:val="28"/>
          <w:highlight w:val="none"/>
        </w:rPr>
        <w:t>小组要求澄清、说明或补正的；</w:t>
      </w:r>
    </w:p>
    <w:p w14:paraId="62520D0D">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0</w:t>
      </w:r>
      <w:r>
        <w:rPr>
          <w:rFonts w:hint="eastAsia" w:ascii="宋体" w:hAnsi="宋体" w:eastAsia="宋体" w:cs="宋体"/>
          <w:color w:val="auto"/>
          <w:szCs w:val="28"/>
          <w:highlight w:val="none"/>
        </w:rPr>
        <w:t>）未按谈判小组的要求在评审现场合理的时间内提供书面说明（必要时提交相关证明材料），或不能证明其报价合理性的；</w:t>
      </w:r>
    </w:p>
    <w:p w14:paraId="08B6B533">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Cs w:val="28"/>
          <w:highlight w:val="none"/>
          <w:lang w:val="en-US" w:eastAsia="zh-CN"/>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1</w:t>
      </w:r>
      <w:r>
        <w:rPr>
          <w:rFonts w:hint="eastAsia" w:ascii="宋体" w:hAnsi="宋体" w:eastAsia="宋体" w:cs="宋体"/>
          <w:color w:val="auto"/>
          <w:szCs w:val="28"/>
          <w:highlight w:val="none"/>
        </w:rPr>
        <w:t>）未按</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小组的要求确认修正后的报价的；</w:t>
      </w:r>
    </w:p>
    <w:p w14:paraId="04679E85">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2</w:t>
      </w:r>
      <w:r>
        <w:rPr>
          <w:rFonts w:hint="eastAsia" w:ascii="宋体" w:hAnsi="宋体" w:eastAsia="宋体" w:cs="宋体"/>
          <w:color w:val="auto"/>
          <w:szCs w:val="28"/>
          <w:highlight w:val="none"/>
        </w:rPr>
        <w:t>）供应商符合第二章《供应商须知》第</w:t>
      </w:r>
      <w:r>
        <w:rPr>
          <w:rFonts w:hint="eastAsia" w:ascii="宋体" w:hAnsi="宋体" w:cs="宋体"/>
          <w:color w:val="auto"/>
          <w:szCs w:val="28"/>
          <w:highlight w:val="none"/>
          <w:lang w:val="en-US" w:eastAsia="zh-CN"/>
        </w:rPr>
        <w:t>8.5.3</w:t>
      </w:r>
      <w:r>
        <w:rPr>
          <w:rFonts w:hint="eastAsia" w:ascii="宋体" w:hAnsi="宋体" w:eastAsia="宋体" w:cs="宋体"/>
          <w:color w:val="auto"/>
          <w:szCs w:val="28"/>
          <w:highlight w:val="none"/>
        </w:rPr>
        <w:t>条任何一种情形的；</w:t>
      </w:r>
    </w:p>
    <w:p w14:paraId="2865D708">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3</w:t>
      </w:r>
      <w:r>
        <w:rPr>
          <w:rFonts w:hint="eastAsia" w:ascii="宋体" w:hAnsi="宋体" w:eastAsia="宋体" w:cs="宋体"/>
          <w:color w:val="auto"/>
          <w:szCs w:val="28"/>
          <w:highlight w:val="none"/>
        </w:rPr>
        <w:t>）响应文件含有采购人不能接受的附加条件的；</w:t>
      </w:r>
    </w:p>
    <w:p w14:paraId="5FA36AB9">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4</w:t>
      </w:r>
      <w:r>
        <w:rPr>
          <w:rFonts w:hint="eastAsia" w:ascii="宋体" w:hAnsi="宋体" w:eastAsia="宋体" w:cs="宋体"/>
          <w:color w:val="auto"/>
          <w:szCs w:val="28"/>
          <w:highlight w:val="none"/>
        </w:rPr>
        <w:t>）违反国家法律、法规和</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文件规定的其他无效情形。</w:t>
      </w:r>
    </w:p>
    <w:p w14:paraId="52B97536">
      <w:pPr>
        <w:pStyle w:val="9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color w:val="auto"/>
          <w:highlight w:val="none"/>
          <w:lang w:eastAsia="zh-CN"/>
        </w:rPr>
      </w:pPr>
      <w:r>
        <w:rPr>
          <w:rFonts w:hint="eastAsia" w:ascii="宋体" w:hAnsi="宋体" w:cs="宋体"/>
          <w:color w:val="auto"/>
          <w:szCs w:val="28"/>
          <w:highlight w:val="none"/>
          <w:lang w:eastAsia="zh-CN"/>
        </w:rPr>
        <w:t>（</w:t>
      </w:r>
      <w:r>
        <w:rPr>
          <w:rFonts w:hint="eastAsia" w:ascii="宋体" w:hAnsi="宋体" w:cs="宋体"/>
          <w:color w:val="auto"/>
          <w:szCs w:val="28"/>
          <w:highlight w:val="none"/>
          <w:lang w:val="en-US" w:eastAsia="zh-CN"/>
        </w:rPr>
        <w:t>15</w:t>
      </w:r>
      <w:r>
        <w:rPr>
          <w:rFonts w:hint="eastAsia" w:ascii="宋体" w:hAnsi="宋体" w:cs="宋体"/>
          <w:color w:val="auto"/>
          <w:szCs w:val="28"/>
          <w:highlight w:val="none"/>
          <w:lang w:eastAsia="zh-CN"/>
        </w:rPr>
        <w:t>）谈判文件给出的“响应文件格式”中要求签字或盖章未响应的或随意更改响应文件格式的（包含签字处不允许盖章或盖章处不允许签字的情形）。</w:t>
      </w:r>
    </w:p>
    <w:p w14:paraId="1616380B">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cs="宋体"/>
          <w:color w:val="auto"/>
          <w:szCs w:val="28"/>
          <w:highlight w:val="none"/>
          <w:lang w:val="en-US" w:eastAsia="zh-CN"/>
        </w:rPr>
        <w:t>4</w:t>
      </w:r>
      <w:r>
        <w:rPr>
          <w:rFonts w:hint="eastAsia" w:ascii="宋体" w:hAnsi="宋体" w:eastAsia="宋体" w:cs="宋体"/>
          <w:color w:val="auto"/>
          <w:szCs w:val="28"/>
          <w:highlight w:val="none"/>
        </w:rPr>
        <w:t>.2有下列情形之一的，视为供应商串通投标，其投标无效：</w:t>
      </w:r>
    </w:p>
    <w:p w14:paraId="3DA72FCE">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（1）不同供应商的响应文件由同一单位或者个人编制；</w:t>
      </w:r>
    </w:p>
    <w:p w14:paraId="5AADC1D7">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（2）不同供应商委托同一单位或者个人办理投标事宜；</w:t>
      </w:r>
    </w:p>
    <w:p w14:paraId="17CC2BD6">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（3）不同供应商的响应文件载明的项目管理成员或者联系人员为同一人；</w:t>
      </w:r>
    </w:p>
    <w:p w14:paraId="7113F616">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（4）不同供应商的响应文件异常一致</w:t>
      </w:r>
      <w:r>
        <w:rPr>
          <w:rFonts w:hint="eastAsia" w:ascii="宋体" w:hAnsi="宋体" w:cs="宋体"/>
          <w:color w:val="auto"/>
          <w:szCs w:val="28"/>
          <w:highlight w:val="none"/>
          <w:lang w:eastAsia="zh-CN"/>
        </w:rPr>
        <w:t>或</w:t>
      </w:r>
      <w:r>
        <w:rPr>
          <w:rFonts w:hint="eastAsia" w:ascii="宋体" w:hAnsi="宋体" w:eastAsia="宋体" w:cs="宋体"/>
          <w:color w:val="auto"/>
          <w:szCs w:val="28"/>
          <w:highlight w:val="none"/>
          <w:lang w:val="en-US" w:eastAsia="zh-CN"/>
        </w:rPr>
        <w:t>出现相同打印IP地址或</w:t>
      </w:r>
      <w:r>
        <w:rPr>
          <w:rFonts w:hint="eastAsia" w:ascii="宋体" w:hAnsi="宋体" w:eastAsia="宋体" w:cs="宋体"/>
          <w:color w:val="auto"/>
          <w:szCs w:val="28"/>
          <w:highlight w:val="none"/>
        </w:rPr>
        <w:t>报价呈规律性差异；</w:t>
      </w:r>
    </w:p>
    <w:p w14:paraId="5BAA7C46">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（5）不同供应商的响应文件相互混装；</w:t>
      </w:r>
    </w:p>
    <w:p w14:paraId="67AFB7D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8"/>
          <w:highlight w:val="none"/>
        </w:rPr>
      </w:pPr>
      <w:r>
        <w:rPr>
          <w:rFonts w:hint="eastAsia" w:ascii="宋体" w:hAnsi="宋体" w:eastAsia="宋体" w:cs="宋体"/>
          <w:color w:val="auto"/>
          <w:szCs w:val="28"/>
          <w:highlight w:val="none"/>
        </w:rPr>
        <w:t>（6）不同供应商的</w:t>
      </w:r>
      <w:r>
        <w:rPr>
          <w:rFonts w:hint="eastAsia" w:ascii="宋体" w:hAnsi="宋体" w:eastAsia="宋体" w:cs="宋体"/>
          <w:color w:val="auto"/>
          <w:szCs w:val="28"/>
          <w:highlight w:val="none"/>
          <w:lang w:eastAsia="zh-CN"/>
        </w:rPr>
        <w:t>谈判</w:t>
      </w:r>
      <w:r>
        <w:rPr>
          <w:rFonts w:hint="eastAsia" w:ascii="宋体" w:hAnsi="宋体" w:eastAsia="宋体" w:cs="宋体"/>
          <w:color w:val="auto"/>
          <w:szCs w:val="28"/>
          <w:highlight w:val="none"/>
        </w:rPr>
        <w:t>保证金从同一单位或者个人的账户转出。</w:t>
      </w:r>
    </w:p>
    <w:p w14:paraId="11C3A4E5">
      <w:pPr>
        <w:rPr>
          <w:rFonts w:hint="default"/>
          <w:color w:val="auto"/>
          <w:highlight w:val="none"/>
          <w:lang w:val="en-US" w:eastAsia="zh-CN"/>
        </w:rPr>
      </w:pPr>
    </w:p>
    <w:p w14:paraId="0BAA136A">
      <w:pPr>
        <w:pStyle w:val="16"/>
        <w:spacing w:line="360" w:lineRule="exact"/>
        <w:ind w:firstLine="420" w:firstLineChars="200"/>
        <w:rPr>
          <w:rFonts w:hint="eastAsia" w:hAnsi="宋体"/>
          <w:color w:val="auto"/>
          <w:szCs w:val="21"/>
          <w:highlight w:val="none"/>
        </w:rPr>
      </w:pPr>
    </w:p>
    <w:p w14:paraId="657FFF13">
      <w:pPr>
        <w:pStyle w:val="16"/>
        <w:spacing w:line="400" w:lineRule="exact"/>
        <w:ind w:left="309" w:leftChars="147"/>
        <w:rPr>
          <w:rFonts w:hint="eastAsia" w:hAnsi="宋体"/>
          <w:color w:val="auto"/>
          <w:highlight w:val="none"/>
        </w:rPr>
      </w:pPr>
    </w:p>
    <w:p w14:paraId="0B1876D6">
      <w:pPr>
        <w:pStyle w:val="2"/>
        <w:spacing w:line="0" w:lineRule="atLeast"/>
        <w:jc w:val="center"/>
        <w:rPr>
          <w:rFonts w:hint="eastAsia"/>
          <w:color w:val="auto"/>
          <w:sz w:val="28"/>
          <w:szCs w:val="28"/>
          <w:highlight w:val="none"/>
        </w:rPr>
      </w:pPr>
      <w:bookmarkStart w:id="20" w:name="_Toc432277441"/>
      <w:bookmarkStart w:id="21" w:name="_Toc432264369"/>
      <w:r>
        <w:rPr>
          <w:color w:val="auto"/>
          <w:sz w:val="28"/>
          <w:szCs w:val="28"/>
          <w:highlight w:val="none"/>
        </w:rPr>
        <w:br w:type="page"/>
      </w:r>
      <w:bookmarkStart w:id="22" w:name="_Toc455565645"/>
      <w:r>
        <w:rPr>
          <w:rFonts w:hint="eastAsia"/>
          <w:color w:val="auto"/>
          <w:sz w:val="28"/>
          <w:szCs w:val="28"/>
          <w:highlight w:val="none"/>
        </w:rPr>
        <w:t>第五章  合同主要条款及格式</w:t>
      </w:r>
      <w:bookmarkEnd w:id="20"/>
      <w:bookmarkEnd w:id="21"/>
      <w:bookmarkEnd w:id="22"/>
    </w:p>
    <w:p w14:paraId="3C04B570">
      <w:pPr>
        <w:pStyle w:val="2"/>
        <w:spacing w:line="0" w:lineRule="atLeast"/>
        <w:jc w:val="center"/>
        <w:rPr>
          <w:rFonts w:hint="eastAsia"/>
          <w:color w:val="auto"/>
          <w:sz w:val="28"/>
          <w:szCs w:val="28"/>
          <w:highlight w:val="none"/>
          <w:lang w:eastAsia="zh-CN"/>
        </w:rPr>
      </w:pPr>
      <w:r>
        <w:rPr>
          <w:rFonts w:hint="eastAsia"/>
          <w:color w:val="auto"/>
          <w:sz w:val="28"/>
          <w:szCs w:val="28"/>
          <w:highlight w:val="none"/>
          <w:lang w:eastAsia="zh-CN"/>
        </w:rPr>
        <w:t>（</w:t>
      </w:r>
      <w:r>
        <w:rPr>
          <w:rFonts w:hint="eastAsia"/>
          <w:color w:val="auto"/>
          <w:sz w:val="28"/>
          <w:szCs w:val="28"/>
          <w:highlight w:val="none"/>
          <w:lang w:val="en-US" w:eastAsia="zh-CN"/>
        </w:rPr>
        <w:t>具体以甲乙双方实际签订为准</w:t>
      </w:r>
      <w:r>
        <w:rPr>
          <w:rFonts w:hint="eastAsia"/>
          <w:color w:val="auto"/>
          <w:sz w:val="28"/>
          <w:szCs w:val="28"/>
          <w:highlight w:val="none"/>
          <w:lang w:eastAsia="zh-CN"/>
        </w:rPr>
        <w:t>）</w:t>
      </w:r>
    </w:p>
    <w:p w14:paraId="5CAA2D41">
      <w:pPr>
        <w:rPr>
          <w:rFonts w:hint="eastAsia"/>
          <w:color w:val="auto"/>
          <w:sz w:val="32"/>
          <w:szCs w:val="32"/>
          <w:highlight w:val="none"/>
        </w:rPr>
      </w:pPr>
      <w:bookmarkStart w:id="23" w:name="_Toc432277442"/>
      <w:bookmarkStart w:id="24" w:name="_Toc432264370"/>
      <w:bookmarkStart w:id="25" w:name="_Toc455565646"/>
      <w:r>
        <w:rPr>
          <w:rFonts w:hint="eastAsia"/>
          <w:color w:val="auto"/>
          <w:sz w:val="32"/>
          <w:szCs w:val="32"/>
          <w:highlight w:val="none"/>
        </w:rPr>
        <w:br w:type="page"/>
      </w:r>
    </w:p>
    <w:p w14:paraId="1D3CB47F">
      <w:pPr>
        <w:pStyle w:val="2"/>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b w:val="0"/>
          <w:color w:val="auto"/>
          <w:sz w:val="32"/>
          <w:szCs w:val="32"/>
          <w:highlight w:val="none"/>
        </w:rPr>
      </w:pPr>
      <w:r>
        <w:rPr>
          <w:rFonts w:hint="eastAsia"/>
          <w:color w:val="auto"/>
          <w:sz w:val="32"/>
          <w:szCs w:val="32"/>
          <w:highlight w:val="none"/>
        </w:rPr>
        <w:t>第六章  响应文件格式</w:t>
      </w:r>
      <w:bookmarkEnd w:id="23"/>
      <w:bookmarkEnd w:id="24"/>
      <w:bookmarkEnd w:id="25"/>
    </w:p>
    <w:p w14:paraId="79DA5B2B">
      <w:pPr>
        <w:pStyle w:val="16"/>
        <w:pageBreakBefore w:val="0"/>
        <w:widowControl w:val="0"/>
        <w:kinsoku/>
        <w:wordWrap/>
        <w:overflowPunct/>
        <w:topLinePunct w:val="0"/>
        <w:autoSpaceDE/>
        <w:autoSpaceDN/>
        <w:bidi w:val="0"/>
        <w:adjustRightInd/>
        <w:snapToGrid/>
        <w:spacing w:line="360" w:lineRule="auto"/>
        <w:ind w:firstLine="3915" w:firstLineChars="1300"/>
        <w:textAlignment w:val="auto"/>
        <w:rPr>
          <w:rFonts w:hint="eastAsia"/>
          <w:b/>
          <w:color w:val="auto"/>
          <w:sz w:val="30"/>
          <w:szCs w:val="30"/>
          <w:highlight w:val="none"/>
        </w:rPr>
      </w:pPr>
      <w:r>
        <w:rPr>
          <w:rFonts w:hint="eastAsia"/>
          <w:b/>
          <w:color w:val="auto"/>
          <w:sz w:val="30"/>
          <w:szCs w:val="30"/>
          <w:highlight w:val="none"/>
        </w:rPr>
        <w:t>一、</w:t>
      </w:r>
      <w:r>
        <w:rPr>
          <w:rFonts w:hint="eastAsia"/>
          <w:b/>
          <w:color w:val="auto"/>
          <w:sz w:val="30"/>
          <w:szCs w:val="30"/>
          <w:highlight w:val="none"/>
          <w:lang w:val="en-US" w:eastAsia="zh-CN"/>
        </w:rPr>
        <w:t>报价</w:t>
      </w:r>
      <w:r>
        <w:rPr>
          <w:rFonts w:hint="eastAsia"/>
          <w:b/>
          <w:color w:val="auto"/>
          <w:sz w:val="30"/>
          <w:szCs w:val="30"/>
          <w:highlight w:val="none"/>
        </w:rPr>
        <w:t xml:space="preserve">函 </w:t>
      </w:r>
    </w:p>
    <w:p w14:paraId="108255FB">
      <w:pPr>
        <w:pStyle w:val="16"/>
        <w:snapToGrid w:val="0"/>
        <w:spacing w:line="360" w:lineRule="auto"/>
        <w:rPr>
          <w:rFonts w:hAnsi="宋体"/>
          <w:color w:val="auto"/>
          <w:highlight w:val="none"/>
        </w:rPr>
      </w:pPr>
      <w:r>
        <w:rPr>
          <w:rFonts w:hint="eastAsia" w:hAnsi="宋体"/>
          <w:color w:val="auto"/>
          <w:highlight w:val="none"/>
          <w:u w:val="single"/>
        </w:rPr>
        <w:t xml:space="preserve">               </w:t>
      </w:r>
      <w:r>
        <w:rPr>
          <w:rFonts w:hint="eastAsia" w:hAnsi="宋体"/>
          <w:color w:val="auto"/>
          <w:highlight w:val="none"/>
        </w:rPr>
        <w:t>（</w:t>
      </w:r>
      <w:r>
        <w:rPr>
          <w:rFonts w:hint="eastAsia" w:hAnsi="宋体"/>
          <w:color w:val="auto"/>
          <w:highlight w:val="none"/>
          <w:lang w:val="en-US" w:eastAsia="zh-CN"/>
        </w:rPr>
        <w:t>采购</w:t>
      </w:r>
      <w:r>
        <w:rPr>
          <w:rFonts w:hint="eastAsia" w:hAnsi="宋体"/>
          <w:color w:val="auto"/>
          <w:highlight w:val="none"/>
        </w:rPr>
        <w:t>人名称</w:t>
      </w:r>
      <w:r>
        <w:rPr>
          <w:rFonts w:hAnsi="宋体"/>
          <w:color w:val="auto"/>
          <w:highlight w:val="none"/>
        </w:rPr>
        <w:t>）</w:t>
      </w:r>
      <w:r>
        <w:rPr>
          <w:rFonts w:hint="eastAsia" w:hAnsi="宋体"/>
          <w:color w:val="auto"/>
          <w:highlight w:val="none"/>
        </w:rPr>
        <w:t>：</w:t>
      </w:r>
    </w:p>
    <w:p w14:paraId="78D661E6">
      <w:pPr>
        <w:pStyle w:val="16"/>
        <w:snapToGrid w:val="0"/>
        <w:spacing w:line="360" w:lineRule="auto"/>
        <w:ind w:firstLine="420"/>
        <w:rPr>
          <w:rFonts w:hAnsi="宋体"/>
          <w:color w:val="auto"/>
          <w:highlight w:val="none"/>
        </w:rPr>
      </w:pPr>
      <w:r>
        <w:rPr>
          <w:rFonts w:hint="eastAsia" w:hAnsi="宋体"/>
          <w:color w:val="auto"/>
          <w:highlight w:val="none"/>
          <w:lang w:val="en-US" w:eastAsia="zh-CN"/>
        </w:rPr>
        <w:t>1.</w:t>
      </w:r>
      <w:r>
        <w:rPr>
          <w:rFonts w:hAnsi="宋体"/>
          <w:color w:val="auto"/>
          <w:highlight w:val="none"/>
        </w:rPr>
        <w:t>我方已仔</w:t>
      </w:r>
      <w:r>
        <w:rPr>
          <w:rFonts w:hint="eastAsia" w:hAnsi="宋体"/>
          <w:color w:val="auto"/>
          <w:highlight w:val="none"/>
        </w:rPr>
        <w:t>研究了</w:t>
      </w:r>
      <w:r>
        <w:rPr>
          <w:rFonts w:hint="eastAsia" w:hAnsi="宋体"/>
          <w:color w:val="auto"/>
          <w:highlight w:val="none"/>
          <w:u w:val="single"/>
        </w:rPr>
        <w:t xml:space="preserve">                             </w:t>
      </w:r>
      <w:r>
        <w:rPr>
          <w:rFonts w:hint="eastAsia" w:hAnsi="宋体"/>
          <w:color w:val="auto"/>
          <w:highlight w:val="none"/>
        </w:rPr>
        <w:t>（项目名称）</w:t>
      </w:r>
      <w:r>
        <w:rPr>
          <w:rFonts w:hint="eastAsia" w:hAnsi="宋体"/>
          <w:color w:val="auto"/>
          <w:highlight w:val="none"/>
          <w:lang w:val="en-US" w:eastAsia="zh-CN"/>
        </w:rPr>
        <w:t>谈判</w:t>
      </w:r>
      <w:r>
        <w:rPr>
          <w:rFonts w:hAnsi="宋体"/>
          <w:color w:val="auto"/>
          <w:highlight w:val="none"/>
        </w:rPr>
        <w:t>文件</w:t>
      </w:r>
      <w:r>
        <w:rPr>
          <w:rFonts w:hint="eastAsia" w:hAnsi="宋体"/>
          <w:color w:val="auto"/>
          <w:highlight w:val="none"/>
        </w:rPr>
        <w:t>的全部内容，</w:t>
      </w:r>
      <w:r>
        <w:rPr>
          <w:rFonts w:hAnsi="宋体"/>
          <w:color w:val="auto"/>
          <w:highlight w:val="none"/>
        </w:rPr>
        <w:t>愿</w:t>
      </w:r>
      <w:r>
        <w:rPr>
          <w:rFonts w:hint="eastAsia" w:hAnsi="宋体"/>
          <w:color w:val="auto"/>
          <w:highlight w:val="none"/>
        </w:rPr>
        <w:t>以人民币（大写）</w:t>
      </w: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rPr>
        <w:t>（</w:t>
      </w:r>
      <w:r>
        <w:rPr>
          <w:rFonts w:hint="eastAsia" w:hAnsi="宋体"/>
          <w:color w:val="auto"/>
          <w:highlight w:val="none"/>
        </w:rPr>
        <w:t>￥</w:t>
      </w:r>
      <w:r>
        <w:rPr>
          <w:rFonts w:hint="eastAsia" w:hAnsi="宋体"/>
          <w:color w:val="auto"/>
          <w:highlight w:val="none"/>
          <w:u w:val="single"/>
        </w:rPr>
        <w:t xml:space="preserve">           </w:t>
      </w:r>
      <w:r>
        <w:rPr>
          <w:rFonts w:hAnsi="宋体"/>
          <w:color w:val="auto"/>
          <w:highlight w:val="none"/>
        </w:rPr>
        <w:t>）的</w:t>
      </w:r>
      <w:r>
        <w:rPr>
          <w:rFonts w:hint="eastAsia" w:hAnsi="宋体"/>
          <w:color w:val="auto"/>
          <w:highlight w:val="none"/>
          <w:lang w:val="en-US" w:eastAsia="zh-CN"/>
        </w:rPr>
        <w:t>响应</w:t>
      </w:r>
      <w:r>
        <w:rPr>
          <w:rFonts w:hint="eastAsia" w:hAnsi="宋体"/>
          <w:color w:val="auto"/>
          <w:highlight w:val="none"/>
        </w:rPr>
        <w:t>总报价，并按合同约定履行义务</w:t>
      </w:r>
      <w:r>
        <w:rPr>
          <w:rFonts w:hAnsi="宋体"/>
          <w:color w:val="auto"/>
          <w:highlight w:val="none"/>
        </w:rPr>
        <w:t>。</w:t>
      </w:r>
    </w:p>
    <w:p w14:paraId="3782E539">
      <w:pPr>
        <w:numPr>
          <w:ilvl w:val="0"/>
          <w:numId w:val="5"/>
        </w:numPr>
        <w:spacing w:line="360" w:lineRule="auto"/>
        <w:ind w:firstLine="438" w:firstLineChars="209"/>
        <w:jc w:val="left"/>
        <w:rPr>
          <w:rFonts w:hint="eastAsia" w:ascii="宋体" w:hAnsi="宋体"/>
          <w:color w:val="auto"/>
          <w:szCs w:val="21"/>
          <w:highlight w:val="none"/>
        </w:rPr>
      </w:pPr>
      <w:r>
        <w:rPr>
          <w:rFonts w:hint="eastAsia" w:ascii="宋体" w:hAnsi="宋体"/>
          <w:color w:val="auto"/>
          <w:szCs w:val="21"/>
          <w:highlight w:val="none"/>
        </w:rPr>
        <w:t>我方的</w:t>
      </w:r>
      <w:r>
        <w:rPr>
          <w:rFonts w:hint="eastAsia" w:ascii="宋体" w:hAnsi="宋体"/>
          <w:color w:val="auto"/>
          <w:szCs w:val="21"/>
          <w:highlight w:val="none"/>
          <w:lang w:eastAsia="zh-CN"/>
        </w:rPr>
        <w:t>响应文件</w:t>
      </w:r>
      <w:r>
        <w:rPr>
          <w:rFonts w:hint="eastAsia" w:ascii="宋体" w:hAnsi="宋体"/>
          <w:color w:val="auto"/>
          <w:szCs w:val="21"/>
          <w:highlight w:val="none"/>
        </w:rPr>
        <w:t>包括下列内容：</w:t>
      </w:r>
    </w:p>
    <w:p w14:paraId="391B8E21">
      <w:pPr>
        <w:spacing w:line="360" w:lineRule="auto"/>
        <w:ind w:firstLine="438" w:firstLineChars="209"/>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报价</w:t>
      </w:r>
      <w:r>
        <w:rPr>
          <w:rFonts w:hint="eastAsia" w:ascii="宋体" w:hAnsi="宋体"/>
          <w:color w:val="auto"/>
          <w:szCs w:val="21"/>
          <w:highlight w:val="none"/>
        </w:rPr>
        <w:t>函；</w:t>
      </w:r>
    </w:p>
    <w:p w14:paraId="4A9FBC7B">
      <w:pPr>
        <w:spacing w:line="360" w:lineRule="auto"/>
        <w:ind w:firstLine="438" w:firstLineChars="209"/>
        <w:jc w:val="left"/>
        <w:rPr>
          <w:rFonts w:hint="eastAsia" w:ascii="宋体" w:hAnsi="宋体"/>
          <w:color w:val="auto"/>
          <w:szCs w:val="21"/>
          <w:highlight w:val="none"/>
        </w:rPr>
      </w:pPr>
      <w:r>
        <w:rPr>
          <w:rFonts w:hint="eastAsia" w:ascii="宋体" w:hAnsi="宋体"/>
          <w:color w:val="auto"/>
          <w:szCs w:val="21"/>
          <w:highlight w:val="none"/>
        </w:rPr>
        <w:t>（2）法定代表人身份证明或授权委托书；</w:t>
      </w:r>
    </w:p>
    <w:p w14:paraId="58C8A6A8">
      <w:pPr>
        <w:spacing w:line="360" w:lineRule="auto"/>
        <w:ind w:firstLine="438" w:firstLineChars="209"/>
        <w:jc w:val="left"/>
        <w:rPr>
          <w:rFonts w:hint="eastAsia" w:ascii="宋体" w:hAnsi="宋体"/>
          <w:color w:val="auto"/>
          <w:szCs w:val="21"/>
          <w:highlight w:val="none"/>
        </w:rPr>
      </w:pPr>
      <w:r>
        <w:rPr>
          <w:rFonts w:hint="eastAsia" w:ascii="宋体" w:hAnsi="宋体"/>
          <w:color w:val="auto"/>
          <w:szCs w:val="21"/>
          <w:highlight w:val="none"/>
        </w:rPr>
        <w:t>（3）联合体协议书（如有）；</w:t>
      </w:r>
    </w:p>
    <w:p w14:paraId="0E1733C6">
      <w:pPr>
        <w:spacing w:line="360" w:lineRule="auto"/>
        <w:ind w:firstLine="438" w:firstLineChars="209"/>
        <w:jc w:val="left"/>
        <w:rPr>
          <w:rFonts w:hint="eastAsia"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ascii="宋体" w:hAnsi="宋体" w:cs="Arial"/>
          <w:color w:val="auto"/>
          <w:szCs w:val="21"/>
          <w:highlight w:val="none"/>
        </w:rPr>
        <w:t>………</w:t>
      </w:r>
    </w:p>
    <w:p w14:paraId="23F73D17">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w:t>
      </w:r>
      <w:r>
        <w:rPr>
          <w:rFonts w:hint="eastAsia" w:ascii="宋体" w:hAnsi="宋体"/>
          <w:color w:val="auto"/>
          <w:szCs w:val="21"/>
          <w:highlight w:val="none"/>
          <w:lang w:val="en-US" w:eastAsia="zh-CN"/>
        </w:rPr>
        <w:t>报价</w:t>
      </w:r>
      <w:r>
        <w:rPr>
          <w:rFonts w:hint="eastAsia" w:ascii="宋体" w:hAnsi="宋体"/>
          <w:color w:val="auto"/>
          <w:szCs w:val="21"/>
          <w:highlight w:val="none"/>
        </w:rPr>
        <w:t>函为准。</w:t>
      </w:r>
    </w:p>
    <w:p w14:paraId="7451FDA1">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3．我方承诺除商务和技术偏差表列出的偏差外，我方响应</w:t>
      </w:r>
      <w:r>
        <w:rPr>
          <w:rFonts w:hint="eastAsia" w:ascii="宋体" w:hAnsi="宋体"/>
          <w:color w:val="auto"/>
          <w:szCs w:val="21"/>
          <w:highlight w:val="none"/>
          <w:lang w:val="en-US" w:eastAsia="zh-CN"/>
        </w:rPr>
        <w:t>谈判</w:t>
      </w:r>
      <w:r>
        <w:rPr>
          <w:rFonts w:hint="eastAsia" w:ascii="宋体" w:hAnsi="宋体"/>
          <w:color w:val="auto"/>
          <w:szCs w:val="21"/>
          <w:highlight w:val="none"/>
        </w:rPr>
        <w:t>文件的全部要求。</w:t>
      </w:r>
    </w:p>
    <w:p w14:paraId="740D0923">
      <w:pPr>
        <w:pStyle w:val="16"/>
        <w:numPr>
          <w:ilvl w:val="0"/>
          <w:numId w:val="6"/>
        </w:numPr>
        <w:snapToGrid w:val="0"/>
        <w:spacing w:line="360" w:lineRule="auto"/>
        <w:ind w:firstLine="420"/>
        <w:rPr>
          <w:rFonts w:hint="eastAsia" w:hAnsi="宋体"/>
          <w:color w:val="auto"/>
          <w:highlight w:val="none"/>
        </w:rPr>
      </w:pPr>
      <w:r>
        <w:rPr>
          <w:rFonts w:hint="eastAsia" w:hAnsi="宋体"/>
          <w:color w:val="auto"/>
          <w:highlight w:val="none"/>
        </w:rPr>
        <w:t>我方承诺在</w:t>
      </w:r>
      <w:r>
        <w:rPr>
          <w:rFonts w:hint="eastAsia" w:hAnsi="宋体"/>
          <w:color w:val="auto"/>
          <w:highlight w:val="none"/>
          <w:lang w:val="en-US" w:eastAsia="zh-CN"/>
        </w:rPr>
        <w:t>谈判</w:t>
      </w:r>
      <w:r>
        <w:rPr>
          <w:rFonts w:hint="eastAsia" w:hAnsi="宋体"/>
          <w:color w:val="auto"/>
          <w:highlight w:val="none"/>
        </w:rPr>
        <w:t>文件规定的投标有效期内不撤销</w:t>
      </w:r>
      <w:r>
        <w:rPr>
          <w:rFonts w:hint="eastAsia" w:hAnsi="宋体"/>
          <w:color w:val="auto"/>
          <w:highlight w:val="none"/>
          <w:lang w:val="en-US" w:eastAsia="zh-CN"/>
        </w:rPr>
        <w:t>响应</w:t>
      </w:r>
      <w:r>
        <w:rPr>
          <w:rFonts w:hint="eastAsia" w:hAnsi="宋体"/>
          <w:color w:val="auto"/>
          <w:highlight w:val="none"/>
        </w:rPr>
        <w:t>文件。</w:t>
      </w:r>
    </w:p>
    <w:p w14:paraId="06A4A9FE">
      <w:pPr>
        <w:numPr>
          <w:ilvl w:val="0"/>
          <w:numId w:val="6"/>
        </w:num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如我方中标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lang w:eastAsia="zh-CN"/>
        </w:rPr>
        <w:t>）</w:t>
      </w:r>
      <w:r>
        <w:rPr>
          <w:rFonts w:hint="eastAsia" w:ascii="宋体" w:hAnsi="宋体"/>
          <w:color w:val="auto"/>
          <w:szCs w:val="21"/>
          <w:highlight w:val="none"/>
        </w:rPr>
        <w:t>，我方承诺：</w:t>
      </w:r>
    </w:p>
    <w:p w14:paraId="036054F6">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（1）在收到中标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lang w:eastAsia="zh-CN"/>
        </w:rPr>
        <w:t>）</w:t>
      </w:r>
      <w:r>
        <w:rPr>
          <w:rFonts w:hint="eastAsia" w:ascii="宋体" w:hAnsi="宋体"/>
          <w:color w:val="auto"/>
          <w:szCs w:val="21"/>
          <w:highlight w:val="none"/>
        </w:rPr>
        <w:t>通知书后，在中标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lang w:eastAsia="zh-CN"/>
        </w:rPr>
        <w:t>）</w:t>
      </w:r>
      <w:r>
        <w:rPr>
          <w:rFonts w:hint="eastAsia" w:ascii="宋体" w:hAnsi="宋体"/>
          <w:color w:val="auto"/>
          <w:szCs w:val="21"/>
          <w:highlight w:val="none"/>
        </w:rPr>
        <w:t>通知书规定的期限内与你方签订合同；</w:t>
      </w:r>
    </w:p>
    <w:p w14:paraId="2FCEBA01">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（2）在签订合同时不向你方提出附加条件；</w:t>
      </w:r>
    </w:p>
    <w:p w14:paraId="6B6B01C7">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（3）按照</w:t>
      </w:r>
      <w:r>
        <w:rPr>
          <w:rFonts w:hint="eastAsia" w:ascii="宋体" w:hAnsi="宋体"/>
          <w:color w:val="auto"/>
          <w:szCs w:val="21"/>
          <w:highlight w:val="none"/>
          <w:lang w:val="en-US" w:eastAsia="zh-CN"/>
        </w:rPr>
        <w:t>竞争性谈判</w:t>
      </w:r>
      <w:r>
        <w:rPr>
          <w:rFonts w:hint="eastAsia" w:ascii="宋体" w:hAnsi="宋体"/>
          <w:color w:val="auto"/>
          <w:szCs w:val="21"/>
          <w:highlight w:val="none"/>
        </w:rPr>
        <w:t>文件要求提交履约保证金；</w:t>
      </w:r>
    </w:p>
    <w:p w14:paraId="3F5C029D">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（4）在合同约定的期限内完成合同规定的全部义务。</w:t>
      </w:r>
    </w:p>
    <w:p w14:paraId="4274CBD1">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6．我方在此声明，所递交的</w:t>
      </w:r>
      <w:r>
        <w:rPr>
          <w:rFonts w:hint="eastAsia" w:ascii="宋体" w:hAnsi="宋体"/>
          <w:color w:val="auto"/>
          <w:szCs w:val="21"/>
          <w:highlight w:val="none"/>
          <w:lang w:val="en-US" w:eastAsia="zh-CN"/>
        </w:rPr>
        <w:t>响应</w:t>
      </w:r>
      <w:r>
        <w:rPr>
          <w:rFonts w:hint="eastAsia" w:ascii="宋体" w:hAnsi="宋体"/>
          <w:color w:val="auto"/>
          <w:szCs w:val="21"/>
          <w:highlight w:val="none"/>
        </w:rPr>
        <w:t>文件及有关资料内容完整、真实和准确，且不存在第二章“</w:t>
      </w:r>
      <w:r>
        <w:rPr>
          <w:rFonts w:hint="eastAsia" w:ascii="宋体" w:hAnsi="宋体"/>
          <w:color w:val="auto"/>
          <w:szCs w:val="21"/>
          <w:highlight w:val="none"/>
          <w:lang w:eastAsia="zh-CN"/>
        </w:rPr>
        <w:t>供应商</w:t>
      </w:r>
      <w:r>
        <w:rPr>
          <w:rFonts w:hint="eastAsia" w:ascii="宋体" w:hAnsi="宋体"/>
          <w:color w:val="auto"/>
          <w:szCs w:val="21"/>
          <w:highlight w:val="none"/>
        </w:rPr>
        <w:t>须知”第</w:t>
      </w:r>
      <w:r>
        <w:rPr>
          <w:rFonts w:hint="eastAsia" w:ascii="宋体" w:hAnsi="宋体"/>
          <w:color w:val="auto"/>
          <w:szCs w:val="21"/>
          <w:highlight w:val="none"/>
          <w:lang w:val="en-US" w:eastAsia="zh-CN"/>
        </w:rPr>
        <w:t>8.5.3</w:t>
      </w:r>
      <w:r>
        <w:rPr>
          <w:rFonts w:hint="eastAsia" w:ascii="宋体" w:hAnsi="宋体"/>
          <w:color w:val="auto"/>
          <w:szCs w:val="21"/>
          <w:highlight w:val="none"/>
        </w:rPr>
        <w:t xml:space="preserve"> 项规定的任何一种情形。</w:t>
      </w:r>
    </w:p>
    <w:p w14:paraId="0218C0BD">
      <w:pPr>
        <w:spacing w:line="360" w:lineRule="auto"/>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7.</w:t>
      </w:r>
      <w:r>
        <w:rPr>
          <w:rFonts w:hint="eastAsia" w:ascii="宋体" w:hAnsi="宋体"/>
          <w:color w:val="auto"/>
          <w:szCs w:val="21"/>
          <w:highlight w:val="none"/>
          <w:u w:val="single"/>
        </w:rPr>
        <w:t xml:space="preserve">                            （其他补充说明）</w:t>
      </w:r>
      <w:r>
        <w:rPr>
          <w:rFonts w:hint="eastAsia" w:ascii="宋体" w:hAnsi="宋体"/>
          <w:color w:val="auto"/>
          <w:szCs w:val="21"/>
          <w:highlight w:val="none"/>
          <w:u w:val="none"/>
          <w:lang w:eastAsia="zh-CN"/>
        </w:rPr>
        <w:t>。</w:t>
      </w:r>
    </w:p>
    <w:p w14:paraId="4EC9FDAA">
      <w:pPr>
        <w:pStyle w:val="16"/>
        <w:snapToGrid w:val="0"/>
        <w:spacing w:line="360" w:lineRule="auto"/>
        <w:ind w:firstLine="420"/>
        <w:rPr>
          <w:rFonts w:hAnsi="宋体"/>
          <w:color w:val="auto"/>
          <w:highlight w:val="none"/>
        </w:rPr>
      </w:pPr>
    </w:p>
    <w:p w14:paraId="02874106">
      <w:pPr>
        <w:pStyle w:val="16"/>
        <w:snapToGrid w:val="0"/>
        <w:spacing w:line="360" w:lineRule="auto"/>
        <w:ind w:firstLine="3578" w:firstLineChars="1704"/>
        <w:rPr>
          <w:rFonts w:hint="eastAsia" w:hAnsi="宋体"/>
          <w:color w:val="auto"/>
          <w:highlight w:val="none"/>
          <w:u w:val="single"/>
        </w:rPr>
      </w:pPr>
      <w:r>
        <w:rPr>
          <w:rFonts w:hint="eastAsia" w:hAnsi="宋体"/>
          <w:color w:val="auto"/>
          <w:highlight w:val="none"/>
          <w:lang w:val="en-US" w:eastAsia="zh-CN"/>
        </w:rPr>
        <w:t>供应商</w:t>
      </w:r>
      <w:r>
        <w:rPr>
          <w:rFonts w:hAnsi="宋体"/>
          <w:color w:val="auto"/>
          <w:highlight w:val="none"/>
        </w:rPr>
        <w:t>：</w:t>
      </w:r>
      <w:r>
        <w:rPr>
          <w:rFonts w:hint="eastAsia" w:hAnsi="宋体"/>
          <w:color w:val="auto"/>
          <w:highlight w:val="none"/>
          <w:u w:val="single"/>
        </w:rPr>
        <w:t xml:space="preserve">                      </w:t>
      </w:r>
      <w:r>
        <w:rPr>
          <w:rFonts w:hAnsi="宋体"/>
          <w:color w:val="auto"/>
          <w:highlight w:val="none"/>
        </w:rPr>
        <w:t>（</w:t>
      </w:r>
      <w:r>
        <w:rPr>
          <w:rFonts w:hint="eastAsia" w:hAnsi="宋体"/>
          <w:color w:val="auto"/>
          <w:highlight w:val="none"/>
        </w:rPr>
        <w:t>盖单位章</w:t>
      </w:r>
      <w:r>
        <w:rPr>
          <w:rFonts w:hAnsi="宋体"/>
          <w:color w:val="auto"/>
          <w:highlight w:val="none"/>
        </w:rPr>
        <w:t>）</w:t>
      </w:r>
    </w:p>
    <w:p w14:paraId="51A2D7E5">
      <w:pPr>
        <w:pStyle w:val="16"/>
        <w:wordWrap w:val="0"/>
        <w:snapToGrid w:val="0"/>
        <w:spacing w:line="360" w:lineRule="auto"/>
        <w:ind w:firstLine="3578" w:firstLineChars="1704"/>
        <w:rPr>
          <w:rFonts w:hint="eastAsia" w:hAnsi="宋体"/>
          <w:color w:val="auto"/>
          <w:highlight w:val="none"/>
          <w:u w:val="single"/>
        </w:rPr>
      </w:pPr>
      <w:r>
        <w:rPr>
          <w:rFonts w:hAnsi="宋体"/>
          <w:color w:val="auto"/>
          <w:highlight w:val="none"/>
        </w:rPr>
        <w:t>法定代表人或</w:t>
      </w:r>
      <w:r>
        <w:rPr>
          <w:rFonts w:hint="eastAsia" w:hAnsi="宋体"/>
          <w:color w:val="auto"/>
          <w:highlight w:val="none"/>
        </w:rPr>
        <w:t>其</w:t>
      </w:r>
      <w:r>
        <w:rPr>
          <w:rFonts w:hAnsi="宋体"/>
          <w:color w:val="auto"/>
          <w:highlight w:val="none"/>
        </w:rPr>
        <w:t>授权代理人：</w:t>
      </w:r>
      <w:r>
        <w:rPr>
          <w:rFonts w:hint="eastAsia" w:hAnsi="宋体"/>
          <w:color w:val="auto"/>
          <w:highlight w:val="none"/>
          <w:u w:val="single"/>
        </w:rPr>
        <w:t xml:space="preserve">        </w:t>
      </w:r>
      <w:r>
        <w:rPr>
          <w:rFonts w:hint="eastAsia" w:hAnsi="宋体"/>
          <w:color w:val="auto"/>
          <w:highlight w:val="none"/>
        </w:rPr>
        <w:t>（</w:t>
      </w:r>
      <w:r>
        <w:rPr>
          <w:rFonts w:hAnsi="宋体"/>
          <w:color w:val="auto"/>
          <w:highlight w:val="none"/>
        </w:rPr>
        <w:t>签字</w:t>
      </w:r>
      <w:r>
        <w:rPr>
          <w:rFonts w:hint="eastAsia" w:hAnsi="宋体"/>
          <w:color w:val="auto"/>
          <w:highlight w:val="none"/>
        </w:rPr>
        <w:t>）</w:t>
      </w:r>
    </w:p>
    <w:p w14:paraId="58ABC052">
      <w:pPr>
        <w:pStyle w:val="16"/>
        <w:wordWrap w:val="0"/>
        <w:snapToGrid w:val="0"/>
        <w:spacing w:line="360" w:lineRule="auto"/>
        <w:ind w:firstLine="3578" w:firstLineChars="1704"/>
        <w:rPr>
          <w:rFonts w:hint="eastAsia" w:hAnsi="宋体"/>
          <w:color w:val="auto"/>
          <w:highlight w:val="none"/>
          <w:u w:val="single"/>
        </w:rPr>
      </w:pPr>
      <w:r>
        <w:rPr>
          <w:rFonts w:hint="eastAsia" w:hAnsi="宋体"/>
          <w:color w:val="auto"/>
          <w:highlight w:val="none"/>
        </w:rPr>
        <w:t xml:space="preserve">地  址： </w:t>
      </w:r>
      <w:r>
        <w:rPr>
          <w:rFonts w:hint="eastAsia" w:hAnsi="宋体"/>
          <w:color w:val="auto"/>
          <w:highlight w:val="none"/>
          <w:u w:val="single"/>
        </w:rPr>
        <w:t xml:space="preserve">                          </w:t>
      </w:r>
    </w:p>
    <w:p w14:paraId="6754E250">
      <w:pPr>
        <w:pStyle w:val="16"/>
        <w:wordWrap w:val="0"/>
        <w:snapToGrid w:val="0"/>
        <w:spacing w:line="360" w:lineRule="auto"/>
        <w:ind w:firstLine="3578" w:firstLineChars="1704"/>
        <w:rPr>
          <w:rFonts w:hint="eastAsia" w:hAnsi="宋体"/>
          <w:color w:val="auto"/>
          <w:highlight w:val="none"/>
          <w:u w:val="single"/>
        </w:rPr>
      </w:pPr>
      <w:r>
        <w:rPr>
          <w:rFonts w:hint="eastAsia" w:hAnsi="宋体"/>
          <w:color w:val="auto"/>
          <w:highlight w:val="none"/>
        </w:rPr>
        <w:t xml:space="preserve">网  址： </w:t>
      </w:r>
      <w:r>
        <w:rPr>
          <w:rFonts w:hint="eastAsia" w:hAnsi="宋体"/>
          <w:color w:val="auto"/>
          <w:highlight w:val="none"/>
          <w:u w:val="single"/>
        </w:rPr>
        <w:t xml:space="preserve">                          </w:t>
      </w:r>
    </w:p>
    <w:p w14:paraId="2D12A657">
      <w:pPr>
        <w:pStyle w:val="16"/>
        <w:wordWrap w:val="0"/>
        <w:snapToGrid w:val="0"/>
        <w:spacing w:line="360" w:lineRule="auto"/>
        <w:ind w:firstLine="3578" w:firstLineChars="1704"/>
        <w:rPr>
          <w:rFonts w:hint="eastAsia" w:hAnsi="宋体"/>
          <w:color w:val="auto"/>
          <w:highlight w:val="none"/>
          <w:u w:val="single"/>
        </w:rPr>
      </w:pPr>
      <w:r>
        <w:rPr>
          <w:rFonts w:hint="eastAsia" w:hAnsi="宋体"/>
          <w:color w:val="auto"/>
          <w:highlight w:val="none"/>
        </w:rPr>
        <w:t>电  话：</w:t>
      </w:r>
      <w:r>
        <w:rPr>
          <w:rFonts w:hint="eastAsia" w:hAnsi="宋体"/>
          <w:color w:val="auto"/>
          <w:highlight w:val="none"/>
          <w:u w:val="single"/>
        </w:rPr>
        <w:t xml:space="preserve">                           </w:t>
      </w:r>
    </w:p>
    <w:p w14:paraId="32B82B8C">
      <w:pPr>
        <w:pStyle w:val="16"/>
        <w:wordWrap w:val="0"/>
        <w:snapToGrid w:val="0"/>
        <w:spacing w:line="360" w:lineRule="auto"/>
        <w:ind w:firstLine="3578" w:firstLineChars="1704"/>
        <w:rPr>
          <w:rFonts w:hint="eastAsia" w:hAnsi="宋体"/>
          <w:color w:val="auto"/>
          <w:highlight w:val="none"/>
          <w:u w:val="single"/>
        </w:rPr>
      </w:pPr>
      <w:r>
        <w:rPr>
          <w:rFonts w:hint="eastAsia" w:hAnsi="宋体"/>
          <w:color w:val="auto"/>
          <w:highlight w:val="none"/>
        </w:rPr>
        <w:t>传  真：</w:t>
      </w:r>
      <w:r>
        <w:rPr>
          <w:rFonts w:hint="eastAsia" w:hAnsi="宋体"/>
          <w:color w:val="auto"/>
          <w:highlight w:val="none"/>
          <w:u w:val="single"/>
        </w:rPr>
        <w:t xml:space="preserve">                           </w:t>
      </w:r>
    </w:p>
    <w:p w14:paraId="0E154D9B">
      <w:pPr>
        <w:pStyle w:val="16"/>
        <w:wordWrap w:val="0"/>
        <w:snapToGrid w:val="0"/>
        <w:spacing w:line="360" w:lineRule="auto"/>
        <w:ind w:firstLine="3578" w:firstLineChars="1704"/>
        <w:rPr>
          <w:rFonts w:hint="eastAsia" w:hAnsi="宋体"/>
          <w:color w:val="auto"/>
          <w:highlight w:val="none"/>
          <w:u w:val="single"/>
        </w:rPr>
      </w:pPr>
      <w:r>
        <w:rPr>
          <w:rFonts w:hint="eastAsia" w:hAnsi="宋体"/>
          <w:color w:val="auto"/>
          <w:highlight w:val="none"/>
        </w:rPr>
        <w:t>邮  编：</w:t>
      </w:r>
      <w:r>
        <w:rPr>
          <w:rFonts w:hint="eastAsia" w:hAnsi="宋体"/>
          <w:color w:val="auto"/>
          <w:highlight w:val="none"/>
          <w:u w:val="single"/>
        </w:rPr>
        <w:t xml:space="preserve">                           </w:t>
      </w:r>
    </w:p>
    <w:p w14:paraId="38AF3BC2">
      <w:pPr>
        <w:pStyle w:val="16"/>
        <w:wordWrap w:val="0"/>
        <w:snapToGrid w:val="0"/>
        <w:spacing w:line="360" w:lineRule="auto"/>
        <w:ind w:firstLine="4200" w:firstLineChars="2000"/>
        <w:jc w:val="left"/>
        <w:rPr>
          <w:rFonts w:hAnsi="宋体"/>
          <w:color w:val="auto"/>
          <w:highlight w:val="none"/>
        </w:rPr>
      </w:pP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 xml:space="preserve"> 年</w:t>
      </w: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月</w:t>
      </w: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日</w:t>
      </w:r>
    </w:p>
    <w:p w14:paraId="46314DCF">
      <w:pPr>
        <w:spacing w:line="360" w:lineRule="auto"/>
        <w:rPr>
          <w:rFonts w:hint="eastAsia"/>
          <w:color w:val="auto"/>
          <w:szCs w:val="21"/>
          <w:highlight w:val="none"/>
        </w:rPr>
      </w:pPr>
      <w:bookmarkStart w:id="26" w:name="_Toc152042580"/>
      <w:bookmarkStart w:id="27" w:name="_Toc262740154"/>
      <w:bookmarkStart w:id="28" w:name="_Toc285981645"/>
      <w:bookmarkStart w:id="29" w:name="_Toc144974860"/>
      <w:bookmarkStart w:id="30" w:name="_Toc238552301"/>
      <w:bookmarkStart w:id="31" w:name="_Toc152045791"/>
      <w:bookmarkStart w:id="32" w:name="_Toc238797663"/>
    </w:p>
    <w:p w14:paraId="6CF448E5">
      <w:pPr>
        <w:pStyle w:val="3"/>
        <w:jc w:val="center"/>
        <w:rPr>
          <w:rFonts w:hint="eastAsia" w:ascii="宋体" w:hAnsi="宋体" w:cs="宋体"/>
          <w:color w:val="auto"/>
          <w:highlight w:val="none"/>
          <w:lang w:eastAsia="zh-CN"/>
        </w:rPr>
      </w:pPr>
      <w:bookmarkStart w:id="33" w:name="_Toc28397"/>
      <w:bookmarkStart w:id="34" w:name="_Toc435802466"/>
      <w:bookmarkStart w:id="35" w:name="_Toc26075"/>
      <w:r>
        <w:rPr>
          <w:rFonts w:hint="eastAsia" w:ascii="宋体" w:hAnsi="宋体" w:cs="宋体"/>
          <w:color w:val="auto"/>
          <w:highlight w:val="none"/>
          <w:lang w:eastAsia="zh-CN"/>
        </w:rPr>
        <w:t>二、法定代表人身份证明</w:t>
      </w:r>
      <w:bookmarkEnd w:id="26"/>
      <w:bookmarkEnd w:id="27"/>
      <w:bookmarkEnd w:id="28"/>
      <w:bookmarkEnd w:id="29"/>
      <w:bookmarkEnd w:id="30"/>
      <w:bookmarkEnd w:id="31"/>
      <w:bookmarkEnd w:id="32"/>
      <w:bookmarkEnd w:id="33"/>
      <w:bookmarkEnd w:id="34"/>
      <w:bookmarkEnd w:id="35"/>
    </w:p>
    <w:p w14:paraId="487115BB">
      <w:pPr>
        <w:spacing w:line="480" w:lineRule="auto"/>
        <w:ind w:firstLine="420" w:firstLineChars="200"/>
        <w:rPr>
          <w:rFonts w:ascii="宋体" w:hAnsi="宋体"/>
          <w:color w:val="auto"/>
          <w:szCs w:val="21"/>
          <w:highlight w:val="none"/>
          <w:u w:val="single"/>
        </w:rPr>
      </w:pPr>
      <w:r>
        <w:rPr>
          <w:rFonts w:hint="eastAsia" w:ascii="宋体" w:hAnsi="宋体"/>
          <w:color w:val="auto"/>
          <w:szCs w:val="21"/>
          <w:highlight w:val="none"/>
          <w:lang w:val="en-US" w:eastAsia="zh-CN"/>
        </w:rPr>
        <w:t>供应商</w:t>
      </w:r>
      <w:r>
        <w:rPr>
          <w:rFonts w:ascii="宋体" w:hAnsi="宋体"/>
          <w:color w:val="auto"/>
          <w:szCs w:val="21"/>
          <w:highlight w:val="none"/>
        </w:rPr>
        <w:t>名称：</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7C3B53DE">
      <w:pPr>
        <w:spacing w:line="480" w:lineRule="auto"/>
        <w:ind w:firstLine="420" w:firstLineChars="200"/>
        <w:rPr>
          <w:rFonts w:ascii="宋体" w:hAnsi="宋体"/>
          <w:color w:val="auto"/>
          <w:szCs w:val="21"/>
          <w:highlight w:val="none"/>
          <w:u w:val="single"/>
        </w:rPr>
      </w:pPr>
      <w:r>
        <w:rPr>
          <w:rFonts w:ascii="宋体" w:hAnsi="宋体"/>
          <w:color w:val="auto"/>
          <w:szCs w:val="21"/>
          <w:highlight w:val="none"/>
        </w:rPr>
        <w:t>姓名：</w:t>
      </w:r>
      <w:r>
        <w:rPr>
          <w:rFonts w:ascii="宋体" w:hAnsi="宋体"/>
          <w:color w:val="auto"/>
          <w:szCs w:val="21"/>
          <w:highlight w:val="none"/>
          <w:u w:val="single"/>
        </w:rPr>
        <w:t xml:space="preserve">        </w:t>
      </w:r>
      <w:r>
        <w:rPr>
          <w:rFonts w:ascii="宋体" w:hAnsi="宋体"/>
          <w:color w:val="auto"/>
          <w:szCs w:val="21"/>
          <w:highlight w:val="none"/>
        </w:rPr>
        <w:t xml:space="preserve"> 性别：</w:t>
      </w:r>
      <w:r>
        <w:rPr>
          <w:rFonts w:ascii="宋体" w:hAnsi="宋体"/>
          <w:color w:val="auto"/>
          <w:szCs w:val="21"/>
          <w:highlight w:val="none"/>
          <w:u w:val="single"/>
        </w:rPr>
        <w:t xml:space="preserve">         </w:t>
      </w:r>
      <w:r>
        <w:rPr>
          <w:rFonts w:ascii="宋体" w:hAnsi="宋体"/>
          <w:color w:val="auto"/>
          <w:szCs w:val="21"/>
          <w:highlight w:val="none"/>
        </w:rPr>
        <w:t xml:space="preserve"> 年龄：</w:t>
      </w:r>
      <w:r>
        <w:rPr>
          <w:rFonts w:ascii="宋体" w:hAnsi="宋体"/>
          <w:color w:val="auto"/>
          <w:szCs w:val="21"/>
          <w:highlight w:val="none"/>
          <w:u w:val="single"/>
        </w:rPr>
        <w:t xml:space="preserve">        </w:t>
      </w:r>
      <w:r>
        <w:rPr>
          <w:rFonts w:ascii="宋体" w:hAnsi="宋体"/>
          <w:color w:val="auto"/>
          <w:szCs w:val="21"/>
          <w:highlight w:val="none"/>
        </w:rPr>
        <w:t>职务：</w:t>
      </w:r>
      <w:r>
        <w:rPr>
          <w:rFonts w:ascii="宋体" w:hAnsi="宋体"/>
          <w:color w:val="auto"/>
          <w:szCs w:val="21"/>
          <w:highlight w:val="none"/>
          <w:u w:val="single"/>
        </w:rPr>
        <w:t xml:space="preserve">        </w:t>
      </w:r>
    </w:p>
    <w:p w14:paraId="16FC3DDE">
      <w:pPr>
        <w:spacing w:line="480" w:lineRule="auto"/>
        <w:ind w:firstLine="420" w:firstLineChars="200"/>
        <w:rPr>
          <w:rFonts w:ascii="宋体" w:hAnsi="宋体"/>
          <w:color w:val="auto"/>
          <w:szCs w:val="21"/>
          <w:highlight w:val="none"/>
        </w:rPr>
      </w:pPr>
      <w:r>
        <w:rPr>
          <w:rFonts w:ascii="宋体" w:hAnsi="宋体"/>
          <w:color w:val="auto"/>
          <w:szCs w:val="21"/>
          <w:highlight w:val="none"/>
        </w:rPr>
        <w:t>系</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供应商</w:t>
      </w:r>
      <w:r>
        <w:rPr>
          <w:rFonts w:ascii="宋体" w:hAnsi="宋体"/>
          <w:color w:val="auto"/>
          <w:szCs w:val="21"/>
          <w:highlight w:val="none"/>
        </w:rPr>
        <w:t>名称</w:t>
      </w:r>
      <w:r>
        <w:rPr>
          <w:rFonts w:hint="eastAsia" w:ascii="宋体" w:hAnsi="宋体"/>
          <w:color w:val="auto"/>
          <w:szCs w:val="21"/>
          <w:highlight w:val="none"/>
        </w:rPr>
        <w:t>）</w:t>
      </w:r>
      <w:r>
        <w:rPr>
          <w:rFonts w:ascii="宋体" w:hAnsi="宋体"/>
          <w:color w:val="auto"/>
          <w:szCs w:val="21"/>
          <w:highlight w:val="none"/>
        </w:rPr>
        <w:t>的法定代表人。</w:t>
      </w:r>
    </w:p>
    <w:p w14:paraId="41851D40">
      <w:pPr>
        <w:spacing w:line="480" w:lineRule="auto"/>
        <w:ind w:firstLine="420" w:firstLineChars="200"/>
        <w:rPr>
          <w:rFonts w:ascii="宋体" w:hAnsi="宋体"/>
          <w:color w:val="auto"/>
          <w:szCs w:val="21"/>
          <w:highlight w:val="none"/>
        </w:rPr>
      </w:pPr>
      <w:r>
        <w:rPr>
          <w:rFonts w:ascii="宋体" w:hAnsi="宋体"/>
          <w:color w:val="auto"/>
          <w:szCs w:val="21"/>
          <w:highlight w:val="none"/>
        </w:rPr>
        <w:t>特此证明。</w:t>
      </w:r>
    </w:p>
    <w:p w14:paraId="55024E3A">
      <w:pPr>
        <w:spacing w:line="48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附：法定代表人身份证明</w:t>
      </w:r>
    </w:p>
    <w:p w14:paraId="19E5A917">
      <w:pPr>
        <w:spacing w:line="480" w:lineRule="auto"/>
        <w:ind w:firstLine="420" w:firstLineChars="200"/>
        <w:rPr>
          <w:rFonts w:hint="eastAsia" w:ascii="宋体" w:hAnsi="宋体"/>
          <w:color w:val="auto"/>
          <w:szCs w:val="21"/>
          <w:highlight w:val="none"/>
        </w:rPr>
      </w:pPr>
      <w:r>
        <w:rPr>
          <w:rFonts w:hint="eastAsia" w:ascii="宋体" w:hAnsi="宋体"/>
          <w:color w:val="auto"/>
          <w:szCs w:val="21"/>
          <w:highlight w:val="none"/>
        </w:rPr>
        <w:t>注：本身份证明需由</w:t>
      </w:r>
      <w:r>
        <w:rPr>
          <w:rFonts w:hint="eastAsia" w:ascii="宋体" w:hAnsi="宋体"/>
          <w:color w:val="auto"/>
          <w:szCs w:val="21"/>
          <w:highlight w:val="none"/>
          <w:lang w:val="en-US" w:eastAsia="zh-CN"/>
        </w:rPr>
        <w:t>供应商</w:t>
      </w:r>
      <w:r>
        <w:rPr>
          <w:rFonts w:hint="eastAsia" w:ascii="宋体" w:hAnsi="宋体"/>
          <w:color w:val="auto"/>
          <w:szCs w:val="21"/>
          <w:highlight w:val="none"/>
        </w:rPr>
        <w:t>加盖单位公章。</w:t>
      </w:r>
    </w:p>
    <w:p w14:paraId="3FF6995E">
      <w:pPr>
        <w:spacing w:line="440" w:lineRule="exact"/>
        <w:rPr>
          <w:rFonts w:hint="eastAsia" w:ascii="宋体" w:hAnsi="宋体"/>
          <w:color w:val="auto"/>
          <w:szCs w:val="21"/>
          <w:highlight w:val="none"/>
        </w:rPr>
      </w:pPr>
    </w:p>
    <w:p w14:paraId="0D8AEDE9">
      <w:pPr>
        <w:spacing w:line="440" w:lineRule="exact"/>
        <w:rPr>
          <w:rFonts w:hint="eastAsia" w:ascii="宋体" w:hAnsi="宋体"/>
          <w:color w:val="auto"/>
          <w:szCs w:val="21"/>
          <w:highlight w:val="none"/>
        </w:rPr>
      </w:pPr>
    </w:p>
    <w:p w14:paraId="1ED938E9">
      <w:pPr>
        <w:spacing w:line="440" w:lineRule="exact"/>
        <w:rPr>
          <w:rFonts w:hint="eastAsia" w:ascii="宋体" w:hAnsi="宋体"/>
          <w:color w:val="auto"/>
          <w:szCs w:val="21"/>
          <w:highlight w:val="none"/>
        </w:rPr>
      </w:pPr>
    </w:p>
    <w:p w14:paraId="129B4376">
      <w:pPr>
        <w:spacing w:line="440" w:lineRule="exact"/>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lang w:val="en-US" w:eastAsia="zh-CN"/>
        </w:rPr>
        <w:t>供应商</w:t>
      </w:r>
      <w:r>
        <w:rPr>
          <w:rFonts w:ascii="宋体" w:hAnsi="宋体"/>
          <w:color w:val="auto"/>
          <w:szCs w:val="21"/>
          <w:highlight w:val="none"/>
        </w:rPr>
        <w:t>：</w:t>
      </w:r>
      <w:r>
        <w:rPr>
          <w:rFonts w:ascii="宋体" w:hAnsi="宋体"/>
          <w:color w:val="auto"/>
          <w:szCs w:val="21"/>
          <w:highlight w:val="none"/>
          <w:u w:val="single"/>
        </w:rPr>
        <w:t xml:space="preserve">                 </w:t>
      </w:r>
      <w:r>
        <w:rPr>
          <w:rFonts w:ascii="宋体" w:hAnsi="宋体"/>
          <w:color w:val="auto"/>
          <w:szCs w:val="21"/>
          <w:highlight w:val="none"/>
        </w:rPr>
        <w:t>（盖单位章）</w:t>
      </w:r>
    </w:p>
    <w:p w14:paraId="319CDF3F">
      <w:pPr>
        <w:spacing w:line="440" w:lineRule="exact"/>
        <w:rPr>
          <w:rFonts w:ascii="宋体" w:hAnsi="宋体"/>
          <w:color w:val="auto"/>
          <w:szCs w:val="21"/>
          <w:highlight w:val="none"/>
        </w:rPr>
      </w:pPr>
    </w:p>
    <w:p w14:paraId="5813CE51">
      <w:pPr>
        <w:spacing w:line="440" w:lineRule="exact"/>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u w:val="single"/>
        </w:rPr>
        <w:t xml:space="preserve">       </w:t>
      </w:r>
      <w:r>
        <w:rPr>
          <w:rFonts w:ascii="宋体" w:hAnsi="宋体"/>
          <w:color w:val="auto"/>
          <w:szCs w:val="21"/>
          <w:highlight w:val="none"/>
        </w:rPr>
        <w:t>年</w:t>
      </w:r>
      <w:r>
        <w:rPr>
          <w:rFonts w:ascii="宋体" w:hAnsi="宋体"/>
          <w:color w:val="auto"/>
          <w:szCs w:val="21"/>
          <w:highlight w:val="none"/>
          <w:u w:val="single"/>
        </w:rPr>
        <w:t xml:space="preserve">       </w:t>
      </w:r>
      <w:r>
        <w:rPr>
          <w:rFonts w:ascii="宋体" w:hAnsi="宋体"/>
          <w:color w:val="auto"/>
          <w:szCs w:val="21"/>
          <w:highlight w:val="none"/>
        </w:rPr>
        <w:t>月</w:t>
      </w:r>
      <w:r>
        <w:rPr>
          <w:rFonts w:ascii="宋体" w:hAnsi="宋体"/>
          <w:color w:val="auto"/>
          <w:szCs w:val="21"/>
          <w:highlight w:val="none"/>
          <w:u w:val="single"/>
        </w:rPr>
        <w:t xml:space="preserve">       </w:t>
      </w:r>
      <w:r>
        <w:rPr>
          <w:rFonts w:ascii="宋体" w:hAnsi="宋体"/>
          <w:color w:val="auto"/>
          <w:szCs w:val="21"/>
          <w:highlight w:val="none"/>
        </w:rPr>
        <w:t xml:space="preserve">日 </w:t>
      </w:r>
    </w:p>
    <w:p w14:paraId="28478FA7">
      <w:pPr>
        <w:spacing w:line="440" w:lineRule="exact"/>
        <w:rPr>
          <w:rFonts w:ascii="宋体" w:hAnsi="宋体"/>
          <w:color w:val="auto"/>
          <w:sz w:val="20"/>
          <w:szCs w:val="20"/>
          <w:highlight w:val="none"/>
        </w:rPr>
      </w:pPr>
    </w:p>
    <w:p w14:paraId="1EEBD488">
      <w:pPr>
        <w:jc w:val="center"/>
        <w:rPr>
          <w:rFonts w:hint="eastAsia"/>
          <w:color w:val="auto"/>
          <w:highlight w:val="none"/>
        </w:rPr>
      </w:pPr>
      <w:bookmarkStart w:id="36" w:name="_Toc144974861"/>
      <w:bookmarkStart w:id="37" w:name="_Toc238552302"/>
      <w:bookmarkStart w:id="38" w:name="_Toc262740155"/>
      <w:bookmarkStart w:id="39" w:name="_Toc152045792"/>
      <w:bookmarkStart w:id="40" w:name="_Toc152042581"/>
      <w:bookmarkStart w:id="41" w:name="_Toc238797664"/>
      <w:r>
        <w:rPr>
          <w:color w:val="auto"/>
          <w:highlight w:val="none"/>
        </w:rPr>
        <w:br w:type="page"/>
      </w:r>
      <w:bookmarkStart w:id="42" w:name="_Toc285981646"/>
    </w:p>
    <w:p w14:paraId="0792F463">
      <w:pPr>
        <w:pStyle w:val="3"/>
        <w:jc w:val="center"/>
        <w:rPr>
          <w:rFonts w:hint="eastAsia" w:ascii="宋体" w:hAnsi="宋体" w:cs="宋体"/>
          <w:color w:val="auto"/>
          <w:highlight w:val="none"/>
          <w:lang w:eastAsia="zh-CN"/>
        </w:rPr>
      </w:pPr>
      <w:bookmarkStart w:id="43" w:name="_Toc25608"/>
      <w:bookmarkStart w:id="44" w:name="_Toc6778"/>
      <w:bookmarkStart w:id="45" w:name="_Toc435802467"/>
      <w:r>
        <w:rPr>
          <w:rFonts w:hint="eastAsia" w:ascii="宋体" w:hAnsi="宋体" w:cs="宋体"/>
          <w:color w:val="auto"/>
          <w:highlight w:val="none"/>
          <w:lang w:val="en-US" w:eastAsia="zh-CN"/>
        </w:rPr>
        <w:t>三</w:t>
      </w:r>
      <w:r>
        <w:rPr>
          <w:rFonts w:hint="eastAsia" w:ascii="宋体" w:hAnsi="宋体" w:cs="宋体"/>
          <w:color w:val="auto"/>
          <w:highlight w:val="none"/>
          <w:lang w:eastAsia="zh-CN"/>
        </w:rPr>
        <w:t>、授权委托书</w:t>
      </w:r>
      <w:bookmarkEnd w:id="36"/>
      <w:bookmarkEnd w:id="37"/>
      <w:bookmarkEnd w:id="38"/>
      <w:bookmarkEnd w:id="39"/>
      <w:bookmarkEnd w:id="40"/>
      <w:bookmarkEnd w:id="41"/>
      <w:bookmarkEnd w:id="42"/>
      <w:bookmarkEnd w:id="43"/>
      <w:bookmarkEnd w:id="44"/>
      <w:bookmarkEnd w:id="45"/>
    </w:p>
    <w:p w14:paraId="7473C51A">
      <w:pPr>
        <w:pStyle w:val="16"/>
        <w:snapToGrid w:val="0"/>
        <w:spacing w:line="480" w:lineRule="auto"/>
        <w:ind w:firstLine="840" w:firstLineChars="400"/>
        <w:rPr>
          <w:rFonts w:hint="eastAsia" w:hAnsi="宋体"/>
          <w:color w:val="auto"/>
          <w:highlight w:val="none"/>
        </w:rPr>
      </w:pPr>
      <w:r>
        <w:rPr>
          <w:rFonts w:hint="eastAsia" w:hAnsi="宋体"/>
          <w:color w:val="auto"/>
          <w:highlight w:val="none"/>
        </w:rPr>
        <w:t xml:space="preserve">本人 </w:t>
      </w:r>
      <w:r>
        <w:rPr>
          <w:rFonts w:hint="eastAsia" w:hAnsi="宋体"/>
          <w:color w:val="auto"/>
          <w:highlight w:val="none"/>
          <w:u w:val="single"/>
        </w:rPr>
        <w:t xml:space="preserve">          </w:t>
      </w:r>
      <w:r>
        <w:rPr>
          <w:rFonts w:hint="eastAsia" w:hAnsi="宋体"/>
          <w:color w:val="auto"/>
          <w:highlight w:val="none"/>
        </w:rPr>
        <w:t>（姓名）系</w:t>
      </w:r>
      <w:r>
        <w:rPr>
          <w:rFonts w:hint="eastAsia" w:hAnsi="宋体"/>
          <w:color w:val="auto"/>
          <w:highlight w:val="none"/>
          <w:u w:val="single"/>
        </w:rPr>
        <w:t xml:space="preserve">                    </w:t>
      </w:r>
      <w:r>
        <w:rPr>
          <w:rFonts w:hint="eastAsia" w:hAnsi="宋体"/>
          <w:color w:val="auto"/>
          <w:highlight w:val="none"/>
        </w:rPr>
        <w:t>（</w:t>
      </w:r>
      <w:r>
        <w:rPr>
          <w:rFonts w:hint="eastAsia" w:ascii="宋体" w:hAnsi="宋体"/>
          <w:color w:val="auto"/>
          <w:szCs w:val="21"/>
          <w:highlight w:val="none"/>
          <w:lang w:val="en-US" w:eastAsia="zh-CN"/>
        </w:rPr>
        <w:t>供应商</w:t>
      </w:r>
      <w:r>
        <w:rPr>
          <w:rFonts w:hint="eastAsia" w:hAnsi="宋体"/>
          <w:color w:val="auto"/>
          <w:highlight w:val="none"/>
        </w:rPr>
        <w:t>名称）的法定代表人，现委托</w:t>
      </w:r>
      <w:r>
        <w:rPr>
          <w:rFonts w:hint="eastAsia" w:hAnsi="宋体"/>
          <w:color w:val="auto"/>
          <w:highlight w:val="none"/>
          <w:u w:val="single"/>
        </w:rPr>
        <w:t xml:space="preserve">           </w:t>
      </w:r>
      <w:r>
        <w:rPr>
          <w:rFonts w:hint="eastAsia" w:hAnsi="宋体"/>
          <w:color w:val="auto"/>
          <w:highlight w:val="none"/>
        </w:rPr>
        <w:t>（姓名）为我方代理人。代理人根据授权，以我方名义签署、澄清确认、递交、撤回、修改</w:t>
      </w:r>
      <w:r>
        <w:rPr>
          <w:rFonts w:hint="eastAsia" w:hAnsi="宋体"/>
          <w:color w:val="auto"/>
          <w:highlight w:val="none"/>
          <w:u w:val="single"/>
          <w:lang w:eastAsia="zh-CN"/>
        </w:rPr>
        <w:t>（项目名称）</w:t>
      </w:r>
      <w:r>
        <w:rPr>
          <w:rFonts w:hint="eastAsia" w:hAnsi="宋体"/>
          <w:color w:val="auto"/>
          <w:highlight w:val="none"/>
        </w:rPr>
        <w:t>招标项目</w:t>
      </w:r>
      <w:r>
        <w:rPr>
          <w:rFonts w:hint="eastAsia" w:hAnsi="宋体"/>
          <w:color w:val="auto"/>
          <w:highlight w:val="none"/>
          <w:lang w:val="en-US" w:eastAsia="zh-CN"/>
        </w:rPr>
        <w:t>响应</w:t>
      </w:r>
      <w:r>
        <w:rPr>
          <w:rFonts w:hint="eastAsia" w:hAnsi="宋体"/>
          <w:color w:val="auto"/>
          <w:highlight w:val="none"/>
        </w:rPr>
        <w:t>文件、签订合同和处理有关事宜，其法律后果由我方承担。</w:t>
      </w:r>
    </w:p>
    <w:p w14:paraId="1795A8E0">
      <w:pPr>
        <w:pStyle w:val="16"/>
        <w:snapToGrid w:val="0"/>
        <w:spacing w:line="480" w:lineRule="auto"/>
        <w:ind w:firstLine="420"/>
        <w:rPr>
          <w:rFonts w:hint="eastAsia" w:hAnsi="宋体"/>
          <w:color w:val="auto"/>
          <w:highlight w:val="none"/>
        </w:rPr>
      </w:pPr>
      <w:r>
        <w:rPr>
          <w:rFonts w:hint="eastAsia" w:hAnsi="宋体"/>
          <w:color w:val="auto"/>
          <w:highlight w:val="none"/>
        </w:rPr>
        <w:t>委托期限：</w:t>
      </w:r>
      <w:r>
        <w:rPr>
          <w:rFonts w:hint="eastAsia" w:hAnsi="宋体"/>
          <w:color w:val="auto"/>
          <w:highlight w:val="none"/>
          <w:u w:val="single"/>
        </w:rPr>
        <w:t xml:space="preserve">                     </w:t>
      </w:r>
      <w:r>
        <w:rPr>
          <w:rFonts w:hint="eastAsia" w:hAnsi="宋体"/>
          <w:color w:val="auto"/>
          <w:highlight w:val="none"/>
        </w:rPr>
        <w:t xml:space="preserve"> </w:t>
      </w:r>
    </w:p>
    <w:p w14:paraId="12AACF8F">
      <w:pPr>
        <w:pStyle w:val="16"/>
        <w:snapToGrid w:val="0"/>
        <w:spacing w:line="480" w:lineRule="auto"/>
        <w:ind w:firstLine="420"/>
        <w:rPr>
          <w:rFonts w:hint="eastAsia" w:hAnsi="宋体"/>
          <w:color w:val="auto"/>
          <w:highlight w:val="none"/>
        </w:rPr>
      </w:pPr>
      <w:r>
        <w:rPr>
          <w:rFonts w:hint="eastAsia" w:hAnsi="宋体"/>
          <w:color w:val="auto"/>
          <w:highlight w:val="none"/>
        </w:rPr>
        <w:t>代理人无转委托权。</w:t>
      </w:r>
    </w:p>
    <w:p w14:paraId="38FB5359">
      <w:pPr>
        <w:pStyle w:val="16"/>
        <w:snapToGrid w:val="0"/>
        <w:spacing w:line="480" w:lineRule="auto"/>
        <w:ind w:firstLine="420"/>
        <w:rPr>
          <w:rFonts w:hint="eastAsia" w:hAnsi="宋体"/>
          <w:color w:val="auto"/>
          <w:highlight w:val="none"/>
        </w:rPr>
      </w:pPr>
      <w:r>
        <w:rPr>
          <w:rFonts w:hint="eastAsia" w:hAnsi="宋体"/>
          <w:color w:val="auto"/>
          <w:highlight w:val="none"/>
        </w:rPr>
        <w:t>附：法定代表人身份证复印件及委托代理人身份证复印件</w:t>
      </w:r>
    </w:p>
    <w:p w14:paraId="6C68CE0C">
      <w:pPr>
        <w:pStyle w:val="16"/>
        <w:snapToGrid w:val="0"/>
        <w:spacing w:line="480" w:lineRule="auto"/>
        <w:ind w:firstLine="420"/>
        <w:rPr>
          <w:rFonts w:hint="eastAsia" w:hAnsi="宋体"/>
          <w:color w:val="auto"/>
          <w:highlight w:val="none"/>
        </w:rPr>
      </w:pPr>
      <w:r>
        <w:rPr>
          <w:rFonts w:hint="eastAsia" w:hAnsi="宋体"/>
          <w:color w:val="auto"/>
          <w:highlight w:val="none"/>
        </w:rPr>
        <w:t>注：本授权委托书需由</w:t>
      </w:r>
      <w:r>
        <w:rPr>
          <w:rFonts w:hint="eastAsia" w:hAnsi="宋体"/>
          <w:color w:val="auto"/>
          <w:highlight w:val="none"/>
          <w:lang w:val="en-US" w:eastAsia="zh-CN"/>
        </w:rPr>
        <w:t>供应商</w:t>
      </w:r>
      <w:r>
        <w:rPr>
          <w:rFonts w:hint="eastAsia" w:hAnsi="宋体"/>
          <w:color w:val="auto"/>
          <w:highlight w:val="none"/>
        </w:rPr>
        <w:t>加盖单位公章并由其法定代表人和委托代理人签字</w:t>
      </w:r>
    </w:p>
    <w:p w14:paraId="5A182039">
      <w:pPr>
        <w:pStyle w:val="16"/>
        <w:snapToGrid w:val="0"/>
        <w:spacing w:line="360" w:lineRule="auto"/>
        <w:ind w:firstLine="400"/>
        <w:rPr>
          <w:rFonts w:hint="eastAsia" w:hAnsi="宋体"/>
          <w:color w:val="auto"/>
          <w:highlight w:val="none"/>
        </w:rPr>
      </w:pPr>
    </w:p>
    <w:p w14:paraId="02667278">
      <w:pPr>
        <w:pStyle w:val="16"/>
        <w:snapToGrid w:val="0"/>
        <w:spacing w:line="360" w:lineRule="auto"/>
        <w:ind w:firstLine="400"/>
        <w:rPr>
          <w:rFonts w:hint="eastAsia" w:hAnsi="宋体"/>
          <w:color w:val="auto"/>
          <w:highlight w:val="none"/>
        </w:rPr>
      </w:pPr>
    </w:p>
    <w:p w14:paraId="151ACBF9">
      <w:pPr>
        <w:pStyle w:val="16"/>
        <w:snapToGrid w:val="0"/>
        <w:spacing w:line="360" w:lineRule="auto"/>
        <w:ind w:firstLine="400"/>
        <w:rPr>
          <w:rFonts w:hint="eastAsia" w:hAnsi="宋体"/>
          <w:color w:val="auto"/>
          <w:highlight w:val="none"/>
        </w:rPr>
      </w:pPr>
    </w:p>
    <w:p w14:paraId="04807700">
      <w:pPr>
        <w:pStyle w:val="16"/>
        <w:snapToGrid w:val="0"/>
        <w:spacing w:line="720" w:lineRule="auto"/>
        <w:ind w:firstLine="3158" w:firstLineChars="1504"/>
        <w:rPr>
          <w:rFonts w:hint="eastAsia" w:hAnsi="宋体"/>
          <w:color w:val="auto"/>
          <w:highlight w:val="none"/>
        </w:rPr>
      </w:pPr>
      <w:r>
        <w:rPr>
          <w:rFonts w:hint="eastAsia" w:ascii="宋体" w:hAnsi="宋体"/>
          <w:color w:val="auto"/>
          <w:szCs w:val="21"/>
          <w:highlight w:val="none"/>
          <w:lang w:val="en-US" w:eastAsia="zh-CN"/>
        </w:rPr>
        <w:t>供</w:t>
      </w:r>
      <w:r>
        <w:rPr>
          <w:rFonts w:hint="eastAsia" w:hAnsi="宋体"/>
          <w:color w:val="auto"/>
          <w:szCs w:val="21"/>
          <w:highlight w:val="none"/>
          <w:lang w:val="en-US" w:eastAsia="zh-CN"/>
        </w:rPr>
        <w:t xml:space="preserve">  </w:t>
      </w:r>
      <w:r>
        <w:rPr>
          <w:rFonts w:hint="eastAsia" w:ascii="宋体" w:hAnsi="宋体"/>
          <w:color w:val="auto"/>
          <w:szCs w:val="21"/>
          <w:highlight w:val="none"/>
          <w:lang w:val="en-US" w:eastAsia="zh-CN"/>
        </w:rPr>
        <w:t>应</w:t>
      </w:r>
      <w:r>
        <w:rPr>
          <w:rFonts w:hint="eastAsia" w:hAnsi="宋体"/>
          <w:color w:val="auto"/>
          <w:szCs w:val="21"/>
          <w:highlight w:val="none"/>
          <w:lang w:val="en-US" w:eastAsia="zh-CN"/>
        </w:rPr>
        <w:t xml:space="preserve">  </w:t>
      </w:r>
      <w:r>
        <w:rPr>
          <w:rFonts w:hint="eastAsia" w:ascii="宋体" w:hAnsi="宋体"/>
          <w:color w:val="auto"/>
          <w:szCs w:val="21"/>
          <w:highlight w:val="none"/>
          <w:lang w:val="en-US" w:eastAsia="zh-CN"/>
        </w:rPr>
        <w:t>商</w:t>
      </w:r>
      <w:r>
        <w:rPr>
          <w:rFonts w:hint="eastAsia" w:hAnsi="宋体"/>
          <w:color w:val="auto"/>
          <w:highlight w:val="none"/>
        </w:rPr>
        <w:t>：</w:t>
      </w:r>
      <w:r>
        <w:rPr>
          <w:rFonts w:hint="eastAsia" w:hAnsi="宋体"/>
          <w:color w:val="auto"/>
          <w:highlight w:val="none"/>
          <w:u w:val="single"/>
        </w:rPr>
        <w:t xml:space="preserve">                      </w:t>
      </w:r>
      <w:r>
        <w:rPr>
          <w:rFonts w:hint="eastAsia" w:hAnsi="宋体"/>
          <w:color w:val="auto"/>
          <w:highlight w:val="none"/>
        </w:rPr>
        <w:t>（盖单位章）</w:t>
      </w:r>
    </w:p>
    <w:p w14:paraId="4E2E7DB9">
      <w:pPr>
        <w:pStyle w:val="16"/>
        <w:snapToGrid w:val="0"/>
        <w:spacing w:line="720" w:lineRule="auto"/>
        <w:ind w:firstLine="3158" w:firstLineChars="1504"/>
        <w:rPr>
          <w:rFonts w:hint="eastAsia" w:hAnsi="宋体"/>
          <w:color w:val="auto"/>
          <w:highlight w:val="none"/>
        </w:rPr>
      </w:pPr>
      <w:r>
        <w:rPr>
          <w:rFonts w:hAnsi="宋体"/>
          <w:color w:val="auto"/>
          <w:highlight w:val="none"/>
        </w:rPr>
        <w:t>法定代表人：</w:t>
      </w:r>
      <w:r>
        <w:rPr>
          <w:rFonts w:hint="eastAsia" w:hAnsi="宋体"/>
          <w:color w:val="auto"/>
          <w:highlight w:val="none"/>
          <w:u w:val="single"/>
        </w:rPr>
        <w:t xml:space="preserve">                      </w:t>
      </w:r>
      <w:r>
        <w:rPr>
          <w:rFonts w:hint="eastAsia" w:hAnsi="宋体"/>
          <w:color w:val="auto"/>
          <w:highlight w:val="none"/>
        </w:rPr>
        <w:t>（</w:t>
      </w:r>
      <w:r>
        <w:rPr>
          <w:rFonts w:hAnsi="宋体"/>
          <w:color w:val="auto"/>
          <w:highlight w:val="none"/>
        </w:rPr>
        <w:t>签字</w:t>
      </w:r>
      <w:r>
        <w:rPr>
          <w:rFonts w:hint="eastAsia" w:hAnsi="宋体"/>
          <w:color w:val="auto"/>
          <w:highlight w:val="none"/>
        </w:rPr>
        <w:t>）</w:t>
      </w:r>
    </w:p>
    <w:p w14:paraId="3623540E">
      <w:pPr>
        <w:pStyle w:val="16"/>
        <w:snapToGrid w:val="0"/>
        <w:spacing w:line="720" w:lineRule="auto"/>
        <w:ind w:firstLine="3158" w:firstLineChars="1504"/>
        <w:rPr>
          <w:rFonts w:hint="eastAsia" w:hAnsi="宋体"/>
          <w:color w:val="auto"/>
          <w:highlight w:val="none"/>
          <w:u w:val="single"/>
        </w:rPr>
      </w:pPr>
      <w:r>
        <w:rPr>
          <w:rFonts w:hint="eastAsia" w:hAnsi="宋体"/>
          <w:color w:val="auto"/>
          <w:highlight w:val="none"/>
        </w:rPr>
        <w:t>身份证号码：</w:t>
      </w:r>
      <w:r>
        <w:rPr>
          <w:rFonts w:hint="eastAsia" w:hAnsi="宋体"/>
          <w:color w:val="auto"/>
          <w:highlight w:val="none"/>
          <w:u w:val="single"/>
        </w:rPr>
        <w:t xml:space="preserve">                      </w:t>
      </w:r>
    </w:p>
    <w:p w14:paraId="1B1243D2">
      <w:pPr>
        <w:pStyle w:val="16"/>
        <w:snapToGrid w:val="0"/>
        <w:spacing w:line="720" w:lineRule="auto"/>
        <w:ind w:firstLine="3158" w:firstLineChars="1504"/>
        <w:rPr>
          <w:rFonts w:hint="eastAsia" w:hAnsi="宋体"/>
          <w:color w:val="auto"/>
          <w:highlight w:val="none"/>
        </w:rPr>
      </w:pPr>
      <w:r>
        <w:rPr>
          <w:rFonts w:hint="eastAsia" w:hAnsi="宋体"/>
          <w:color w:val="auto"/>
          <w:highlight w:val="none"/>
        </w:rPr>
        <w:t>授权</w:t>
      </w:r>
      <w:r>
        <w:rPr>
          <w:rFonts w:hAnsi="宋体"/>
          <w:color w:val="auto"/>
          <w:highlight w:val="none"/>
        </w:rPr>
        <w:t>代理人：</w:t>
      </w:r>
      <w:r>
        <w:rPr>
          <w:rFonts w:hint="eastAsia" w:hAnsi="宋体"/>
          <w:color w:val="auto"/>
          <w:highlight w:val="none"/>
          <w:u w:val="single"/>
        </w:rPr>
        <w:t xml:space="preserve">                      </w:t>
      </w:r>
      <w:r>
        <w:rPr>
          <w:rFonts w:hint="eastAsia" w:hAnsi="宋体"/>
          <w:color w:val="auto"/>
          <w:highlight w:val="none"/>
        </w:rPr>
        <w:t>（</w:t>
      </w:r>
      <w:r>
        <w:rPr>
          <w:rFonts w:hAnsi="宋体"/>
          <w:color w:val="auto"/>
          <w:highlight w:val="none"/>
        </w:rPr>
        <w:t>签字</w:t>
      </w:r>
      <w:r>
        <w:rPr>
          <w:rFonts w:hint="eastAsia" w:hAnsi="宋体"/>
          <w:color w:val="auto"/>
          <w:highlight w:val="none"/>
        </w:rPr>
        <w:t>）</w:t>
      </w:r>
    </w:p>
    <w:p w14:paraId="73F2F4AE">
      <w:pPr>
        <w:pStyle w:val="16"/>
        <w:snapToGrid w:val="0"/>
        <w:spacing w:line="720" w:lineRule="auto"/>
        <w:ind w:firstLine="3158" w:firstLineChars="1504"/>
        <w:rPr>
          <w:rFonts w:hint="eastAsia" w:hAnsi="宋体"/>
          <w:color w:val="auto"/>
          <w:highlight w:val="none"/>
          <w:u w:val="single"/>
        </w:rPr>
      </w:pPr>
      <w:r>
        <w:rPr>
          <w:rFonts w:hint="eastAsia" w:hAnsi="宋体"/>
          <w:color w:val="auto"/>
          <w:highlight w:val="none"/>
        </w:rPr>
        <w:t>身份证号码：</w:t>
      </w:r>
      <w:r>
        <w:rPr>
          <w:rFonts w:hint="eastAsia" w:hAnsi="宋体"/>
          <w:color w:val="auto"/>
          <w:highlight w:val="none"/>
          <w:u w:val="single"/>
        </w:rPr>
        <w:t xml:space="preserve">                      </w:t>
      </w:r>
    </w:p>
    <w:p w14:paraId="43318B45">
      <w:pPr>
        <w:spacing w:line="360" w:lineRule="auto"/>
        <w:ind w:firstLine="3998" w:firstLineChars="1904"/>
        <w:rPr>
          <w:rFonts w:hint="eastAsia" w:ascii="宋体" w:hAnsi="宋体"/>
          <w:color w:val="auto"/>
          <w:szCs w:val="21"/>
          <w:highlight w:val="none"/>
        </w:rPr>
      </w:pPr>
      <w:r>
        <w:rPr>
          <w:rFonts w:ascii="宋体" w:hAnsi="宋体"/>
          <w:color w:val="auto"/>
          <w:szCs w:val="21"/>
          <w:highlight w:val="none"/>
          <w:u w:val="single"/>
        </w:rPr>
        <w:t xml:space="preserve">       </w:t>
      </w:r>
      <w:r>
        <w:rPr>
          <w:rFonts w:ascii="宋体" w:hAnsi="宋体"/>
          <w:color w:val="auto"/>
          <w:szCs w:val="21"/>
          <w:highlight w:val="none"/>
        </w:rPr>
        <w:t>年</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月</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日</w:t>
      </w:r>
    </w:p>
    <w:p w14:paraId="09888D87">
      <w:pPr>
        <w:spacing w:line="319" w:lineRule="exact"/>
        <w:rPr>
          <w:rFonts w:hint="eastAsia" w:ascii="Microsoft YaHei UI" w:hAnsi="Microsoft YaHei UI" w:eastAsia="Microsoft YaHei UI"/>
          <w:color w:val="auto"/>
          <w:sz w:val="30"/>
          <w:highlight w:val="none"/>
        </w:rPr>
      </w:pPr>
    </w:p>
    <w:p w14:paraId="626CF6C8">
      <w:pPr>
        <w:spacing w:line="319" w:lineRule="exact"/>
        <w:rPr>
          <w:rFonts w:hint="eastAsia" w:ascii="Microsoft YaHei UI" w:hAnsi="Microsoft YaHei UI" w:eastAsia="Microsoft YaHei UI"/>
          <w:color w:val="auto"/>
          <w:sz w:val="30"/>
          <w:highlight w:val="none"/>
        </w:rPr>
      </w:pPr>
    </w:p>
    <w:p w14:paraId="58425F20">
      <w:pPr>
        <w:spacing w:line="319" w:lineRule="exact"/>
        <w:rPr>
          <w:rFonts w:hint="eastAsia" w:ascii="Microsoft YaHei UI" w:hAnsi="Microsoft YaHei UI" w:eastAsia="Microsoft YaHei UI"/>
          <w:color w:val="auto"/>
          <w:sz w:val="30"/>
          <w:highlight w:val="none"/>
        </w:rPr>
      </w:pPr>
    </w:p>
    <w:p w14:paraId="05DB8A14">
      <w:pPr>
        <w:spacing w:line="319" w:lineRule="exact"/>
        <w:rPr>
          <w:rFonts w:hint="eastAsia" w:ascii="Microsoft YaHei UI" w:hAnsi="Microsoft YaHei UI" w:eastAsia="Microsoft YaHei UI"/>
          <w:color w:val="auto"/>
          <w:sz w:val="30"/>
          <w:highlight w:val="none"/>
        </w:rPr>
      </w:pPr>
    </w:p>
    <w:p w14:paraId="3B204E53">
      <w:pPr>
        <w:spacing w:line="319" w:lineRule="exact"/>
        <w:rPr>
          <w:rFonts w:hint="eastAsia" w:ascii="Microsoft YaHei UI" w:hAnsi="Microsoft YaHei UI" w:eastAsia="Microsoft YaHei UI"/>
          <w:color w:val="auto"/>
          <w:sz w:val="30"/>
          <w:highlight w:val="none"/>
        </w:rPr>
      </w:pPr>
    </w:p>
    <w:p w14:paraId="23DE7140">
      <w:pPr>
        <w:spacing w:line="319" w:lineRule="exact"/>
        <w:rPr>
          <w:rFonts w:hint="eastAsia" w:ascii="Microsoft YaHei UI" w:hAnsi="Microsoft YaHei UI" w:eastAsia="Microsoft YaHei UI"/>
          <w:color w:val="auto"/>
          <w:sz w:val="30"/>
          <w:highlight w:val="none"/>
        </w:rPr>
      </w:pPr>
    </w:p>
    <w:p w14:paraId="0CB8574E">
      <w:pPr>
        <w:spacing w:line="319" w:lineRule="exact"/>
        <w:rPr>
          <w:rFonts w:hint="eastAsia" w:ascii="Microsoft YaHei UI" w:hAnsi="Microsoft YaHei UI" w:eastAsia="Microsoft YaHei UI"/>
          <w:color w:val="auto"/>
          <w:sz w:val="30"/>
          <w:highlight w:val="none"/>
        </w:rPr>
      </w:pPr>
    </w:p>
    <w:p w14:paraId="579B3B88">
      <w:pPr>
        <w:pStyle w:val="9"/>
        <w:ind w:left="2940"/>
        <w:rPr>
          <w:color w:val="auto"/>
          <w:highlight w:val="none"/>
        </w:rPr>
      </w:pPr>
    </w:p>
    <w:p w14:paraId="66E2A5F2">
      <w:pPr>
        <w:rPr>
          <w:color w:val="auto"/>
          <w:highlight w:val="none"/>
        </w:rPr>
      </w:pPr>
    </w:p>
    <w:p w14:paraId="7A85F201">
      <w:pPr>
        <w:pStyle w:val="55"/>
        <w:rPr>
          <w:color w:val="auto"/>
          <w:highlight w:val="none"/>
        </w:rPr>
      </w:pPr>
    </w:p>
    <w:p w14:paraId="24DC01FA">
      <w:pPr>
        <w:pStyle w:val="54"/>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default"/>
          <w:b/>
          <w:bCs/>
          <w:color w:val="auto"/>
          <w:sz w:val="32"/>
          <w:szCs w:val="32"/>
          <w:highlight w:val="none"/>
          <w:lang w:val="en-US" w:eastAsia="zh-CN"/>
        </w:rPr>
      </w:pPr>
      <w:bookmarkStart w:id="46" w:name="_Toc3586"/>
      <w:bookmarkStart w:id="47" w:name="_Toc24063"/>
      <w:bookmarkStart w:id="48" w:name="_Toc435802476"/>
      <w:r>
        <w:rPr>
          <w:rFonts w:hint="eastAsia"/>
          <w:b/>
          <w:bCs/>
          <w:color w:val="auto"/>
          <w:sz w:val="32"/>
          <w:szCs w:val="32"/>
          <w:highlight w:val="none"/>
          <w:lang w:val="en-US" w:eastAsia="zh-CN"/>
        </w:rPr>
        <w:t>四、供应商参加政府采购活动前3年内在经营活动中没有重大违法记录的书面声明</w:t>
      </w:r>
    </w:p>
    <w:p w14:paraId="0B619162">
      <w:pPr>
        <w:pStyle w:val="54"/>
        <w:keepNext w:val="0"/>
        <w:keepLines w:val="0"/>
        <w:pageBreakBefore w:val="0"/>
        <w:widowControl w:val="0"/>
        <w:kinsoku/>
        <w:wordWrap/>
        <w:overflowPunct/>
        <w:topLinePunct w:val="0"/>
        <w:autoSpaceDE w:val="0"/>
        <w:autoSpaceDN w:val="0"/>
        <w:bidi w:val="0"/>
        <w:adjustRightInd w:val="0"/>
        <w:snapToGrid/>
        <w:spacing w:line="480" w:lineRule="auto"/>
        <w:ind w:left="1200" w:hanging="1200" w:hangingChars="500"/>
        <w:jc w:val="left"/>
        <w:textAlignment w:val="auto"/>
        <w:rPr>
          <w:rFonts w:hint="eastAsia" w:hAnsi="宋体"/>
          <w:color w:val="auto"/>
          <w:szCs w:val="21"/>
          <w:highlight w:val="none"/>
          <w:lang w:val="en-US" w:eastAsia="zh-CN"/>
        </w:rPr>
      </w:pPr>
      <w:r>
        <w:rPr>
          <w:rFonts w:hint="eastAsia" w:hAnsi="宋体"/>
          <w:color w:val="auto"/>
          <w:szCs w:val="21"/>
          <w:highlight w:val="none"/>
          <w:lang w:val="en-US" w:eastAsia="zh-CN"/>
        </w:rPr>
        <w:t xml:space="preserve">    </w:t>
      </w:r>
    </w:p>
    <w:p w14:paraId="614241B3">
      <w:pPr>
        <w:pStyle w:val="54"/>
        <w:keepNext w:val="0"/>
        <w:keepLines w:val="0"/>
        <w:pageBreakBefore w:val="0"/>
        <w:widowControl w:val="0"/>
        <w:kinsoku/>
        <w:wordWrap/>
        <w:overflowPunct/>
        <w:topLinePunct w:val="0"/>
        <w:autoSpaceDE w:val="0"/>
        <w:autoSpaceDN w:val="0"/>
        <w:bidi w:val="0"/>
        <w:adjustRightInd w:val="0"/>
        <w:snapToGrid/>
        <w:spacing w:line="480" w:lineRule="auto"/>
        <w:ind w:left="1050" w:leftChars="200" w:hanging="630" w:hangingChars="300"/>
        <w:jc w:val="both"/>
        <w:textAlignment w:val="auto"/>
        <w:rPr>
          <w:rFonts w:hint="eastAsia"/>
          <w:b/>
          <w:bCs/>
          <w:color w:val="auto"/>
          <w:sz w:val="32"/>
          <w:szCs w:val="32"/>
          <w:highlight w:val="none"/>
          <w:lang w:val="en-US" w:eastAsia="zh-CN"/>
        </w:rPr>
      </w:pPr>
      <w:r>
        <w:rPr>
          <w:rFonts w:hint="eastAsia" w:hAnsi="宋体"/>
          <w:color w:val="auto"/>
          <w:sz w:val="21"/>
          <w:szCs w:val="21"/>
          <w:highlight w:val="none"/>
          <w:lang w:val="en-US" w:eastAsia="zh-CN"/>
        </w:rPr>
        <w:t xml:space="preserve"> </w:t>
      </w:r>
    </w:p>
    <w:p w14:paraId="62085C53">
      <w:pPr>
        <w:pStyle w:val="54"/>
        <w:jc w:val="center"/>
        <w:rPr>
          <w:rFonts w:hint="eastAsia"/>
          <w:b w:val="0"/>
          <w:bCs w:val="0"/>
          <w:color w:val="auto"/>
          <w:sz w:val="28"/>
          <w:szCs w:val="28"/>
          <w:highlight w:val="none"/>
          <w:lang w:val="en-US" w:eastAsia="zh-CN"/>
        </w:rPr>
      </w:pPr>
    </w:p>
    <w:p w14:paraId="59CE13C2">
      <w:pPr>
        <w:pStyle w:val="54"/>
        <w:jc w:val="center"/>
        <w:rPr>
          <w:rFonts w:hint="eastAsia"/>
          <w:b w:val="0"/>
          <w:bCs w:val="0"/>
          <w:color w:val="auto"/>
          <w:sz w:val="28"/>
          <w:szCs w:val="28"/>
          <w:highlight w:val="none"/>
          <w:lang w:val="en-US" w:eastAsia="zh-CN"/>
        </w:rPr>
      </w:pPr>
      <w:r>
        <w:rPr>
          <w:rFonts w:hint="eastAsia"/>
          <w:b/>
          <w:bCs/>
          <w:color w:val="auto"/>
          <w:sz w:val="28"/>
          <w:szCs w:val="28"/>
          <w:highlight w:val="none"/>
          <w:lang w:val="en-US" w:eastAsia="zh-CN"/>
        </w:rPr>
        <w:t>格式自拟</w:t>
      </w:r>
    </w:p>
    <w:p w14:paraId="60CEBB49">
      <w:pPr>
        <w:pStyle w:val="54"/>
        <w:jc w:val="center"/>
        <w:rPr>
          <w:rFonts w:hint="eastAsia"/>
          <w:b/>
          <w:bCs/>
          <w:color w:val="auto"/>
          <w:sz w:val="32"/>
          <w:szCs w:val="32"/>
          <w:highlight w:val="none"/>
          <w:lang w:val="en-US" w:eastAsia="zh-CN"/>
        </w:rPr>
      </w:pPr>
    </w:p>
    <w:p w14:paraId="04C2B2F7">
      <w:pPr>
        <w:pStyle w:val="54"/>
        <w:jc w:val="center"/>
        <w:rPr>
          <w:rFonts w:hint="eastAsia"/>
          <w:b/>
          <w:bCs/>
          <w:color w:val="auto"/>
          <w:sz w:val="32"/>
          <w:szCs w:val="32"/>
          <w:highlight w:val="none"/>
          <w:lang w:val="en-US" w:eastAsia="zh-CN"/>
        </w:rPr>
      </w:pPr>
    </w:p>
    <w:bookmarkEnd w:id="46"/>
    <w:bookmarkEnd w:id="47"/>
    <w:bookmarkEnd w:id="48"/>
    <w:p w14:paraId="4CC98BE0">
      <w:pPr>
        <w:pStyle w:val="54"/>
        <w:jc w:val="center"/>
        <w:rPr>
          <w:rFonts w:hint="eastAsia"/>
          <w:b/>
          <w:bCs/>
          <w:color w:val="auto"/>
          <w:sz w:val="32"/>
          <w:szCs w:val="32"/>
          <w:highlight w:val="none"/>
          <w:lang w:val="en-US" w:eastAsia="zh-CN"/>
        </w:rPr>
      </w:pPr>
    </w:p>
    <w:p w14:paraId="7CBBCDF9">
      <w:pPr>
        <w:pStyle w:val="54"/>
        <w:jc w:val="center"/>
        <w:rPr>
          <w:rFonts w:hint="eastAsia"/>
          <w:b/>
          <w:bCs/>
          <w:color w:val="auto"/>
          <w:sz w:val="32"/>
          <w:szCs w:val="32"/>
          <w:highlight w:val="none"/>
          <w:lang w:val="en-US" w:eastAsia="zh-CN"/>
        </w:rPr>
      </w:pPr>
    </w:p>
    <w:p w14:paraId="0C7E4102">
      <w:pPr>
        <w:pStyle w:val="54"/>
        <w:jc w:val="center"/>
        <w:rPr>
          <w:rFonts w:hint="eastAsia"/>
          <w:b/>
          <w:bCs/>
          <w:color w:val="auto"/>
          <w:sz w:val="32"/>
          <w:szCs w:val="32"/>
          <w:highlight w:val="none"/>
          <w:lang w:val="en-US" w:eastAsia="zh-CN"/>
        </w:rPr>
      </w:pPr>
    </w:p>
    <w:p w14:paraId="7AB6E787">
      <w:pPr>
        <w:pStyle w:val="54"/>
        <w:jc w:val="center"/>
        <w:rPr>
          <w:rFonts w:hint="eastAsia"/>
          <w:b/>
          <w:bCs/>
          <w:color w:val="auto"/>
          <w:sz w:val="32"/>
          <w:szCs w:val="32"/>
          <w:highlight w:val="none"/>
          <w:lang w:val="en-US" w:eastAsia="zh-CN"/>
        </w:rPr>
      </w:pPr>
    </w:p>
    <w:p w14:paraId="7CDAE2C8">
      <w:pPr>
        <w:pStyle w:val="54"/>
        <w:jc w:val="center"/>
        <w:rPr>
          <w:rFonts w:hint="eastAsia"/>
          <w:b/>
          <w:bCs/>
          <w:color w:val="auto"/>
          <w:sz w:val="32"/>
          <w:szCs w:val="32"/>
          <w:highlight w:val="none"/>
          <w:lang w:val="en-US" w:eastAsia="zh-CN"/>
        </w:rPr>
      </w:pPr>
    </w:p>
    <w:p w14:paraId="09AAF138">
      <w:pPr>
        <w:pStyle w:val="54"/>
        <w:jc w:val="center"/>
        <w:rPr>
          <w:rFonts w:hint="eastAsia"/>
          <w:b/>
          <w:bCs/>
          <w:color w:val="auto"/>
          <w:sz w:val="32"/>
          <w:szCs w:val="32"/>
          <w:highlight w:val="none"/>
          <w:lang w:val="en-US" w:eastAsia="zh-CN"/>
        </w:rPr>
      </w:pPr>
    </w:p>
    <w:p w14:paraId="5C359BDE">
      <w:pPr>
        <w:pStyle w:val="54"/>
        <w:jc w:val="center"/>
        <w:rPr>
          <w:rFonts w:hint="eastAsia"/>
          <w:b/>
          <w:bCs/>
          <w:color w:val="auto"/>
          <w:sz w:val="32"/>
          <w:szCs w:val="32"/>
          <w:highlight w:val="none"/>
          <w:lang w:val="en-US" w:eastAsia="zh-CN"/>
        </w:rPr>
      </w:pPr>
    </w:p>
    <w:p w14:paraId="3D7AC9BD">
      <w:pPr>
        <w:pStyle w:val="54"/>
        <w:jc w:val="center"/>
        <w:rPr>
          <w:rFonts w:hint="eastAsia"/>
          <w:b/>
          <w:bCs/>
          <w:color w:val="auto"/>
          <w:sz w:val="32"/>
          <w:szCs w:val="32"/>
          <w:highlight w:val="none"/>
          <w:lang w:val="en-US" w:eastAsia="zh-CN"/>
        </w:rPr>
      </w:pPr>
    </w:p>
    <w:p w14:paraId="70F58E8B">
      <w:pPr>
        <w:pStyle w:val="54"/>
        <w:jc w:val="center"/>
        <w:rPr>
          <w:rFonts w:hint="eastAsia"/>
          <w:b/>
          <w:bCs/>
          <w:color w:val="auto"/>
          <w:sz w:val="32"/>
          <w:szCs w:val="32"/>
          <w:highlight w:val="none"/>
          <w:lang w:val="en-US" w:eastAsia="zh-CN"/>
        </w:rPr>
      </w:pPr>
    </w:p>
    <w:p w14:paraId="737058FE">
      <w:pPr>
        <w:pStyle w:val="54"/>
        <w:jc w:val="center"/>
        <w:rPr>
          <w:rFonts w:hint="eastAsia"/>
          <w:b/>
          <w:bCs/>
          <w:color w:val="auto"/>
          <w:sz w:val="32"/>
          <w:szCs w:val="32"/>
          <w:highlight w:val="none"/>
          <w:lang w:val="en-US" w:eastAsia="zh-CN"/>
        </w:rPr>
      </w:pPr>
    </w:p>
    <w:p w14:paraId="59FA37AC">
      <w:pPr>
        <w:pStyle w:val="54"/>
        <w:jc w:val="center"/>
        <w:rPr>
          <w:rFonts w:hint="eastAsia"/>
          <w:b/>
          <w:bCs/>
          <w:color w:val="auto"/>
          <w:sz w:val="32"/>
          <w:szCs w:val="32"/>
          <w:highlight w:val="none"/>
          <w:lang w:val="en-US" w:eastAsia="zh-CN"/>
        </w:rPr>
      </w:pPr>
    </w:p>
    <w:p w14:paraId="3F635B52">
      <w:pPr>
        <w:pStyle w:val="54"/>
        <w:jc w:val="center"/>
        <w:rPr>
          <w:rFonts w:hint="eastAsia"/>
          <w:b/>
          <w:bCs/>
          <w:color w:val="auto"/>
          <w:sz w:val="32"/>
          <w:szCs w:val="32"/>
          <w:highlight w:val="none"/>
          <w:lang w:val="en-US" w:eastAsia="zh-CN"/>
        </w:rPr>
      </w:pPr>
    </w:p>
    <w:p w14:paraId="51A24EEE">
      <w:pPr>
        <w:pStyle w:val="54"/>
        <w:jc w:val="center"/>
        <w:rPr>
          <w:rFonts w:hint="eastAsia"/>
          <w:b/>
          <w:bCs/>
          <w:color w:val="auto"/>
          <w:sz w:val="32"/>
          <w:szCs w:val="32"/>
          <w:highlight w:val="none"/>
          <w:lang w:val="en-US" w:eastAsia="zh-CN"/>
        </w:rPr>
      </w:pPr>
    </w:p>
    <w:p w14:paraId="361EBB5A">
      <w:pPr>
        <w:pStyle w:val="54"/>
        <w:jc w:val="center"/>
        <w:rPr>
          <w:rFonts w:hint="eastAsia"/>
          <w:b/>
          <w:bCs/>
          <w:color w:val="auto"/>
          <w:sz w:val="32"/>
          <w:szCs w:val="32"/>
          <w:highlight w:val="none"/>
          <w:lang w:val="en-US" w:eastAsia="zh-CN"/>
        </w:rPr>
      </w:pPr>
    </w:p>
    <w:p w14:paraId="2D966BF2">
      <w:pPr>
        <w:pStyle w:val="54"/>
        <w:jc w:val="center"/>
        <w:rPr>
          <w:rFonts w:hint="eastAsia"/>
          <w:b/>
          <w:bCs/>
          <w:color w:val="auto"/>
          <w:sz w:val="32"/>
          <w:szCs w:val="32"/>
          <w:highlight w:val="none"/>
          <w:lang w:val="en-US" w:eastAsia="zh-CN"/>
        </w:rPr>
      </w:pPr>
    </w:p>
    <w:p w14:paraId="25A99B82">
      <w:pPr>
        <w:pStyle w:val="54"/>
        <w:jc w:val="center"/>
        <w:rPr>
          <w:rFonts w:hint="eastAsia"/>
          <w:b/>
          <w:bCs/>
          <w:color w:val="auto"/>
          <w:sz w:val="32"/>
          <w:szCs w:val="32"/>
          <w:highlight w:val="none"/>
          <w:lang w:val="en-US" w:eastAsia="zh-CN"/>
        </w:rPr>
      </w:pPr>
    </w:p>
    <w:p w14:paraId="1DF51FAB">
      <w:pPr>
        <w:pStyle w:val="54"/>
        <w:jc w:val="center"/>
        <w:rPr>
          <w:rFonts w:hint="eastAsia"/>
          <w:b/>
          <w:bCs/>
          <w:color w:val="auto"/>
          <w:sz w:val="32"/>
          <w:szCs w:val="32"/>
          <w:highlight w:val="none"/>
          <w:lang w:val="en-US" w:eastAsia="zh-CN"/>
        </w:rPr>
      </w:pPr>
    </w:p>
    <w:p w14:paraId="404CACEA">
      <w:pPr>
        <w:pStyle w:val="54"/>
        <w:jc w:val="center"/>
        <w:rPr>
          <w:rFonts w:hint="eastAsia"/>
          <w:b/>
          <w:bCs/>
          <w:color w:val="auto"/>
          <w:sz w:val="32"/>
          <w:szCs w:val="32"/>
          <w:highlight w:val="none"/>
          <w:lang w:val="en-US" w:eastAsia="zh-CN"/>
        </w:rPr>
      </w:pPr>
    </w:p>
    <w:p w14:paraId="2584D843">
      <w:pPr>
        <w:pStyle w:val="54"/>
        <w:jc w:val="center"/>
        <w:rPr>
          <w:rFonts w:hint="eastAsia"/>
          <w:b/>
          <w:bCs/>
          <w:color w:val="auto"/>
          <w:sz w:val="32"/>
          <w:szCs w:val="32"/>
          <w:highlight w:val="none"/>
          <w:lang w:val="en-US" w:eastAsia="zh-CN"/>
        </w:rPr>
      </w:pPr>
    </w:p>
    <w:p w14:paraId="0B6DEF17">
      <w:pPr>
        <w:pStyle w:val="54"/>
        <w:jc w:val="center"/>
        <w:rPr>
          <w:rFonts w:hint="eastAsia"/>
          <w:b/>
          <w:bCs/>
          <w:color w:val="auto"/>
          <w:sz w:val="32"/>
          <w:szCs w:val="32"/>
          <w:highlight w:val="none"/>
          <w:lang w:val="en-US" w:eastAsia="zh-CN"/>
        </w:rPr>
      </w:pPr>
    </w:p>
    <w:p w14:paraId="7B3C2E6A">
      <w:pPr>
        <w:rPr>
          <w:rFonts w:hint="eastAsia"/>
          <w:b/>
          <w:bCs/>
          <w:color w:val="auto"/>
          <w:sz w:val="32"/>
          <w:szCs w:val="32"/>
          <w:highlight w:val="none"/>
          <w:lang w:val="en-US" w:eastAsia="zh-CN"/>
        </w:rPr>
      </w:pPr>
      <w:r>
        <w:rPr>
          <w:rFonts w:hint="eastAsia"/>
          <w:b/>
          <w:bCs/>
          <w:color w:val="auto"/>
          <w:sz w:val="32"/>
          <w:szCs w:val="32"/>
          <w:highlight w:val="none"/>
          <w:lang w:val="en-US" w:eastAsia="zh-CN"/>
        </w:rPr>
        <w:br w:type="page"/>
      </w:r>
    </w:p>
    <w:p w14:paraId="5712B53C">
      <w:pPr>
        <w:pStyle w:val="54"/>
        <w:keepNext w:val="0"/>
        <w:keepLines w:val="0"/>
        <w:pageBreakBefore w:val="0"/>
        <w:widowControl w:val="0"/>
        <w:kinsoku/>
        <w:wordWrap/>
        <w:overflowPunct/>
        <w:topLinePunct w:val="0"/>
        <w:bidi w:val="0"/>
        <w:snapToGrid/>
        <w:spacing w:line="360" w:lineRule="auto"/>
        <w:jc w:val="center"/>
        <w:textAlignment w:val="auto"/>
        <w:rPr>
          <w:rFonts w:hint="default"/>
          <w:b/>
          <w:bCs/>
          <w:color w:val="auto"/>
          <w:sz w:val="32"/>
          <w:szCs w:val="32"/>
          <w:highlight w:val="none"/>
          <w:lang w:val="en-US" w:eastAsia="zh-CN"/>
        </w:rPr>
      </w:pPr>
      <w:r>
        <w:rPr>
          <w:rFonts w:hint="eastAsia"/>
          <w:b/>
          <w:bCs/>
          <w:color w:val="auto"/>
          <w:sz w:val="32"/>
          <w:szCs w:val="32"/>
          <w:highlight w:val="none"/>
          <w:lang w:val="en-US" w:eastAsia="zh-CN"/>
        </w:rPr>
        <w:t>五、资格评审文件</w:t>
      </w:r>
    </w:p>
    <w:p w14:paraId="238CF714">
      <w:pPr>
        <w:keepNext w:val="0"/>
        <w:keepLines w:val="0"/>
        <w:pageBreakBefore w:val="0"/>
        <w:widowControl w:val="0"/>
        <w:kinsoku/>
        <w:wordWrap/>
        <w:overflowPunct/>
        <w:topLinePunct w:val="0"/>
        <w:bidi w:val="0"/>
        <w:snapToGrid/>
        <w:spacing w:line="360" w:lineRule="auto"/>
        <w:jc w:val="center"/>
        <w:textAlignment w:val="auto"/>
        <w:outlineLvl w:val="2"/>
        <w:rPr>
          <w:rStyle w:val="66"/>
          <w:rFonts w:hint="eastAsia" w:ascii="宋体" w:hAnsi="宋体" w:eastAsia="宋体" w:cs="宋体"/>
          <w:color w:val="auto"/>
          <w:sz w:val="28"/>
          <w:szCs w:val="28"/>
          <w:highlight w:val="none"/>
        </w:rPr>
      </w:pPr>
      <w:bookmarkStart w:id="49" w:name="_Toc16599"/>
      <w:bookmarkStart w:id="50" w:name="_Toc10874"/>
      <w:r>
        <w:rPr>
          <w:rStyle w:val="66"/>
          <w:rFonts w:hint="eastAsia" w:ascii="宋体" w:hAnsi="宋体" w:eastAsia="宋体" w:cs="宋体"/>
          <w:color w:val="auto"/>
          <w:sz w:val="28"/>
          <w:szCs w:val="28"/>
          <w:highlight w:val="none"/>
        </w:rPr>
        <w:t>（一）</w:t>
      </w:r>
      <w:r>
        <w:rPr>
          <w:rStyle w:val="66"/>
          <w:rFonts w:hint="eastAsia" w:ascii="宋体" w:hAnsi="宋体" w:eastAsia="宋体" w:cs="宋体"/>
          <w:color w:val="auto"/>
          <w:sz w:val="28"/>
          <w:szCs w:val="28"/>
          <w:highlight w:val="none"/>
          <w:lang w:val="en-US" w:eastAsia="zh-CN"/>
        </w:rPr>
        <w:t>供应商</w:t>
      </w:r>
      <w:r>
        <w:rPr>
          <w:rStyle w:val="66"/>
          <w:rFonts w:hint="eastAsia" w:ascii="宋体" w:hAnsi="宋体" w:eastAsia="宋体" w:cs="宋体"/>
          <w:color w:val="auto"/>
          <w:sz w:val="28"/>
          <w:szCs w:val="28"/>
          <w:highlight w:val="none"/>
        </w:rPr>
        <w:t>基本情况表</w:t>
      </w:r>
      <w:bookmarkEnd w:id="49"/>
    </w:p>
    <w:bookmarkEnd w:id="50"/>
    <w:tbl>
      <w:tblPr>
        <w:tblStyle w:val="36"/>
        <w:tblW w:w="9419" w:type="dxa"/>
        <w:tblInd w:w="0" w:type="dxa"/>
        <w:tblLayout w:type="fixed"/>
        <w:tblCellMar>
          <w:top w:w="0" w:type="dxa"/>
          <w:left w:w="108" w:type="dxa"/>
          <w:bottom w:w="0" w:type="dxa"/>
          <w:right w:w="108" w:type="dxa"/>
        </w:tblCellMar>
      </w:tblPr>
      <w:tblGrid>
        <w:gridCol w:w="2578"/>
        <w:gridCol w:w="1582"/>
        <w:gridCol w:w="1635"/>
        <w:gridCol w:w="1683"/>
        <w:gridCol w:w="1941"/>
      </w:tblGrid>
      <w:tr w14:paraId="6E429C31">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5763D8">
            <w:pPr>
              <w:spacing w:line="360" w:lineRule="auto"/>
              <w:jc w:val="center"/>
              <w:rPr>
                <w:rFonts w:hint="eastAsia" w:ascii="宋体" w:hAnsi="宋体"/>
                <w:color w:val="auto"/>
                <w:szCs w:val="21"/>
                <w:highlight w:val="non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名称</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539E67A">
            <w:pPr>
              <w:spacing w:line="360" w:lineRule="auto"/>
              <w:jc w:val="center"/>
              <w:rPr>
                <w:rFonts w:hint="eastAsia" w:ascii="宋体" w:hAnsi="宋体"/>
                <w:color w:val="auto"/>
                <w:szCs w:val="21"/>
                <w:highlight w:val="none"/>
              </w:rPr>
            </w:pPr>
          </w:p>
        </w:tc>
      </w:tr>
      <w:tr w14:paraId="0BB89F72">
        <w:tblPrEx>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38E01A">
            <w:pPr>
              <w:spacing w:line="360" w:lineRule="auto"/>
              <w:jc w:val="center"/>
              <w:rPr>
                <w:rFonts w:hint="eastAsia" w:ascii="宋体" w:hAnsi="宋体"/>
                <w:color w:val="auto"/>
                <w:szCs w:val="21"/>
                <w:highlight w:val="none"/>
              </w:rPr>
            </w:pPr>
            <w:r>
              <w:rPr>
                <w:rFonts w:hint="eastAsia" w:ascii="宋体" w:hAnsi="宋体"/>
                <w:color w:val="auto"/>
                <w:szCs w:val="21"/>
                <w:highlight w:val="none"/>
              </w:rPr>
              <w:t>注册资金</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0A69762">
            <w:pPr>
              <w:spacing w:line="360" w:lineRule="auto"/>
              <w:jc w:val="center"/>
              <w:rPr>
                <w:rFonts w:hint="eastAsia" w:ascii="宋体" w:hAnsi="宋体"/>
                <w:color w:val="auto"/>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D7A36">
            <w:pPr>
              <w:spacing w:line="360" w:lineRule="auto"/>
              <w:jc w:val="center"/>
              <w:rPr>
                <w:rFonts w:hint="eastAsia" w:ascii="宋体" w:hAnsi="宋体"/>
                <w:color w:val="auto"/>
                <w:szCs w:val="21"/>
                <w:highlight w:val="none"/>
              </w:rPr>
            </w:pPr>
            <w:r>
              <w:rPr>
                <w:rFonts w:hint="eastAsia" w:ascii="宋体" w:hAnsi="宋体"/>
                <w:color w:val="auto"/>
                <w:szCs w:val="21"/>
                <w:highlight w:val="none"/>
              </w:rPr>
              <w:t>成立时间</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E1A33C">
            <w:pPr>
              <w:spacing w:line="360" w:lineRule="auto"/>
              <w:jc w:val="center"/>
              <w:rPr>
                <w:rFonts w:hint="eastAsia" w:ascii="宋体" w:hAnsi="宋体"/>
                <w:color w:val="auto"/>
                <w:szCs w:val="21"/>
                <w:highlight w:val="none"/>
              </w:rPr>
            </w:pPr>
          </w:p>
        </w:tc>
      </w:tr>
      <w:tr w14:paraId="5CA3D9C9">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7ABCEE">
            <w:pPr>
              <w:spacing w:line="360" w:lineRule="auto"/>
              <w:jc w:val="center"/>
              <w:rPr>
                <w:rFonts w:hint="eastAsia" w:ascii="宋体" w:hAnsi="宋体"/>
                <w:color w:val="auto"/>
                <w:szCs w:val="21"/>
                <w:highlight w:val="none"/>
              </w:rPr>
            </w:pPr>
            <w:r>
              <w:rPr>
                <w:rFonts w:hint="eastAsia" w:ascii="宋体" w:hAnsi="宋体"/>
                <w:color w:val="auto"/>
                <w:szCs w:val="21"/>
                <w:highlight w:val="none"/>
              </w:rPr>
              <w:t>注册地址</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2465F27">
            <w:pPr>
              <w:spacing w:line="360" w:lineRule="auto"/>
              <w:jc w:val="center"/>
              <w:rPr>
                <w:rFonts w:hint="eastAsia" w:ascii="宋体" w:hAnsi="宋体"/>
                <w:color w:val="auto"/>
                <w:szCs w:val="21"/>
                <w:highlight w:val="none"/>
              </w:rPr>
            </w:pPr>
          </w:p>
        </w:tc>
      </w:tr>
      <w:tr w14:paraId="717A2ADD">
        <w:tblPrEx>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7D5547">
            <w:pPr>
              <w:spacing w:line="360" w:lineRule="auto"/>
              <w:jc w:val="center"/>
              <w:rPr>
                <w:rFonts w:hint="eastAsia" w:ascii="宋体" w:hAnsi="宋体"/>
                <w:color w:val="auto"/>
                <w:szCs w:val="21"/>
                <w:highlight w:val="none"/>
              </w:rPr>
            </w:pPr>
            <w:r>
              <w:rPr>
                <w:rFonts w:hint="eastAsia" w:ascii="宋体" w:hAnsi="宋体"/>
                <w:color w:val="auto"/>
                <w:szCs w:val="21"/>
                <w:highlight w:val="none"/>
              </w:rPr>
              <w:t>邮政编码</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68B113C">
            <w:pPr>
              <w:spacing w:line="360" w:lineRule="auto"/>
              <w:jc w:val="center"/>
              <w:rPr>
                <w:rFonts w:hint="eastAsia" w:ascii="宋体" w:hAnsi="宋体"/>
                <w:color w:val="auto"/>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EBD93">
            <w:pPr>
              <w:spacing w:line="360" w:lineRule="auto"/>
              <w:jc w:val="center"/>
              <w:rPr>
                <w:rFonts w:hint="eastAsia" w:ascii="宋体" w:hAnsi="宋体"/>
                <w:color w:val="auto"/>
                <w:szCs w:val="21"/>
                <w:highlight w:val="none"/>
              </w:rPr>
            </w:pPr>
            <w:r>
              <w:rPr>
                <w:rFonts w:hint="eastAsia" w:ascii="宋体" w:hAnsi="宋体"/>
                <w:color w:val="auto"/>
                <w:szCs w:val="21"/>
                <w:highlight w:val="none"/>
              </w:rPr>
              <w:t>员工总数</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11D3B9">
            <w:pPr>
              <w:spacing w:line="360" w:lineRule="auto"/>
              <w:jc w:val="center"/>
              <w:rPr>
                <w:rFonts w:hint="eastAsia" w:ascii="宋体" w:hAnsi="宋体"/>
                <w:color w:val="auto"/>
                <w:szCs w:val="21"/>
                <w:highlight w:val="none"/>
              </w:rPr>
            </w:pPr>
          </w:p>
        </w:tc>
      </w:tr>
      <w:tr w14:paraId="05B56E6D">
        <w:tblPrEx>
          <w:tblCellMar>
            <w:top w:w="0" w:type="dxa"/>
            <w:left w:w="108" w:type="dxa"/>
            <w:bottom w:w="0" w:type="dxa"/>
            <w:right w:w="108" w:type="dxa"/>
          </w:tblCellMar>
        </w:tblPrEx>
        <w:trPr>
          <w:trHeight w:val="764" w:hRule="exact"/>
        </w:trPr>
        <w:tc>
          <w:tcPr>
            <w:tcW w:w="25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B21DAD">
            <w:pPr>
              <w:spacing w:line="360" w:lineRule="auto"/>
              <w:jc w:val="center"/>
              <w:rPr>
                <w:rFonts w:hint="eastAsia" w:ascii="宋体" w:hAnsi="宋体"/>
                <w:color w:val="auto"/>
                <w:szCs w:val="21"/>
                <w:highlight w:val="none"/>
              </w:rPr>
            </w:pPr>
            <w:r>
              <w:rPr>
                <w:rFonts w:hint="eastAsia" w:ascii="宋体" w:hAnsi="宋体"/>
                <w:color w:val="auto"/>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CC96E5">
            <w:pPr>
              <w:spacing w:line="360" w:lineRule="auto"/>
              <w:jc w:val="center"/>
              <w:rPr>
                <w:rFonts w:hint="eastAsia" w:ascii="宋体" w:hAnsi="宋体"/>
                <w:color w:val="auto"/>
                <w:szCs w:val="21"/>
                <w:highlight w:val="none"/>
              </w:rPr>
            </w:pPr>
            <w:r>
              <w:rPr>
                <w:rFonts w:hint="eastAsia" w:ascii="宋体" w:hAnsi="宋体"/>
                <w:color w:val="auto"/>
                <w:szCs w:val="21"/>
                <w:highlight w:val="none"/>
              </w:rPr>
              <w:t>联系人</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040AA7">
            <w:pPr>
              <w:spacing w:line="360" w:lineRule="auto"/>
              <w:jc w:val="center"/>
              <w:rPr>
                <w:rFonts w:hint="eastAsia" w:ascii="宋体" w:hAnsi="宋体"/>
                <w:color w:val="auto"/>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C34247">
            <w:pPr>
              <w:spacing w:line="360" w:lineRule="auto"/>
              <w:jc w:val="center"/>
              <w:rPr>
                <w:rFonts w:hint="eastAsia" w:ascii="宋体" w:hAnsi="宋体"/>
                <w:color w:val="auto"/>
                <w:szCs w:val="21"/>
                <w:highlight w:val="none"/>
              </w:rPr>
            </w:pPr>
            <w:r>
              <w:rPr>
                <w:rFonts w:hint="eastAsia" w:ascii="宋体" w:hAnsi="宋体"/>
                <w:color w:val="auto"/>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C4E13">
            <w:pPr>
              <w:spacing w:line="360" w:lineRule="auto"/>
              <w:jc w:val="center"/>
              <w:rPr>
                <w:rFonts w:hint="eastAsia" w:ascii="宋体" w:hAnsi="宋体"/>
                <w:color w:val="auto"/>
                <w:szCs w:val="21"/>
                <w:highlight w:val="none"/>
              </w:rPr>
            </w:pPr>
          </w:p>
        </w:tc>
      </w:tr>
      <w:tr w14:paraId="4BEE5C42">
        <w:tblPrEx>
          <w:tblCellMar>
            <w:top w:w="0" w:type="dxa"/>
            <w:left w:w="108" w:type="dxa"/>
            <w:bottom w:w="0" w:type="dxa"/>
            <w:right w:w="108" w:type="dxa"/>
          </w:tblCellMar>
        </w:tblPrEx>
        <w:trPr>
          <w:trHeight w:val="761" w:hRule="exact"/>
        </w:trPr>
        <w:tc>
          <w:tcPr>
            <w:tcW w:w="25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1D173C">
            <w:pPr>
              <w:spacing w:line="360" w:lineRule="auto"/>
              <w:jc w:val="center"/>
              <w:rPr>
                <w:rFonts w:hint="eastAsia" w:ascii="宋体" w:hAnsi="宋体"/>
                <w:color w:val="auto"/>
                <w:szCs w:val="21"/>
                <w:highlight w:val="none"/>
              </w:rPr>
            </w:pPr>
            <w:r>
              <w:rPr>
                <w:rFonts w:hint="eastAsia" w:ascii="宋体" w:hAnsi="宋体"/>
                <w:color w:val="auto"/>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26953">
            <w:pPr>
              <w:spacing w:line="360" w:lineRule="auto"/>
              <w:jc w:val="center"/>
              <w:rPr>
                <w:rFonts w:hint="eastAsia" w:ascii="宋体" w:hAnsi="宋体"/>
                <w:color w:val="auto"/>
                <w:szCs w:val="21"/>
                <w:highlight w:val="none"/>
              </w:rPr>
            </w:pPr>
            <w:r>
              <w:rPr>
                <w:rFonts w:hint="eastAsia" w:ascii="宋体" w:hAnsi="宋体"/>
                <w:color w:val="auto"/>
                <w:szCs w:val="21"/>
                <w:highlight w:val="none"/>
              </w:rPr>
              <w:t>网址</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D9687">
            <w:pPr>
              <w:spacing w:line="360" w:lineRule="auto"/>
              <w:jc w:val="center"/>
              <w:rPr>
                <w:rFonts w:hint="eastAsia" w:ascii="宋体" w:hAnsi="宋体"/>
                <w:color w:val="auto"/>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37D34">
            <w:pPr>
              <w:spacing w:line="360" w:lineRule="auto"/>
              <w:jc w:val="center"/>
              <w:rPr>
                <w:rFonts w:hint="eastAsia" w:ascii="宋体" w:hAnsi="宋体"/>
                <w:color w:val="auto"/>
                <w:szCs w:val="21"/>
                <w:highlight w:val="none"/>
              </w:rPr>
            </w:pPr>
            <w:r>
              <w:rPr>
                <w:rFonts w:hint="eastAsia" w:ascii="宋体" w:hAnsi="宋体"/>
                <w:color w:val="auto"/>
                <w:szCs w:val="21"/>
                <w:highlight w:val="none"/>
              </w:rPr>
              <w:t>传真</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2F1F95">
            <w:pPr>
              <w:spacing w:line="360" w:lineRule="auto"/>
              <w:jc w:val="center"/>
              <w:rPr>
                <w:rFonts w:hint="eastAsia" w:ascii="宋体" w:hAnsi="宋体"/>
                <w:color w:val="auto"/>
                <w:szCs w:val="21"/>
                <w:highlight w:val="none"/>
              </w:rPr>
            </w:pPr>
          </w:p>
        </w:tc>
      </w:tr>
      <w:tr w14:paraId="26C76B0A">
        <w:tblPrEx>
          <w:tblCellMar>
            <w:top w:w="0" w:type="dxa"/>
            <w:left w:w="108" w:type="dxa"/>
            <w:bottom w:w="0" w:type="dxa"/>
            <w:right w:w="108" w:type="dxa"/>
          </w:tblCellMar>
        </w:tblPrEx>
        <w:trPr>
          <w:trHeight w:val="1508"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DFF67">
            <w:pPr>
              <w:spacing w:line="360" w:lineRule="auto"/>
              <w:jc w:val="center"/>
              <w:rPr>
                <w:rFonts w:hint="eastAsia" w:ascii="宋体" w:hAnsi="宋体"/>
                <w:color w:val="auto"/>
                <w:szCs w:val="21"/>
                <w:highlight w:val="none"/>
              </w:rPr>
            </w:pPr>
            <w:r>
              <w:rPr>
                <w:rFonts w:hint="eastAsia" w:ascii="宋体" w:hAnsi="宋体"/>
                <w:color w:val="auto"/>
                <w:szCs w:val="21"/>
                <w:highlight w:val="none"/>
              </w:rPr>
              <w:t>法定代表人</w:t>
            </w:r>
          </w:p>
          <w:p w14:paraId="12CE95E0">
            <w:pPr>
              <w:spacing w:line="360" w:lineRule="auto"/>
              <w:jc w:val="center"/>
              <w:rPr>
                <w:rFonts w:hint="eastAsia" w:ascii="宋体" w:hAnsi="宋体"/>
                <w:color w:val="auto"/>
                <w:szCs w:val="21"/>
                <w:highlight w:val="none"/>
              </w:rPr>
            </w:pPr>
            <w:r>
              <w:rPr>
                <w:rFonts w:hint="eastAsia" w:ascii="宋体" w:hAnsi="宋体"/>
                <w:color w:val="auto"/>
                <w:szCs w:val="21"/>
                <w:highlight w:val="none"/>
              </w:rPr>
              <w:t>（单位负责人）</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B059B2">
            <w:pPr>
              <w:spacing w:line="360" w:lineRule="auto"/>
              <w:jc w:val="center"/>
              <w:rPr>
                <w:rFonts w:hint="eastAsia" w:ascii="宋体" w:hAnsi="宋体"/>
                <w:color w:val="auto"/>
                <w:szCs w:val="21"/>
                <w:highlight w:val="none"/>
              </w:rPr>
            </w:pPr>
            <w:r>
              <w:rPr>
                <w:rFonts w:hint="eastAsia" w:ascii="宋体" w:hAnsi="宋体"/>
                <w:color w:val="auto"/>
                <w:szCs w:val="21"/>
                <w:highlight w:val="none"/>
              </w:rPr>
              <w:t>姓名</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708D4">
            <w:pPr>
              <w:spacing w:line="360" w:lineRule="auto"/>
              <w:jc w:val="center"/>
              <w:rPr>
                <w:rFonts w:hint="eastAsia" w:ascii="宋体" w:hAnsi="宋体"/>
                <w:color w:val="auto"/>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21A2E">
            <w:pPr>
              <w:spacing w:line="360" w:lineRule="auto"/>
              <w:jc w:val="center"/>
              <w:rPr>
                <w:rFonts w:hint="eastAsia" w:ascii="宋体" w:hAnsi="宋体"/>
                <w:color w:val="auto"/>
                <w:szCs w:val="21"/>
                <w:highlight w:val="none"/>
              </w:rPr>
            </w:pPr>
            <w:r>
              <w:rPr>
                <w:rFonts w:hint="eastAsia" w:ascii="宋体" w:hAnsi="宋体"/>
                <w:color w:val="auto"/>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0C445">
            <w:pPr>
              <w:spacing w:line="360" w:lineRule="auto"/>
              <w:jc w:val="center"/>
              <w:rPr>
                <w:rFonts w:hint="eastAsia" w:ascii="宋体" w:hAnsi="宋体"/>
                <w:color w:val="auto"/>
                <w:szCs w:val="21"/>
                <w:highlight w:val="none"/>
              </w:rPr>
            </w:pPr>
          </w:p>
        </w:tc>
      </w:tr>
      <w:tr w14:paraId="7837AF9C">
        <w:tblPrEx>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86C893">
            <w:pPr>
              <w:spacing w:line="360" w:lineRule="auto"/>
              <w:jc w:val="center"/>
              <w:rPr>
                <w:rFonts w:hint="eastAsia" w:ascii="宋体" w:hAnsi="宋体"/>
                <w:color w:val="auto"/>
                <w:szCs w:val="21"/>
                <w:highlight w:val="none"/>
              </w:rPr>
            </w:pPr>
            <w:r>
              <w:rPr>
                <w:rFonts w:hint="eastAsia" w:ascii="宋体" w:hAnsi="宋体"/>
                <w:color w:val="auto"/>
                <w:szCs w:val="21"/>
                <w:highlight w:val="none"/>
              </w:rPr>
              <w:t>基本账户开户银行</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E898950">
            <w:pPr>
              <w:spacing w:line="360" w:lineRule="auto"/>
              <w:jc w:val="center"/>
              <w:rPr>
                <w:rFonts w:hint="eastAsia" w:ascii="宋体" w:hAnsi="宋体"/>
                <w:color w:val="auto"/>
                <w:szCs w:val="21"/>
                <w:highlight w:val="none"/>
              </w:rPr>
            </w:pPr>
          </w:p>
        </w:tc>
      </w:tr>
      <w:tr w14:paraId="5E3FFAD8">
        <w:tblPrEx>
          <w:tblCellMar>
            <w:top w:w="0" w:type="dxa"/>
            <w:left w:w="108" w:type="dxa"/>
            <w:bottom w:w="0" w:type="dxa"/>
            <w:right w:w="108" w:type="dxa"/>
          </w:tblCellMar>
        </w:tblPrEx>
        <w:trPr>
          <w:trHeight w:val="3172"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BFCA1">
            <w:pPr>
              <w:spacing w:line="360" w:lineRule="auto"/>
              <w:jc w:val="center"/>
              <w:rPr>
                <w:rFonts w:hint="eastAsia" w:ascii="宋体" w:hAnsi="宋体"/>
                <w:color w:val="auto"/>
                <w:szCs w:val="21"/>
                <w:highlight w:val="non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关联企业情况（包括但不限于与</w:t>
            </w:r>
            <w:r>
              <w:rPr>
                <w:rFonts w:hint="eastAsia" w:ascii="宋体" w:hAnsi="宋体"/>
                <w:color w:val="auto"/>
                <w:szCs w:val="21"/>
                <w:highlight w:val="none"/>
                <w:lang w:val="en-US" w:eastAsia="zh-CN"/>
              </w:rPr>
              <w:t>供应商</w:t>
            </w:r>
            <w:r>
              <w:rPr>
                <w:rFonts w:hint="eastAsia" w:ascii="宋体" w:hAnsi="宋体"/>
                <w:color w:val="auto"/>
                <w:szCs w:val="21"/>
                <w:highlight w:val="none"/>
              </w:rPr>
              <w:t>法定代表人（单位负责人）为同一人或者存在控股、管理关系的不同单位）</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EE95F7F">
            <w:pPr>
              <w:spacing w:line="360" w:lineRule="auto"/>
              <w:jc w:val="center"/>
              <w:rPr>
                <w:rFonts w:hint="eastAsia" w:ascii="宋体" w:hAnsi="宋体"/>
                <w:color w:val="auto"/>
                <w:szCs w:val="21"/>
                <w:highlight w:val="none"/>
              </w:rPr>
            </w:pPr>
          </w:p>
        </w:tc>
      </w:tr>
      <w:tr w14:paraId="3449D4B7">
        <w:tblPrEx>
          <w:tblCellMar>
            <w:top w:w="0" w:type="dxa"/>
            <w:left w:w="108" w:type="dxa"/>
            <w:bottom w:w="0" w:type="dxa"/>
            <w:right w:w="108" w:type="dxa"/>
          </w:tblCellMar>
        </w:tblPrEx>
        <w:trPr>
          <w:trHeight w:val="809"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117B3">
            <w:pPr>
              <w:spacing w:line="360" w:lineRule="auto"/>
              <w:jc w:val="center"/>
              <w:rPr>
                <w:rFonts w:hint="eastAsia" w:ascii="宋体" w:hAnsi="宋体"/>
                <w:color w:val="auto"/>
                <w:szCs w:val="21"/>
                <w:highlight w:val="none"/>
              </w:rPr>
            </w:pPr>
            <w:r>
              <w:rPr>
                <w:rFonts w:hint="eastAsia" w:ascii="宋体" w:hAnsi="宋体"/>
                <w:color w:val="auto"/>
                <w:szCs w:val="21"/>
                <w:highlight w:val="none"/>
              </w:rPr>
              <w:t>备注</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40D554B1">
            <w:pPr>
              <w:spacing w:line="360" w:lineRule="auto"/>
              <w:jc w:val="center"/>
              <w:rPr>
                <w:rFonts w:hint="eastAsia" w:ascii="宋体" w:hAnsi="宋体"/>
                <w:color w:val="auto"/>
                <w:szCs w:val="21"/>
                <w:highlight w:val="none"/>
              </w:rPr>
            </w:pPr>
          </w:p>
        </w:tc>
      </w:tr>
    </w:tbl>
    <w:p w14:paraId="2EC52E4E">
      <w:pPr>
        <w:jc w:val="left"/>
        <w:rPr>
          <w:rFonts w:hint="eastAsia" w:ascii="宋体" w:hAnsi="宋体"/>
          <w:color w:val="auto"/>
          <w:szCs w:val="21"/>
          <w:highlight w:val="none"/>
        </w:rPr>
      </w:pPr>
      <w:r>
        <w:rPr>
          <w:rFonts w:hint="eastAsia" w:ascii="宋体" w:hAnsi="宋体"/>
          <w:color w:val="auto"/>
          <w:szCs w:val="21"/>
          <w:highlight w:val="none"/>
        </w:rPr>
        <w:t>注：1.</w:t>
      </w:r>
      <w:r>
        <w:rPr>
          <w:rFonts w:hint="eastAsia" w:ascii="宋体" w:hAnsi="宋体"/>
          <w:color w:val="auto"/>
          <w:szCs w:val="21"/>
          <w:highlight w:val="none"/>
          <w:lang w:eastAsia="zh-CN"/>
        </w:rPr>
        <w:t>附营业执照副本加盖公章，</w:t>
      </w:r>
      <w:r>
        <w:rPr>
          <w:rFonts w:hint="eastAsia" w:ascii="宋体" w:hAnsi="宋体"/>
          <w:color w:val="auto"/>
          <w:szCs w:val="21"/>
          <w:highlight w:val="none"/>
        </w:rPr>
        <w:t>基本账户开户许可证</w:t>
      </w:r>
      <w:r>
        <w:rPr>
          <w:rFonts w:hint="eastAsia" w:ascii="宋体" w:hAnsi="宋体"/>
          <w:color w:val="auto"/>
          <w:szCs w:val="21"/>
          <w:highlight w:val="none"/>
          <w:lang w:val="en-US" w:eastAsia="zh-CN"/>
        </w:rPr>
        <w:t>或开户证明</w:t>
      </w:r>
      <w:r>
        <w:rPr>
          <w:rFonts w:hint="eastAsia" w:ascii="宋体" w:hAnsi="宋体"/>
          <w:color w:val="auto"/>
          <w:szCs w:val="21"/>
          <w:highlight w:val="none"/>
        </w:rPr>
        <w:t>复印件</w:t>
      </w:r>
      <w:r>
        <w:rPr>
          <w:rFonts w:hint="eastAsia" w:ascii="宋体" w:hAnsi="宋体"/>
          <w:color w:val="auto"/>
          <w:szCs w:val="21"/>
          <w:highlight w:val="none"/>
          <w:lang w:eastAsia="zh-CN"/>
        </w:rPr>
        <w:t>加盖公章。</w:t>
      </w:r>
    </w:p>
    <w:p w14:paraId="4401A648">
      <w:pPr>
        <w:ind w:firstLine="420" w:firstLineChars="200"/>
        <w:jc w:val="left"/>
        <w:rPr>
          <w:rFonts w:hint="eastAsia" w:ascii="宋体" w:hAnsi="宋体"/>
          <w:color w:val="auto"/>
          <w:szCs w:val="21"/>
          <w:highlight w:val="none"/>
        </w:rPr>
      </w:pPr>
    </w:p>
    <w:p w14:paraId="485D35A0">
      <w:pPr>
        <w:pStyle w:val="54"/>
        <w:jc w:val="center"/>
        <w:rPr>
          <w:rFonts w:hint="eastAsia"/>
          <w:b/>
          <w:bCs/>
          <w:color w:val="auto"/>
          <w:sz w:val="32"/>
          <w:szCs w:val="32"/>
          <w:highlight w:val="none"/>
          <w:lang w:val="en-US" w:eastAsia="zh-CN"/>
        </w:rPr>
        <w:sectPr>
          <w:footerReference r:id="rId10" w:type="default"/>
          <w:pgSz w:w="11910" w:h="16840"/>
          <w:pgMar w:top="1500" w:right="1380" w:bottom="1780" w:left="1580" w:header="0" w:footer="1595" w:gutter="0"/>
          <w:pgNumType w:fmt="decimal"/>
          <w:cols w:space="720" w:num="1"/>
        </w:sectPr>
      </w:pPr>
    </w:p>
    <w:p w14:paraId="04BDC765">
      <w:pPr>
        <w:numPr>
          <w:ilvl w:val="0"/>
          <w:numId w:val="7"/>
        </w:numPr>
        <w:shd w:val="clear" w:color="auto" w:fill="auto"/>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财务状况表</w:t>
      </w:r>
    </w:p>
    <w:p w14:paraId="0AC3CFBC">
      <w:pPr>
        <w:numPr>
          <w:ilvl w:val="0"/>
          <w:numId w:val="0"/>
        </w:numPr>
        <w:shd w:val="clear" w:color="auto" w:fill="auto"/>
        <w:spacing w:line="360" w:lineRule="auto"/>
        <w:jc w:val="both"/>
        <w:rPr>
          <w:rFonts w:hint="eastAsia" w:ascii="宋体" w:hAnsi="宋体" w:eastAsia="宋体" w:cs="宋体"/>
          <w:b/>
          <w:color w:val="auto"/>
          <w:sz w:val="30"/>
          <w:szCs w:val="30"/>
          <w:highlight w:val="none"/>
        </w:rPr>
      </w:pPr>
      <w:r>
        <w:rPr>
          <w:rFonts w:hint="eastAsia" w:ascii="宋体" w:hAnsi="宋体" w:eastAsia="宋体" w:cs="宋体"/>
          <w:color w:val="auto"/>
          <w:szCs w:val="21"/>
          <w:highlight w:val="none"/>
        </w:rPr>
        <w:t>注：</w:t>
      </w:r>
      <w:r>
        <w:rPr>
          <w:rFonts w:hint="eastAsia" w:ascii="宋体" w:hAnsi="宋体" w:cs="宋体"/>
          <w:bCs/>
          <w:snapToGrid w:val="0"/>
          <w:color w:val="auto"/>
          <w:szCs w:val="21"/>
          <w:highlight w:val="none"/>
        </w:rPr>
        <w:t>供应商参加采购活动应当提供反映其财务状况、依法缴纳税收和社会保障金的资格条件承诺函</w:t>
      </w:r>
      <w:r>
        <w:rPr>
          <w:rFonts w:hint="eastAsia" w:ascii="宋体" w:hAnsi="宋体" w:cs="宋体"/>
          <w:bCs/>
          <w:color w:val="auto"/>
          <w:sz w:val="21"/>
          <w:szCs w:val="21"/>
          <w:highlight w:val="none"/>
          <w:lang w:val="zh-CN"/>
        </w:rPr>
        <w:t>。</w:t>
      </w:r>
    </w:p>
    <w:p w14:paraId="1A262147">
      <w:pPr>
        <w:spacing w:before="137" w:line="219" w:lineRule="auto"/>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b/>
          <w:bCs/>
          <w:color w:val="auto"/>
          <w:spacing w:val="-9"/>
          <w:sz w:val="32"/>
          <w:szCs w:val="32"/>
          <w:highlight w:val="none"/>
          <w:lang w:val="en-US" w:eastAsia="zh-CN"/>
        </w:rPr>
        <w:t xml:space="preserve">   </w:t>
      </w:r>
      <w:r>
        <w:rPr>
          <w:rFonts w:hint="eastAsia" w:ascii="宋体" w:hAnsi="宋体" w:eastAsia="宋体" w:cs="宋体"/>
          <w:b/>
          <w:bCs/>
          <w:color w:val="auto"/>
          <w:spacing w:val="-9"/>
          <w:sz w:val="32"/>
          <w:szCs w:val="32"/>
          <w:highlight w:val="none"/>
        </w:rPr>
        <w:t>资格条件承诺函</w:t>
      </w:r>
    </w:p>
    <w:p w14:paraId="48F4BAE5">
      <w:pPr>
        <w:spacing w:line="272" w:lineRule="auto"/>
        <w:rPr>
          <w:rFonts w:hint="eastAsia" w:ascii="宋体" w:hAnsi="宋体" w:eastAsia="宋体" w:cs="宋体"/>
          <w:color w:val="auto"/>
          <w:sz w:val="21"/>
          <w:szCs w:val="21"/>
          <w:highlight w:val="none"/>
        </w:rPr>
      </w:pPr>
    </w:p>
    <w:p w14:paraId="087F3FDE">
      <w:pPr>
        <w:spacing w:line="273" w:lineRule="auto"/>
        <w:rPr>
          <w:rFonts w:hint="eastAsia" w:ascii="宋体" w:hAnsi="宋体" w:eastAsia="宋体" w:cs="宋体"/>
          <w:color w:val="auto"/>
          <w:sz w:val="21"/>
          <w:szCs w:val="21"/>
          <w:highlight w:val="none"/>
        </w:rPr>
      </w:pPr>
    </w:p>
    <w:p w14:paraId="3F7D18AC">
      <w:pPr>
        <w:keepNext w:val="0"/>
        <w:keepLines w:val="0"/>
        <w:pageBreakBefore w:val="0"/>
        <w:widowControl w:val="0"/>
        <w:kinsoku/>
        <w:wordWrap/>
        <w:overflowPunct/>
        <w:topLinePunct w:val="0"/>
        <w:autoSpaceDE/>
        <w:autoSpaceDN/>
        <w:bidi w:val="0"/>
        <w:adjustRightInd/>
        <w:snapToGrid/>
        <w:spacing w:line="480" w:lineRule="auto"/>
        <w:ind w:left="3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29"/>
          <w:sz w:val="21"/>
          <w:szCs w:val="21"/>
          <w:highlight w:val="none"/>
        </w:rPr>
        <w:t>致：</w:t>
      </w:r>
      <w:r>
        <w:rPr>
          <w:rFonts w:hint="eastAsia" w:ascii="宋体" w:hAnsi="宋体" w:eastAsia="宋体" w:cs="宋体"/>
          <w:color w:val="auto"/>
          <w:spacing w:val="129"/>
          <w:sz w:val="21"/>
          <w:szCs w:val="21"/>
          <w:highlight w:val="none"/>
          <w:u w:val="single" w:color="auto"/>
        </w:rPr>
        <w:t xml:space="preserve"> </w:t>
      </w:r>
      <w:r>
        <w:rPr>
          <w:rFonts w:hint="eastAsia" w:ascii="宋体" w:hAnsi="宋体" w:eastAsia="宋体" w:cs="宋体"/>
          <w:color w:val="auto"/>
          <w:spacing w:val="29"/>
          <w:sz w:val="21"/>
          <w:szCs w:val="21"/>
          <w:highlight w:val="none"/>
          <w:u w:val="single" w:color="auto"/>
        </w:rPr>
        <w:t>(采购人、采购代理机构)</w:t>
      </w:r>
      <w:r>
        <w:rPr>
          <w:rFonts w:hint="eastAsia" w:ascii="宋体" w:hAnsi="宋体" w:eastAsia="宋体" w:cs="宋体"/>
          <w:color w:val="auto"/>
          <w:spacing w:val="66"/>
          <w:sz w:val="21"/>
          <w:szCs w:val="21"/>
          <w:highlight w:val="none"/>
          <w:u w:val="single" w:color="auto"/>
        </w:rPr>
        <w:t xml:space="preserve">  </w:t>
      </w:r>
      <w:r>
        <w:rPr>
          <w:rFonts w:hint="eastAsia" w:ascii="宋体" w:hAnsi="宋体" w:eastAsia="宋体" w:cs="宋体"/>
          <w:color w:val="auto"/>
          <w:spacing w:val="-121"/>
          <w:sz w:val="21"/>
          <w:szCs w:val="21"/>
          <w:highlight w:val="none"/>
        </w:rPr>
        <w:t xml:space="preserve"> </w:t>
      </w:r>
      <w:r>
        <w:rPr>
          <w:rFonts w:hint="eastAsia" w:ascii="宋体" w:hAnsi="宋体" w:eastAsia="宋体" w:cs="宋体"/>
          <w:color w:val="auto"/>
          <w:spacing w:val="29"/>
          <w:sz w:val="21"/>
          <w:szCs w:val="21"/>
          <w:highlight w:val="none"/>
        </w:rPr>
        <w:t>:</w:t>
      </w:r>
    </w:p>
    <w:p w14:paraId="11DDC1D5">
      <w:pPr>
        <w:keepNext w:val="0"/>
        <w:keepLines w:val="0"/>
        <w:pageBreakBefore w:val="0"/>
        <w:widowControl w:val="0"/>
        <w:kinsoku/>
        <w:wordWrap/>
        <w:overflowPunct/>
        <w:topLinePunct w:val="0"/>
        <w:autoSpaceDE/>
        <w:autoSpaceDN/>
        <w:bidi w:val="0"/>
        <w:adjustRightInd/>
        <w:snapToGrid/>
        <w:spacing w:line="480" w:lineRule="auto"/>
        <w:ind w:firstLine="40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我单位(</w:t>
      </w:r>
      <w:r>
        <w:rPr>
          <w:rFonts w:hint="eastAsia" w:ascii="宋体" w:hAnsi="宋体" w:eastAsia="宋体" w:cs="宋体"/>
          <w:color w:val="auto"/>
          <w:spacing w:val="-5"/>
          <w:sz w:val="21"/>
          <w:szCs w:val="21"/>
          <w:highlight w:val="none"/>
          <w:u w:val="single"/>
        </w:rPr>
        <w:t>公司</w:t>
      </w:r>
      <w:r>
        <w:rPr>
          <w:rFonts w:hint="eastAsia" w:ascii="宋体" w:hAnsi="宋体" w:eastAsia="宋体" w:cs="宋体"/>
          <w:color w:val="auto"/>
          <w:spacing w:val="-5"/>
          <w:sz w:val="21"/>
          <w:szCs w:val="21"/>
          <w:highlight w:val="none"/>
        </w:rPr>
        <w:t>)参与</w:t>
      </w:r>
      <w:r>
        <w:rPr>
          <w:rFonts w:hint="eastAsia" w:ascii="宋体" w:hAnsi="宋体" w:eastAsia="宋体" w:cs="宋体"/>
          <w:color w:val="auto"/>
          <w:spacing w:val="-89"/>
          <w:sz w:val="21"/>
          <w:szCs w:val="21"/>
          <w:highlight w:val="none"/>
        </w:rPr>
        <w:t xml:space="preserve"> </w:t>
      </w:r>
      <w:r>
        <w:rPr>
          <w:rFonts w:hint="eastAsia" w:ascii="宋体" w:hAnsi="宋体" w:eastAsia="宋体" w:cs="宋体"/>
          <w:color w:val="auto"/>
          <w:spacing w:val="21"/>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w:t>
      </w:r>
      <w:r>
        <w:rPr>
          <w:rFonts w:hint="eastAsia" w:ascii="宋体" w:hAnsi="宋体" w:eastAsia="宋体" w:cs="宋体"/>
          <w:color w:val="auto"/>
          <w:spacing w:val="-52"/>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采</w:t>
      </w:r>
      <w:r>
        <w:rPr>
          <w:rFonts w:hint="eastAsia" w:ascii="宋体" w:hAnsi="宋体" w:eastAsia="宋体" w:cs="宋体"/>
          <w:color w:val="auto"/>
          <w:spacing w:val="-55"/>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购</w:t>
      </w:r>
      <w:r>
        <w:rPr>
          <w:rFonts w:hint="eastAsia" w:ascii="宋体" w:hAnsi="宋体" w:eastAsia="宋体" w:cs="宋体"/>
          <w:color w:val="auto"/>
          <w:spacing w:val="-54"/>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项目</w:t>
      </w:r>
      <w:r>
        <w:rPr>
          <w:rFonts w:hint="eastAsia" w:ascii="宋体" w:hAnsi="宋体" w:eastAsia="宋体" w:cs="宋体"/>
          <w:color w:val="auto"/>
          <w:spacing w:val="-54"/>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名</w:t>
      </w:r>
      <w:r>
        <w:rPr>
          <w:rFonts w:hint="eastAsia" w:ascii="宋体" w:hAnsi="宋体" w:eastAsia="宋体" w:cs="宋体"/>
          <w:color w:val="auto"/>
          <w:spacing w:val="-55"/>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称</w:t>
      </w:r>
      <w:r>
        <w:rPr>
          <w:rFonts w:hint="eastAsia" w:ascii="宋体" w:hAnsi="宋体" w:eastAsia="宋体" w:cs="宋体"/>
          <w:color w:val="auto"/>
          <w:spacing w:val="-5"/>
          <w:sz w:val="21"/>
          <w:szCs w:val="21"/>
          <w:highlight w:val="none"/>
          <w:u w:val="single" w:color="auto"/>
          <w:lang w:eastAsia="zh-CN"/>
        </w:rPr>
        <w:t>、</w:t>
      </w:r>
      <w:r>
        <w:rPr>
          <w:rFonts w:hint="eastAsia" w:ascii="宋体" w:hAnsi="宋体" w:eastAsia="宋体" w:cs="宋体"/>
          <w:color w:val="auto"/>
          <w:spacing w:val="-54"/>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项目</w:t>
      </w:r>
      <w:r>
        <w:rPr>
          <w:rFonts w:hint="eastAsia" w:ascii="宋体" w:hAnsi="宋体" w:eastAsia="宋体" w:cs="宋体"/>
          <w:color w:val="auto"/>
          <w:spacing w:val="-53"/>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编</w:t>
      </w:r>
      <w:r>
        <w:rPr>
          <w:rFonts w:hint="eastAsia" w:ascii="宋体" w:hAnsi="宋体" w:eastAsia="宋体" w:cs="宋体"/>
          <w:color w:val="auto"/>
          <w:spacing w:val="-48"/>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号</w:t>
      </w:r>
      <w:r>
        <w:rPr>
          <w:rFonts w:hint="eastAsia" w:ascii="宋体" w:hAnsi="宋体" w:eastAsia="宋体" w:cs="宋体"/>
          <w:color w:val="auto"/>
          <w:spacing w:val="-63"/>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w:t>
      </w:r>
    </w:p>
    <w:p w14:paraId="10E4763C">
      <w:pPr>
        <w:keepNext w:val="0"/>
        <w:keepLines w:val="0"/>
        <w:pageBreakBefore w:val="0"/>
        <w:widowControl w:val="0"/>
        <w:kinsoku/>
        <w:wordWrap/>
        <w:overflowPunct/>
        <w:topLinePunct w:val="0"/>
        <w:autoSpaceDE/>
        <w:autoSpaceDN/>
        <w:bidi w:val="0"/>
        <w:adjustRightInd/>
        <w:snapToGrid/>
        <w:spacing w:line="480" w:lineRule="auto"/>
        <w:ind w:left="3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采购项目的政府采购活动，现承诺如下：</w:t>
      </w:r>
    </w:p>
    <w:p w14:paraId="72DE746D">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1.</w:t>
      </w:r>
      <w:r>
        <w:rPr>
          <w:rFonts w:hint="eastAsia" w:ascii="宋体" w:hAnsi="宋体" w:eastAsia="宋体" w:cs="宋体"/>
          <w:color w:val="auto"/>
          <w:spacing w:val="-31"/>
          <w:sz w:val="21"/>
          <w:szCs w:val="21"/>
          <w:highlight w:val="none"/>
        </w:rPr>
        <w:t xml:space="preserve"> </w:t>
      </w:r>
      <w:r>
        <w:rPr>
          <w:rFonts w:hint="eastAsia" w:ascii="宋体" w:hAnsi="宋体" w:eastAsia="宋体" w:cs="宋体"/>
          <w:color w:val="auto"/>
          <w:spacing w:val="-4"/>
          <w:sz w:val="21"/>
          <w:szCs w:val="21"/>
          <w:highlight w:val="none"/>
        </w:rPr>
        <w:t>具有良好的商业信誉和健全的财务会计制度；</w:t>
      </w:r>
    </w:p>
    <w:p w14:paraId="361151E1">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2.</w:t>
      </w:r>
      <w:r>
        <w:rPr>
          <w:rFonts w:hint="eastAsia" w:ascii="宋体" w:hAnsi="宋体" w:eastAsia="宋体" w:cs="宋体"/>
          <w:color w:val="auto"/>
          <w:spacing w:val="-57"/>
          <w:sz w:val="21"/>
          <w:szCs w:val="21"/>
          <w:highlight w:val="none"/>
        </w:rPr>
        <w:t xml:space="preserve"> </w:t>
      </w:r>
      <w:r>
        <w:rPr>
          <w:rFonts w:hint="eastAsia" w:ascii="宋体" w:hAnsi="宋体" w:eastAsia="宋体" w:cs="宋体"/>
          <w:color w:val="auto"/>
          <w:spacing w:val="-5"/>
          <w:sz w:val="21"/>
          <w:szCs w:val="21"/>
          <w:highlight w:val="none"/>
        </w:rPr>
        <w:t>具有依法缴纳税收的良好记录；</w:t>
      </w:r>
    </w:p>
    <w:p w14:paraId="08823E48">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3.具有依法缴纳社会保障金的良好记录。</w:t>
      </w:r>
    </w:p>
    <w:p w14:paraId="4EEC7485">
      <w:pPr>
        <w:keepNext w:val="0"/>
        <w:keepLines w:val="0"/>
        <w:pageBreakBefore w:val="0"/>
        <w:widowControl w:val="0"/>
        <w:kinsoku/>
        <w:wordWrap/>
        <w:overflowPunct/>
        <w:topLinePunct w:val="0"/>
        <w:autoSpaceDE/>
        <w:autoSpaceDN/>
        <w:bidi w:val="0"/>
        <w:adjustRightInd/>
        <w:snapToGrid/>
        <w:spacing w:line="480" w:lineRule="auto"/>
        <w:ind w:left="363" w:right="192" w:firstLine="600"/>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我方在采购项目评审(评标)环节结束后，随时接受采</w:t>
      </w:r>
      <w:r>
        <w:rPr>
          <w:rFonts w:hint="eastAsia" w:ascii="宋体" w:hAnsi="宋体" w:eastAsia="宋体" w:cs="宋体"/>
          <w:color w:val="auto"/>
          <w:spacing w:val="-3"/>
          <w:sz w:val="21"/>
          <w:szCs w:val="21"/>
          <w:highlight w:val="none"/>
        </w:rPr>
        <w:t>购人、采购代理机构的检查验证，配合提供相关证</w:t>
      </w:r>
      <w:r>
        <w:rPr>
          <w:rFonts w:hint="eastAsia" w:ascii="宋体" w:hAnsi="宋体" w:eastAsia="宋体" w:cs="宋体"/>
          <w:color w:val="auto"/>
          <w:spacing w:val="-4"/>
          <w:sz w:val="21"/>
          <w:szCs w:val="21"/>
          <w:highlight w:val="none"/>
        </w:rPr>
        <w:t>明材料，</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证明符合《中华人民共和国政府采购法》规定的供应商基本</w:t>
      </w:r>
      <w:r>
        <w:rPr>
          <w:rFonts w:hint="eastAsia" w:ascii="宋体" w:hAnsi="宋体" w:eastAsia="宋体" w:cs="宋体"/>
          <w:color w:val="auto"/>
          <w:spacing w:val="-9"/>
          <w:sz w:val="21"/>
          <w:szCs w:val="21"/>
          <w:highlight w:val="none"/>
        </w:rPr>
        <w:t>资格条件。</w:t>
      </w:r>
    </w:p>
    <w:p w14:paraId="0E96C4FA">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9"/>
          <w:position w:val="23"/>
          <w:sz w:val="21"/>
          <w:szCs w:val="21"/>
          <w:highlight w:val="none"/>
        </w:rPr>
        <w:t>我单位(</w:t>
      </w:r>
      <w:r>
        <w:rPr>
          <w:rFonts w:hint="eastAsia" w:ascii="宋体" w:hAnsi="宋体" w:eastAsia="宋体" w:cs="宋体"/>
          <w:color w:val="auto"/>
          <w:spacing w:val="9"/>
          <w:position w:val="23"/>
          <w:sz w:val="21"/>
          <w:szCs w:val="21"/>
          <w:highlight w:val="none"/>
          <w:u w:val="single"/>
        </w:rPr>
        <w:t>公司</w:t>
      </w:r>
      <w:r>
        <w:rPr>
          <w:rFonts w:hint="eastAsia" w:ascii="宋体" w:hAnsi="宋体" w:eastAsia="宋体" w:cs="宋体"/>
          <w:color w:val="auto"/>
          <w:spacing w:val="9"/>
          <w:position w:val="23"/>
          <w:sz w:val="21"/>
          <w:szCs w:val="21"/>
          <w:highlight w:val="none"/>
        </w:rPr>
        <w:t>)对上述承诺的真实性负责。如有虚假，</w:t>
      </w:r>
    </w:p>
    <w:p w14:paraId="36D947F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将依法承担相应责任。</w:t>
      </w:r>
    </w:p>
    <w:p w14:paraId="088D115F">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rPr>
        <w:t>特此承诺。</w:t>
      </w:r>
    </w:p>
    <w:p w14:paraId="252A5E7A">
      <w:pPr>
        <w:spacing w:line="356" w:lineRule="auto"/>
        <w:rPr>
          <w:rFonts w:hint="eastAsia" w:ascii="宋体" w:hAnsi="宋体" w:eastAsia="宋体" w:cs="宋体"/>
          <w:color w:val="auto"/>
          <w:sz w:val="21"/>
          <w:szCs w:val="21"/>
          <w:highlight w:val="none"/>
        </w:rPr>
      </w:pPr>
    </w:p>
    <w:p w14:paraId="5A1F010F">
      <w:pPr>
        <w:spacing w:line="356" w:lineRule="auto"/>
        <w:rPr>
          <w:rFonts w:hint="eastAsia" w:ascii="宋体" w:hAnsi="宋体" w:eastAsia="宋体" w:cs="宋体"/>
          <w:color w:val="auto"/>
          <w:sz w:val="21"/>
          <w:szCs w:val="21"/>
          <w:highlight w:val="none"/>
        </w:rPr>
      </w:pPr>
    </w:p>
    <w:p w14:paraId="51DF27BA">
      <w:pPr>
        <w:spacing w:before="98" w:line="594" w:lineRule="exact"/>
        <w:ind w:left="5013"/>
        <w:rPr>
          <w:rFonts w:hint="eastAsia" w:ascii="宋体" w:hAnsi="宋体" w:eastAsia="宋体" w:cs="宋体"/>
          <w:color w:val="auto"/>
          <w:sz w:val="21"/>
          <w:szCs w:val="21"/>
          <w:highlight w:val="none"/>
        </w:rPr>
      </w:pPr>
      <w:r>
        <w:rPr>
          <w:rFonts w:hint="eastAsia" w:ascii="宋体" w:hAnsi="宋体" w:eastAsia="宋体" w:cs="宋体"/>
          <w:color w:val="auto"/>
          <w:spacing w:val="-21"/>
          <w:position w:val="21"/>
          <w:sz w:val="21"/>
          <w:szCs w:val="21"/>
          <w:highlight w:val="none"/>
        </w:rPr>
        <w:t>盖章：</w:t>
      </w:r>
    </w:p>
    <w:p w14:paraId="1BC613AD">
      <w:pPr>
        <w:spacing w:line="224" w:lineRule="auto"/>
        <w:ind w:left="0" w:leftChars="0" w:firstLine="5019" w:firstLineChars="2758"/>
        <w:rPr>
          <w:rFonts w:hint="eastAsia" w:ascii="宋体" w:hAnsi="宋体" w:eastAsia="宋体" w:cs="宋体"/>
          <w:color w:val="auto"/>
          <w:sz w:val="21"/>
          <w:szCs w:val="21"/>
          <w:highlight w:val="none"/>
        </w:rPr>
      </w:pPr>
      <w:r>
        <w:rPr>
          <w:rFonts w:hint="eastAsia" w:ascii="宋体" w:hAnsi="宋体" w:eastAsia="宋体" w:cs="宋体"/>
          <w:color w:val="auto"/>
          <w:spacing w:val="-14"/>
          <w:sz w:val="21"/>
          <w:szCs w:val="21"/>
          <w:highlight w:val="none"/>
        </w:rPr>
        <w:t>签字：</w:t>
      </w:r>
    </w:p>
    <w:p w14:paraId="598039C1">
      <w:pPr>
        <w:spacing w:before="224" w:line="223" w:lineRule="auto"/>
        <w:ind w:left="5023"/>
        <w:rPr>
          <w:rFonts w:hint="eastAsia" w:ascii="宋体" w:hAnsi="宋体" w:eastAsia="宋体" w:cs="宋体"/>
          <w:color w:val="auto"/>
          <w:sz w:val="21"/>
          <w:szCs w:val="21"/>
          <w:highlight w:val="none"/>
        </w:rPr>
      </w:pPr>
      <w:r>
        <w:rPr>
          <w:rFonts w:hint="eastAsia" w:ascii="宋体" w:hAnsi="宋体" w:eastAsia="宋体" w:cs="宋体"/>
          <w:color w:val="auto"/>
          <w:spacing w:val="-23"/>
          <w:sz w:val="21"/>
          <w:szCs w:val="21"/>
          <w:highlight w:val="none"/>
        </w:rPr>
        <w:t>日期：</w:t>
      </w:r>
    </w:p>
    <w:p w14:paraId="7127FBAE">
      <w:pPr>
        <w:pStyle w:val="54"/>
        <w:jc w:val="center"/>
        <w:rPr>
          <w:rFonts w:hint="eastAsia"/>
          <w:b/>
          <w:bCs/>
          <w:color w:val="auto"/>
          <w:sz w:val="32"/>
          <w:szCs w:val="32"/>
          <w:highlight w:val="none"/>
          <w:lang w:val="en-US" w:eastAsia="zh-CN"/>
        </w:rPr>
      </w:pPr>
    </w:p>
    <w:p w14:paraId="7E9BEA6B">
      <w:pPr>
        <w:pStyle w:val="54"/>
        <w:jc w:val="center"/>
        <w:rPr>
          <w:rFonts w:hint="eastAsia"/>
          <w:b/>
          <w:bCs/>
          <w:color w:val="auto"/>
          <w:sz w:val="32"/>
          <w:szCs w:val="32"/>
          <w:highlight w:val="none"/>
          <w:lang w:val="en-US" w:eastAsia="zh-CN"/>
        </w:rPr>
      </w:pPr>
    </w:p>
    <w:p w14:paraId="5D9F0DE5">
      <w:pPr>
        <w:pStyle w:val="54"/>
        <w:jc w:val="center"/>
        <w:rPr>
          <w:rFonts w:hint="eastAsia"/>
          <w:b/>
          <w:bCs/>
          <w:color w:val="auto"/>
          <w:sz w:val="32"/>
          <w:szCs w:val="32"/>
          <w:highlight w:val="none"/>
          <w:lang w:val="en-US" w:eastAsia="zh-CN"/>
        </w:rPr>
      </w:pPr>
    </w:p>
    <w:p w14:paraId="761237B3">
      <w:pPr>
        <w:pStyle w:val="54"/>
        <w:jc w:val="center"/>
        <w:rPr>
          <w:rFonts w:hint="eastAsia"/>
          <w:b/>
          <w:bCs/>
          <w:color w:val="auto"/>
          <w:sz w:val="32"/>
          <w:szCs w:val="32"/>
          <w:highlight w:val="none"/>
          <w:lang w:val="en-US" w:eastAsia="zh-CN"/>
        </w:rPr>
      </w:pPr>
    </w:p>
    <w:p w14:paraId="54FA6480">
      <w:pPr>
        <w:pStyle w:val="54"/>
        <w:jc w:val="center"/>
        <w:rPr>
          <w:rFonts w:hint="eastAsia"/>
          <w:b/>
          <w:bCs/>
          <w:color w:val="auto"/>
          <w:sz w:val="32"/>
          <w:szCs w:val="32"/>
          <w:highlight w:val="none"/>
          <w:lang w:val="en-US" w:eastAsia="zh-CN"/>
        </w:rPr>
      </w:pPr>
    </w:p>
    <w:p w14:paraId="7621B181">
      <w:pPr>
        <w:pStyle w:val="54"/>
        <w:jc w:val="center"/>
        <w:rPr>
          <w:rFonts w:hint="eastAsia"/>
          <w:b/>
          <w:bCs/>
          <w:color w:val="auto"/>
          <w:sz w:val="32"/>
          <w:szCs w:val="32"/>
          <w:highlight w:val="none"/>
          <w:lang w:val="en-US" w:eastAsia="zh-CN"/>
        </w:rPr>
      </w:pPr>
    </w:p>
    <w:p w14:paraId="572A2FEB">
      <w:pPr>
        <w:pStyle w:val="54"/>
        <w:jc w:val="center"/>
        <w:rPr>
          <w:rFonts w:hint="eastAsia"/>
          <w:b/>
          <w:bCs/>
          <w:color w:val="auto"/>
          <w:sz w:val="32"/>
          <w:szCs w:val="32"/>
          <w:highlight w:val="none"/>
          <w:lang w:val="en-US" w:eastAsia="zh-CN"/>
        </w:rPr>
      </w:pPr>
    </w:p>
    <w:p w14:paraId="2D02077D">
      <w:pPr>
        <w:pStyle w:val="54"/>
        <w:jc w:val="center"/>
        <w:rPr>
          <w:rFonts w:hint="eastAsia"/>
          <w:b/>
          <w:bCs/>
          <w:color w:val="auto"/>
          <w:sz w:val="32"/>
          <w:szCs w:val="32"/>
          <w:highlight w:val="none"/>
          <w:lang w:val="en-US" w:eastAsia="zh-CN"/>
        </w:rPr>
      </w:pPr>
    </w:p>
    <w:p w14:paraId="5550A7B8">
      <w:pPr>
        <w:pStyle w:val="54"/>
        <w:jc w:val="center"/>
        <w:rPr>
          <w:rFonts w:hint="eastAsia"/>
          <w:b/>
          <w:bCs/>
          <w:color w:val="auto"/>
          <w:sz w:val="32"/>
          <w:szCs w:val="32"/>
          <w:highlight w:val="none"/>
          <w:lang w:val="en-US" w:eastAsia="zh-CN"/>
        </w:rPr>
      </w:pPr>
    </w:p>
    <w:p w14:paraId="27A0128B">
      <w:pPr>
        <w:pStyle w:val="54"/>
        <w:jc w:val="center"/>
        <w:rPr>
          <w:b/>
          <w:bCs/>
          <w:color w:val="auto"/>
          <w:sz w:val="32"/>
          <w:szCs w:val="32"/>
          <w:highlight w:val="none"/>
        </w:rPr>
      </w:pPr>
      <w:r>
        <w:rPr>
          <w:rFonts w:hint="eastAsia"/>
          <w:b/>
          <w:bCs/>
          <w:color w:val="auto"/>
          <w:sz w:val="32"/>
          <w:szCs w:val="32"/>
          <w:highlight w:val="none"/>
          <w:lang w:val="en-US" w:eastAsia="zh-CN"/>
        </w:rPr>
        <w:t>六</w:t>
      </w:r>
      <w:r>
        <w:rPr>
          <w:rFonts w:hint="eastAsia"/>
          <w:b/>
          <w:bCs/>
          <w:color w:val="auto"/>
          <w:sz w:val="32"/>
          <w:szCs w:val="32"/>
          <w:highlight w:val="none"/>
        </w:rPr>
        <w:t>、谈判报价一览表</w:t>
      </w:r>
    </w:p>
    <w:p w14:paraId="2994CFB6">
      <w:pPr>
        <w:pStyle w:val="16"/>
        <w:spacing w:line="300" w:lineRule="exact"/>
        <w:ind w:left="420"/>
        <w:jc w:val="left"/>
        <w:rPr>
          <w:rFonts w:hint="eastAsia" w:hAnsi="宋体" w:cs="宋体"/>
          <w:b/>
          <w:color w:val="auto"/>
          <w:sz w:val="24"/>
          <w:szCs w:val="24"/>
          <w:highlight w:val="none"/>
        </w:rPr>
      </w:pPr>
    </w:p>
    <w:tbl>
      <w:tblPr>
        <w:tblStyle w:val="36"/>
        <w:tblW w:w="9118" w:type="dxa"/>
        <w:jc w:val="center"/>
        <w:tblLayout w:type="fixed"/>
        <w:tblCellMar>
          <w:top w:w="0" w:type="dxa"/>
          <w:left w:w="108" w:type="dxa"/>
          <w:bottom w:w="0" w:type="dxa"/>
          <w:right w:w="108" w:type="dxa"/>
        </w:tblCellMar>
      </w:tblPr>
      <w:tblGrid>
        <w:gridCol w:w="658"/>
        <w:gridCol w:w="2105"/>
        <w:gridCol w:w="4559"/>
        <w:gridCol w:w="1796"/>
      </w:tblGrid>
      <w:tr w14:paraId="4A881CB8">
        <w:tblPrEx>
          <w:tblCellMar>
            <w:top w:w="0" w:type="dxa"/>
            <w:left w:w="108" w:type="dxa"/>
            <w:bottom w:w="0" w:type="dxa"/>
            <w:right w:w="108" w:type="dxa"/>
          </w:tblCellMar>
        </w:tblPrEx>
        <w:trPr>
          <w:trHeight w:val="1528"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5914B90B">
            <w:pPr>
              <w:spacing w:line="300" w:lineRule="exact"/>
              <w:jc w:val="center"/>
              <w:rPr>
                <w:rFonts w:hint="eastAsia" w:hAnsi="宋体"/>
                <w:b/>
                <w:bCs/>
                <w:color w:val="auto"/>
                <w:highlight w:val="none"/>
              </w:rPr>
            </w:pPr>
            <w:r>
              <w:rPr>
                <w:rFonts w:hint="eastAsia" w:hAnsi="宋体"/>
                <w:b/>
                <w:bCs/>
                <w:color w:val="auto"/>
                <w:highlight w:val="none"/>
              </w:rPr>
              <w:t>项号</w:t>
            </w:r>
          </w:p>
        </w:tc>
        <w:tc>
          <w:tcPr>
            <w:tcW w:w="2105" w:type="dxa"/>
            <w:tcBorders>
              <w:top w:val="single" w:color="auto" w:sz="4" w:space="0"/>
              <w:left w:val="single" w:color="auto" w:sz="4" w:space="0"/>
              <w:bottom w:val="single" w:color="auto" w:sz="4" w:space="0"/>
              <w:right w:val="single" w:color="auto" w:sz="4" w:space="0"/>
            </w:tcBorders>
            <w:vAlign w:val="center"/>
          </w:tcPr>
          <w:p w14:paraId="49052538">
            <w:pPr>
              <w:spacing w:line="300" w:lineRule="exact"/>
              <w:jc w:val="center"/>
              <w:rPr>
                <w:rFonts w:hint="eastAsia" w:hAnsi="宋体"/>
                <w:b/>
                <w:bCs/>
                <w:color w:val="auto"/>
                <w:highlight w:val="none"/>
              </w:rPr>
            </w:pPr>
            <w:r>
              <w:rPr>
                <w:rFonts w:hint="eastAsia" w:hAnsi="宋体"/>
                <w:b/>
                <w:bCs/>
                <w:color w:val="auto"/>
                <w:highlight w:val="none"/>
              </w:rPr>
              <w:t>供应商名称</w:t>
            </w:r>
          </w:p>
        </w:tc>
        <w:tc>
          <w:tcPr>
            <w:tcW w:w="4559" w:type="dxa"/>
            <w:tcBorders>
              <w:top w:val="single" w:color="auto" w:sz="4" w:space="0"/>
              <w:left w:val="single" w:color="auto" w:sz="4" w:space="0"/>
              <w:bottom w:val="single" w:color="auto" w:sz="4" w:space="0"/>
              <w:right w:val="single" w:color="auto" w:sz="4" w:space="0"/>
            </w:tcBorders>
            <w:vAlign w:val="center"/>
          </w:tcPr>
          <w:p w14:paraId="2A1387A3">
            <w:pPr>
              <w:spacing w:line="300" w:lineRule="exact"/>
              <w:jc w:val="center"/>
              <w:rPr>
                <w:rFonts w:hint="eastAsia" w:ascii="宋体" w:hAnsi="宋体"/>
                <w:color w:val="auto"/>
                <w:highlight w:val="none"/>
              </w:rPr>
            </w:pPr>
            <w:r>
              <w:rPr>
                <w:rFonts w:hint="eastAsia" w:hAnsi="宋体"/>
                <w:b/>
                <w:bCs/>
                <w:color w:val="auto"/>
                <w:highlight w:val="none"/>
              </w:rPr>
              <w:t>谈判总报价</w:t>
            </w:r>
          </w:p>
        </w:tc>
        <w:tc>
          <w:tcPr>
            <w:tcW w:w="1796" w:type="dxa"/>
            <w:tcBorders>
              <w:top w:val="single" w:color="auto" w:sz="4" w:space="0"/>
              <w:left w:val="single" w:color="auto" w:sz="4" w:space="0"/>
              <w:bottom w:val="single" w:color="auto" w:sz="4" w:space="0"/>
              <w:right w:val="single" w:color="auto" w:sz="4" w:space="0"/>
            </w:tcBorders>
            <w:vAlign w:val="center"/>
          </w:tcPr>
          <w:p w14:paraId="34A29D0E">
            <w:pPr>
              <w:spacing w:line="300" w:lineRule="exact"/>
              <w:jc w:val="center"/>
              <w:rPr>
                <w:rFonts w:hint="eastAsia" w:hAnsi="宋体"/>
                <w:b/>
                <w:bCs/>
                <w:color w:val="auto"/>
                <w:highlight w:val="none"/>
              </w:rPr>
            </w:pPr>
            <w:r>
              <w:rPr>
                <w:rFonts w:hint="eastAsia" w:hAnsi="宋体"/>
                <w:b/>
                <w:bCs/>
                <w:color w:val="auto"/>
                <w:highlight w:val="none"/>
              </w:rPr>
              <w:t>谈判保证金</w:t>
            </w:r>
          </w:p>
          <w:p w14:paraId="0576F715">
            <w:pPr>
              <w:spacing w:line="300" w:lineRule="exact"/>
              <w:jc w:val="center"/>
              <w:rPr>
                <w:rFonts w:hAnsi="宋体"/>
                <w:b/>
                <w:bCs/>
                <w:color w:val="auto"/>
                <w:highlight w:val="none"/>
              </w:rPr>
            </w:pPr>
            <w:r>
              <w:rPr>
                <w:rFonts w:hint="eastAsia" w:hAnsi="宋体"/>
                <w:b/>
                <w:bCs/>
                <w:color w:val="auto"/>
                <w:highlight w:val="none"/>
              </w:rPr>
              <w:t>（有/无）</w:t>
            </w:r>
          </w:p>
        </w:tc>
      </w:tr>
      <w:tr w14:paraId="02CAEBBB">
        <w:tblPrEx>
          <w:tblCellMar>
            <w:top w:w="0" w:type="dxa"/>
            <w:left w:w="108" w:type="dxa"/>
            <w:bottom w:w="0" w:type="dxa"/>
            <w:right w:w="108" w:type="dxa"/>
          </w:tblCellMar>
        </w:tblPrEx>
        <w:trPr>
          <w:trHeight w:val="2074"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38270716">
            <w:pPr>
              <w:jc w:val="center"/>
              <w:rPr>
                <w:rFonts w:hint="eastAsia" w:ascii="宋体" w:hAnsi="宋体"/>
                <w:color w:val="auto"/>
                <w:highlight w:val="none"/>
              </w:rPr>
            </w:pPr>
            <w:r>
              <w:rPr>
                <w:rFonts w:ascii="宋体" w:hAnsi="宋体"/>
                <w:color w:val="auto"/>
                <w:highlight w:val="none"/>
              </w:rPr>
              <w:t>1</w:t>
            </w:r>
          </w:p>
        </w:tc>
        <w:tc>
          <w:tcPr>
            <w:tcW w:w="2105" w:type="dxa"/>
            <w:tcBorders>
              <w:top w:val="single" w:color="auto" w:sz="4" w:space="0"/>
              <w:left w:val="single" w:color="auto" w:sz="4" w:space="0"/>
              <w:bottom w:val="single" w:color="auto" w:sz="4" w:space="0"/>
              <w:right w:val="single" w:color="auto" w:sz="4" w:space="0"/>
            </w:tcBorders>
            <w:vAlign w:val="center"/>
          </w:tcPr>
          <w:p w14:paraId="0A9B4A54">
            <w:pPr>
              <w:jc w:val="center"/>
              <w:rPr>
                <w:rFonts w:hint="eastAsia" w:ascii="宋体" w:hAnsi="宋体"/>
                <w:color w:val="auto"/>
                <w:highlight w:val="none"/>
              </w:rPr>
            </w:pPr>
          </w:p>
        </w:tc>
        <w:tc>
          <w:tcPr>
            <w:tcW w:w="4559" w:type="dxa"/>
            <w:tcBorders>
              <w:top w:val="single" w:color="auto" w:sz="4" w:space="0"/>
              <w:left w:val="single" w:color="auto" w:sz="4" w:space="0"/>
              <w:bottom w:val="single" w:color="auto" w:sz="4" w:space="0"/>
              <w:right w:val="single" w:color="auto" w:sz="4" w:space="0"/>
            </w:tcBorders>
            <w:vAlign w:val="center"/>
          </w:tcPr>
          <w:p w14:paraId="3740B310">
            <w:pPr>
              <w:jc w:val="center"/>
              <w:rPr>
                <w:rFonts w:hint="default" w:ascii="宋体" w:hAnsi="宋体" w:eastAsia="宋体"/>
                <w:color w:val="auto"/>
                <w:spacing w:val="-6"/>
                <w:highlight w:val="none"/>
                <w:lang w:val="en-US" w:eastAsia="zh-CN"/>
              </w:rPr>
            </w:pPr>
            <w:r>
              <w:rPr>
                <w:rFonts w:hint="eastAsia" w:ascii="宋体" w:hAnsi="宋体"/>
                <w:color w:val="auto"/>
                <w:spacing w:val="-6"/>
                <w:highlight w:val="none"/>
              </w:rPr>
              <w:t>一次</w:t>
            </w:r>
            <w:r>
              <w:rPr>
                <w:rFonts w:hint="eastAsia" w:ascii="宋体" w:hAnsi="宋体"/>
                <w:color w:val="auto"/>
                <w:spacing w:val="-6"/>
                <w:highlight w:val="none"/>
                <w:lang w:val="en-US" w:eastAsia="zh-CN"/>
              </w:rPr>
              <w:t>响应</w:t>
            </w:r>
            <w:r>
              <w:rPr>
                <w:rFonts w:hint="eastAsia" w:ascii="宋体" w:hAnsi="宋体"/>
                <w:color w:val="auto"/>
                <w:spacing w:val="-6"/>
                <w:highlight w:val="none"/>
              </w:rPr>
              <w:t>总</w:t>
            </w:r>
            <w:r>
              <w:rPr>
                <w:rFonts w:ascii="宋体" w:hAnsi="宋体"/>
                <w:color w:val="auto"/>
                <w:spacing w:val="-6"/>
                <w:highlight w:val="none"/>
              </w:rPr>
              <w:t>报价</w:t>
            </w:r>
            <w:r>
              <w:rPr>
                <w:rFonts w:hint="eastAsia" w:ascii="宋体" w:hAnsi="宋体"/>
                <w:color w:val="auto"/>
                <w:spacing w:val="-6"/>
                <w:highlight w:val="none"/>
              </w:rPr>
              <w:t>（大写）人民币：      元</w:t>
            </w:r>
          </w:p>
          <w:p w14:paraId="3C4B127C">
            <w:pPr>
              <w:jc w:val="center"/>
              <w:rPr>
                <w:rFonts w:hint="eastAsia" w:ascii="宋体" w:hAnsi="宋体"/>
                <w:color w:val="auto"/>
                <w:spacing w:val="-6"/>
                <w:highlight w:val="none"/>
              </w:rPr>
            </w:pPr>
          </w:p>
          <w:p w14:paraId="4983E509">
            <w:pPr>
              <w:jc w:val="center"/>
              <w:rPr>
                <w:rFonts w:hint="eastAsia" w:ascii="宋体" w:hAnsi="宋体"/>
                <w:color w:val="auto"/>
                <w:highlight w:val="none"/>
              </w:rPr>
            </w:pPr>
            <w:r>
              <w:rPr>
                <w:rFonts w:hint="eastAsia" w:ascii="宋体" w:hAnsi="宋体"/>
                <w:color w:val="auto"/>
                <w:spacing w:val="-6"/>
                <w:highlight w:val="none"/>
                <w:lang w:val="en-US" w:eastAsia="zh-CN"/>
              </w:rPr>
              <w:t xml:space="preserve">        </w:t>
            </w:r>
            <w:r>
              <w:rPr>
                <w:rFonts w:hint="eastAsia" w:ascii="宋体" w:hAnsi="宋体"/>
                <w:color w:val="auto"/>
                <w:spacing w:val="-6"/>
                <w:highlight w:val="none"/>
              </w:rPr>
              <w:t>（小写）￥：                 元</w:t>
            </w:r>
          </w:p>
        </w:tc>
        <w:tc>
          <w:tcPr>
            <w:tcW w:w="1796" w:type="dxa"/>
            <w:tcBorders>
              <w:top w:val="single" w:color="auto" w:sz="4" w:space="0"/>
              <w:left w:val="single" w:color="auto" w:sz="4" w:space="0"/>
              <w:bottom w:val="single" w:color="auto" w:sz="4" w:space="0"/>
              <w:right w:val="single" w:color="auto" w:sz="4" w:space="0"/>
            </w:tcBorders>
            <w:vAlign w:val="center"/>
          </w:tcPr>
          <w:p w14:paraId="1C0129B1">
            <w:pPr>
              <w:jc w:val="center"/>
              <w:rPr>
                <w:rFonts w:hint="eastAsia" w:ascii="宋体" w:hAnsi="宋体" w:eastAsia="宋体"/>
                <w:color w:val="auto"/>
                <w:highlight w:val="none"/>
                <w:lang w:val="en-US" w:eastAsia="zh-CN"/>
              </w:rPr>
            </w:pPr>
          </w:p>
        </w:tc>
      </w:tr>
      <w:tr w14:paraId="34661788">
        <w:tblPrEx>
          <w:tblCellMar>
            <w:top w:w="0" w:type="dxa"/>
            <w:left w:w="108" w:type="dxa"/>
            <w:bottom w:w="0" w:type="dxa"/>
            <w:right w:w="108" w:type="dxa"/>
          </w:tblCellMar>
        </w:tblPrEx>
        <w:trPr>
          <w:trHeight w:val="2282" w:hRule="atLeast"/>
          <w:jc w:val="center"/>
        </w:trPr>
        <w:tc>
          <w:tcPr>
            <w:tcW w:w="9118" w:type="dxa"/>
            <w:gridSpan w:val="4"/>
            <w:tcBorders>
              <w:top w:val="single" w:color="auto" w:sz="4" w:space="0"/>
              <w:left w:val="single" w:color="auto" w:sz="4" w:space="0"/>
              <w:bottom w:val="single" w:color="auto" w:sz="4" w:space="0"/>
              <w:right w:val="single" w:color="auto" w:sz="4" w:space="0"/>
            </w:tcBorders>
            <w:vAlign w:val="center"/>
          </w:tcPr>
          <w:p w14:paraId="5C177E93">
            <w:pPr>
              <w:rPr>
                <w:rFonts w:ascii="宋体" w:hAnsi="宋体"/>
                <w:color w:val="auto"/>
                <w:highlight w:val="none"/>
              </w:rPr>
            </w:pPr>
            <w:r>
              <w:rPr>
                <w:rFonts w:hint="eastAsia"/>
                <w:color w:val="auto"/>
                <w:highlight w:val="none"/>
              </w:rPr>
              <w:t>说明：谈判报价指本次采购范围相关费用</w:t>
            </w:r>
            <w:r>
              <w:rPr>
                <w:rFonts w:hint="eastAsia"/>
                <w:color w:val="auto"/>
                <w:highlight w:val="none"/>
                <w:lang w:eastAsia="zh-CN"/>
              </w:rPr>
              <w:t>的</w:t>
            </w:r>
            <w:r>
              <w:rPr>
                <w:rFonts w:hint="eastAsia"/>
                <w:color w:val="auto"/>
                <w:highlight w:val="none"/>
              </w:rPr>
              <w:t>全部费用，</w:t>
            </w:r>
            <w:r>
              <w:rPr>
                <w:rFonts w:hint="eastAsia"/>
                <w:color w:val="auto"/>
                <w:highlight w:val="none"/>
                <w:lang w:val="en-US" w:eastAsia="zh-CN"/>
              </w:rPr>
              <w:t>采购人不再另行支付任何费用，</w:t>
            </w:r>
            <w:r>
              <w:rPr>
                <w:rFonts w:hint="eastAsia"/>
                <w:color w:val="auto"/>
                <w:highlight w:val="none"/>
              </w:rPr>
              <w:t>供应商应综合考虑在报价中。</w:t>
            </w:r>
          </w:p>
        </w:tc>
      </w:tr>
    </w:tbl>
    <w:p w14:paraId="5303AD40">
      <w:pPr>
        <w:spacing w:line="340" w:lineRule="exact"/>
        <w:rPr>
          <w:rFonts w:hint="eastAsia" w:ascii="宋体" w:hAnsi="宋体" w:cs="宋体"/>
          <w:color w:val="auto"/>
          <w:szCs w:val="21"/>
          <w:highlight w:val="none"/>
        </w:rPr>
      </w:pPr>
    </w:p>
    <w:p w14:paraId="621515AC">
      <w:pPr>
        <w:pStyle w:val="16"/>
        <w:snapToGrid w:val="0"/>
        <w:spacing w:line="360" w:lineRule="exact"/>
        <w:ind w:firstLine="4418" w:firstLineChars="2104"/>
        <w:rPr>
          <w:rFonts w:hAnsi="宋体"/>
          <w:color w:val="auto"/>
          <w:highlight w:val="none"/>
        </w:rPr>
      </w:pPr>
    </w:p>
    <w:p w14:paraId="1F1BF091">
      <w:pPr>
        <w:pStyle w:val="16"/>
        <w:snapToGrid w:val="0"/>
        <w:spacing w:line="360" w:lineRule="exact"/>
        <w:ind w:firstLine="4418" w:firstLineChars="2104"/>
        <w:rPr>
          <w:rFonts w:hAnsi="宋体"/>
          <w:color w:val="auto"/>
          <w:highlight w:val="none"/>
        </w:rPr>
      </w:pPr>
    </w:p>
    <w:p w14:paraId="262F590D">
      <w:pPr>
        <w:pStyle w:val="16"/>
        <w:snapToGrid w:val="0"/>
        <w:spacing w:line="360" w:lineRule="exact"/>
        <w:ind w:firstLine="4418" w:firstLineChars="2104"/>
        <w:rPr>
          <w:rFonts w:hAnsi="宋体"/>
          <w:color w:val="auto"/>
          <w:highlight w:val="none"/>
        </w:rPr>
      </w:pPr>
      <w:r>
        <w:rPr>
          <w:rFonts w:hint="eastAsia" w:ascii="宋体" w:hAnsi="宋体"/>
          <w:color w:val="auto"/>
          <w:szCs w:val="21"/>
          <w:highlight w:val="none"/>
          <w:lang w:val="en-US" w:eastAsia="zh-CN"/>
        </w:rPr>
        <w:t>供应商</w:t>
      </w:r>
      <w:r>
        <w:rPr>
          <w:rFonts w:hAnsi="宋体"/>
          <w:color w:val="auto"/>
          <w:highlight w:val="none"/>
        </w:rPr>
        <w:t>：</w:t>
      </w:r>
      <w:r>
        <w:rPr>
          <w:rFonts w:hint="eastAsia" w:hAnsi="宋体"/>
          <w:color w:val="auto"/>
          <w:highlight w:val="none"/>
          <w:u w:val="single"/>
        </w:rPr>
        <w:t xml:space="preserve">                       </w:t>
      </w:r>
      <w:r>
        <w:rPr>
          <w:rFonts w:hAnsi="宋体"/>
          <w:color w:val="auto"/>
          <w:highlight w:val="none"/>
        </w:rPr>
        <w:t>（</w:t>
      </w:r>
      <w:r>
        <w:rPr>
          <w:rFonts w:hint="eastAsia" w:hAnsi="宋体"/>
          <w:color w:val="auto"/>
          <w:highlight w:val="none"/>
        </w:rPr>
        <w:t>盖单位章</w:t>
      </w:r>
      <w:r>
        <w:rPr>
          <w:rFonts w:hAnsi="宋体"/>
          <w:color w:val="auto"/>
          <w:highlight w:val="none"/>
        </w:rPr>
        <w:t>）</w:t>
      </w:r>
    </w:p>
    <w:p w14:paraId="5861D127">
      <w:pPr>
        <w:pStyle w:val="16"/>
        <w:snapToGrid w:val="0"/>
        <w:spacing w:line="360" w:lineRule="exact"/>
        <w:ind w:firstLine="3578" w:firstLineChars="1704"/>
        <w:rPr>
          <w:rFonts w:hint="eastAsia" w:hAnsi="宋体"/>
          <w:color w:val="auto"/>
          <w:highlight w:val="none"/>
        </w:rPr>
      </w:pPr>
    </w:p>
    <w:p w14:paraId="5555E6DD">
      <w:pPr>
        <w:pStyle w:val="16"/>
        <w:wordWrap w:val="0"/>
        <w:snapToGrid w:val="0"/>
        <w:spacing w:line="360" w:lineRule="exact"/>
        <w:ind w:firstLine="4418" w:firstLineChars="2104"/>
        <w:rPr>
          <w:rFonts w:hint="eastAsia" w:hAnsi="宋体"/>
          <w:color w:val="auto"/>
          <w:highlight w:val="none"/>
        </w:rPr>
      </w:pPr>
      <w:r>
        <w:rPr>
          <w:rFonts w:hAnsi="宋体"/>
          <w:color w:val="auto"/>
          <w:highlight w:val="none"/>
        </w:rPr>
        <w:t>法定代表人：</w:t>
      </w:r>
      <w:r>
        <w:rPr>
          <w:rFonts w:hint="eastAsia" w:hAnsi="宋体"/>
          <w:color w:val="auto"/>
          <w:highlight w:val="none"/>
          <w:u w:val="single"/>
        </w:rPr>
        <w:t xml:space="preserve">    </w:t>
      </w:r>
      <w:r>
        <w:rPr>
          <w:rFonts w:hint="eastAsia" w:hAnsi="宋体"/>
          <w:color w:val="auto"/>
          <w:highlight w:val="none"/>
          <w:u w:val="single"/>
          <w:lang w:val="en-US" w:eastAsia="zh-CN"/>
        </w:rPr>
        <w:t xml:space="preserve">           </w:t>
      </w:r>
      <w:r>
        <w:rPr>
          <w:rFonts w:hint="eastAsia" w:hAnsi="宋体"/>
          <w:color w:val="auto"/>
          <w:highlight w:val="none"/>
          <w:u w:val="single"/>
        </w:rPr>
        <w:t xml:space="preserve">    </w:t>
      </w:r>
      <w:r>
        <w:rPr>
          <w:rFonts w:hint="eastAsia" w:hAnsi="宋体"/>
          <w:color w:val="auto"/>
          <w:highlight w:val="none"/>
        </w:rPr>
        <w:t>（</w:t>
      </w:r>
      <w:r>
        <w:rPr>
          <w:rFonts w:hAnsi="宋体"/>
          <w:color w:val="auto"/>
          <w:highlight w:val="none"/>
        </w:rPr>
        <w:t>签字</w:t>
      </w:r>
      <w:r>
        <w:rPr>
          <w:rFonts w:hint="eastAsia" w:hAnsi="宋体"/>
          <w:color w:val="auto"/>
          <w:highlight w:val="none"/>
        </w:rPr>
        <w:t>）</w:t>
      </w:r>
    </w:p>
    <w:p w14:paraId="2BF6231B">
      <w:pPr>
        <w:pStyle w:val="16"/>
        <w:wordWrap w:val="0"/>
        <w:snapToGrid w:val="0"/>
        <w:spacing w:line="360" w:lineRule="exact"/>
        <w:ind w:firstLine="3578" w:firstLineChars="1704"/>
        <w:rPr>
          <w:rFonts w:hint="eastAsia" w:hAnsi="宋体"/>
          <w:color w:val="auto"/>
          <w:highlight w:val="none"/>
        </w:rPr>
      </w:pPr>
    </w:p>
    <w:p w14:paraId="3124812B">
      <w:pPr>
        <w:tabs>
          <w:tab w:val="left" w:pos="1305"/>
        </w:tabs>
        <w:spacing w:line="360" w:lineRule="auto"/>
        <w:ind w:firstLine="5029" w:firstLineChars="2395"/>
        <w:rPr>
          <w:rFonts w:hAnsi="宋体"/>
          <w:color w:val="auto"/>
          <w:highlight w:val="none"/>
        </w:rPr>
      </w:pP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 xml:space="preserve"> 年</w:t>
      </w: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月</w:t>
      </w:r>
      <w:r>
        <w:rPr>
          <w:rFonts w:hAnsi="宋体"/>
          <w:color w:val="auto"/>
          <w:highlight w:val="none"/>
          <w:u w:val="single"/>
        </w:rPr>
        <w:t xml:space="preserve">   </w:t>
      </w:r>
      <w:r>
        <w:rPr>
          <w:rFonts w:hint="eastAsia" w:hAnsi="宋体"/>
          <w:color w:val="auto"/>
          <w:highlight w:val="none"/>
          <w:u w:val="single"/>
        </w:rPr>
        <w:t xml:space="preserve">   </w:t>
      </w:r>
      <w:r>
        <w:rPr>
          <w:rFonts w:hAnsi="宋体"/>
          <w:color w:val="auto"/>
          <w:highlight w:val="none"/>
          <w:u w:val="single"/>
        </w:rPr>
        <w:t xml:space="preserve"> </w:t>
      </w:r>
      <w:r>
        <w:rPr>
          <w:rFonts w:hAnsi="宋体"/>
          <w:color w:val="auto"/>
          <w:highlight w:val="none"/>
        </w:rPr>
        <w:t>日</w:t>
      </w:r>
    </w:p>
    <w:p w14:paraId="219E787F">
      <w:pPr>
        <w:tabs>
          <w:tab w:val="left" w:pos="1305"/>
        </w:tabs>
        <w:spacing w:line="360" w:lineRule="auto"/>
        <w:ind w:firstLine="205" w:firstLineChars="98"/>
        <w:rPr>
          <w:rFonts w:hint="eastAsia" w:ascii="宋体" w:hAnsi="宋体" w:cs="宋体"/>
          <w:bCs/>
          <w:color w:val="auto"/>
          <w:szCs w:val="21"/>
          <w:highlight w:val="none"/>
        </w:rPr>
      </w:pPr>
    </w:p>
    <w:p w14:paraId="33F5D565">
      <w:pPr>
        <w:spacing w:line="360" w:lineRule="auto"/>
        <w:ind w:firstLine="630" w:firstLineChars="300"/>
        <w:rPr>
          <w:rFonts w:hint="eastAsia" w:ascii="宋体" w:hAnsi="宋体" w:cs="宋体"/>
          <w:bCs/>
          <w:color w:val="auto"/>
          <w:szCs w:val="21"/>
          <w:highlight w:val="none"/>
          <w:lang w:val="en-US" w:eastAsia="zh-CN"/>
        </w:rPr>
      </w:pPr>
    </w:p>
    <w:p w14:paraId="615B8A95">
      <w:pPr>
        <w:spacing w:line="360" w:lineRule="auto"/>
        <w:ind w:firstLine="632" w:firstLineChars="300"/>
        <w:rPr>
          <w:rFonts w:hint="eastAsia" w:ascii="宋体" w:hAnsi="宋体" w:cs="宋体"/>
          <w:b/>
          <w:color w:val="auto"/>
          <w:highlight w:val="none"/>
        </w:rPr>
      </w:pPr>
      <w:r>
        <w:rPr>
          <w:rFonts w:hint="eastAsia" w:ascii="宋体" w:hAnsi="宋体" w:cs="宋体"/>
          <w:b/>
          <w:color w:val="auto"/>
          <w:highlight w:val="none"/>
        </w:rPr>
        <w:br w:type="page"/>
      </w:r>
    </w:p>
    <w:p w14:paraId="29D8D59E">
      <w:pPr>
        <w:shd w:val="clear" w:color="auto" w:fill="auto"/>
        <w:spacing w:line="400" w:lineRule="exact"/>
        <w:jc w:val="center"/>
        <w:rPr>
          <w:rFonts w:hint="eastAsia" w:hAnsi="宋体"/>
          <w:b/>
          <w:bCs/>
          <w:color w:val="auto"/>
          <w:sz w:val="32"/>
          <w:szCs w:val="32"/>
          <w:highlight w:val="none"/>
          <w:lang w:val="en-US" w:eastAsia="zh-CN"/>
        </w:rPr>
      </w:pPr>
      <w:r>
        <w:rPr>
          <w:rFonts w:hint="eastAsia" w:hAnsi="宋体"/>
          <w:b/>
          <w:bCs/>
          <w:color w:val="auto"/>
          <w:sz w:val="32"/>
          <w:szCs w:val="32"/>
          <w:highlight w:val="none"/>
          <w:lang w:val="en-US" w:eastAsia="zh-CN"/>
        </w:rPr>
        <w:t>七、售后服务承诺</w:t>
      </w:r>
    </w:p>
    <w:p w14:paraId="3EC93CC8">
      <w:pPr>
        <w:pStyle w:val="12"/>
        <w:rPr>
          <w:rFonts w:hint="eastAsia"/>
          <w:color w:val="auto"/>
          <w:highlight w:val="none"/>
          <w:lang w:val="en-US" w:eastAsia="zh-CN"/>
        </w:rPr>
      </w:pPr>
    </w:p>
    <w:p w14:paraId="15469E2C">
      <w:pPr>
        <w:pStyle w:val="12"/>
        <w:rPr>
          <w:rFonts w:hint="eastAsia"/>
          <w:color w:val="auto"/>
          <w:highlight w:val="none"/>
          <w:lang w:val="en-US" w:eastAsia="zh-CN"/>
        </w:rPr>
      </w:pPr>
    </w:p>
    <w:p w14:paraId="66A99D22">
      <w:pPr>
        <w:jc w:val="center"/>
        <w:rPr>
          <w:rFonts w:hint="eastAsia" w:hAnsi="宋体"/>
          <w:b/>
          <w:bCs/>
          <w:color w:val="auto"/>
          <w:sz w:val="32"/>
          <w:szCs w:val="32"/>
          <w:highlight w:val="none"/>
          <w:lang w:val="en-US" w:eastAsia="zh-CN"/>
        </w:rPr>
      </w:pPr>
      <w:r>
        <w:rPr>
          <w:rFonts w:hint="eastAsia" w:hAnsi="宋体"/>
          <w:b/>
          <w:bCs/>
          <w:color w:val="auto"/>
          <w:sz w:val="32"/>
          <w:szCs w:val="32"/>
          <w:highlight w:val="none"/>
          <w:lang w:val="en-US" w:eastAsia="zh-CN"/>
        </w:rPr>
        <w:t xml:space="preserve">   </w:t>
      </w:r>
      <w:r>
        <w:rPr>
          <w:rFonts w:hint="eastAsia" w:hAnsi="宋体"/>
          <w:b/>
          <w:bCs/>
          <w:color w:val="auto"/>
          <w:sz w:val="28"/>
          <w:szCs w:val="28"/>
          <w:highlight w:val="none"/>
          <w:lang w:val="en-US" w:eastAsia="zh-CN"/>
        </w:rPr>
        <w:t>格式自拟</w:t>
      </w:r>
    </w:p>
    <w:p w14:paraId="48AA07A3">
      <w:pPr>
        <w:rPr>
          <w:rFonts w:hint="eastAsia" w:hAnsi="宋体"/>
          <w:b/>
          <w:bCs/>
          <w:color w:val="auto"/>
          <w:sz w:val="32"/>
          <w:szCs w:val="32"/>
          <w:highlight w:val="none"/>
          <w:lang w:val="en-US" w:eastAsia="zh-CN"/>
        </w:rPr>
      </w:pPr>
      <w:r>
        <w:rPr>
          <w:rFonts w:hint="eastAsia" w:hAnsi="宋体"/>
          <w:b/>
          <w:bCs/>
          <w:color w:val="auto"/>
          <w:sz w:val="32"/>
          <w:szCs w:val="32"/>
          <w:highlight w:val="none"/>
          <w:lang w:val="en-US" w:eastAsia="zh-CN"/>
        </w:rPr>
        <w:br w:type="page"/>
      </w:r>
    </w:p>
    <w:p w14:paraId="4DA90CD5">
      <w:pPr>
        <w:pStyle w:val="16"/>
        <w:keepNext w:val="0"/>
        <w:keepLines w:val="0"/>
        <w:pageBreakBefore w:val="0"/>
        <w:widowControl w:val="0"/>
        <w:kinsoku/>
        <w:wordWrap/>
        <w:overflowPunct/>
        <w:topLinePunct w:val="0"/>
        <w:autoSpaceDE/>
        <w:autoSpaceDN/>
        <w:bidi w:val="0"/>
        <w:adjustRightInd/>
        <w:snapToGrid/>
        <w:spacing w:line="360" w:lineRule="auto"/>
        <w:ind w:firstLine="3052" w:firstLineChars="950"/>
        <w:textAlignment w:val="auto"/>
        <w:rPr>
          <w:rFonts w:hint="default" w:hAnsi="宋体" w:eastAsia="宋体"/>
          <w:b/>
          <w:bCs/>
          <w:color w:val="auto"/>
          <w:sz w:val="32"/>
          <w:szCs w:val="32"/>
          <w:highlight w:val="none"/>
          <w:lang w:val="en-US" w:eastAsia="zh-CN"/>
        </w:rPr>
      </w:pPr>
      <w:r>
        <w:rPr>
          <w:rFonts w:hint="eastAsia" w:hAnsi="宋体"/>
          <w:b/>
          <w:bCs/>
          <w:color w:val="auto"/>
          <w:sz w:val="32"/>
          <w:szCs w:val="32"/>
          <w:highlight w:val="none"/>
          <w:lang w:val="en-US" w:eastAsia="zh-CN"/>
        </w:rPr>
        <w:t>八、项目实施人员一览表</w:t>
      </w:r>
    </w:p>
    <w:tbl>
      <w:tblPr>
        <w:tblStyle w:val="36"/>
        <w:tblW w:w="9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631"/>
        <w:gridCol w:w="1955"/>
        <w:gridCol w:w="1149"/>
        <w:gridCol w:w="1653"/>
        <w:gridCol w:w="2606"/>
      </w:tblGrid>
      <w:tr w14:paraId="6254D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35108215">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bookmarkStart w:id="51" w:name="_Toc20117"/>
            <w:bookmarkStart w:id="52" w:name="_Toc8931"/>
            <w:r>
              <w:rPr>
                <w:rFonts w:hint="eastAsia" w:ascii="宋体" w:hAnsi="宋体" w:cs="宋体"/>
                <w:color w:val="auto"/>
                <w:szCs w:val="21"/>
                <w:highlight w:val="none"/>
              </w:rPr>
              <w:t>序号</w:t>
            </w:r>
          </w:p>
        </w:tc>
        <w:tc>
          <w:tcPr>
            <w:tcW w:w="1631" w:type="dxa"/>
            <w:vAlign w:val="center"/>
          </w:tcPr>
          <w:p w14:paraId="1194A8D7">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r>
              <w:rPr>
                <w:rFonts w:hint="eastAsia" w:ascii="宋体" w:hAnsi="宋体" w:cs="宋体"/>
                <w:color w:val="auto"/>
                <w:szCs w:val="21"/>
                <w:highlight w:val="none"/>
              </w:rPr>
              <w:t>姓名</w:t>
            </w:r>
          </w:p>
        </w:tc>
        <w:tc>
          <w:tcPr>
            <w:tcW w:w="1955" w:type="dxa"/>
            <w:vAlign w:val="center"/>
          </w:tcPr>
          <w:p w14:paraId="72A1CB4C">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r>
              <w:rPr>
                <w:rFonts w:hint="eastAsia" w:ascii="宋体" w:hAnsi="宋体" w:cs="宋体"/>
                <w:color w:val="auto"/>
                <w:szCs w:val="21"/>
                <w:highlight w:val="none"/>
              </w:rPr>
              <w:t>在本项目中的职务</w:t>
            </w:r>
          </w:p>
        </w:tc>
        <w:tc>
          <w:tcPr>
            <w:tcW w:w="1149" w:type="dxa"/>
            <w:vAlign w:val="center"/>
          </w:tcPr>
          <w:p w14:paraId="1BDA9411">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r>
              <w:rPr>
                <w:rFonts w:hint="eastAsia" w:ascii="宋体" w:hAnsi="宋体" w:cs="宋体"/>
                <w:color w:val="auto"/>
                <w:szCs w:val="21"/>
                <w:highlight w:val="none"/>
              </w:rPr>
              <w:t>年龄</w:t>
            </w:r>
          </w:p>
        </w:tc>
        <w:tc>
          <w:tcPr>
            <w:tcW w:w="1653" w:type="dxa"/>
            <w:vAlign w:val="center"/>
          </w:tcPr>
          <w:p w14:paraId="4906DD3E">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r>
              <w:rPr>
                <w:rFonts w:hint="eastAsia" w:ascii="宋体" w:hAnsi="宋体" w:cs="宋体"/>
                <w:color w:val="auto"/>
                <w:szCs w:val="21"/>
                <w:highlight w:val="none"/>
              </w:rPr>
              <w:t>工作年限</w:t>
            </w:r>
          </w:p>
        </w:tc>
        <w:tc>
          <w:tcPr>
            <w:tcW w:w="2606" w:type="dxa"/>
            <w:vAlign w:val="center"/>
          </w:tcPr>
          <w:p w14:paraId="0F4E4096">
            <w:pPr>
              <w:keepNext w:val="0"/>
              <w:keepLines w:val="0"/>
              <w:pageBreakBefore w:val="0"/>
              <w:widowControl w:val="0"/>
              <w:kinsoku/>
              <w:wordWrap/>
              <w:overflowPunct/>
              <w:topLinePunct w:val="0"/>
              <w:autoSpaceDE/>
              <w:autoSpaceDN/>
              <w:bidi w:val="0"/>
              <w:adjustRightInd/>
              <w:snapToGrid/>
              <w:spacing w:before="0" w:beforeLines="50" w:line="360" w:lineRule="auto"/>
              <w:jc w:val="center"/>
              <w:textAlignment w:val="auto"/>
              <w:rPr>
                <w:rFonts w:ascii="宋体" w:hAnsi="宋体" w:cs="宋体"/>
                <w:color w:val="auto"/>
                <w:szCs w:val="21"/>
                <w:highlight w:val="none"/>
              </w:rPr>
            </w:pPr>
            <w:r>
              <w:rPr>
                <w:rFonts w:hint="eastAsia" w:ascii="宋体" w:hAnsi="宋体" w:cs="宋体"/>
                <w:color w:val="auto"/>
                <w:szCs w:val="21"/>
                <w:highlight w:val="none"/>
              </w:rPr>
              <w:t>身份证号</w:t>
            </w:r>
          </w:p>
        </w:tc>
      </w:tr>
      <w:tr w14:paraId="77C94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6DF800DF">
            <w:pPr>
              <w:spacing w:line="360" w:lineRule="auto"/>
              <w:jc w:val="center"/>
              <w:rPr>
                <w:rFonts w:ascii="宋体" w:hAnsi="宋体" w:cs="宋体"/>
                <w:color w:val="auto"/>
                <w:szCs w:val="21"/>
                <w:highlight w:val="none"/>
              </w:rPr>
            </w:pPr>
          </w:p>
        </w:tc>
        <w:tc>
          <w:tcPr>
            <w:tcW w:w="1631" w:type="dxa"/>
            <w:vAlign w:val="center"/>
          </w:tcPr>
          <w:p w14:paraId="07076CD7">
            <w:pPr>
              <w:spacing w:line="360" w:lineRule="auto"/>
              <w:jc w:val="center"/>
              <w:rPr>
                <w:rFonts w:ascii="宋体" w:hAnsi="宋体" w:cs="宋体"/>
                <w:color w:val="auto"/>
                <w:szCs w:val="21"/>
                <w:highlight w:val="none"/>
              </w:rPr>
            </w:pPr>
          </w:p>
        </w:tc>
        <w:tc>
          <w:tcPr>
            <w:tcW w:w="1955" w:type="dxa"/>
            <w:vAlign w:val="center"/>
          </w:tcPr>
          <w:p w14:paraId="03A88900">
            <w:pPr>
              <w:spacing w:line="360" w:lineRule="auto"/>
              <w:jc w:val="center"/>
              <w:rPr>
                <w:rFonts w:ascii="宋体" w:hAnsi="宋体" w:cs="宋体"/>
                <w:color w:val="auto"/>
                <w:szCs w:val="21"/>
                <w:highlight w:val="none"/>
              </w:rPr>
            </w:pPr>
          </w:p>
        </w:tc>
        <w:tc>
          <w:tcPr>
            <w:tcW w:w="1149" w:type="dxa"/>
            <w:vAlign w:val="center"/>
          </w:tcPr>
          <w:p w14:paraId="1F0E4A57">
            <w:pPr>
              <w:adjustRightInd w:val="0"/>
              <w:snapToGrid w:val="0"/>
              <w:jc w:val="center"/>
              <w:rPr>
                <w:color w:val="auto"/>
                <w:sz w:val="23"/>
                <w:szCs w:val="23"/>
                <w:highlight w:val="none"/>
              </w:rPr>
            </w:pPr>
          </w:p>
        </w:tc>
        <w:tc>
          <w:tcPr>
            <w:tcW w:w="1653" w:type="dxa"/>
            <w:vAlign w:val="center"/>
          </w:tcPr>
          <w:p w14:paraId="0F32432C">
            <w:pPr>
              <w:spacing w:line="360" w:lineRule="auto"/>
              <w:jc w:val="center"/>
              <w:rPr>
                <w:rFonts w:ascii="宋体" w:hAnsi="宋体" w:cs="宋体"/>
                <w:color w:val="auto"/>
                <w:szCs w:val="21"/>
                <w:highlight w:val="none"/>
              </w:rPr>
            </w:pPr>
          </w:p>
        </w:tc>
        <w:tc>
          <w:tcPr>
            <w:tcW w:w="2606" w:type="dxa"/>
            <w:vAlign w:val="center"/>
          </w:tcPr>
          <w:p w14:paraId="01700037">
            <w:pPr>
              <w:spacing w:line="360" w:lineRule="auto"/>
              <w:jc w:val="center"/>
              <w:rPr>
                <w:rFonts w:ascii="宋体" w:hAnsi="宋体" w:cs="宋体"/>
                <w:color w:val="auto"/>
                <w:szCs w:val="21"/>
                <w:highlight w:val="none"/>
              </w:rPr>
            </w:pPr>
          </w:p>
        </w:tc>
      </w:tr>
      <w:tr w14:paraId="130AD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2ACA13C4">
            <w:pPr>
              <w:spacing w:line="360" w:lineRule="auto"/>
              <w:jc w:val="center"/>
              <w:rPr>
                <w:rFonts w:ascii="宋体" w:hAnsi="宋体" w:cs="宋体"/>
                <w:color w:val="auto"/>
                <w:szCs w:val="21"/>
                <w:highlight w:val="none"/>
              </w:rPr>
            </w:pPr>
          </w:p>
        </w:tc>
        <w:tc>
          <w:tcPr>
            <w:tcW w:w="1631" w:type="dxa"/>
            <w:vAlign w:val="center"/>
          </w:tcPr>
          <w:p w14:paraId="0F218B42">
            <w:pPr>
              <w:spacing w:line="360" w:lineRule="auto"/>
              <w:jc w:val="center"/>
              <w:rPr>
                <w:rFonts w:ascii="宋体" w:hAnsi="宋体" w:cs="宋体"/>
                <w:color w:val="auto"/>
                <w:szCs w:val="21"/>
                <w:highlight w:val="none"/>
              </w:rPr>
            </w:pPr>
          </w:p>
        </w:tc>
        <w:tc>
          <w:tcPr>
            <w:tcW w:w="1955" w:type="dxa"/>
            <w:vAlign w:val="center"/>
          </w:tcPr>
          <w:p w14:paraId="7CE9CBF2">
            <w:pPr>
              <w:spacing w:line="360" w:lineRule="auto"/>
              <w:jc w:val="center"/>
              <w:rPr>
                <w:rFonts w:ascii="宋体" w:hAnsi="宋体" w:cs="宋体"/>
                <w:color w:val="auto"/>
                <w:szCs w:val="21"/>
                <w:highlight w:val="none"/>
              </w:rPr>
            </w:pPr>
          </w:p>
        </w:tc>
        <w:tc>
          <w:tcPr>
            <w:tcW w:w="1149" w:type="dxa"/>
            <w:vAlign w:val="center"/>
          </w:tcPr>
          <w:p w14:paraId="60B9C937">
            <w:pPr>
              <w:adjustRightInd w:val="0"/>
              <w:snapToGrid w:val="0"/>
              <w:jc w:val="center"/>
              <w:rPr>
                <w:color w:val="auto"/>
                <w:sz w:val="23"/>
                <w:szCs w:val="23"/>
                <w:highlight w:val="none"/>
              </w:rPr>
            </w:pPr>
          </w:p>
        </w:tc>
        <w:tc>
          <w:tcPr>
            <w:tcW w:w="1653" w:type="dxa"/>
            <w:vAlign w:val="center"/>
          </w:tcPr>
          <w:p w14:paraId="5216019F">
            <w:pPr>
              <w:spacing w:line="360" w:lineRule="auto"/>
              <w:jc w:val="center"/>
              <w:rPr>
                <w:rFonts w:ascii="宋体" w:hAnsi="宋体" w:cs="宋体"/>
                <w:color w:val="auto"/>
                <w:szCs w:val="21"/>
                <w:highlight w:val="none"/>
              </w:rPr>
            </w:pPr>
          </w:p>
        </w:tc>
        <w:tc>
          <w:tcPr>
            <w:tcW w:w="2606" w:type="dxa"/>
            <w:vAlign w:val="center"/>
          </w:tcPr>
          <w:p w14:paraId="6D67A710">
            <w:pPr>
              <w:spacing w:line="360" w:lineRule="auto"/>
              <w:jc w:val="center"/>
              <w:rPr>
                <w:rFonts w:ascii="宋体" w:hAnsi="宋体" w:cs="宋体"/>
                <w:color w:val="auto"/>
                <w:szCs w:val="21"/>
                <w:highlight w:val="none"/>
              </w:rPr>
            </w:pPr>
          </w:p>
        </w:tc>
      </w:tr>
      <w:tr w14:paraId="64737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709E0580">
            <w:pPr>
              <w:spacing w:line="360" w:lineRule="auto"/>
              <w:jc w:val="center"/>
              <w:rPr>
                <w:rFonts w:ascii="宋体" w:hAnsi="宋体" w:cs="宋体"/>
                <w:color w:val="auto"/>
                <w:szCs w:val="21"/>
                <w:highlight w:val="none"/>
              </w:rPr>
            </w:pPr>
          </w:p>
        </w:tc>
        <w:tc>
          <w:tcPr>
            <w:tcW w:w="1631" w:type="dxa"/>
            <w:vAlign w:val="center"/>
          </w:tcPr>
          <w:p w14:paraId="3F316167">
            <w:pPr>
              <w:spacing w:line="360" w:lineRule="auto"/>
              <w:jc w:val="center"/>
              <w:rPr>
                <w:rFonts w:ascii="宋体" w:hAnsi="宋体" w:cs="宋体"/>
                <w:color w:val="auto"/>
                <w:szCs w:val="21"/>
                <w:highlight w:val="none"/>
              </w:rPr>
            </w:pPr>
          </w:p>
        </w:tc>
        <w:tc>
          <w:tcPr>
            <w:tcW w:w="1955" w:type="dxa"/>
            <w:vAlign w:val="center"/>
          </w:tcPr>
          <w:p w14:paraId="3E26159F">
            <w:pPr>
              <w:spacing w:line="360" w:lineRule="auto"/>
              <w:jc w:val="center"/>
              <w:rPr>
                <w:rFonts w:ascii="宋体" w:hAnsi="宋体" w:cs="宋体"/>
                <w:color w:val="auto"/>
                <w:szCs w:val="21"/>
                <w:highlight w:val="none"/>
              </w:rPr>
            </w:pPr>
          </w:p>
        </w:tc>
        <w:tc>
          <w:tcPr>
            <w:tcW w:w="1149" w:type="dxa"/>
            <w:vAlign w:val="center"/>
          </w:tcPr>
          <w:p w14:paraId="2C99287E">
            <w:pPr>
              <w:adjustRightInd w:val="0"/>
              <w:snapToGrid w:val="0"/>
              <w:jc w:val="center"/>
              <w:rPr>
                <w:color w:val="auto"/>
                <w:sz w:val="23"/>
                <w:szCs w:val="23"/>
                <w:highlight w:val="none"/>
              </w:rPr>
            </w:pPr>
          </w:p>
        </w:tc>
        <w:tc>
          <w:tcPr>
            <w:tcW w:w="1653" w:type="dxa"/>
            <w:vAlign w:val="center"/>
          </w:tcPr>
          <w:p w14:paraId="7A1A3105">
            <w:pPr>
              <w:spacing w:line="360" w:lineRule="auto"/>
              <w:jc w:val="center"/>
              <w:rPr>
                <w:rFonts w:ascii="宋体" w:hAnsi="宋体" w:cs="宋体"/>
                <w:color w:val="auto"/>
                <w:szCs w:val="21"/>
                <w:highlight w:val="none"/>
              </w:rPr>
            </w:pPr>
          </w:p>
        </w:tc>
        <w:tc>
          <w:tcPr>
            <w:tcW w:w="2606" w:type="dxa"/>
            <w:vAlign w:val="center"/>
          </w:tcPr>
          <w:p w14:paraId="0ADB8CAD">
            <w:pPr>
              <w:spacing w:line="360" w:lineRule="auto"/>
              <w:jc w:val="center"/>
              <w:rPr>
                <w:rFonts w:ascii="宋体" w:hAnsi="宋体" w:cs="宋体"/>
                <w:color w:val="auto"/>
                <w:szCs w:val="21"/>
                <w:highlight w:val="none"/>
              </w:rPr>
            </w:pPr>
          </w:p>
        </w:tc>
      </w:tr>
      <w:tr w14:paraId="5067E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001EE544">
            <w:pPr>
              <w:spacing w:line="360" w:lineRule="auto"/>
              <w:jc w:val="center"/>
              <w:rPr>
                <w:rFonts w:ascii="宋体" w:hAnsi="宋体" w:cs="宋体"/>
                <w:color w:val="auto"/>
                <w:szCs w:val="21"/>
                <w:highlight w:val="none"/>
              </w:rPr>
            </w:pPr>
          </w:p>
        </w:tc>
        <w:tc>
          <w:tcPr>
            <w:tcW w:w="1631" w:type="dxa"/>
            <w:vAlign w:val="center"/>
          </w:tcPr>
          <w:p w14:paraId="0EA72148">
            <w:pPr>
              <w:spacing w:line="360" w:lineRule="auto"/>
              <w:jc w:val="center"/>
              <w:rPr>
                <w:rFonts w:ascii="宋体" w:hAnsi="宋体" w:cs="宋体"/>
                <w:color w:val="auto"/>
                <w:szCs w:val="21"/>
                <w:highlight w:val="none"/>
              </w:rPr>
            </w:pPr>
          </w:p>
        </w:tc>
        <w:tc>
          <w:tcPr>
            <w:tcW w:w="1955" w:type="dxa"/>
            <w:vAlign w:val="center"/>
          </w:tcPr>
          <w:p w14:paraId="6AE5CF78">
            <w:pPr>
              <w:spacing w:line="360" w:lineRule="auto"/>
              <w:jc w:val="center"/>
              <w:rPr>
                <w:rFonts w:ascii="宋体" w:hAnsi="宋体" w:cs="宋体"/>
                <w:color w:val="auto"/>
                <w:szCs w:val="21"/>
                <w:highlight w:val="none"/>
              </w:rPr>
            </w:pPr>
          </w:p>
        </w:tc>
        <w:tc>
          <w:tcPr>
            <w:tcW w:w="1149" w:type="dxa"/>
            <w:vAlign w:val="center"/>
          </w:tcPr>
          <w:p w14:paraId="7D3B32E3">
            <w:pPr>
              <w:adjustRightInd w:val="0"/>
              <w:snapToGrid w:val="0"/>
              <w:jc w:val="center"/>
              <w:rPr>
                <w:color w:val="auto"/>
                <w:sz w:val="23"/>
                <w:szCs w:val="23"/>
                <w:highlight w:val="none"/>
              </w:rPr>
            </w:pPr>
          </w:p>
        </w:tc>
        <w:tc>
          <w:tcPr>
            <w:tcW w:w="1653" w:type="dxa"/>
            <w:vAlign w:val="center"/>
          </w:tcPr>
          <w:p w14:paraId="1C809627">
            <w:pPr>
              <w:spacing w:line="360" w:lineRule="auto"/>
              <w:jc w:val="center"/>
              <w:rPr>
                <w:rFonts w:ascii="宋体" w:hAnsi="宋体" w:cs="宋体"/>
                <w:color w:val="auto"/>
                <w:szCs w:val="21"/>
                <w:highlight w:val="none"/>
              </w:rPr>
            </w:pPr>
          </w:p>
        </w:tc>
        <w:tc>
          <w:tcPr>
            <w:tcW w:w="2606" w:type="dxa"/>
            <w:vAlign w:val="center"/>
          </w:tcPr>
          <w:p w14:paraId="0DC88B7B">
            <w:pPr>
              <w:spacing w:line="360" w:lineRule="auto"/>
              <w:jc w:val="center"/>
              <w:rPr>
                <w:rFonts w:ascii="宋体" w:hAnsi="宋体" w:cs="宋体"/>
                <w:color w:val="auto"/>
                <w:szCs w:val="21"/>
                <w:highlight w:val="none"/>
              </w:rPr>
            </w:pPr>
          </w:p>
        </w:tc>
      </w:tr>
      <w:tr w14:paraId="73946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29D6C54F">
            <w:pPr>
              <w:spacing w:line="360" w:lineRule="auto"/>
              <w:jc w:val="center"/>
              <w:rPr>
                <w:rFonts w:ascii="宋体" w:hAnsi="宋体" w:cs="宋体"/>
                <w:color w:val="auto"/>
                <w:szCs w:val="21"/>
                <w:highlight w:val="none"/>
              </w:rPr>
            </w:pPr>
          </w:p>
        </w:tc>
        <w:tc>
          <w:tcPr>
            <w:tcW w:w="1631" w:type="dxa"/>
            <w:vAlign w:val="center"/>
          </w:tcPr>
          <w:p w14:paraId="1398DBA4">
            <w:pPr>
              <w:spacing w:line="360" w:lineRule="auto"/>
              <w:jc w:val="center"/>
              <w:rPr>
                <w:rFonts w:ascii="宋体" w:hAnsi="宋体" w:cs="宋体"/>
                <w:color w:val="auto"/>
                <w:szCs w:val="21"/>
                <w:highlight w:val="none"/>
              </w:rPr>
            </w:pPr>
          </w:p>
        </w:tc>
        <w:tc>
          <w:tcPr>
            <w:tcW w:w="1955" w:type="dxa"/>
            <w:vAlign w:val="center"/>
          </w:tcPr>
          <w:p w14:paraId="21688FD3">
            <w:pPr>
              <w:spacing w:line="360" w:lineRule="auto"/>
              <w:jc w:val="center"/>
              <w:rPr>
                <w:rFonts w:ascii="宋体" w:hAnsi="宋体" w:cs="宋体"/>
                <w:color w:val="auto"/>
                <w:szCs w:val="21"/>
                <w:highlight w:val="none"/>
              </w:rPr>
            </w:pPr>
          </w:p>
        </w:tc>
        <w:tc>
          <w:tcPr>
            <w:tcW w:w="1149" w:type="dxa"/>
            <w:vAlign w:val="center"/>
          </w:tcPr>
          <w:p w14:paraId="4666A27C">
            <w:pPr>
              <w:adjustRightInd w:val="0"/>
              <w:snapToGrid w:val="0"/>
              <w:jc w:val="center"/>
              <w:rPr>
                <w:color w:val="auto"/>
                <w:sz w:val="23"/>
                <w:szCs w:val="23"/>
                <w:highlight w:val="none"/>
              </w:rPr>
            </w:pPr>
          </w:p>
        </w:tc>
        <w:tc>
          <w:tcPr>
            <w:tcW w:w="1653" w:type="dxa"/>
            <w:vAlign w:val="center"/>
          </w:tcPr>
          <w:p w14:paraId="209CE16B">
            <w:pPr>
              <w:spacing w:line="360" w:lineRule="auto"/>
              <w:jc w:val="center"/>
              <w:rPr>
                <w:rFonts w:ascii="宋体" w:hAnsi="宋体" w:cs="宋体"/>
                <w:color w:val="auto"/>
                <w:szCs w:val="21"/>
                <w:highlight w:val="none"/>
              </w:rPr>
            </w:pPr>
          </w:p>
        </w:tc>
        <w:tc>
          <w:tcPr>
            <w:tcW w:w="2606" w:type="dxa"/>
            <w:vAlign w:val="center"/>
          </w:tcPr>
          <w:p w14:paraId="5D075325">
            <w:pPr>
              <w:spacing w:line="360" w:lineRule="auto"/>
              <w:jc w:val="center"/>
              <w:rPr>
                <w:rFonts w:ascii="宋体" w:hAnsi="宋体" w:cs="宋体"/>
                <w:color w:val="auto"/>
                <w:szCs w:val="21"/>
                <w:highlight w:val="none"/>
              </w:rPr>
            </w:pPr>
          </w:p>
        </w:tc>
      </w:tr>
      <w:tr w14:paraId="782C1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28E445E1">
            <w:pPr>
              <w:spacing w:line="360" w:lineRule="auto"/>
              <w:jc w:val="center"/>
              <w:rPr>
                <w:rFonts w:ascii="宋体" w:hAnsi="宋体" w:cs="宋体"/>
                <w:color w:val="auto"/>
                <w:szCs w:val="21"/>
                <w:highlight w:val="none"/>
              </w:rPr>
            </w:pPr>
          </w:p>
        </w:tc>
        <w:tc>
          <w:tcPr>
            <w:tcW w:w="1631" w:type="dxa"/>
            <w:vAlign w:val="center"/>
          </w:tcPr>
          <w:p w14:paraId="03F6B11A">
            <w:pPr>
              <w:spacing w:line="360" w:lineRule="auto"/>
              <w:jc w:val="center"/>
              <w:rPr>
                <w:rFonts w:ascii="宋体" w:hAnsi="宋体" w:cs="宋体"/>
                <w:color w:val="auto"/>
                <w:szCs w:val="21"/>
                <w:highlight w:val="none"/>
              </w:rPr>
            </w:pPr>
          </w:p>
        </w:tc>
        <w:tc>
          <w:tcPr>
            <w:tcW w:w="1955" w:type="dxa"/>
            <w:vAlign w:val="center"/>
          </w:tcPr>
          <w:p w14:paraId="399EBD98">
            <w:pPr>
              <w:spacing w:line="360" w:lineRule="auto"/>
              <w:jc w:val="center"/>
              <w:rPr>
                <w:rFonts w:hint="eastAsia" w:ascii="宋体" w:hAnsi="宋体" w:cs="宋体"/>
                <w:color w:val="auto"/>
                <w:szCs w:val="21"/>
                <w:highlight w:val="none"/>
              </w:rPr>
            </w:pPr>
          </w:p>
        </w:tc>
        <w:tc>
          <w:tcPr>
            <w:tcW w:w="1149" w:type="dxa"/>
            <w:vAlign w:val="center"/>
          </w:tcPr>
          <w:p w14:paraId="1CF554FA">
            <w:pPr>
              <w:spacing w:line="360" w:lineRule="auto"/>
              <w:jc w:val="center"/>
              <w:rPr>
                <w:rFonts w:ascii="宋体" w:hAnsi="宋体" w:cs="宋体"/>
                <w:color w:val="auto"/>
                <w:szCs w:val="21"/>
                <w:highlight w:val="none"/>
              </w:rPr>
            </w:pPr>
          </w:p>
        </w:tc>
        <w:tc>
          <w:tcPr>
            <w:tcW w:w="1653" w:type="dxa"/>
            <w:vAlign w:val="center"/>
          </w:tcPr>
          <w:p w14:paraId="5ECB36E7">
            <w:pPr>
              <w:spacing w:line="360" w:lineRule="auto"/>
              <w:jc w:val="center"/>
              <w:rPr>
                <w:rFonts w:hint="eastAsia" w:ascii="宋体" w:hAnsi="宋体" w:cs="宋体"/>
                <w:color w:val="auto"/>
                <w:szCs w:val="21"/>
                <w:highlight w:val="none"/>
              </w:rPr>
            </w:pPr>
          </w:p>
        </w:tc>
        <w:tc>
          <w:tcPr>
            <w:tcW w:w="2606" w:type="dxa"/>
            <w:vAlign w:val="center"/>
          </w:tcPr>
          <w:p w14:paraId="11F011AD">
            <w:pPr>
              <w:spacing w:line="360" w:lineRule="auto"/>
              <w:jc w:val="center"/>
              <w:rPr>
                <w:rFonts w:ascii="宋体" w:hAnsi="宋体" w:cs="宋体"/>
                <w:color w:val="auto"/>
                <w:szCs w:val="21"/>
                <w:highlight w:val="none"/>
              </w:rPr>
            </w:pPr>
          </w:p>
        </w:tc>
      </w:tr>
      <w:tr w14:paraId="2CAD2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02F6026C">
            <w:pPr>
              <w:spacing w:line="360" w:lineRule="auto"/>
              <w:jc w:val="center"/>
              <w:rPr>
                <w:rFonts w:ascii="宋体" w:hAnsi="宋体" w:cs="宋体"/>
                <w:color w:val="auto"/>
                <w:szCs w:val="21"/>
                <w:highlight w:val="none"/>
              </w:rPr>
            </w:pPr>
          </w:p>
        </w:tc>
        <w:tc>
          <w:tcPr>
            <w:tcW w:w="1631" w:type="dxa"/>
            <w:vAlign w:val="center"/>
          </w:tcPr>
          <w:p w14:paraId="3184A6F0">
            <w:pPr>
              <w:spacing w:line="360" w:lineRule="auto"/>
              <w:jc w:val="center"/>
              <w:rPr>
                <w:rFonts w:ascii="宋体" w:hAnsi="宋体" w:cs="宋体"/>
                <w:color w:val="auto"/>
                <w:szCs w:val="21"/>
                <w:highlight w:val="none"/>
              </w:rPr>
            </w:pPr>
          </w:p>
        </w:tc>
        <w:tc>
          <w:tcPr>
            <w:tcW w:w="1955" w:type="dxa"/>
            <w:vAlign w:val="center"/>
          </w:tcPr>
          <w:p w14:paraId="5CF26469">
            <w:pPr>
              <w:spacing w:line="360" w:lineRule="auto"/>
              <w:jc w:val="center"/>
              <w:rPr>
                <w:rFonts w:ascii="宋体" w:hAnsi="宋体" w:cs="宋体"/>
                <w:color w:val="auto"/>
                <w:szCs w:val="21"/>
                <w:highlight w:val="none"/>
              </w:rPr>
            </w:pPr>
          </w:p>
        </w:tc>
        <w:tc>
          <w:tcPr>
            <w:tcW w:w="1149" w:type="dxa"/>
            <w:vAlign w:val="center"/>
          </w:tcPr>
          <w:p w14:paraId="7D0F70B9">
            <w:pPr>
              <w:spacing w:line="360" w:lineRule="auto"/>
              <w:jc w:val="center"/>
              <w:rPr>
                <w:rFonts w:ascii="宋体" w:hAnsi="宋体" w:cs="宋体"/>
                <w:color w:val="auto"/>
                <w:szCs w:val="21"/>
                <w:highlight w:val="none"/>
              </w:rPr>
            </w:pPr>
          </w:p>
        </w:tc>
        <w:tc>
          <w:tcPr>
            <w:tcW w:w="1653" w:type="dxa"/>
            <w:vAlign w:val="center"/>
          </w:tcPr>
          <w:p w14:paraId="01EE1F0B">
            <w:pPr>
              <w:spacing w:line="360" w:lineRule="auto"/>
              <w:jc w:val="center"/>
              <w:rPr>
                <w:rFonts w:ascii="宋体" w:hAnsi="宋体" w:cs="宋体"/>
                <w:color w:val="auto"/>
                <w:szCs w:val="21"/>
                <w:highlight w:val="none"/>
              </w:rPr>
            </w:pPr>
          </w:p>
        </w:tc>
        <w:tc>
          <w:tcPr>
            <w:tcW w:w="2606" w:type="dxa"/>
            <w:vAlign w:val="center"/>
          </w:tcPr>
          <w:p w14:paraId="49078C0D">
            <w:pPr>
              <w:spacing w:line="360" w:lineRule="auto"/>
              <w:jc w:val="center"/>
              <w:rPr>
                <w:rFonts w:ascii="宋体" w:hAnsi="宋体" w:cs="宋体"/>
                <w:color w:val="auto"/>
                <w:szCs w:val="21"/>
                <w:highlight w:val="none"/>
              </w:rPr>
            </w:pPr>
          </w:p>
        </w:tc>
      </w:tr>
      <w:tr w14:paraId="3F83E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57BEE6E0">
            <w:pPr>
              <w:spacing w:line="360" w:lineRule="auto"/>
              <w:jc w:val="center"/>
              <w:rPr>
                <w:rFonts w:ascii="宋体" w:hAnsi="宋体" w:cs="宋体"/>
                <w:color w:val="auto"/>
                <w:szCs w:val="21"/>
                <w:highlight w:val="none"/>
              </w:rPr>
            </w:pPr>
          </w:p>
        </w:tc>
        <w:tc>
          <w:tcPr>
            <w:tcW w:w="1631" w:type="dxa"/>
            <w:vAlign w:val="center"/>
          </w:tcPr>
          <w:p w14:paraId="37C98BA3">
            <w:pPr>
              <w:spacing w:line="360" w:lineRule="auto"/>
              <w:jc w:val="center"/>
              <w:rPr>
                <w:rFonts w:ascii="宋体" w:hAnsi="宋体" w:cs="宋体"/>
                <w:color w:val="auto"/>
                <w:szCs w:val="21"/>
                <w:highlight w:val="none"/>
              </w:rPr>
            </w:pPr>
          </w:p>
        </w:tc>
        <w:tc>
          <w:tcPr>
            <w:tcW w:w="1955" w:type="dxa"/>
            <w:vAlign w:val="center"/>
          </w:tcPr>
          <w:p w14:paraId="0756494E">
            <w:pPr>
              <w:spacing w:line="360" w:lineRule="auto"/>
              <w:jc w:val="center"/>
              <w:rPr>
                <w:rFonts w:ascii="宋体" w:hAnsi="宋体" w:cs="宋体"/>
                <w:color w:val="auto"/>
                <w:szCs w:val="21"/>
                <w:highlight w:val="none"/>
              </w:rPr>
            </w:pPr>
          </w:p>
        </w:tc>
        <w:tc>
          <w:tcPr>
            <w:tcW w:w="1149" w:type="dxa"/>
            <w:vAlign w:val="center"/>
          </w:tcPr>
          <w:p w14:paraId="1BCE5D34">
            <w:pPr>
              <w:spacing w:line="360" w:lineRule="auto"/>
              <w:jc w:val="center"/>
              <w:rPr>
                <w:rFonts w:ascii="宋体" w:hAnsi="宋体" w:cs="宋体"/>
                <w:color w:val="auto"/>
                <w:szCs w:val="21"/>
                <w:highlight w:val="none"/>
              </w:rPr>
            </w:pPr>
          </w:p>
        </w:tc>
        <w:tc>
          <w:tcPr>
            <w:tcW w:w="1653" w:type="dxa"/>
            <w:vAlign w:val="center"/>
          </w:tcPr>
          <w:p w14:paraId="202D3A03">
            <w:pPr>
              <w:spacing w:line="360" w:lineRule="auto"/>
              <w:jc w:val="center"/>
              <w:rPr>
                <w:rFonts w:ascii="宋体" w:hAnsi="宋体" w:cs="宋体"/>
                <w:color w:val="auto"/>
                <w:szCs w:val="21"/>
                <w:highlight w:val="none"/>
              </w:rPr>
            </w:pPr>
          </w:p>
        </w:tc>
        <w:tc>
          <w:tcPr>
            <w:tcW w:w="2606" w:type="dxa"/>
            <w:vAlign w:val="center"/>
          </w:tcPr>
          <w:p w14:paraId="62DAC79B">
            <w:pPr>
              <w:spacing w:line="360" w:lineRule="auto"/>
              <w:jc w:val="center"/>
              <w:rPr>
                <w:rFonts w:ascii="宋体" w:hAnsi="宋体" w:cs="宋体"/>
                <w:color w:val="auto"/>
                <w:szCs w:val="21"/>
                <w:highlight w:val="none"/>
              </w:rPr>
            </w:pPr>
          </w:p>
        </w:tc>
      </w:tr>
      <w:tr w14:paraId="35B56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725AC0CE">
            <w:pPr>
              <w:spacing w:line="360" w:lineRule="auto"/>
              <w:jc w:val="center"/>
              <w:rPr>
                <w:rFonts w:ascii="宋体" w:hAnsi="宋体" w:cs="宋体"/>
                <w:color w:val="auto"/>
                <w:szCs w:val="21"/>
                <w:highlight w:val="none"/>
              </w:rPr>
            </w:pPr>
          </w:p>
        </w:tc>
        <w:tc>
          <w:tcPr>
            <w:tcW w:w="1631" w:type="dxa"/>
            <w:vAlign w:val="center"/>
          </w:tcPr>
          <w:p w14:paraId="1905B31F">
            <w:pPr>
              <w:spacing w:line="360" w:lineRule="auto"/>
              <w:jc w:val="center"/>
              <w:rPr>
                <w:rFonts w:ascii="宋体" w:hAnsi="宋体" w:cs="宋体"/>
                <w:color w:val="auto"/>
                <w:szCs w:val="21"/>
                <w:highlight w:val="none"/>
              </w:rPr>
            </w:pPr>
          </w:p>
        </w:tc>
        <w:tc>
          <w:tcPr>
            <w:tcW w:w="1955" w:type="dxa"/>
            <w:vAlign w:val="center"/>
          </w:tcPr>
          <w:p w14:paraId="4A2F6DF8">
            <w:pPr>
              <w:spacing w:line="360" w:lineRule="auto"/>
              <w:jc w:val="center"/>
              <w:rPr>
                <w:rFonts w:ascii="宋体" w:hAnsi="宋体" w:cs="宋体"/>
                <w:color w:val="auto"/>
                <w:szCs w:val="21"/>
                <w:highlight w:val="none"/>
              </w:rPr>
            </w:pPr>
          </w:p>
        </w:tc>
        <w:tc>
          <w:tcPr>
            <w:tcW w:w="1149" w:type="dxa"/>
            <w:vAlign w:val="center"/>
          </w:tcPr>
          <w:p w14:paraId="0FF0856A">
            <w:pPr>
              <w:spacing w:line="360" w:lineRule="auto"/>
              <w:jc w:val="center"/>
              <w:rPr>
                <w:rFonts w:ascii="宋体" w:hAnsi="宋体" w:cs="宋体"/>
                <w:color w:val="auto"/>
                <w:szCs w:val="21"/>
                <w:highlight w:val="none"/>
              </w:rPr>
            </w:pPr>
          </w:p>
        </w:tc>
        <w:tc>
          <w:tcPr>
            <w:tcW w:w="1653" w:type="dxa"/>
            <w:vAlign w:val="center"/>
          </w:tcPr>
          <w:p w14:paraId="2C63924A">
            <w:pPr>
              <w:spacing w:line="360" w:lineRule="auto"/>
              <w:jc w:val="center"/>
              <w:rPr>
                <w:rFonts w:ascii="宋体" w:hAnsi="宋体" w:cs="宋体"/>
                <w:color w:val="auto"/>
                <w:szCs w:val="21"/>
                <w:highlight w:val="none"/>
              </w:rPr>
            </w:pPr>
          </w:p>
        </w:tc>
        <w:tc>
          <w:tcPr>
            <w:tcW w:w="2606" w:type="dxa"/>
            <w:vAlign w:val="center"/>
          </w:tcPr>
          <w:p w14:paraId="7A604A06">
            <w:pPr>
              <w:spacing w:line="360" w:lineRule="auto"/>
              <w:jc w:val="center"/>
              <w:rPr>
                <w:rFonts w:ascii="宋体" w:hAnsi="宋体" w:cs="宋体"/>
                <w:color w:val="auto"/>
                <w:szCs w:val="21"/>
                <w:highlight w:val="none"/>
              </w:rPr>
            </w:pPr>
          </w:p>
        </w:tc>
      </w:tr>
      <w:tr w14:paraId="5D2D0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28D478D6">
            <w:pPr>
              <w:spacing w:line="360" w:lineRule="auto"/>
              <w:jc w:val="center"/>
              <w:rPr>
                <w:rFonts w:ascii="宋体" w:hAnsi="宋体" w:cs="宋体"/>
                <w:color w:val="auto"/>
                <w:szCs w:val="21"/>
                <w:highlight w:val="none"/>
              </w:rPr>
            </w:pPr>
          </w:p>
        </w:tc>
        <w:tc>
          <w:tcPr>
            <w:tcW w:w="1631" w:type="dxa"/>
            <w:vAlign w:val="center"/>
          </w:tcPr>
          <w:p w14:paraId="343D892E">
            <w:pPr>
              <w:spacing w:line="360" w:lineRule="auto"/>
              <w:jc w:val="center"/>
              <w:rPr>
                <w:rFonts w:ascii="宋体" w:hAnsi="宋体" w:cs="宋体"/>
                <w:color w:val="auto"/>
                <w:szCs w:val="21"/>
                <w:highlight w:val="none"/>
              </w:rPr>
            </w:pPr>
          </w:p>
        </w:tc>
        <w:tc>
          <w:tcPr>
            <w:tcW w:w="1955" w:type="dxa"/>
            <w:vAlign w:val="center"/>
          </w:tcPr>
          <w:p w14:paraId="21B13F6D">
            <w:pPr>
              <w:spacing w:line="360" w:lineRule="auto"/>
              <w:jc w:val="center"/>
              <w:rPr>
                <w:rFonts w:ascii="宋体" w:hAnsi="宋体" w:cs="宋体"/>
                <w:color w:val="auto"/>
                <w:szCs w:val="21"/>
                <w:highlight w:val="none"/>
              </w:rPr>
            </w:pPr>
          </w:p>
        </w:tc>
        <w:tc>
          <w:tcPr>
            <w:tcW w:w="1149" w:type="dxa"/>
            <w:vAlign w:val="center"/>
          </w:tcPr>
          <w:p w14:paraId="51ABF7F3">
            <w:pPr>
              <w:spacing w:line="360" w:lineRule="auto"/>
              <w:jc w:val="center"/>
              <w:rPr>
                <w:rFonts w:ascii="宋体" w:hAnsi="宋体" w:cs="宋体"/>
                <w:color w:val="auto"/>
                <w:szCs w:val="21"/>
                <w:highlight w:val="none"/>
              </w:rPr>
            </w:pPr>
          </w:p>
        </w:tc>
        <w:tc>
          <w:tcPr>
            <w:tcW w:w="1653" w:type="dxa"/>
            <w:vAlign w:val="center"/>
          </w:tcPr>
          <w:p w14:paraId="7D009128">
            <w:pPr>
              <w:spacing w:line="360" w:lineRule="auto"/>
              <w:jc w:val="center"/>
              <w:rPr>
                <w:rFonts w:ascii="宋体" w:hAnsi="宋体" w:cs="宋体"/>
                <w:color w:val="auto"/>
                <w:szCs w:val="21"/>
                <w:highlight w:val="none"/>
              </w:rPr>
            </w:pPr>
          </w:p>
        </w:tc>
        <w:tc>
          <w:tcPr>
            <w:tcW w:w="2606" w:type="dxa"/>
            <w:vAlign w:val="center"/>
          </w:tcPr>
          <w:p w14:paraId="79E58CE9">
            <w:pPr>
              <w:spacing w:line="360" w:lineRule="auto"/>
              <w:jc w:val="center"/>
              <w:rPr>
                <w:rFonts w:ascii="宋体" w:hAnsi="宋体" w:cs="宋体"/>
                <w:color w:val="auto"/>
                <w:szCs w:val="21"/>
                <w:highlight w:val="none"/>
              </w:rPr>
            </w:pPr>
          </w:p>
        </w:tc>
      </w:tr>
      <w:tr w14:paraId="4437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0C94956F">
            <w:pPr>
              <w:spacing w:line="360" w:lineRule="auto"/>
              <w:jc w:val="center"/>
              <w:rPr>
                <w:rFonts w:ascii="宋体" w:hAnsi="宋体" w:cs="宋体"/>
                <w:color w:val="auto"/>
                <w:szCs w:val="21"/>
                <w:highlight w:val="none"/>
              </w:rPr>
            </w:pPr>
          </w:p>
        </w:tc>
        <w:tc>
          <w:tcPr>
            <w:tcW w:w="1631" w:type="dxa"/>
            <w:vAlign w:val="center"/>
          </w:tcPr>
          <w:p w14:paraId="0516E971">
            <w:pPr>
              <w:spacing w:line="360" w:lineRule="auto"/>
              <w:jc w:val="center"/>
              <w:rPr>
                <w:rFonts w:ascii="宋体" w:hAnsi="宋体" w:cs="宋体"/>
                <w:color w:val="auto"/>
                <w:szCs w:val="21"/>
                <w:highlight w:val="none"/>
              </w:rPr>
            </w:pPr>
          </w:p>
        </w:tc>
        <w:tc>
          <w:tcPr>
            <w:tcW w:w="1955" w:type="dxa"/>
            <w:vAlign w:val="center"/>
          </w:tcPr>
          <w:p w14:paraId="37268078">
            <w:pPr>
              <w:spacing w:line="360" w:lineRule="auto"/>
              <w:jc w:val="center"/>
              <w:rPr>
                <w:rFonts w:ascii="宋体" w:hAnsi="宋体" w:cs="宋体"/>
                <w:color w:val="auto"/>
                <w:szCs w:val="21"/>
                <w:highlight w:val="none"/>
              </w:rPr>
            </w:pPr>
          </w:p>
        </w:tc>
        <w:tc>
          <w:tcPr>
            <w:tcW w:w="1149" w:type="dxa"/>
            <w:vAlign w:val="center"/>
          </w:tcPr>
          <w:p w14:paraId="3B1072C0">
            <w:pPr>
              <w:spacing w:line="360" w:lineRule="auto"/>
              <w:jc w:val="center"/>
              <w:rPr>
                <w:rFonts w:ascii="宋体" w:hAnsi="宋体" w:cs="宋体"/>
                <w:color w:val="auto"/>
                <w:szCs w:val="21"/>
                <w:highlight w:val="none"/>
              </w:rPr>
            </w:pPr>
          </w:p>
        </w:tc>
        <w:tc>
          <w:tcPr>
            <w:tcW w:w="1653" w:type="dxa"/>
            <w:vAlign w:val="center"/>
          </w:tcPr>
          <w:p w14:paraId="25E0062C">
            <w:pPr>
              <w:spacing w:line="360" w:lineRule="auto"/>
              <w:jc w:val="center"/>
              <w:rPr>
                <w:rFonts w:ascii="宋体" w:hAnsi="宋体" w:cs="宋体"/>
                <w:color w:val="auto"/>
                <w:szCs w:val="21"/>
                <w:highlight w:val="none"/>
              </w:rPr>
            </w:pPr>
          </w:p>
        </w:tc>
        <w:tc>
          <w:tcPr>
            <w:tcW w:w="2606" w:type="dxa"/>
            <w:vAlign w:val="center"/>
          </w:tcPr>
          <w:p w14:paraId="241723BC">
            <w:pPr>
              <w:spacing w:line="360" w:lineRule="auto"/>
              <w:jc w:val="center"/>
              <w:rPr>
                <w:rFonts w:ascii="宋体" w:hAnsi="宋体" w:cs="宋体"/>
                <w:color w:val="auto"/>
                <w:szCs w:val="21"/>
                <w:highlight w:val="none"/>
              </w:rPr>
            </w:pPr>
          </w:p>
        </w:tc>
      </w:tr>
      <w:tr w14:paraId="3897F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57508E22">
            <w:pPr>
              <w:spacing w:line="360" w:lineRule="auto"/>
              <w:jc w:val="center"/>
              <w:rPr>
                <w:rFonts w:ascii="宋体" w:hAnsi="宋体" w:cs="宋体"/>
                <w:color w:val="auto"/>
                <w:szCs w:val="21"/>
                <w:highlight w:val="none"/>
              </w:rPr>
            </w:pPr>
          </w:p>
        </w:tc>
        <w:tc>
          <w:tcPr>
            <w:tcW w:w="1631" w:type="dxa"/>
            <w:vAlign w:val="center"/>
          </w:tcPr>
          <w:p w14:paraId="519C111C">
            <w:pPr>
              <w:spacing w:line="360" w:lineRule="auto"/>
              <w:jc w:val="center"/>
              <w:rPr>
                <w:rFonts w:ascii="宋体" w:hAnsi="宋体" w:cs="宋体"/>
                <w:color w:val="auto"/>
                <w:szCs w:val="21"/>
                <w:highlight w:val="none"/>
              </w:rPr>
            </w:pPr>
          </w:p>
        </w:tc>
        <w:tc>
          <w:tcPr>
            <w:tcW w:w="1955" w:type="dxa"/>
            <w:vAlign w:val="center"/>
          </w:tcPr>
          <w:p w14:paraId="19C9CA2B">
            <w:pPr>
              <w:spacing w:line="360" w:lineRule="auto"/>
              <w:jc w:val="center"/>
              <w:rPr>
                <w:rFonts w:ascii="宋体" w:hAnsi="宋体" w:cs="宋体"/>
                <w:color w:val="auto"/>
                <w:szCs w:val="21"/>
                <w:highlight w:val="none"/>
              </w:rPr>
            </w:pPr>
          </w:p>
        </w:tc>
        <w:tc>
          <w:tcPr>
            <w:tcW w:w="1149" w:type="dxa"/>
            <w:vAlign w:val="center"/>
          </w:tcPr>
          <w:p w14:paraId="6D959D78">
            <w:pPr>
              <w:spacing w:line="360" w:lineRule="auto"/>
              <w:jc w:val="center"/>
              <w:rPr>
                <w:rFonts w:ascii="宋体" w:hAnsi="宋体" w:cs="宋体"/>
                <w:color w:val="auto"/>
                <w:szCs w:val="21"/>
                <w:highlight w:val="none"/>
              </w:rPr>
            </w:pPr>
          </w:p>
        </w:tc>
        <w:tc>
          <w:tcPr>
            <w:tcW w:w="1653" w:type="dxa"/>
            <w:vAlign w:val="center"/>
          </w:tcPr>
          <w:p w14:paraId="6E8013FA">
            <w:pPr>
              <w:spacing w:line="360" w:lineRule="auto"/>
              <w:jc w:val="center"/>
              <w:rPr>
                <w:rFonts w:ascii="宋体" w:hAnsi="宋体" w:cs="宋体"/>
                <w:color w:val="auto"/>
                <w:szCs w:val="21"/>
                <w:highlight w:val="none"/>
              </w:rPr>
            </w:pPr>
          </w:p>
        </w:tc>
        <w:tc>
          <w:tcPr>
            <w:tcW w:w="2606" w:type="dxa"/>
            <w:vAlign w:val="center"/>
          </w:tcPr>
          <w:p w14:paraId="7F2B4DD4">
            <w:pPr>
              <w:spacing w:line="360" w:lineRule="auto"/>
              <w:jc w:val="center"/>
              <w:rPr>
                <w:rFonts w:ascii="宋体" w:hAnsi="宋体" w:cs="宋体"/>
                <w:color w:val="auto"/>
                <w:szCs w:val="21"/>
                <w:highlight w:val="none"/>
              </w:rPr>
            </w:pPr>
          </w:p>
        </w:tc>
      </w:tr>
      <w:tr w14:paraId="67D3C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74AED235">
            <w:pPr>
              <w:spacing w:line="360" w:lineRule="auto"/>
              <w:jc w:val="center"/>
              <w:rPr>
                <w:rFonts w:ascii="宋体" w:hAnsi="宋体" w:cs="宋体"/>
                <w:color w:val="auto"/>
                <w:szCs w:val="21"/>
                <w:highlight w:val="none"/>
              </w:rPr>
            </w:pPr>
          </w:p>
        </w:tc>
        <w:tc>
          <w:tcPr>
            <w:tcW w:w="1631" w:type="dxa"/>
            <w:vAlign w:val="center"/>
          </w:tcPr>
          <w:p w14:paraId="2BB8E82C">
            <w:pPr>
              <w:spacing w:line="360" w:lineRule="auto"/>
              <w:jc w:val="center"/>
              <w:rPr>
                <w:rFonts w:ascii="宋体" w:hAnsi="宋体" w:cs="宋体"/>
                <w:color w:val="auto"/>
                <w:szCs w:val="21"/>
                <w:highlight w:val="none"/>
              </w:rPr>
            </w:pPr>
          </w:p>
        </w:tc>
        <w:tc>
          <w:tcPr>
            <w:tcW w:w="1955" w:type="dxa"/>
            <w:vAlign w:val="center"/>
          </w:tcPr>
          <w:p w14:paraId="28ED8180">
            <w:pPr>
              <w:spacing w:line="360" w:lineRule="auto"/>
              <w:jc w:val="center"/>
              <w:rPr>
                <w:rFonts w:ascii="宋体" w:hAnsi="宋体" w:cs="宋体"/>
                <w:color w:val="auto"/>
                <w:szCs w:val="21"/>
                <w:highlight w:val="none"/>
              </w:rPr>
            </w:pPr>
          </w:p>
        </w:tc>
        <w:tc>
          <w:tcPr>
            <w:tcW w:w="1149" w:type="dxa"/>
            <w:vAlign w:val="center"/>
          </w:tcPr>
          <w:p w14:paraId="2042B383">
            <w:pPr>
              <w:spacing w:line="360" w:lineRule="auto"/>
              <w:jc w:val="center"/>
              <w:rPr>
                <w:rFonts w:ascii="宋体" w:hAnsi="宋体" w:cs="宋体"/>
                <w:color w:val="auto"/>
                <w:szCs w:val="21"/>
                <w:highlight w:val="none"/>
              </w:rPr>
            </w:pPr>
          </w:p>
        </w:tc>
        <w:tc>
          <w:tcPr>
            <w:tcW w:w="1653" w:type="dxa"/>
            <w:vAlign w:val="center"/>
          </w:tcPr>
          <w:p w14:paraId="6534FBF5">
            <w:pPr>
              <w:spacing w:line="360" w:lineRule="auto"/>
              <w:jc w:val="center"/>
              <w:rPr>
                <w:rFonts w:ascii="宋体" w:hAnsi="宋体" w:cs="宋体"/>
                <w:color w:val="auto"/>
                <w:szCs w:val="21"/>
                <w:highlight w:val="none"/>
              </w:rPr>
            </w:pPr>
          </w:p>
        </w:tc>
        <w:tc>
          <w:tcPr>
            <w:tcW w:w="2606" w:type="dxa"/>
            <w:vAlign w:val="center"/>
          </w:tcPr>
          <w:p w14:paraId="5C3D53F9">
            <w:pPr>
              <w:spacing w:line="360" w:lineRule="auto"/>
              <w:jc w:val="center"/>
              <w:rPr>
                <w:rFonts w:ascii="宋体" w:hAnsi="宋体" w:cs="宋体"/>
                <w:color w:val="auto"/>
                <w:szCs w:val="21"/>
                <w:highlight w:val="none"/>
              </w:rPr>
            </w:pPr>
          </w:p>
        </w:tc>
      </w:tr>
      <w:tr w14:paraId="1F320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0F6FCEA3">
            <w:pPr>
              <w:spacing w:line="360" w:lineRule="auto"/>
              <w:jc w:val="center"/>
              <w:rPr>
                <w:rFonts w:ascii="宋体" w:hAnsi="宋体" w:cs="宋体"/>
                <w:color w:val="auto"/>
                <w:szCs w:val="21"/>
                <w:highlight w:val="none"/>
              </w:rPr>
            </w:pPr>
          </w:p>
        </w:tc>
        <w:tc>
          <w:tcPr>
            <w:tcW w:w="1631" w:type="dxa"/>
            <w:vAlign w:val="center"/>
          </w:tcPr>
          <w:p w14:paraId="0134C157">
            <w:pPr>
              <w:spacing w:line="360" w:lineRule="auto"/>
              <w:jc w:val="center"/>
              <w:rPr>
                <w:rFonts w:ascii="宋体" w:hAnsi="宋体" w:cs="宋体"/>
                <w:color w:val="auto"/>
                <w:szCs w:val="21"/>
                <w:highlight w:val="none"/>
              </w:rPr>
            </w:pPr>
          </w:p>
        </w:tc>
        <w:tc>
          <w:tcPr>
            <w:tcW w:w="1955" w:type="dxa"/>
            <w:vAlign w:val="center"/>
          </w:tcPr>
          <w:p w14:paraId="3754973A">
            <w:pPr>
              <w:spacing w:line="360" w:lineRule="auto"/>
              <w:jc w:val="center"/>
              <w:rPr>
                <w:rFonts w:ascii="宋体" w:hAnsi="宋体" w:cs="宋体"/>
                <w:color w:val="auto"/>
                <w:szCs w:val="21"/>
                <w:highlight w:val="none"/>
              </w:rPr>
            </w:pPr>
          </w:p>
        </w:tc>
        <w:tc>
          <w:tcPr>
            <w:tcW w:w="1149" w:type="dxa"/>
            <w:vAlign w:val="center"/>
          </w:tcPr>
          <w:p w14:paraId="4F769678">
            <w:pPr>
              <w:spacing w:line="360" w:lineRule="auto"/>
              <w:jc w:val="center"/>
              <w:rPr>
                <w:rFonts w:ascii="宋体" w:hAnsi="宋体" w:cs="宋体"/>
                <w:color w:val="auto"/>
                <w:szCs w:val="21"/>
                <w:highlight w:val="none"/>
              </w:rPr>
            </w:pPr>
          </w:p>
        </w:tc>
        <w:tc>
          <w:tcPr>
            <w:tcW w:w="1653" w:type="dxa"/>
            <w:vAlign w:val="center"/>
          </w:tcPr>
          <w:p w14:paraId="523D401D">
            <w:pPr>
              <w:spacing w:line="360" w:lineRule="auto"/>
              <w:jc w:val="center"/>
              <w:rPr>
                <w:rFonts w:ascii="宋体" w:hAnsi="宋体" w:cs="宋体"/>
                <w:color w:val="auto"/>
                <w:szCs w:val="21"/>
                <w:highlight w:val="none"/>
              </w:rPr>
            </w:pPr>
          </w:p>
        </w:tc>
        <w:tc>
          <w:tcPr>
            <w:tcW w:w="2606" w:type="dxa"/>
            <w:vAlign w:val="center"/>
          </w:tcPr>
          <w:p w14:paraId="56EE9559">
            <w:pPr>
              <w:spacing w:line="360" w:lineRule="auto"/>
              <w:jc w:val="center"/>
              <w:rPr>
                <w:rFonts w:ascii="宋体" w:hAnsi="宋体" w:cs="宋体"/>
                <w:color w:val="auto"/>
                <w:szCs w:val="21"/>
                <w:highlight w:val="none"/>
              </w:rPr>
            </w:pPr>
          </w:p>
        </w:tc>
      </w:tr>
      <w:tr w14:paraId="35F7D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062795A1">
            <w:pPr>
              <w:spacing w:line="360" w:lineRule="auto"/>
              <w:jc w:val="center"/>
              <w:rPr>
                <w:rFonts w:ascii="宋体" w:hAnsi="宋体" w:cs="宋体"/>
                <w:color w:val="auto"/>
                <w:szCs w:val="21"/>
                <w:highlight w:val="none"/>
              </w:rPr>
            </w:pPr>
          </w:p>
        </w:tc>
        <w:tc>
          <w:tcPr>
            <w:tcW w:w="1631" w:type="dxa"/>
            <w:vAlign w:val="center"/>
          </w:tcPr>
          <w:p w14:paraId="7CB84BF4">
            <w:pPr>
              <w:spacing w:line="360" w:lineRule="auto"/>
              <w:jc w:val="center"/>
              <w:rPr>
                <w:rFonts w:ascii="宋体" w:hAnsi="宋体" w:cs="宋体"/>
                <w:color w:val="auto"/>
                <w:szCs w:val="21"/>
                <w:highlight w:val="none"/>
              </w:rPr>
            </w:pPr>
          </w:p>
        </w:tc>
        <w:tc>
          <w:tcPr>
            <w:tcW w:w="1955" w:type="dxa"/>
            <w:vAlign w:val="center"/>
          </w:tcPr>
          <w:p w14:paraId="2425EA83">
            <w:pPr>
              <w:spacing w:line="360" w:lineRule="auto"/>
              <w:jc w:val="center"/>
              <w:rPr>
                <w:rFonts w:ascii="宋体" w:hAnsi="宋体" w:cs="宋体"/>
                <w:color w:val="auto"/>
                <w:szCs w:val="21"/>
                <w:highlight w:val="none"/>
              </w:rPr>
            </w:pPr>
          </w:p>
        </w:tc>
        <w:tc>
          <w:tcPr>
            <w:tcW w:w="1149" w:type="dxa"/>
            <w:vAlign w:val="center"/>
          </w:tcPr>
          <w:p w14:paraId="49E0D4AA">
            <w:pPr>
              <w:spacing w:line="360" w:lineRule="auto"/>
              <w:jc w:val="center"/>
              <w:rPr>
                <w:rFonts w:ascii="宋体" w:hAnsi="宋体" w:cs="宋体"/>
                <w:color w:val="auto"/>
                <w:szCs w:val="21"/>
                <w:highlight w:val="none"/>
              </w:rPr>
            </w:pPr>
          </w:p>
        </w:tc>
        <w:tc>
          <w:tcPr>
            <w:tcW w:w="1653" w:type="dxa"/>
            <w:vAlign w:val="center"/>
          </w:tcPr>
          <w:p w14:paraId="4D21172F">
            <w:pPr>
              <w:spacing w:line="360" w:lineRule="auto"/>
              <w:jc w:val="center"/>
              <w:rPr>
                <w:rFonts w:ascii="宋体" w:hAnsi="宋体" w:cs="宋体"/>
                <w:color w:val="auto"/>
                <w:szCs w:val="21"/>
                <w:highlight w:val="none"/>
              </w:rPr>
            </w:pPr>
          </w:p>
        </w:tc>
        <w:tc>
          <w:tcPr>
            <w:tcW w:w="2606" w:type="dxa"/>
            <w:vAlign w:val="center"/>
          </w:tcPr>
          <w:p w14:paraId="77808F10">
            <w:pPr>
              <w:spacing w:line="360" w:lineRule="auto"/>
              <w:jc w:val="center"/>
              <w:rPr>
                <w:rFonts w:ascii="宋体" w:hAnsi="宋体" w:cs="宋体"/>
                <w:color w:val="auto"/>
                <w:szCs w:val="21"/>
                <w:highlight w:val="none"/>
              </w:rPr>
            </w:pPr>
          </w:p>
        </w:tc>
      </w:tr>
      <w:tr w14:paraId="53B51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Align w:val="center"/>
          </w:tcPr>
          <w:p w14:paraId="7DD91FDA">
            <w:pPr>
              <w:spacing w:line="360" w:lineRule="auto"/>
              <w:jc w:val="center"/>
              <w:rPr>
                <w:rFonts w:ascii="宋体" w:hAnsi="宋体" w:cs="宋体"/>
                <w:color w:val="auto"/>
                <w:szCs w:val="21"/>
                <w:highlight w:val="none"/>
              </w:rPr>
            </w:pPr>
          </w:p>
        </w:tc>
        <w:tc>
          <w:tcPr>
            <w:tcW w:w="1631" w:type="dxa"/>
            <w:vAlign w:val="center"/>
          </w:tcPr>
          <w:p w14:paraId="4821EF93">
            <w:pPr>
              <w:spacing w:line="360" w:lineRule="auto"/>
              <w:jc w:val="center"/>
              <w:rPr>
                <w:rFonts w:ascii="宋体" w:hAnsi="宋体" w:cs="宋体"/>
                <w:color w:val="auto"/>
                <w:szCs w:val="21"/>
                <w:highlight w:val="none"/>
              </w:rPr>
            </w:pPr>
          </w:p>
        </w:tc>
        <w:tc>
          <w:tcPr>
            <w:tcW w:w="1955" w:type="dxa"/>
            <w:vAlign w:val="center"/>
          </w:tcPr>
          <w:p w14:paraId="7413CA82">
            <w:pPr>
              <w:spacing w:line="360" w:lineRule="auto"/>
              <w:jc w:val="center"/>
              <w:rPr>
                <w:rFonts w:ascii="宋体" w:hAnsi="宋体" w:cs="宋体"/>
                <w:color w:val="auto"/>
                <w:szCs w:val="21"/>
                <w:highlight w:val="none"/>
              </w:rPr>
            </w:pPr>
          </w:p>
        </w:tc>
        <w:tc>
          <w:tcPr>
            <w:tcW w:w="1149" w:type="dxa"/>
            <w:vAlign w:val="center"/>
          </w:tcPr>
          <w:p w14:paraId="614B7873">
            <w:pPr>
              <w:spacing w:line="360" w:lineRule="auto"/>
              <w:jc w:val="center"/>
              <w:rPr>
                <w:rFonts w:ascii="宋体" w:hAnsi="宋体" w:cs="宋体"/>
                <w:color w:val="auto"/>
                <w:szCs w:val="21"/>
                <w:highlight w:val="none"/>
              </w:rPr>
            </w:pPr>
          </w:p>
        </w:tc>
        <w:tc>
          <w:tcPr>
            <w:tcW w:w="1653" w:type="dxa"/>
            <w:vAlign w:val="center"/>
          </w:tcPr>
          <w:p w14:paraId="510E3A45">
            <w:pPr>
              <w:spacing w:line="360" w:lineRule="auto"/>
              <w:jc w:val="center"/>
              <w:rPr>
                <w:rFonts w:ascii="宋体" w:hAnsi="宋体" w:cs="宋体"/>
                <w:color w:val="auto"/>
                <w:szCs w:val="21"/>
                <w:highlight w:val="none"/>
              </w:rPr>
            </w:pPr>
          </w:p>
        </w:tc>
        <w:tc>
          <w:tcPr>
            <w:tcW w:w="2606" w:type="dxa"/>
            <w:vAlign w:val="center"/>
          </w:tcPr>
          <w:p w14:paraId="333F36FD">
            <w:pPr>
              <w:spacing w:line="360" w:lineRule="auto"/>
              <w:jc w:val="center"/>
              <w:rPr>
                <w:rFonts w:ascii="宋体" w:hAnsi="宋体" w:cs="宋体"/>
                <w:color w:val="auto"/>
                <w:szCs w:val="21"/>
                <w:highlight w:val="none"/>
              </w:rPr>
            </w:pPr>
          </w:p>
        </w:tc>
      </w:tr>
    </w:tbl>
    <w:p w14:paraId="54761FCF">
      <w:pPr>
        <w:spacing w:line="360" w:lineRule="auto"/>
        <w:jc w:val="center"/>
        <w:outlineLvl w:val="2"/>
        <w:rPr>
          <w:rStyle w:val="66"/>
          <w:rFonts w:hint="eastAsia" w:ascii="宋体" w:hAnsi="宋体" w:eastAsia="宋体" w:cs="宋体"/>
          <w:color w:val="auto"/>
          <w:sz w:val="28"/>
          <w:szCs w:val="28"/>
          <w:highlight w:val="none"/>
        </w:rPr>
      </w:pPr>
    </w:p>
    <w:p w14:paraId="586C06AA">
      <w:pPr>
        <w:spacing w:line="360" w:lineRule="auto"/>
        <w:jc w:val="center"/>
        <w:outlineLvl w:val="2"/>
        <w:rPr>
          <w:rStyle w:val="66"/>
          <w:rFonts w:hint="eastAsia" w:ascii="宋体" w:hAnsi="宋体" w:eastAsia="宋体" w:cs="宋体"/>
          <w:color w:val="auto"/>
          <w:sz w:val="28"/>
          <w:szCs w:val="28"/>
          <w:highlight w:val="none"/>
        </w:rPr>
      </w:pPr>
    </w:p>
    <w:p w14:paraId="6BDB98FC">
      <w:pPr>
        <w:spacing w:line="360" w:lineRule="auto"/>
        <w:jc w:val="center"/>
        <w:outlineLvl w:val="2"/>
        <w:rPr>
          <w:rStyle w:val="66"/>
          <w:rFonts w:hint="eastAsia" w:ascii="宋体" w:hAnsi="宋体" w:eastAsia="宋体" w:cs="宋体"/>
          <w:color w:val="auto"/>
          <w:sz w:val="28"/>
          <w:szCs w:val="28"/>
          <w:highlight w:val="none"/>
        </w:rPr>
      </w:pPr>
    </w:p>
    <w:p w14:paraId="4B49E7FD">
      <w:pPr>
        <w:spacing w:line="360" w:lineRule="auto"/>
        <w:jc w:val="center"/>
        <w:outlineLvl w:val="2"/>
        <w:rPr>
          <w:rStyle w:val="66"/>
          <w:rFonts w:hint="eastAsia" w:ascii="宋体" w:hAnsi="宋体" w:eastAsia="宋体" w:cs="宋体"/>
          <w:color w:val="auto"/>
          <w:sz w:val="28"/>
          <w:szCs w:val="28"/>
          <w:highlight w:val="none"/>
        </w:rPr>
      </w:pPr>
    </w:p>
    <w:p w14:paraId="270DAE52">
      <w:pPr>
        <w:spacing w:line="360" w:lineRule="auto"/>
        <w:jc w:val="center"/>
        <w:outlineLvl w:val="2"/>
        <w:rPr>
          <w:rStyle w:val="66"/>
          <w:rFonts w:hint="eastAsia" w:ascii="宋体" w:hAnsi="宋体" w:eastAsia="宋体" w:cs="宋体"/>
          <w:color w:val="auto"/>
          <w:sz w:val="28"/>
          <w:szCs w:val="28"/>
          <w:highlight w:val="none"/>
        </w:rPr>
      </w:pPr>
    </w:p>
    <w:p w14:paraId="15EBA3B2">
      <w:pPr>
        <w:spacing w:line="360" w:lineRule="auto"/>
        <w:jc w:val="center"/>
        <w:outlineLvl w:val="2"/>
        <w:rPr>
          <w:rStyle w:val="66"/>
          <w:rFonts w:hint="eastAsia" w:ascii="宋体" w:hAnsi="宋体" w:eastAsia="宋体" w:cs="宋体"/>
          <w:color w:val="auto"/>
          <w:sz w:val="28"/>
          <w:szCs w:val="28"/>
          <w:highlight w:val="none"/>
        </w:rPr>
      </w:pPr>
    </w:p>
    <w:p w14:paraId="3A5F6D7B">
      <w:pPr>
        <w:rPr>
          <w:rStyle w:val="66"/>
          <w:rFonts w:hint="eastAsia" w:ascii="宋体" w:hAnsi="宋体" w:eastAsia="宋体" w:cs="宋体"/>
          <w:color w:val="auto"/>
          <w:sz w:val="28"/>
          <w:szCs w:val="28"/>
          <w:highlight w:val="none"/>
          <w:lang w:val="en-US" w:eastAsia="zh-CN"/>
        </w:rPr>
      </w:pPr>
      <w:r>
        <w:rPr>
          <w:rStyle w:val="66"/>
          <w:rFonts w:hint="eastAsia" w:ascii="宋体" w:hAnsi="宋体" w:eastAsia="宋体" w:cs="宋体"/>
          <w:color w:val="auto"/>
          <w:sz w:val="28"/>
          <w:szCs w:val="28"/>
          <w:highlight w:val="none"/>
          <w:lang w:val="en-US" w:eastAsia="zh-CN"/>
        </w:rPr>
        <w:br w:type="page"/>
      </w:r>
    </w:p>
    <w:p w14:paraId="793A82F0">
      <w:pPr>
        <w:spacing w:line="360" w:lineRule="auto"/>
        <w:jc w:val="center"/>
        <w:outlineLvl w:val="2"/>
        <w:rPr>
          <w:rStyle w:val="66"/>
          <w:rFonts w:hint="eastAsia" w:ascii="宋体" w:hAnsi="宋体" w:eastAsia="宋体" w:cs="宋体"/>
          <w:color w:val="auto"/>
          <w:sz w:val="28"/>
          <w:szCs w:val="28"/>
          <w:highlight w:val="none"/>
        </w:rPr>
      </w:pPr>
      <w:r>
        <w:rPr>
          <w:rStyle w:val="66"/>
          <w:rFonts w:hint="eastAsia" w:asciiTheme="majorEastAsia" w:hAnsiTheme="majorEastAsia" w:eastAsiaTheme="majorEastAsia" w:cstheme="majorEastAsia"/>
          <w:color w:val="auto"/>
          <w:sz w:val="28"/>
          <w:szCs w:val="28"/>
          <w:highlight w:val="none"/>
          <w:lang w:val="en-US" w:eastAsia="zh-CN"/>
        </w:rPr>
        <w:t>九、供</w:t>
      </w:r>
      <w:r>
        <w:rPr>
          <w:rStyle w:val="66"/>
          <w:rFonts w:hint="eastAsia" w:ascii="宋体" w:hAnsi="宋体" w:eastAsia="宋体" w:cs="宋体"/>
          <w:color w:val="auto"/>
          <w:sz w:val="28"/>
          <w:szCs w:val="28"/>
          <w:highlight w:val="none"/>
          <w:lang w:val="en-US" w:eastAsia="zh-CN"/>
        </w:rPr>
        <w:t>应商</w:t>
      </w:r>
      <w:r>
        <w:rPr>
          <w:rStyle w:val="66"/>
          <w:rFonts w:hint="eastAsia" w:ascii="宋体" w:hAnsi="宋体" w:eastAsia="宋体" w:cs="宋体"/>
          <w:color w:val="auto"/>
          <w:sz w:val="28"/>
          <w:szCs w:val="28"/>
          <w:highlight w:val="none"/>
        </w:rPr>
        <w:t>近年完成的类似项目情况表</w:t>
      </w:r>
      <w:bookmarkEnd w:id="51"/>
    </w:p>
    <w:bookmarkEnd w:id="52"/>
    <w:tbl>
      <w:tblPr>
        <w:tblStyle w:val="36"/>
        <w:tblW w:w="94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713"/>
        <w:gridCol w:w="2170"/>
        <w:gridCol w:w="1590"/>
        <w:gridCol w:w="1445"/>
        <w:gridCol w:w="1649"/>
      </w:tblGrid>
      <w:tr w14:paraId="3FB96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1" w:hRule="atLeast"/>
          <w:jc w:val="center"/>
        </w:trPr>
        <w:tc>
          <w:tcPr>
            <w:tcW w:w="862" w:type="dxa"/>
            <w:vAlign w:val="center"/>
          </w:tcPr>
          <w:p w14:paraId="5993BC62">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序号</w:t>
            </w:r>
          </w:p>
        </w:tc>
        <w:tc>
          <w:tcPr>
            <w:tcW w:w="1713" w:type="dxa"/>
            <w:vAlign w:val="center"/>
          </w:tcPr>
          <w:p w14:paraId="4CDFD68F">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采购人</w:t>
            </w:r>
          </w:p>
        </w:tc>
        <w:tc>
          <w:tcPr>
            <w:tcW w:w="2170" w:type="dxa"/>
            <w:vAlign w:val="center"/>
          </w:tcPr>
          <w:p w14:paraId="690E1026">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项目名称</w:t>
            </w:r>
          </w:p>
        </w:tc>
        <w:tc>
          <w:tcPr>
            <w:tcW w:w="1590" w:type="dxa"/>
            <w:vAlign w:val="center"/>
          </w:tcPr>
          <w:p w14:paraId="25B7515A">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 xml:space="preserve">合同金额 </w:t>
            </w:r>
          </w:p>
          <w:p w14:paraId="0931F3F9">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 xml:space="preserve"> (人民币)</w:t>
            </w:r>
          </w:p>
        </w:tc>
        <w:tc>
          <w:tcPr>
            <w:tcW w:w="1445" w:type="dxa"/>
            <w:vAlign w:val="center"/>
          </w:tcPr>
          <w:p w14:paraId="67765408">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rPr>
              <w:t>签订时间</w:t>
            </w:r>
          </w:p>
        </w:tc>
        <w:tc>
          <w:tcPr>
            <w:tcW w:w="1649" w:type="dxa"/>
            <w:vAlign w:val="center"/>
          </w:tcPr>
          <w:p w14:paraId="721E85AD">
            <w:pPr>
              <w:spacing w:line="360" w:lineRule="auto"/>
              <w:jc w:val="center"/>
              <w:rPr>
                <w:rFonts w:hint="eastAsia" w:ascii="宋体" w:hAnsi="宋体"/>
                <w:bCs/>
                <w:color w:val="auto"/>
                <w:szCs w:val="21"/>
                <w:highlight w:val="none"/>
              </w:rPr>
            </w:pPr>
            <w:r>
              <w:rPr>
                <w:rFonts w:hint="eastAsia" w:ascii="宋体" w:hAnsi="宋体"/>
                <w:bCs/>
                <w:color w:val="auto"/>
                <w:szCs w:val="21"/>
                <w:highlight w:val="none"/>
                <w:lang w:eastAsia="zh-CN"/>
              </w:rPr>
              <w:t>合同履行期限</w:t>
            </w:r>
          </w:p>
        </w:tc>
      </w:tr>
      <w:tr w14:paraId="69C28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vAlign w:val="center"/>
          </w:tcPr>
          <w:p w14:paraId="30B16BBD">
            <w:pPr>
              <w:spacing w:line="360" w:lineRule="auto"/>
              <w:rPr>
                <w:rFonts w:hint="eastAsia" w:ascii="宋体" w:hAnsi="宋体"/>
                <w:b/>
                <w:bCs/>
                <w:color w:val="auto"/>
                <w:sz w:val="24"/>
                <w:highlight w:val="none"/>
              </w:rPr>
            </w:pPr>
          </w:p>
        </w:tc>
        <w:tc>
          <w:tcPr>
            <w:tcW w:w="1713" w:type="dxa"/>
            <w:vAlign w:val="center"/>
          </w:tcPr>
          <w:p w14:paraId="057CAC9F">
            <w:pPr>
              <w:spacing w:line="360" w:lineRule="auto"/>
              <w:rPr>
                <w:rFonts w:hint="eastAsia" w:ascii="宋体" w:hAnsi="宋体"/>
                <w:b/>
                <w:bCs/>
                <w:color w:val="auto"/>
                <w:szCs w:val="21"/>
                <w:highlight w:val="none"/>
              </w:rPr>
            </w:pPr>
          </w:p>
        </w:tc>
        <w:tc>
          <w:tcPr>
            <w:tcW w:w="2170" w:type="dxa"/>
            <w:vAlign w:val="center"/>
          </w:tcPr>
          <w:p w14:paraId="69193566">
            <w:pPr>
              <w:spacing w:line="360" w:lineRule="auto"/>
              <w:rPr>
                <w:rFonts w:hint="eastAsia" w:ascii="宋体" w:hAnsi="宋体"/>
                <w:b/>
                <w:bCs/>
                <w:color w:val="auto"/>
                <w:szCs w:val="21"/>
                <w:highlight w:val="none"/>
              </w:rPr>
            </w:pPr>
          </w:p>
        </w:tc>
        <w:tc>
          <w:tcPr>
            <w:tcW w:w="1590" w:type="dxa"/>
            <w:vAlign w:val="center"/>
          </w:tcPr>
          <w:p w14:paraId="5C2C2C4D">
            <w:pPr>
              <w:spacing w:line="360" w:lineRule="auto"/>
              <w:rPr>
                <w:rFonts w:hint="eastAsia" w:ascii="宋体" w:hAnsi="宋体"/>
                <w:b/>
                <w:bCs/>
                <w:color w:val="auto"/>
                <w:szCs w:val="21"/>
                <w:highlight w:val="none"/>
              </w:rPr>
            </w:pPr>
          </w:p>
        </w:tc>
        <w:tc>
          <w:tcPr>
            <w:tcW w:w="1445" w:type="dxa"/>
          </w:tcPr>
          <w:p w14:paraId="15DB6DB6">
            <w:pPr>
              <w:pStyle w:val="76"/>
              <w:spacing w:before="145"/>
              <w:rPr>
                <w:rFonts w:ascii="宋体" w:hAnsi="宋体" w:cs="宋体"/>
                <w:color w:val="auto"/>
                <w:szCs w:val="21"/>
                <w:highlight w:val="none"/>
              </w:rPr>
            </w:pPr>
          </w:p>
        </w:tc>
        <w:tc>
          <w:tcPr>
            <w:tcW w:w="1649" w:type="dxa"/>
            <w:vAlign w:val="center"/>
          </w:tcPr>
          <w:p w14:paraId="1BE49B03">
            <w:pPr>
              <w:spacing w:line="360" w:lineRule="auto"/>
              <w:rPr>
                <w:rFonts w:hint="eastAsia" w:ascii="宋体" w:hAnsi="宋体"/>
                <w:bCs/>
                <w:color w:val="auto"/>
                <w:szCs w:val="21"/>
                <w:highlight w:val="none"/>
              </w:rPr>
            </w:pPr>
          </w:p>
        </w:tc>
      </w:tr>
      <w:tr w14:paraId="6071A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vAlign w:val="center"/>
          </w:tcPr>
          <w:p w14:paraId="333F23E2">
            <w:pPr>
              <w:spacing w:line="360" w:lineRule="auto"/>
              <w:rPr>
                <w:rFonts w:hint="eastAsia" w:ascii="宋体" w:hAnsi="宋体"/>
                <w:b/>
                <w:bCs/>
                <w:color w:val="auto"/>
                <w:sz w:val="24"/>
                <w:highlight w:val="none"/>
              </w:rPr>
            </w:pPr>
          </w:p>
        </w:tc>
        <w:tc>
          <w:tcPr>
            <w:tcW w:w="1713" w:type="dxa"/>
            <w:vAlign w:val="center"/>
          </w:tcPr>
          <w:p w14:paraId="13FB56B7">
            <w:pPr>
              <w:spacing w:line="360" w:lineRule="auto"/>
              <w:rPr>
                <w:rFonts w:hint="eastAsia" w:ascii="宋体" w:hAnsi="宋体"/>
                <w:b/>
                <w:bCs/>
                <w:color w:val="auto"/>
                <w:szCs w:val="21"/>
                <w:highlight w:val="none"/>
              </w:rPr>
            </w:pPr>
          </w:p>
        </w:tc>
        <w:tc>
          <w:tcPr>
            <w:tcW w:w="2170" w:type="dxa"/>
            <w:vAlign w:val="center"/>
          </w:tcPr>
          <w:p w14:paraId="744CD747">
            <w:pPr>
              <w:spacing w:line="360" w:lineRule="auto"/>
              <w:rPr>
                <w:rFonts w:hint="eastAsia" w:ascii="宋体" w:hAnsi="宋体"/>
                <w:b/>
                <w:bCs/>
                <w:color w:val="auto"/>
                <w:szCs w:val="21"/>
                <w:highlight w:val="none"/>
              </w:rPr>
            </w:pPr>
          </w:p>
        </w:tc>
        <w:tc>
          <w:tcPr>
            <w:tcW w:w="1590" w:type="dxa"/>
            <w:vAlign w:val="center"/>
          </w:tcPr>
          <w:p w14:paraId="4F2438E8">
            <w:pPr>
              <w:spacing w:line="360" w:lineRule="auto"/>
              <w:rPr>
                <w:rFonts w:hint="eastAsia" w:ascii="宋体" w:hAnsi="宋体"/>
                <w:b/>
                <w:bCs/>
                <w:color w:val="auto"/>
                <w:sz w:val="24"/>
                <w:highlight w:val="none"/>
              </w:rPr>
            </w:pPr>
          </w:p>
        </w:tc>
        <w:tc>
          <w:tcPr>
            <w:tcW w:w="1445" w:type="dxa"/>
          </w:tcPr>
          <w:p w14:paraId="6E94ADE7">
            <w:pPr>
              <w:spacing w:line="360" w:lineRule="auto"/>
              <w:jc w:val="left"/>
              <w:rPr>
                <w:rFonts w:hint="eastAsia" w:ascii="宋体" w:hAnsi="宋体"/>
                <w:b/>
                <w:bCs/>
                <w:color w:val="auto"/>
                <w:szCs w:val="21"/>
                <w:highlight w:val="none"/>
              </w:rPr>
            </w:pPr>
          </w:p>
        </w:tc>
        <w:tc>
          <w:tcPr>
            <w:tcW w:w="1649" w:type="dxa"/>
            <w:vAlign w:val="center"/>
          </w:tcPr>
          <w:p w14:paraId="60431538">
            <w:pPr>
              <w:spacing w:line="360" w:lineRule="auto"/>
              <w:rPr>
                <w:rFonts w:hint="eastAsia" w:ascii="宋体" w:hAnsi="宋体"/>
                <w:b/>
                <w:bCs/>
                <w:color w:val="auto"/>
                <w:sz w:val="24"/>
                <w:highlight w:val="none"/>
              </w:rPr>
            </w:pPr>
          </w:p>
        </w:tc>
      </w:tr>
      <w:tr w14:paraId="1686F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24FC2669">
            <w:pPr>
              <w:spacing w:line="360" w:lineRule="auto"/>
              <w:jc w:val="left"/>
              <w:rPr>
                <w:rFonts w:hint="eastAsia" w:ascii="宋体" w:hAnsi="宋体"/>
                <w:b/>
                <w:bCs/>
                <w:color w:val="auto"/>
                <w:sz w:val="24"/>
                <w:highlight w:val="none"/>
              </w:rPr>
            </w:pPr>
          </w:p>
        </w:tc>
        <w:tc>
          <w:tcPr>
            <w:tcW w:w="1713" w:type="dxa"/>
          </w:tcPr>
          <w:p w14:paraId="7FB64F86">
            <w:pPr>
              <w:spacing w:line="360" w:lineRule="auto"/>
              <w:jc w:val="left"/>
              <w:rPr>
                <w:rFonts w:hint="eastAsia" w:ascii="宋体" w:hAnsi="宋体"/>
                <w:b/>
                <w:bCs/>
                <w:color w:val="auto"/>
                <w:sz w:val="24"/>
                <w:highlight w:val="none"/>
              </w:rPr>
            </w:pPr>
          </w:p>
        </w:tc>
        <w:tc>
          <w:tcPr>
            <w:tcW w:w="2170" w:type="dxa"/>
          </w:tcPr>
          <w:p w14:paraId="679417DD">
            <w:pPr>
              <w:spacing w:line="360" w:lineRule="auto"/>
              <w:jc w:val="left"/>
              <w:rPr>
                <w:rFonts w:hint="eastAsia" w:ascii="宋体" w:hAnsi="宋体"/>
                <w:b/>
                <w:bCs/>
                <w:color w:val="auto"/>
                <w:sz w:val="24"/>
                <w:highlight w:val="none"/>
              </w:rPr>
            </w:pPr>
          </w:p>
        </w:tc>
        <w:tc>
          <w:tcPr>
            <w:tcW w:w="1590" w:type="dxa"/>
          </w:tcPr>
          <w:p w14:paraId="16E5AF08">
            <w:pPr>
              <w:spacing w:line="360" w:lineRule="auto"/>
              <w:jc w:val="left"/>
              <w:rPr>
                <w:rFonts w:hint="eastAsia" w:ascii="宋体" w:hAnsi="宋体"/>
                <w:b/>
                <w:bCs/>
                <w:color w:val="auto"/>
                <w:sz w:val="24"/>
                <w:highlight w:val="none"/>
              </w:rPr>
            </w:pPr>
          </w:p>
        </w:tc>
        <w:tc>
          <w:tcPr>
            <w:tcW w:w="1445" w:type="dxa"/>
          </w:tcPr>
          <w:p w14:paraId="4321BCF7">
            <w:pPr>
              <w:spacing w:line="360" w:lineRule="auto"/>
              <w:jc w:val="left"/>
              <w:rPr>
                <w:rFonts w:hint="eastAsia" w:ascii="宋体" w:hAnsi="宋体"/>
                <w:b/>
                <w:bCs/>
                <w:color w:val="auto"/>
                <w:sz w:val="24"/>
                <w:highlight w:val="none"/>
              </w:rPr>
            </w:pPr>
          </w:p>
        </w:tc>
        <w:tc>
          <w:tcPr>
            <w:tcW w:w="1649" w:type="dxa"/>
          </w:tcPr>
          <w:p w14:paraId="467F854F">
            <w:pPr>
              <w:spacing w:line="360" w:lineRule="auto"/>
              <w:jc w:val="left"/>
              <w:rPr>
                <w:rFonts w:hint="eastAsia" w:ascii="宋体" w:hAnsi="宋体"/>
                <w:b/>
                <w:bCs/>
                <w:color w:val="auto"/>
                <w:sz w:val="24"/>
                <w:highlight w:val="none"/>
              </w:rPr>
            </w:pPr>
          </w:p>
        </w:tc>
      </w:tr>
      <w:tr w14:paraId="21A2F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44790E77">
            <w:pPr>
              <w:spacing w:line="360" w:lineRule="auto"/>
              <w:jc w:val="left"/>
              <w:rPr>
                <w:rFonts w:hint="eastAsia" w:ascii="宋体" w:hAnsi="宋体"/>
                <w:b/>
                <w:bCs/>
                <w:color w:val="auto"/>
                <w:sz w:val="24"/>
                <w:highlight w:val="none"/>
              </w:rPr>
            </w:pPr>
          </w:p>
        </w:tc>
        <w:tc>
          <w:tcPr>
            <w:tcW w:w="1713" w:type="dxa"/>
          </w:tcPr>
          <w:p w14:paraId="3501FEBE">
            <w:pPr>
              <w:spacing w:line="360" w:lineRule="auto"/>
              <w:jc w:val="left"/>
              <w:rPr>
                <w:rFonts w:hint="eastAsia" w:ascii="宋体" w:hAnsi="宋体"/>
                <w:b/>
                <w:bCs/>
                <w:color w:val="auto"/>
                <w:sz w:val="24"/>
                <w:highlight w:val="none"/>
              </w:rPr>
            </w:pPr>
          </w:p>
        </w:tc>
        <w:tc>
          <w:tcPr>
            <w:tcW w:w="2170" w:type="dxa"/>
          </w:tcPr>
          <w:p w14:paraId="77080F61">
            <w:pPr>
              <w:spacing w:line="360" w:lineRule="auto"/>
              <w:jc w:val="left"/>
              <w:rPr>
                <w:rFonts w:hint="eastAsia" w:ascii="宋体" w:hAnsi="宋体"/>
                <w:b/>
                <w:bCs/>
                <w:color w:val="auto"/>
                <w:sz w:val="24"/>
                <w:highlight w:val="none"/>
              </w:rPr>
            </w:pPr>
          </w:p>
        </w:tc>
        <w:tc>
          <w:tcPr>
            <w:tcW w:w="1590" w:type="dxa"/>
          </w:tcPr>
          <w:p w14:paraId="33A01799">
            <w:pPr>
              <w:spacing w:line="360" w:lineRule="auto"/>
              <w:jc w:val="left"/>
              <w:rPr>
                <w:rFonts w:hint="eastAsia" w:ascii="宋体" w:hAnsi="宋体"/>
                <w:b/>
                <w:bCs/>
                <w:color w:val="auto"/>
                <w:sz w:val="24"/>
                <w:highlight w:val="none"/>
              </w:rPr>
            </w:pPr>
          </w:p>
        </w:tc>
        <w:tc>
          <w:tcPr>
            <w:tcW w:w="1445" w:type="dxa"/>
          </w:tcPr>
          <w:p w14:paraId="6C3C9935">
            <w:pPr>
              <w:pStyle w:val="76"/>
              <w:rPr>
                <w:rFonts w:ascii="宋体" w:hAnsi="宋体" w:cs="宋体"/>
                <w:color w:val="auto"/>
                <w:szCs w:val="21"/>
                <w:highlight w:val="none"/>
              </w:rPr>
            </w:pPr>
          </w:p>
        </w:tc>
        <w:tc>
          <w:tcPr>
            <w:tcW w:w="1649" w:type="dxa"/>
          </w:tcPr>
          <w:p w14:paraId="39E11055">
            <w:pPr>
              <w:spacing w:line="360" w:lineRule="auto"/>
              <w:jc w:val="left"/>
              <w:rPr>
                <w:rFonts w:hint="eastAsia" w:ascii="宋体" w:hAnsi="宋体"/>
                <w:b/>
                <w:bCs/>
                <w:color w:val="auto"/>
                <w:sz w:val="24"/>
                <w:highlight w:val="none"/>
              </w:rPr>
            </w:pPr>
          </w:p>
        </w:tc>
      </w:tr>
      <w:tr w14:paraId="6D827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3EB30529">
            <w:pPr>
              <w:spacing w:line="360" w:lineRule="auto"/>
              <w:jc w:val="left"/>
              <w:rPr>
                <w:rFonts w:hint="eastAsia" w:ascii="宋体" w:hAnsi="宋体"/>
                <w:b/>
                <w:bCs/>
                <w:color w:val="auto"/>
                <w:sz w:val="24"/>
                <w:highlight w:val="none"/>
              </w:rPr>
            </w:pPr>
          </w:p>
        </w:tc>
        <w:tc>
          <w:tcPr>
            <w:tcW w:w="1713" w:type="dxa"/>
          </w:tcPr>
          <w:p w14:paraId="491411BB">
            <w:pPr>
              <w:spacing w:line="360" w:lineRule="auto"/>
              <w:jc w:val="left"/>
              <w:rPr>
                <w:rFonts w:hint="eastAsia" w:ascii="宋体" w:hAnsi="宋体"/>
                <w:b/>
                <w:bCs/>
                <w:color w:val="auto"/>
                <w:sz w:val="24"/>
                <w:highlight w:val="none"/>
              </w:rPr>
            </w:pPr>
          </w:p>
        </w:tc>
        <w:tc>
          <w:tcPr>
            <w:tcW w:w="2170" w:type="dxa"/>
          </w:tcPr>
          <w:p w14:paraId="334179C6">
            <w:pPr>
              <w:spacing w:line="360" w:lineRule="auto"/>
              <w:jc w:val="left"/>
              <w:rPr>
                <w:rFonts w:hint="eastAsia" w:ascii="宋体" w:hAnsi="宋体"/>
                <w:b/>
                <w:bCs/>
                <w:color w:val="auto"/>
                <w:sz w:val="24"/>
                <w:highlight w:val="none"/>
              </w:rPr>
            </w:pPr>
          </w:p>
        </w:tc>
        <w:tc>
          <w:tcPr>
            <w:tcW w:w="1590" w:type="dxa"/>
          </w:tcPr>
          <w:p w14:paraId="77A7E77A">
            <w:pPr>
              <w:pStyle w:val="76"/>
              <w:spacing w:before="2"/>
              <w:rPr>
                <w:rFonts w:hint="eastAsia" w:ascii="宋体" w:hAnsi="宋体" w:cs="宋体"/>
                <w:b/>
                <w:bCs/>
                <w:color w:val="auto"/>
                <w:szCs w:val="21"/>
                <w:highlight w:val="none"/>
              </w:rPr>
            </w:pPr>
          </w:p>
        </w:tc>
        <w:tc>
          <w:tcPr>
            <w:tcW w:w="1445" w:type="dxa"/>
          </w:tcPr>
          <w:p w14:paraId="0655E8C3">
            <w:pPr>
              <w:spacing w:line="360" w:lineRule="auto"/>
              <w:jc w:val="left"/>
              <w:rPr>
                <w:rFonts w:hint="eastAsia" w:ascii="宋体" w:hAnsi="宋体"/>
                <w:b/>
                <w:bCs/>
                <w:color w:val="auto"/>
                <w:sz w:val="24"/>
                <w:highlight w:val="none"/>
              </w:rPr>
            </w:pPr>
          </w:p>
        </w:tc>
        <w:tc>
          <w:tcPr>
            <w:tcW w:w="1649" w:type="dxa"/>
          </w:tcPr>
          <w:p w14:paraId="34CD922D">
            <w:pPr>
              <w:spacing w:line="360" w:lineRule="auto"/>
              <w:jc w:val="left"/>
              <w:rPr>
                <w:rFonts w:hint="eastAsia" w:ascii="宋体" w:hAnsi="宋体"/>
                <w:b/>
                <w:bCs/>
                <w:color w:val="auto"/>
                <w:sz w:val="24"/>
                <w:highlight w:val="none"/>
              </w:rPr>
            </w:pPr>
          </w:p>
        </w:tc>
      </w:tr>
      <w:tr w14:paraId="2E56E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52622AC9">
            <w:pPr>
              <w:spacing w:line="360" w:lineRule="auto"/>
              <w:jc w:val="left"/>
              <w:rPr>
                <w:rFonts w:hint="eastAsia" w:ascii="宋体" w:hAnsi="宋体"/>
                <w:b/>
                <w:bCs/>
                <w:color w:val="auto"/>
                <w:sz w:val="24"/>
                <w:highlight w:val="none"/>
              </w:rPr>
            </w:pPr>
          </w:p>
        </w:tc>
        <w:tc>
          <w:tcPr>
            <w:tcW w:w="1713" w:type="dxa"/>
          </w:tcPr>
          <w:p w14:paraId="506C693A">
            <w:pPr>
              <w:spacing w:line="360" w:lineRule="auto"/>
              <w:jc w:val="left"/>
              <w:rPr>
                <w:rFonts w:hint="eastAsia" w:ascii="宋体" w:hAnsi="宋体"/>
                <w:b/>
                <w:bCs/>
                <w:color w:val="auto"/>
                <w:sz w:val="24"/>
                <w:highlight w:val="none"/>
              </w:rPr>
            </w:pPr>
          </w:p>
        </w:tc>
        <w:tc>
          <w:tcPr>
            <w:tcW w:w="2170" w:type="dxa"/>
          </w:tcPr>
          <w:p w14:paraId="1C5AA593">
            <w:pPr>
              <w:spacing w:line="360" w:lineRule="auto"/>
              <w:jc w:val="left"/>
              <w:rPr>
                <w:rFonts w:hint="eastAsia" w:ascii="宋体" w:hAnsi="宋体"/>
                <w:b/>
                <w:bCs/>
                <w:color w:val="auto"/>
                <w:sz w:val="24"/>
                <w:highlight w:val="none"/>
              </w:rPr>
            </w:pPr>
          </w:p>
        </w:tc>
        <w:tc>
          <w:tcPr>
            <w:tcW w:w="1590" w:type="dxa"/>
          </w:tcPr>
          <w:p w14:paraId="16706BF0">
            <w:pPr>
              <w:spacing w:line="360" w:lineRule="auto"/>
              <w:jc w:val="left"/>
              <w:rPr>
                <w:rFonts w:hint="eastAsia" w:ascii="宋体" w:hAnsi="宋体"/>
                <w:b/>
                <w:bCs/>
                <w:color w:val="auto"/>
                <w:sz w:val="24"/>
                <w:highlight w:val="none"/>
              </w:rPr>
            </w:pPr>
          </w:p>
        </w:tc>
        <w:tc>
          <w:tcPr>
            <w:tcW w:w="1445" w:type="dxa"/>
            <w:vAlign w:val="center"/>
          </w:tcPr>
          <w:p w14:paraId="06ED1D38">
            <w:pPr>
              <w:pStyle w:val="76"/>
              <w:rPr>
                <w:rFonts w:ascii="宋体" w:hAnsi="宋体" w:cs="宋体"/>
                <w:color w:val="auto"/>
                <w:szCs w:val="21"/>
                <w:highlight w:val="none"/>
              </w:rPr>
            </w:pPr>
          </w:p>
        </w:tc>
        <w:tc>
          <w:tcPr>
            <w:tcW w:w="1649" w:type="dxa"/>
          </w:tcPr>
          <w:p w14:paraId="514A8E1C">
            <w:pPr>
              <w:spacing w:line="360" w:lineRule="auto"/>
              <w:jc w:val="left"/>
              <w:rPr>
                <w:rFonts w:hint="eastAsia" w:ascii="宋体" w:hAnsi="宋体"/>
                <w:b/>
                <w:bCs/>
                <w:color w:val="auto"/>
                <w:sz w:val="24"/>
                <w:highlight w:val="none"/>
              </w:rPr>
            </w:pPr>
          </w:p>
        </w:tc>
      </w:tr>
      <w:tr w14:paraId="466BA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3080525D">
            <w:pPr>
              <w:spacing w:line="360" w:lineRule="auto"/>
              <w:jc w:val="left"/>
              <w:rPr>
                <w:rFonts w:hint="eastAsia" w:ascii="宋体" w:hAnsi="宋体"/>
                <w:b/>
                <w:bCs/>
                <w:color w:val="auto"/>
                <w:sz w:val="24"/>
                <w:highlight w:val="none"/>
              </w:rPr>
            </w:pPr>
          </w:p>
        </w:tc>
        <w:tc>
          <w:tcPr>
            <w:tcW w:w="1713" w:type="dxa"/>
          </w:tcPr>
          <w:p w14:paraId="536DBC70">
            <w:pPr>
              <w:spacing w:line="360" w:lineRule="auto"/>
              <w:jc w:val="left"/>
              <w:rPr>
                <w:rFonts w:hint="eastAsia" w:ascii="宋体" w:hAnsi="宋体"/>
                <w:b/>
                <w:bCs/>
                <w:color w:val="auto"/>
                <w:sz w:val="24"/>
                <w:highlight w:val="none"/>
              </w:rPr>
            </w:pPr>
          </w:p>
        </w:tc>
        <w:tc>
          <w:tcPr>
            <w:tcW w:w="2170" w:type="dxa"/>
          </w:tcPr>
          <w:p w14:paraId="0BD940A0">
            <w:pPr>
              <w:spacing w:line="360" w:lineRule="auto"/>
              <w:jc w:val="left"/>
              <w:rPr>
                <w:rFonts w:hint="eastAsia" w:ascii="宋体" w:hAnsi="宋体"/>
                <w:b/>
                <w:bCs/>
                <w:color w:val="auto"/>
                <w:sz w:val="24"/>
                <w:highlight w:val="none"/>
              </w:rPr>
            </w:pPr>
          </w:p>
        </w:tc>
        <w:tc>
          <w:tcPr>
            <w:tcW w:w="1590" w:type="dxa"/>
          </w:tcPr>
          <w:p w14:paraId="61F394D9">
            <w:pPr>
              <w:spacing w:line="360" w:lineRule="auto"/>
              <w:jc w:val="left"/>
              <w:rPr>
                <w:rFonts w:hint="eastAsia" w:ascii="宋体" w:hAnsi="宋体"/>
                <w:b/>
                <w:bCs/>
                <w:color w:val="auto"/>
                <w:sz w:val="24"/>
                <w:highlight w:val="none"/>
              </w:rPr>
            </w:pPr>
          </w:p>
        </w:tc>
        <w:tc>
          <w:tcPr>
            <w:tcW w:w="1445" w:type="dxa"/>
          </w:tcPr>
          <w:p w14:paraId="390681F4">
            <w:pPr>
              <w:pStyle w:val="76"/>
              <w:spacing w:before="146"/>
              <w:rPr>
                <w:rFonts w:ascii="宋体" w:hAnsi="宋体" w:cs="宋体"/>
                <w:color w:val="auto"/>
                <w:szCs w:val="21"/>
                <w:highlight w:val="none"/>
              </w:rPr>
            </w:pPr>
          </w:p>
        </w:tc>
        <w:tc>
          <w:tcPr>
            <w:tcW w:w="1649" w:type="dxa"/>
          </w:tcPr>
          <w:p w14:paraId="2959E861">
            <w:pPr>
              <w:spacing w:line="360" w:lineRule="auto"/>
              <w:jc w:val="left"/>
              <w:rPr>
                <w:rFonts w:hint="eastAsia" w:ascii="宋体" w:hAnsi="宋体"/>
                <w:b/>
                <w:bCs/>
                <w:color w:val="auto"/>
                <w:sz w:val="24"/>
                <w:highlight w:val="none"/>
              </w:rPr>
            </w:pPr>
          </w:p>
        </w:tc>
      </w:tr>
      <w:tr w14:paraId="47D43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62" w:type="dxa"/>
          </w:tcPr>
          <w:p w14:paraId="74D90398">
            <w:pPr>
              <w:spacing w:line="360" w:lineRule="auto"/>
              <w:jc w:val="left"/>
              <w:rPr>
                <w:rFonts w:hint="eastAsia" w:ascii="宋体" w:hAnsi="宋体"/>
                <w:b/>
                <w:bCs/>
                <w:color w:val="auto"/>
                <w:sz w:val="24"/>
                <w:highlight w:val="none"/>
              </w:rPr>
            </w:pPr>
          </w:p>
        </w:tc>
        <w:tc>
          <w:tcPr>
            <w:tcW w:w="1713" w:type="dxa"/>
          </w:tcPr>
          <w:p w14:paraId="291566DC">
            <w:pPr>
              <w:spacing w:line="360" w:lineRule="auto"/>
              <w:jc w:val="left"/>
              <w:rPr>
                <w:rFonts w:hint="eastAsia" w:ascii="宋体" w:hAnsi="宋体"/>
                <w:b/>
                <w:bCs/>
                <w:color w:val="auto"/>
                <w:sz w:val="24"/>
                <w:highlight w:val="none"/>
              </w:rPr>
            </w:pPr>
          </w:p>
        </w:tc>
        <w:tc>
          <w:tcPr>
            <w:tcW w:w="2170" w:type="dxa"/>
          </w:tcPr>
          <w:p w14:paraId="6BCD401F">
            <w:pPr>
              <w:spacing w:line="360" w:lineRule="auto"/>
              <w:jc w:val="left"/>
              <w:rPr>
                <w:rFonts w:hint="eastAsia" w:ascii="宋体" w:hAnsi="宋体"/>
                <w:b/>
                <w:bCs/>
                <w:color w:val="auto"/>
                <w:sz w:val="24"/>
                <w:highlight w:val="none"/>
              </w:rPr>
            </w:pPr>
          </w:p>
        </w:tc>
        <w:tc>
          <w:tcPr>
            <w:tcW w:w="1590" w:type="dxa"/>
          </w:tcPr>
          <w:p w14:paraId="63165285">
            <w:pPr>
              <w:spacing w:line="360" w:lineRule="auto"/>
              <w:jc w:val="left"/>
              <w:rPr>
                <w:rFonts w:hint="eastAsia" w:ascii="宋体" w:hAnsi="宋体"/>
                <w:b/>
                <w:bCs/>
                <w:color w:val="auto"/>
                <w:sz w:val="24"/>
                <w:highlight w:val="none"/>
              </w:rPr>
            </w:pPr>
          </w:p>
        </w:tc>
        <w:tc>
          <w:tcPr>
            <w:tcW w:w="1445" w:type="dxa"/>
          </w:tcPr>
          <w:p w14:paraId="41CE67FB">
            <w:pPr>
              <w:spacing w:line="360" w:lineRule="auto"/>
              <w:jc w:val="left"/>
              <w:rPr>
                <w:rFonts w:hint="eastAsia" w:ascii="宋体" w:hAnsi="宋体"/>
                <w:b/>
                <w:bCs/>
                <w:color w:val="auto"/>
                <w:sz w:val="24"/>
                <w:highlight w:val="none"/>
              </w:rPr>
            </w:pPr>
          </w:p>
        </w:tc>
        <w:tc>
          <w:tcPr>
            <w:tcW w:w="1649" w:type="dxa"/>
          </w:tcPr>
          <w:p w14:paraId="0C4080E6">
            <w:pPr>
              <w:spacing w:line="360" w:lineRule="auto"/>
              <w:jc w:val="left"/>
              <w:rPr>
                <w:rFonts w:hint="eastAsia" w:ascii="宋体" w:hAnsi="宋体"/>
                <w:b/>
                <w:bCs/>
                <w:color w:val="auto"/>
                <w:sz w:val="24"/>
                <w:highlight w:val="none"/>
              </w:rPr>
            </w:pPr>
          </w:p>
        </w:tc>
      </w:tr>
      <w:tr w14:paraId="0DB3A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62" w:type="dxa"/>
          </w:tcPr>
          <w:p w14:paraId="1BD63F4B">
            <w:pPr>
              <w:spacing w:line="360" w:lineRule="auto"/>
              <w:jc w:val="left"/>
              <w:rPr>
                <w:rFonts w:hint="eastAsia" w:ascii="宋体" w:hAnsi="宋体"/>
                <w:b/>
                <w:bCs/>
                <w:color w:val="auto"/>
                <w:sz w:val="24"/>
                <w:highlight w:val="none"/>
              </w:rPr>
            </w:pPr>
          </w:p>
        </w:tc>
        <w:tc>
          <w:tcPr>
            <w:tcW w:w="1713" w:type="dxa"/>
          </w:tcPr>
          <w:p w14:paraId="6ABFA2BF">
            <w:pPr>
              <w:spacing w:line="360" w:lineRule="auto"/>
              <w:jc w:val="left"/>
              <w:rPr>
                <w:rFonts w:hint="eastAsia" w:ascii="宋体" w:hAnsi="宋体"/>
                <w:b/>
                <w:bCs/>
                <w:color w:val="auto"/>
                <w:sz w:val="24"/>
                <w:highlight w:val="none"/>
              </w:rPr>
            </w:pPr>
          </w:p>
        </w:tc>
        <w:tc>
          <w:tcPr>
            <w:tcW w:w="2170" w:type="dxa"/>
          </w:tcPr>
          <w:p w14:paraId="062722FE">
            <w:pPr>
              <w:spacing w:line="360" w:lineRule="auto"/>
              <w:jc w:val="left"/>
              <w:rPr>
                <w:rFonts w:hint="eastAsia" w:ascii="宋体" w:hAnsi="宋体"/>
                <w:b/>
                <w:bCs/>
                <w:color w:val="auto"/>
                <w:sz w:val="24"/>
                <w:highlight w:val="none"/>
              </w:rPr>
            </w:pPr>
          </w:p>
        </w:tc>
        <w:tc>
          <w:tcPr>
            <w:tcW w:w="1590" w:type="dxa"/>
          </w:tcPr>
          <w:p w14:paraId="1602B1C9">
            <w:pPr>
              <w:spacing w:line="360" w:lineRule="auto"/>
              <w:jc w:val="left"/>
              <w:rPr>
                <w:rFonts w:hint="eastAsia" w:ascii="宋体" w:hAnsi="宋体"/>
                <w:b/>
                <w:bCs/>
                <w:color w:val="auto"/>
                <w:sz w:val="24"/>
                <w:highlight w:val="none"/>
              </w:rPr>
            </w:pPr>
          </w:p>
        </w:tc>
        <w:tc>
          <w:tcPr>
            <w:tcW w:w="1445" w:type="dxa"/>
          </w:tcPr>
          <w:p w14:paraId="1D0AEE63">
            <w:pPr>
              <w:spacing w:line="360" w:lineRule="auto"/>
              <w:jc w:val="left"/>
              <w:rPr>
                <w:rFonts w:hint="eastAsia" w:ascii="宋体" w:hAnsi="宋体"/>
                <w:b/>
                <w:bCs/>
                <w:color w:val="auto"/>
                <w:sz w:val="24"/>
                <w:highlight w:val="none"/>
              </w:rPr>
            </w:pPr>
          </w:p>
        </w:tc>
        <w:tc>
          <w:tcPr>
            <w:tcW w:w="1649" w:type="dxa"/>
          </w:tcPr>
          <w:p w14:paraId="09B311EB">
            <w:pPr>
              <w:spacing w:line="360" w:lineRule="auto"/>
              <w:jc w:val="left"/>
              <w:rPr>
                <w:rFonts w:hint="eastAsia" w:ascii="宋体" w:hAnsi="宋体"/>
                <w:b/>
                <w:bCs/>
                <w:color w:val="auto"/>
                <w:sz w:val="24"/>
                <w:highlight w:val="none"/>
              </w:rPr>
            </w:pPr>
          </w:p>
        </w:tc>
      </w:tr>
    </w:tbl>
    <w:p w14:paraId="5333E909">
      <w:pPr>
        <w:spacing w:line="360" w:lineRule="auto"/>
        <w:ind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附：合同或中标（成交）通知书复印件</w:t>
      </w:r>
    </w:p>
    <w:p w14:paraId="3C5C82AE">
      <w:pPr>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注：1.</w:t>
      </w:r>
      <w:r>
        <w:rPr>
          <w:rFonts w:hint="eastAsia" w:ascii="宋体" w:hAnsi="宋体"/>
          <w:color w:val="auto"/>
          <w:szCs w:val="21"/>
          <w:highlight w:val="none"/>
          <w:lang w:val="en-US" w:eastAsia="zh-CN"/>
        </w:rPr>
        <w:t>供应商</w:t>
      </w:r>
      <w:r>
        <w:rPr>
          <w:rFonts w:hint="eastAsia" w:ascii="宋体" w:hAnsi="宋体"/>
          <w:color w:val="auto"/>
          <w:szCs w:val="21"/>
          <w:highlight w:val="none"/>
        </w:rPr>
        <w:t>应根据</w:t>
      </w:r>
      <w:r>
        <w:rPr>
          <w:rFonts w:hint="eastAsia" w:ascii="宋体" w:hAnsi="宋体"/>
          <w:color w:val="auto"/>
          <w:szCs w:val="21"/>
          <w:highlight w:val="none"/>
          <w:lang w:val="en-US" w:eastAsia="zh-CN"/>
        </w:rPr>
        <w:t>供应商</w:t>
      </w:r>
      <w:r>
        <w:rPr>
          <w:rFonts w:hint="eastAsia" w:ascii="宋体" w:hAnsi="宋体"/>
          <w:color w:val="auto"/>
          <w:szCs w:val="21"/>
          <w:highlight w:val="none"/>
        </w:rPr>
        <w:t>须知要求在本表后附相关证明材料。</w:t>
      </w:r>
    </w:p>
    <w:p w14:paraId="5D8ED8B7">
      <w:pPr>
        <w:pStyle w:val="54"/>
        <w:rPr>
          <w:rFonts w:hint="eastAsia" w:hAnsi="宋体"/>
          <w:b/>
          <w:bCs/>
          <w:color w:val="auto"/>
          <w:sz w:val="32"/>
          <w:szCs w:val="32"/>
          <w:highlight w:val="none"/>
        </w:rPr>
      </w:pPr>
    </w:p>
    <w:p w14:paraId="03200B5E">
      <w:pPr>
        <w:pStyle w:val="54"/>
        <w:rPr>
          <w:rFonts w:hint="eastAsia" w:hAnsi="宋体"/>
          <w:b/>
          <w:bCs/>
          <w:color w:val="auto"/>
          <w:sz w:val="32"/>
          <w:szCs w:val="32"/>
          <w:highlight w:val="none"/>
        </w:rPr>
      </w:pPr>
    </w:p>
    <w:p w14:paraId="31888052">
      <w:pPr>
        <w:pStyle w:val="54"/>
        <w:rPr>
          <w:rFonts w:hint="eastAsia" w:hAnsi="宋体"/>
          <w:b/>
          <w:bCs/>
          <w:color w:val="auto"/>
          <w:sz w:val="32"/>
          <w:szCs w:val="32"/>
          <w:highlight w:val="none"/>
        </w:rPr>
      </w:pPr>
    </w:p>
    <w:p w14:paraId="4FE254C1">
      <w:pPr>
        <w:pStyle w:val="54"/>
        <w:rPr>
          <w:rFonts w:hint="eastAsia" w:hAnsi="宋体"/>
          <w:b/>
          <w:bCs/>
          <w:color w:val="auto"/>
          <w:sz w:val="32"/>
          <w:szCs w:val="32"/>
          <w:highlight w:val="none"/>
        </w:rPr>
      </w:pPr>
    </w:p>
    <w:p w14:paraId="37DE60AB">
      <w:pPr>
        <w:spacing w:line="360" w:lineRule="auto"/>
        <w:jc w:val="center"/>
        <w:outlineLvl w:val="2"/>
        <w:rPr>
          <w:rStyle w:val="66"/>
          <w:rFonts w:hint="eastAsia" w:ascii="宋体" w:hAnsi="宋体" w:eastAsia="宋体" w:cs="宋体"/>
          <w:color w:val="auto"/>
          <w:sz w:val="28"/>
          <w:szCs w:val="28"/>
          <w:highlight w:val="none"/>
          <w:lang w:val="en-US" w:eastAsia="zh-CN"/>
        </w:rPr>
      </w:pPr>
    </w:p>
    <w:p w14:paraId="2C4E2627">
      <w:pPr>
        <w:spacing w:line="360" w:lineRule="auto"/>
        <w:jc w:val="center"/>
        <w:outlineLvl w:val="2"/>
        <w:rPr>
          <w:rStyle w:val="66"/>
          <w:rFonts w:hint="eastAsia" w:ascii="宋体" w:hAnsi="宋体" w:eastAsia="宋体" w:cs="宋体"/>
          <w:color w:val="auto"/>
          <w:sz w:val="28"/>
          <w:szCs w:val="28"/>
          <w:highlight w:val="none"/>
          <w:lang w:val="en-US" w:eastAsia="zh-CN"/>
        </w:rPr>
      </w:pPr>
    </w:p>
    <w:p w14:paraId="29E95713">
      <w:pPr>
        <w:spacing w:line="360" w:lineRule="auto"/>
        <w:jc w:val="center"/>
        <w:outlineLvl w:val="2"/>
        <w:rPr>
          <w:rStyle w:val="66"/>
          <w:rFonts w:hint="eastAsia" w:ascii="宋体" w:hAnsi="宋体" w:eastAsia="宋体" w:cs="宋体"/>
          <w:color w:val="auto"/>
          <w:sz w:val="28"/>
          <w:szCs w:val="28"/>
          <w:highlight w:val="none"/>
          <w:lang w:val="en-US" w:eastAsia="zh-CN"/>
        </w:rPr>
      </w:pPr>
    </w:p>
    <w:p w14:paraId="765671FC">
      <w:pPr>
        <w:pStyle w:val="12"/>
        <w:rPr>
          <w:rStyle w:val="66"/>
          <w:rFonts w:hint="eastAsia" w:ascii="宋体" w:hAnsi="宋体" w:eastAsia="宋体" w:cs="宋体"/>
          <w:color w:val="auto"/>
          <w:sz w:val="28"/>
          <w:szCs w:val="28"/>
          <w:highlight w:val="none"/>
          <w:lang w:val="en-US" w:eastAsia="zh-CN"/>
        </w:rPr>
      </w:pPr>
    </w:p>
    <w:p w14:paraId="4AC659ED">
      <w:pPr>
        <w:pStyle w:val="9"/>
        <w:rPr>
          <w:rFonts w:hint="eastAsia"/>
          <w:color w:val="auto"/>
          <w:highlight w:val="none"/>
          <w:lang w:val="en-US" w:eastAsia="zh-CN"/>
        </w:rPr>
      </w:pPr>
    </w:p>
    <w:p w14:paraId="6DB0338C">
      <w:pPr>
        <w:numPr>
          <w:ilvl w:val="0"/>
          <w:numId w:val="0"/>
        </w:numPr>
        <w:spacing w:line="360" w:lineRule="auto"/>
        <w:jc w:val="center"/>
        <w:outlineLvl w:val="2"/>
        <w:rPr>
          <w:rStyle w:val="66"/>
          <w:rFonts w:hint="eastAsia" w:asciiTheme="majorEastAsia" w:hAnsiTheme="majorEastAsia" w:eastAsiaTheme="majorEastAsia" w:cstheme="majorEastAsia"/>
          <w:color w:val="auto"/>
          <w:sz w:val="30"/>
          <w:szCs w:val="30"/>
          <w:highlight w:val="none"/>
          <w:lang w:val="en-US" w:eastAsia="zh-CN"/>
        </w:rPr>
      </w:pPr>
      <w:r>
        <w:rPr>
          <w:rFonts w:hint="eastAsia" w:asciiTheme="majorEastAsia" w:hAnsiTheme="majorEastAsia" w:eastAsiaTheme="majorEastAsia" w:cstheme="majorEastAsia"/>
          <w:b/>
          <w:bCs/>
          <w:color w:val="auto"/>
          <w:kern w:val="2"/>
          <w:sz w:val="30"/>
          <w:szCs w:val="30"/>
          <w:highlight w:val="none"/>
          <w:lang w:val="en-US" w:eastAsia="zh-CN" w:bidi="ar-SA"/>
        </w:rPr>
        <w:t>十、</w:t>
      </w:r>
      <w:r>
        <w:rPr>
          <w:rStyle w:val="66"/>
          <w:rFonts w:hint="eastAsia" w:asciiTheme="majorEastAsia" w:hAnsiTheme="majorEastAsia" w:eastAsiaTheme="majorEastAsia" w:cstheme="majorEastAsia"/>
          <w:color w:val="auto"/>
          <w:sz w:val="30"/>
          <w:szCs w:val="30"/>
          <w:highlight w:val="none"/>
        </w:rPr>
        <w:t>服务</w:t>
      </w:r>
      <w:r>
        <w:rPr>
          <w:rStyle w:val="66"/>
          <w:rFonts w:hint="eastAsia" w:asciiTheme="majorEastAsia" w:hAnsiTheme="majorEastAsia" w:eastAsiaTheme="majorEastAsia" w:cstheme="majorEastAsia"/>
          <w:color w:val="auto"/>
          <w:sz w:val="30"/>
          <w:szCs w:val="30"/>
          <w:highlight w:val="none"/>
          <w:lang w:val="en-US" w:eastAsia="zh-CN"/>
        </w:rPr>
        <w:t>方案</w:t>
      </w:r>
    </w:p>
    <w:p w14:paraId="709E8694">
      <w:pPr>
        <w:pStyle w:val="12"/>
        <w:numPr>
          <w:ilvl w:val="0"/>
          <w:numId w:val="0"/>
        </w:numPr>
        <w:rPr>
          <w:rFonts w:hint="eastAsia"/>
          <w:color w:val="auto"/>
          <w:highlight w:val="none"/>
          <w:lang w:val="en-US" w:eastAsia="zh-CN"/>
        </w:rPr>
      </w:pPr>
    </w:p>
    <w:p w14:paraId="5776E76E">
      <w:pPr>
        <w:shd w:val="clear" w:color="auto" w:fill="FFFFFF"/>
        <w:spacing w:after="240" w:line="360" w:lineRule="atLeast"/>
        <w:ind w:firstLine="480"/>
        <w:jc w:val="center"/>
        <w:rPr>
          <w:rFonts w:ascii="宋体" w:hAnsi="宋体"/>
          <w:b/>
          <w:bCs/>
          <w:color w:val="auto"/>
          <w:kern w:val="0"/>
          <w:sz w:val="24"/>
          <w:szCs w:val="24"/>
          <w:highlight w:val="none"/>
        </w:rPr>
      </w:pPr>
      <w:r>
        <w:rPr>
          <w:rFonts w:hint="eastAsia" w:ascii="宋体" w:hAnsi="宋体"/>
          <w:b/>
          <w:bCs/>
          <w:color w:val="auto"/>
          <w:kern w:val="0"/>
          <w:sz w:val="24"/>
          <w:szCs w:val="24"/>
          <w:highlight w:val="none"/>
        </w:rPr>
        <w:t>格式自拟</w:t>
      </w:r>
    </w:p>
    <w:p w14:paraId="7D3ED94E">
      <w:pPr>
        <w:spacing w:line="360" w:lineRule="auto"/>
        <w:jc w:val="center"/>
        <w:rPr>
          <w:rFonts w:hint="eastAsia" w:ascii="宋体" w:hAnsi="宋体" w:cs="宋体"/>
          <w:b/>
          <w:color w:val="auto"/>
          <w:sz w:val="28"/>
          <w:szCs w:val="28"/>
          <w:highlight w:val="none"/>
        </w:rPr>
      </w:pPr>
    </w:p>
    <w:p w14:paraId="1D60FC57">
      <w:pPr>
        <w:spacing w:line="360" w:lineRule="auto"/>
        <w:jc w:val="center"/>
        <w:rPr>
          <w:rFonts w:hint="eastAsia" w:ascii="宋体" w:hAnsi="宋体" w:cs="宋体"/>
          <w:b/>
          <w:color w:val="auto"/>
          <w:sz w:val="28"/>
          <w:szCs w:val="28"/>
          <w:highlight w:val="none"/>
        </w:rPr>
      </w:pPr>
    </w:p>
    <w:p w14:paraId="47EFC43D">
      <w:pPr>
        <w:spacing w:line="360" w:lineRule="auto"/>
        <w:jc w:val="center"/>
        <w:rPr>
          <w:rFonts w:hint="eastAsia" w:ascii="宋体" w:hAnsi="宋体" w:cs="宋体"/>
          <w:b/>
          <w:color w:val="auto"/>
          <w:sz w:val="28"/>
          <w:szCs w:val="28"/>
          <w:highlight w:val="none"/>
        </w:rPr>
      </w:pPr>
    </w:p>
    <w:p w14:paraId="60127E64">
      <w:pPr>
        <w:spacing w:line="360" w:lineRule="auto"/>
        <w:jc w:val="center"/>
        <w:rPr>
          <w:rFonts w:hint="eastAsia" w:ascii="宋体" w:hAnsi="宋体" w:cs="宋体"/>
          <w:b/>
          <w:color w:val="auto"/>
          <w:sz w:val="28"/>
          <w:szCs w:val="28"/>
          <w:highlight w:val="none"/>
        </w:rPr>
      </w:pPr>
    </w:p>
    <w:p w14:paraId="0DD3892E">
      <w:pPr>
        <w:pStyle w:val="12"/>
        <w:rPr>
          <w:rFonts w:hint="eastAsia" w:ascii="宋体" w:hAnsi="宋体" w:cs="宋体"/>
          <w:b/>
          <w:color w:val="auto"/>
          <w:sz w:val="28"/>
          <w:szCs w:val="28"/>
          <w:highlight w:val="none"/>
        </w:rPr>
      </w:pPr>
    </w:p>
    <w:p w14:paraId="3CB8D935">
      <w:pPr>
        <w:pStyle w:val="12"/>
        <w:rPr>
          <w:rFonts w:hint="eastAsia" w:ascii="宋体" w:hAnsi="宋体" w:cs="宋体"/>
          <w:b/>
          <w:color w:val="auto"/>
          <w:sz w:val="28"/>
          <w:szCs w:val="28"/>
          <w:highlight w:val="none"/>
        </w:rPr>
      </w:pPr>
    </w:p>
    <w:p w14:paraId="3A9F8C6C">
      <w:pPr>
        <w:pStyle w:val="12"/>
        <w:rPr>
          <w:rFonts w:hint="eastAsia" w:ascii="宋体" w:hAnsi="宋体" w:cs="宋体"/>
          <w:b/>
          <w:color w:val="auto"/>
          <w:sz w:val="28"/>
          <w:szCs w:val="28"/>
          <w:highlight w:val="none"/>
        </w:rPr>
      </w:pPr>
    </w:p>
    <w:p w14:paraId="232C4288">
      <w:pPr>
        <w:pStyle w:val="12"/>
        <w:rPr>
          <w:rFonts w:hint="eastAsia" w:ascii="宋体" w:hAnsi="宋体" w:cs="宋体"/>
          <w:b/>
          <w:color w:val="auto"/>
          <w:sz w:val="28"/>
          <w:szCs w:val="28"/>
          <w:highlight w:val="none"/>
        </w:rPr>
      </w:pPr>
    </w:p>
    <w:p w14:paraId="6654AE7C">
      <w:pPr>
        <w:pStyle w:val="12"/>
        <w:rPr>
          <w:rFonts w:hint="eastAsia" w:ascii="宋体" w:hAnsi="宋体" w:cs="宋体"/>
          <w:b/>
          <w:color w:val="auto"/>
          <w:sz w:val="28"/>
          <w:szCs w:val="28"/>
          <w:highlight w:val="none"/>
        </w:rPr>
      </w:pPr>
    </w:p>
    <w:p w14:paraId="0880F358">
      <w:pPr>
        <w:pStyle w:val="12"/>
        <w:rPr>
          <w:rFonts w:hint="eastAsia" w:ascii="宋体" w:hAnsi="宋体" w:cs="宋体"/>
          <w:b/>
          <w:color w:val="auto"/>
          <w:sz w:val="28"/>
          <w:szCs w:val="28"/>
          <w:highlight w:val="none"/>
        </w:rPr>
      </w:pPr>
    </w:p>
    <w:p w14:paraId="324B8756">
      <w:pPr>
        <w:pStyle w:val="12"/>
        <w:rPr>
          <w:rFonts w:hint="eastAsia" w:ascii="宋体" w:hAnsi="宋体" w:cs="宋体"/>
          <w:b/>
          <w:color w:val="auto"/>
          <w:sz w:val="28"/>
          <w:szCs w:val="28"/>
          <w:highlight w:val="none"/>
        </w:rPr>
      </w:pPr>
    </w:p>
    <w:p w14:paraId="531D3E6A">
      <w:pPr>
        <w:pStyle w:val="12"/>
        <w:rPr>
          <w:rFonts w:hint="eastAsia" w:ascii="宋体" w:hAnsi="宋体" w:cs="宋体"/>
          <w:b/>
          <w:color w:val="auto"/>
          <w:sz w:val="28"/>
          <w:szCs w:val="28"/>
          <w:highlight w:val="none"/>
        </w:rPr>
      </w:pPr>
    </w:p>
    <w:p w14:paraId="36319156">
      <w:pPr>
        <w:pStyle w:val="12"/>
        <w:rPr>
          <w:rFonts w:hint="eastAsia" w:ascii="宋体" w:hAnsi="宋体" w:cs="宋体"/>
          <w:b/>
          <w:color w:val="auto"/>
          <w:sz w:val="28"/>
          <w:szCs w:val="28"/>
          <w:highlight w:val="none"/>
        </w:rPr>
      </w:pPr>
    </w:p>
    <w:p w14:paraId="1832A023">
      <w:pPr>
        <w:pStyle w:val="12"/>
        <w:rPr>
          <w:rFonts w:hint="eastAsia" w:ascii="宋体" w:hAnsi="宋体" w:cs="宋体"/>
          <w:b/>
          <w:color w:val="auto"/>
          <w:sz w:val="28"/>
          <w:szCs w:val="28"/>
          <w:highlight w:val="none"/>
        </w:rPr>
      </w:pPr>
    </w:p>
    <w:p w14:paraId="3FD22E2B">
      <w:pPr>
        <w:pStyle w:val="12"/>
        <w:rPr>
          <w:rFonts w:hint="eastAsia" w:ascii="宋体" w:hAnsi="宋体" w:cs="宋体"/>
          <w:b/>
          <w:color w:val="auto"/>
          <w:sz w:val="28"/>
          <w:szCs w:val="28"/>
          <w:highlight w:val="none"/>
        </w:rPr>
      </w:pPr>
    </w:p>
    <w:p w14:paraId="36E3EECF">
      <w:pPr>
        <w:pStyle w:val="12"/>
        <w:rPr>
          <w:rFonts w:hint="eastAsia" w:ascii="宋体" w:hAnsi="宋体" w:cs="宋体"/>
          <w:b/>
          <w:color w:val="auto"/>
          <w:sz w:val="28"/>
          <w:szCs w:val="28"/>
          <w:highlight w:val="none"/>
        </w:rPr>
      </w:pPr>
    </w:p>
    <w:p w14:paraId="2C30A30A">
      <w:pPr>
        <w:pStyle w:val="12"/>
        <w:rPr>
          <w:rFonts w:hint="eastAsia" w:ascii="宋体" w:hAnsi="宋体" w:cs="宋体"/>
          <w:b/>
          <w:color w:val="auto"/>
          <w:sz w:val="28"/>
          <w:szCs w:val="28"/>
          <w:highlight w:val="none"/>
        </w:rPr>
      </w:pPr>
    </w:p>
    <w:p w14:paraId="69408153">
      <w:pPr>
        <w:pStyle w:val="12"/>
        <w:rPr>
          <w:rFonts w:hint="eastAsia" w:ascii="宋体" w:hAnsi="宋体" w:cs="宋体"/>
          <w:b/>
          <w:color w:val="auto"/>
          <w:sz w:val="28"/>
          <w:szCs w:val="28"/>
          <w:highlight w:val="none"/>
        </w:rPr>
      </w:pPr>
    </w:p>
    <w:p w14:paraId="634700EF">
      <w:pPr>
        <w:pStyle w:val="12"/>
        <w:rPr>
          <w:rFonts w:hint="eastAsia" w:ascii="宋体" w:hAnsi="宋体" w:cs="宋体"/>
          <w:b/>
          <w:color w:val="auto"/>
          <w:sz w:val="28"/>
          <w:szCs w:val="28"/>
          <w:highlight w:val="none"/>
        </w:rPr>
      </w:pPr>
    </w:p>
    <w:p w14:paraId="5400BECD">
      <w:pPr>
        <w:pStyle w:val="12"/>
        <w:rPr>
          <w:rFonts w:hint="eastAsia" w:ascii="宋体" w:hAnsi="宋体" w:cs="宋体"/>
          <w:b/>
          <w:color w:val="auto"/>
          <w:sz w:val="28"/>
          <w:szCs w:val="28"/>
          <w:highlight w:val="none"/>
        </w:rPr>
      </w:pPr>
    </w:p>
    <w:p w14:paraId="14AB64B0">
      <w:pPr>
        <w:pStyle w:val="12"/>
        <w:rPr>
          <w:rFonts w:hint="eastAsia" w:ascii="宋体" w:hAnsi="宋体" w:cs="宋体"/>
          <w:b/>
          <w:color w:val="auto"/>
          <w:sz w:val="28"/>
          <w:szCs w:val="28"/>
          <w:highlight w:val="none"/>
        </w:rPr>
      </w:pPr>
    </w:p>
    <w:p w14:paraId="627AA051">
      <w:pPr>
        <w:pStyle w:val="12"/>
        <w:rPr>
          <w:rFonts w:hint="eastAsia" w:ascii="宋体" w:hAnsi="宋体" w:cs="宋体"/>
          <w:b/>
          <w:color w:val="auto"/>
          <w:sz w:val="28"/>
          <w:szCs w:val="28"/>
          <w:highlight w:val="none"/>
        </w:rPr>
      </w:pPr>
    </w:p>
    <w:p w14:paraId="3EE7BE69">
      <w:pPr>
        <w:pStyle w:val="12"/>
        <w:rPr>
          <w:rFonts w:hint="eastAsia" w:ascii="宋体" w:hAnsi="宋体" w:cs="宋体"/>
          <w:b/>
          <w:color w:val="auto"/>
          <w:sz w:val="28"/>
          <w:szCs w:val="28"/>
          <w:highlight w:val="none"/>
        </w:rPr>
      </w:pPr>
    </w:p>
    <w:p w14:paraId="4E35D4E8">
      <w:pPr>
        <w:pStyle w:val="12"/>
        <w:rPr>
          <w:rFonts w:hint="eastAsia" w:ascii="宋体" w:hAnsi="宋体" w:cs="宋体"/>
          <w:b/>
          <w:color w:val="auto"/>
          <w:sz w:val="28"/>
          <w:szCs w:val="28"/>
          <w:highlight w:val="none"/>
        </w:rPr>
      </w:pPr>
    </w:p>
    <w:p w14:paraId="561FD544">
      <w:pPr>
        <w:rPr>
          <w:color w:val="auto"/>
          <w:sz w:val="32"/>
          <w:szCs w:val="32"/>
          <w:highlight w:val="none"/>
        </w:rPr>
      </w:pPr>
      <w:r>
        <w:rPr>
          <w:color w:val="auto"/>
          <w:sz w:val="32"/>
          <w:szCs w:val="32"/>
          <w:highlight w:val="none"/>
        </w:rPr>
        <w:br w:type="page"/>
      </w:r>
    </w:p>
    <w:p w14:paraId="5EA7E4E6">
      <w:pPr>
        <w:jc w:val="center"/>
        <w:rPr>
          <w:rStyle w:val="66"/>
          <w:rFonts w:hint="eastAsia" w:ascii="宋体" w:hAnsi="宋体" w:eastAsia="宋体" w:cs="宋体"/>
          <w:color w:val="auto"/>
          <w:sz w:val="28"/>
          <w:szCs w:val="28"/>
          <w:highlight w:val="none"/>
          <w:lang w:val="en-US" w:eastAsia="zh-CN"/>
        </w:rPr>
      </w:pPr>
    </w:p>
    <w:p w14:paraId="3E536166">
      <w:pPr>
        <w:jc w:val="center"/>
        <w:rPr>
          <w:rFonts w:hint="eastAsia" w:ascii="宋体" w:hAnsi="宋体" w:eastAsia="宋体" w:cs="宋体"/>
          <w:color w:val="auto"/>
          <w:sz w:val="32"/>
          <w:szCs w:val="32"/>
          <w:highlight w:val="none"/>
          <w:lang w:eastAsia="zh-CN"/>
        </w:rPr>
      </w:pPr>
      <w:r>
        <w:rPr>
          <w:rStyle w:val="66"/>
          <w:rFonts w:hint="eastAsia" w:ascii="宋体" w:hAnsi="宋体" w:cs="宋体"/>
          <w:color w:val="auto"/>
          <w:sz w:val="28"/>
          <w:szCs w:val="28"/>
          <w:highlight w:val="none"/>
          <w:lang w:val="en-US" w:eastAsia="zh-CN"/>
        </w:rPr>
        <w:t>十一</w:t>
      </w:r>
      <w:r>
        <w:rPr>
          <w:rStyle w:val="66"/>
          <w:rFonts w:hint="eastAsia" w:ascii="宋体" w:hAnsi="宋体" w:eastAsia="宋体" w:cs="宋体"/>
          <w:color w:val="auto"/>
          <w:sz w:val="28"/>
          <w:szCs w:val="28"/>
          <w:highlight w:val="none"/>
          <w:lang w:val="en-US" w:eastAsia="zh-CN"/>
        </w:rPr>
        <w:t>、供应商可结合本项目自身情况自行提交其它相关证明材料</w:t>
      </w:r>
    </w:p>
    <w:p w14:paraId="188FD591">
      <w:pPr>
        <w:rPr>
          <w:color w:val="auto"/>
          <w:sz w:val="32"/>
          <w:szCs w:val="32"/>
          <w:highlight w:val="none"/>
        </w:rPr>
      </w:pPr>
      <w:r>
        <w:rPr>
          <w:color w:val="auto"/>
          <w:sz w:val="32"/>
          <w:szCs w:val="32"/>
          <w:highlight w:val="none"/>
        </w:rPr>
        <w:br w:type="page"/>
      </w:r>
    </w:p>
    <w:p w14:paraId="0BDE62DD">
      <w:pPr>
        <w:widowControl/>
        <w:shd w:val="clear" w:color="auto" w:fill="FFFFFF"/>
        <w:spacing w:before="100" w:beforeAutospacing="1" w:after="100" w:afterAutospacing="1" w:line="435" w:lineRule="atLeast"/>
        <w:jc w:val="center"/>
        <w:outlineLvl w:val="0"/>
        <w:rPr>
          <w:rFonts w:hint="eastAsia" w:ascii="宋体" w:hAnsi="宋体" w:eastAsia="宋体" w:cs="宋体"/>
          <w:color w:val="auto"/>
          <w:szCs w:val="21"/>
          <w:highlight w:val="none"/>
        </w:rPr>
      </w:pPr>
      <w:r>
        <w:rPr>
          <w:rFonts w:hint="eastAsia" w:ascii="宋体" w:hAnsi="宋体" w:eastAsia="宋体" w:cs="宋体"/>
          <w:b/>
          <w:color w:val="auto"/>
          <w:kern w:val="0"/>
          <w:sz w:val="32"/>
          <w:szCs w:val="32"/>
          <w:highlight w:val="none"/>
          <w:lang w:val="en-US" w:eastAsia="zh-CN"/>
        </w:rPr>
        <w:t>十二、</w:t>
      </w:r>
      <w:r>
        <w:rPr>
          <w:rFonts w:hint="eastAsia" w:ascii="宋体" w:hAnsi="宋体" w:eastAsia="宋体" w:cs="宋体"/>
          <w:b/>
          <w:color w:val="auto"/>
          <w:kern w:val="0"/>
          <w:sz w:val="32"/>
          <w:szCs w:val="32"/>
          <w:highlight w:val="none"/>
        </w:rPr>
        <w:t>中小企业声明函（工程、服务）</w:t>
      </w:r>
    </w:p>
    <w:p w14:paraId="2AD3EC1A">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本公司（联合体）郑重声明，根据《政府采购促进中小企业发展管理办法》（财库﹝2020﹞46号）的规定，本公司（联合体）参加</w:t>
      </w:r>
      <w:r>
        <w:rPr>
          <w:rFonts w:hint="eastAsia" w:ascii="宋体" w:hAnsi="宋体" w:eastAsia="宋体" w:cs="宋体"/>
          <w:color w:val="auto"/>
          <w:kern w:val="0"/>
          <w:sz w:val="24"/>
          <w:szCs w:val="24"/>
          <w:highlight w:val="none"/>
          <w:u w:val="single"/>
          <w:shd w:val="clear" w:color="auto" w:fill="FFFFFF"/>
          <w:lang w:bidi="ar"/>
        </w:rPr>
        <w:t>    （单位名称）</w:t>
      </w:r>
      <w:r>
        <w:rPr>
          <w:rFonts w:hint="eastAsia" w:ascii="宋体" w:hAnsi="宋体" w:eastAsia="宋体" w:cs="宋体"/>
          <w:color w:val="auto"/>
          <w:kern w:val="0"/>
          <w:sz w:val="24"/>
          <w:szCs w:val="24"/>
          <w:highlight w:val="none"/>
          <w:shd w:val="clear" w:color="auto" w:fill="FFFFFF"/>
          <w:lang w:bidi="ar"/>
        </w:rPr>
        <w:t>的（项目名称）采购活动，工程的施工单位全部为符合政策要求的中小企业（或者：服务全部由符合政策要求的中小企业承接）。相关企业（含联合体中的中小企业、签订分包意向协议的中小企业）的具体情况如下：</w:t>
      </w:r>
    </w:p>
    <w:p w14:paraId="0DEF4A75">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u w:val="single"/>
          <w:shd w:val="clear" w:color="auto" w:fill="FFFFFF"/>
          <w:lang w:bidi="ar"/>
        </w:rPr>
        <w:t>1.   （标的名称）</w:t>
      </w:r>
      <w:r>
        <w:rPr>
          <w:rFonts w:hint="eastAsia" w:ascii="宋体" w:hAnsi="宋体" w:eastAsia="宋体" w:cs="宋体"/>
          <w:color w:val="auto"/>
          <w:kern w:val="0"/>
          <w:sz w:val="24"/>
          <w:szCs w:val="24"/>
          <w:highlight w:val="none"/>
          <w:shd w:val="clear" w:color="auto" w:fill="FFFFFF"/>
          <w:lang w:bidi="ar"/>
        </w:rPr>
        <w:t>，属于</w:t>
      </w:r>
      <w:r>
        <w:rPr>
          <w:rFonts w:hint="eastAsia" w:ascii="宋体" w:hAnsi="宋体" w:eastAsia="宋体" w:cs="宋体"/>
          <w:color w:val="auto"/>
          <w:kern w:val="0"/>
          <w:sz w:val="24"/>
          <w:szCs w:val="24"/>
          <w:highlight w:val="none"/>
          <w:u w:val="single"/>
          <w:shd w:val="clear" w:color="auto" w:fill="FFFFFF"/>
          <w:lang w:bidi="ar"/>
        </w:rPr>
        <w:t> 其他未列明行业 （</w:t>
      </w:r>
      <w:r>
        <w:rPr>
          <w:rFonts w:hint="eastAsia" w:ascii="宋体" w:hAnsi="宋体" w:cs="宋体"/>
          <w:color w:val="auto"/>
          <w:kern w:val="0"/>
          <w:sz w:val="24"/>
          <w:szCs w:val="24"/>
          <w:highlight w:val="none"/>
          <w:u w:val="single"/>
          <w:shd w:val="clear" w:color="auto" w:fill="FFFFFF"/>
          <w:lang w:eastAsia="zh-CN" w:bidi="ar"/>
        </w:rPr>
        <w:t>竞争性谈判文件</w:t>
      </w:r>
      <w:r>
        <w:rPr>
          <w:rFonts w:hint="eastAsia" w:ascii="宋体" w:hAnsi="宋体" w:eastAsia="宋体" w:cs="宋体"/>
          <w:color w:val="auto"/>
          <w:kern w:val="0"/>
          <w:sz w:val="24"/>
          <w:szCs w:val="24"/>
          <w:highlight w:val="none"/>
          <w:u w:val="single"/>
          <w:shd w:val="clear" w:color="auto" w:fill="FFFFFF"/>
          <w:lang w:bidi="ar"/>
        </w:rPr>
        <w:t>中明确的所属行业）</w:t>
      </w:r>
      <w:r>
        <w:rPr>
          <w:rFonts w:hint="eastAsia" w:ascii="宋体" w:hAnsi="宋体" w:eastAsia="宋体" w:cs="宋体"/>
          <w:color w:val="auto"/>
          <w:kern w:val="0"/>
          <w:sz w:val="24"/>
          <w:szCs w:val="24"/>
          <w:highlight w:val="none"/>
          <w:shd w:val="clear" w:color="auto" w:fill="FFFFFF"/>
          <w:lang w:bidi="ar"/>
        </w:rPr>
        <w:t>；承建（承接）企业为</w:t>
      </w:r>
      <w:r>
        <w:rPr>
          <w:rFonts w:hint="eastAsia" w:ascii="宋体" w:hAnsi="宋体" w:eastAsia="宋体" w:cs="宋体"/>
          <w:color w:val="auto"/>
          <w:kern w:val="0"/>
          <w:sz w:val="24"/>
          <w:szCs w:val="24"/>
          <w:highlight w:val="none"/>
          <w:u w:val="single"/>
          <w:shd w:val="clear" w:color="auto" w:fill="FFFFFF"/>
          <w:lang w:bidi="ar"/>
        </w:rPr>
        <w:t>    （企业名称）</w:t>
      </w:r>
      <w:r>
        <w:rPr>
          <w:rFonts w:hint="eastAsia" w:ascii="宋体" w:hAnsi="宋体" w:eastAsia="宋体" w:cs="宋体"/>
          <w:color w:val="auto"/>
          <w:kern w:val="0"/>
          <w:sz w:val="24"/>
          <w:szCs w:val="24"/>
          <w:highlight w:val="none"/>
          <w:shd w:val="clear" w:color="auto" w:fill="FFFFFF"/>
          <w:lang w:bidi="ar"/>
        </w:rPr>
        <w:t>，从业人员</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人，营业收入为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万元，资产总额为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万元，属于</w:t>
      </w:r>
      <w:r>
        <w:rPr>
          <w:rFonts w:hint="eastAsia" w:ascii="宋体" w:hAnsi="宋体" w:eastAsia="宋体" w:cs="宋体"/>
          <w:color w:val="auto"/>
          <w:kern w:val="0"/>
          <w:sz w:val="24"/>
          <w:szCs w:val="24"/>
          <w:highlight w:val="none"/>
          <w:u w:val="single"/>
          <w:shd w:val="clear" w:color="auto" w:fill="FFFFFF"/>
          <w:lang w:bidi="ar"/>
        </w:rPr>
        <w:t>     （中型企业、小型企业、微型企业）</w:t>
      </w:r>
      <w:r>
        <w:rPr>
          <w:rFonts w:hint="eastAsia" w:ascii="宋体" w:hAnsi="宋体" w:eastAsia="宋体" w:cs="宋体"/>
          <w:color w:val="auto"/>
          <w:kern w:val="0"/>
          <w:sz w:val="24"/>
          <w:szCs w:val="24"/>
          <w:highlight w:val="none"/>
          <w:shd w:val="clear" w:color="auto" w:fill="FFFFFF"/>
          <w:lang w:bidi="ar"/>
        </w:rPr>
        <w:t>；</w:t>
      </w:r>
    </w:p>
    <w:p w14:paraId="3B49D064">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2.</w:t>
      </w:r>
      <w:r>
        <w:rPr>
          <w:rFonts w:hint="eastAsia" w:ascii="宋体" w:hAnsi="宋体" w:eastAsia="宋体" w:cs="宋体"/>
          <w:color w:val="auto"/>
          <w:kern w:val="0"/>
          <w:sz w:val="24"/>
          <w:szCs w:val="24"/>
          <w:highlight w:val="none"/>
          <w:u w:val="single"/>
          <w:shd w:val="clear" w:color="auto" w:fill="FFFFFF"/>
          <w:lang w:bidi="ar"/>
        </w:rPr>
        <w:t>     （标的名称）</w:t>
      </w:r>
      <w:r>
        <w:rPr>
          <w:rFonts w:hint="eastAsia" w:ascii="宋体" w:hAnsi="宋体" w:eastAsia="宋体" w:cs="宋体"/>
          <w:color w:val="auto"/>
          <w:kern w:val="0"/>
          <w:sz w:val="24"/>
          <w:szCs w:val="24"/>
          <w:highlight w:val="none"/>
          <w:shd w:val="clear" w:color="auto" w:fill="FFFFFF"/>
          <w:lang w:bidi="ar"/>
        </w:rPr>
        <w:t>，属于</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cs="宋体"/>
          <w:color w:val="auto"/>
          <w:kern w:val="0"/>
          <w:sz w:val="24"/>
          <w:szCs w:val="24"/>
          <w:highlight w:val="none"/>
          <w:u w:val="single"/>
          <w:shd w:val="clear" w:color="auto" w:fill="FFFFFF"/>
          <w:lang w:eastAsia="zh-CN" w:bidi="ar"/>
        </w:rPr>
        <w:t>竞争性谈判文件</w:t>
      </w:r>
      <w:r>
        <w:rPr>
          <w:rFonts w:hint="eastAsia" w:ascii="宋体" w:hAnsi="宋体" w:eastAsia="宋体" w:cs="宋体"/>
          <w:color w:val="auto"/>
          <w:kern w:val="0"/>
          <w:sz w:val="24"/>
          <w:szCs w:val="24"/>
          <w:highlight w:val="none"/>
          <w:u w:val="single"/>
          <w:shd w:val="clear" w:color="auto" w:fill="FFFFFF"/>
          <w:lang w:bidi="ar"/>
        </w:rPr>
        <w:t>中明确的所属行业）</w:t>
      </w:r>
      <w:r>
        <w:rPr>
          <w:rFonts w:hint="eastAsia" w:ascii="宋体" w:hAnsi="宋体" w:eastAsia="宋体" w:cs="宋体"/>
          <w:color w:val="auto"/>
          <w:kern w:val="0"/>
          <w:sz w:val="24"/>
          <w:szCs w:val="24"/>
          <w:highlight w:val="none"/>
          <w:shd w:val="clear" w:color="auto" w:fill="FFFFFF"/>
          <w:lang w:bidi="ar"/>
        </w:rPr>
        <w:t>行业；承建（承接）企业为</w:t>
      </w:r>
      <w:r>
        <w:rPr>
          <w:rFonts w:hint="eastAsia" w:ascii="宋体" w:hAnsi="宋体" w:eastAsia="宋体" w:cs="宋体"/>
          <w:color w:val="auto"/>
          <w:kern w:val="0"/>
          <w:sz w:val="24"/>
          <w:szCs w:val="24"/>
          <w:highlight w:val="none"/>
          <w:u w:val="single"/>
          <w:shd w:val="clear" w:color="auto" w:fill="FFFFFF"/>
          <w:lang w:bidi="ar"/>
        </w:rPr>
        <w:t>    （企业名称）</w:t>
      </w:r>
      <w:r>
        <w:rPr>
          <w:rFonts w:hint="eastAsia" w:ascii="宋体" w:hAnsi="宋体" w:eastAsia="宋体" w:cs="宋体"/>
          <w:color w:val="auto"/>
          <w:kern w:val="0"/>
          <w:sz w:val="24"/>
          <w:szCs w:val="24"/>
          <w:highlight w:val="none"/>
          <w:shd w:val="clear" w:color="auto" w:fill="FFFFFF"/>
          <w:lang w:bidi="ar"/>
        </w:rPr>
        <w:t>，从业人员</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人，营业收入为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万元，资产总额为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万元，属于</w:t>
      </w:r>
      <w:r>
        <w:rPr>
          <w:rFonts w:hint="eastAsia" w:ascii="宋体" w:hAnsi="宋体" w:eastAsia="宋体" w:cs="宋体"/>
          <w:color w:val="auto"/>
          <w:kern w:val="0"/>
          <w:sz w:val="24"/>
          <w:szCs w:val="24"/>
          <w:highlight w:val="none"/>
          <w:u w:val="single"/>
          <w:shd w:val="clear" w:color="auto" w:fill="FFFFFF"/>
          <w:lang w:bidi="ar"/>
        </w:rPr>
        <w:t>     （中型企业、小型企业、微型企业）</w:t>
      </w:r>
      <w:r>
        <w:rPr>
          <w:rFonts w:hint="eastAsia" w:ascii="宋体" w:hAnsi="宋体" w:eastAsia="宋体" w:cs="宋体"/>
          <w:color w:val="auto"/>
          <w:kern w:val="0"/>
          <w:sz w:val="24"/>
          <w:szCs w:val="24"/>
          <w:highlight w:val="none"/>
          <w:shd w:val="clear" w:color="auto" w:fill="FFFFFF"/>
          <w:lang w:bidi="ar"/>
        </w:rPr>
        <w:t>；</w:t>
      </w:r>
    </w:p>
    <w:p w14:paraId="00DBCAAE">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w:t>
      </w:r>
    </w:p>
    <w:p w14:paraId="266002B7">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以上企业，不属于大企业的分支机构，不存在控股股东为大企业的情形，也不存在与大企业的负责人为同一人的情形。</w:t>
      </w:r>
    </w:p>
    <w:p w14:paraId="22DC0B4A">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本企业对上述声明内容的真实性负责。如有虚假，将依法承担相应责任。</w:t>
      </w:r>
    </w:p>
    <w:p w14:paraId="556B0129">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p>
    <w:p w14:paraId="32772F0C">
      <w:pPr>
        <w:widowControl/>
        <w:shd w:val="clear" w:color="auto" w:fill="FFFFFF"/>
        <w:spacing w:before="100" w:beforeAutospacing="1" w:after="100" w:afterAutospacing="1" w:line="435" w:lineRule="atLeast"/>
        <w:ind w:firstLine="480"/>
        <w:jc w:val="left"/>
        <w:rPr>
          <w:rFonts w:hint="eastAsia" w:ascii="宋体" w:hAnsi="宋体" w:eastAsia="宋体" w:cs="宋体"/>
          <w:color w:val="auto"/>
          <w:sz w:val="24"/>
          <w:szCs w:val="24"/>
          <w:highlight w:val="none"/>
        </w:rPr>
      </w:pPr>
    </w:p>
    <w:p w14:paraId="43F97767">
      <w:pPr>
        <w:widowControl/>
        <w:shd w:val="clear" w:color="auto" w:fill="FFFFFF"/>
        <w:spacing w:before="100" w:beforeAutospacing="1" w:after="100" w:afterAutospacing="1" w:line="435" w:lineRule="atLeast"/>
        <w:ind w:firstLine="528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FFFFFF"/>
          <w:lang w:bidi="ar"/>
        </w:rPr>
        <w:t>企业名称（盖章）：</w:t>
      </w:r>
    </w:p>
    <w:p w14:paraId="7D9B13CC">
      <w:pPr>
        <w:widowControl/>
        <w:shd w:val="clear" w:color="auto" w:fill="FFFFFF"/>
        <w:spacing w:before="100" w:beforeAutospacing="1" w:after="100" w:afterAutospacing="1" w:line="435" w:lineRule="atLeast"/>
        <w:jc w:val="left"/>
        <w:rPr>
          <w:rFonts w:hint="eastAsia" w:ascii="宋体" w:hAnsi="宋体" w:eastAsia="宋体" w:cs="宋体"/>
          <w:color w:val="auto"/>
          <w:szCs w:val="21"/>
          <w:highlight w:val="none"/>
        </w:rPr>
      </w:pPr>
    </w:p>
    <w:p w14:paraId="2F48F755">
      <w:pPr>
        <w:widowControl/>
        <w:shd w:val="clear" w:color="auto" w:fill="FFFFFF"/>
        <w:spacing w:before="100" w:beforeAutospacing="1" w:after="100" w:afterAutospacing="1" w:line="435" w:lineRule="atLeast"/>
        <w:ind w:firstLine="5280"/>
        <w:jc w:val="left"/>
        <w:rPr>
          <w:rFonts w:hint="eastAsia" w:ascii="宋体" w:hAnsi="宋体" w:eastAsia="宋体" w:cs="宋体"/>
          <w:color w:val="auto"/>
          <w:sz w:val="24"/>
          <w:szCs w:val="24"/>
          <w:highlight w:val="none"/>
          <w:lang w:val="zh-CN"/>
        </w:rPr>
      </w:pPr>
      <w:r>
        <w:rPr>
          <w:rFonts w:hint="eastAsia" w:ascii="宋体" w:hAnsi="宋体" w:eastAsia="宋体" w:cs="宋体"/>
          <w:color w:val="auto"/>
          <w:kern w:val="0"/>
          <w:sz w:val="24"/>
          <w:szCs w:val="24"/>
          <w:highlight w:val="none"/>
          <w:shd w:val="clear" w:color="auto" w:fill="FFFFFF"/>
          <w:lang w:bidi="ar"/>
        </w:rPr>
        <w:t>日 期</w:t>
      </w:r>
    </w:p>
    <w:p w14:paraId="45DFAC18">
      <w:pPr>
        <w:jc w:val="left"/>
        <w:rPr>
          <w:rFonts w:hint="eastAsia" w:ascii="宋体" w:hAnsi="宋体" w:eastAsia="宋体" w:cs="宋体"/>
          <w:color w:val="auto"/>
          <w:kern w:val="0"/>
          <w:sz w:val="28"/>
          <w:szCs w:val="28"/>
          <w:highlight w:val="none"/>
          <w:lang w:val="zh-CN"/>
        </w:rPr>
      </w:pPr>
    </w:p>
    <w:p w14:paraId="05DA841F">
      <w:pPr>
        <w:widowControl/>
        <w:spacing w:before="120" w:beforeLines="50" w:after="120" w:afterLines="50"/>
        <w:ind w:firstLine="672"/>
        <w:jc w:val="center"/>
        <w:rPr>
          <w:rFonts w:hint="eastAsia" w:ascii="宋体" w:hAnsi="宋体" w:cs="宋体"/>
          <w:b/>
          <w:bCs/>
          <w:color w:val="auto"/>
          <w:kern w:val="0"/>
          <w:sz w:val="24"/>
          <w:highlight w:val="none"/>
        </w:rPr>
      </w:pPr>
    </w:p>
    <w:p w14:paraId="63667A75">
      <w:pPr>
        <w:spacing w:before="120" w:beforeLines="50" w:after="120" w:afterLines="50"/>
        <w:jc w:val="center"/>
        <w:rPr>
          <w:rFonts w:hint="eastAsia"/>
          <w:color w:val="auto"/>
          <w:kern w:val="0"/>
          <w:sz w:val="24"/>
          <w:highlight w:val="none"/>
          <w:lang w:val="zh-CN"/>
        </w:rPr>
      </w:pPr>
    </w:p>
    <w:p w14:paraId="0221BB10">
      <w:pPr>
        <w:pStyle w:val="3"/>
        <w:jc w:val="center"/>
        <w:rPr>
          <w:rStyle w:val="57"/>
          <w:rFonts w:hint="eastAsia" w:ascii="宋体" w:hAnsi="宋体" w:eastAsia="宋体" w:cs="宋体"/>
          <w:b/>
          <w:bCs/>
          <w:color w:val="auto"/>
          <w:sz w:val="24"/>
          <w:szCs w:val="24"/>
          <w:highlight w:val="none"/>
        </w:rPr>
      </w:pPr>
      <w:r>
        <w:rPr>
          <w:rStyle w:val="57"/>
          <w:rFonts w:hint="eastAsia" w:ascii="宋体" w:hAnsi="宋体" w:eastAsia="宋体" w:cs="宋体"/>
          <w:b/>
          <w:bCs/>
          <w:color w:val="auto"/>
          <w:highlight w:val="none"/>
          <w:lang w:val="en-US" w:eastAsia="zh-CN"/>
        </w:rPr>
        <w:t>十三、</w:t>
      </w:r>
      <w:r>
        <w:rPr>
          <w:rStyle w:val="57"/>
          <w:rFonts w:hint="eastAsia" w:ascii="宋体" w:hAnsi="宋体" w:eastAsia="宋体" w:cs="宋体"/>
          <w:b/>
          <w:bCs/>
          <w:color w:val="auto"/>
          <w:highlight w:val="none"/>
        </w:rPr>
        <w:t>、监狱企业提供</w:t>
      </w:r>
    </w:p>
    <w:p w14:paraId="1A7B2831">
      <w:pPr>
        <w:ind w:firstLine="241"/>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（非监狱企业不适用本格式）</w:t>
      </w:r>
    </w:p>
    <w:p w14:paraId="22789E5E">
      <w:pPr>
        <w:ind w:firstLine="240"/>
        <w:rPr>
          <w:rFonts w:hint="eastAsia" w:ascii="宋体" w:hAnsi="宋体" w:eastAsia="宋体" w:cs="宋体"/>
          <w:color w:val="auto"/>
          <w:sz w:val="24"/>
          <w:szCs w:val="24"/>
          <w:highlight w:val="none"/>
        </w:rPr>
      </w:pPr>
    </w:p>
    <w:p w14:paraId="20D4B360">
      <w:p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说明：监狱企业参加政府采购活动时，应当提供由省级以上监狱管理局、戒毒管理局（含新疆生产建设兵团）出具的属于监狱企业的证明文件并加盖投标单位公章。                           </w:t>
      </w:r>
    </w:p>
    <w:p w14:paraId="05E26E25">
      <w:pPr>
        <w:pStyle w:val="3"/>
        <w:jc w:val="center"/>
        <w:rPr>
          <w:rFonts w:hint="eastAsia" w:ascii="宋体" w:hAnsi="宋体" w:eastAsia="宋体" w:cs="宋体"/>
          <w:color w:val="auto"/>
          <w:szCs w:val="28"/>
          <w:highlight w:val="none"/>
        </w:rPr>
      </w:pPr>
      <w:r>
        <w:rPr>
          <w:rFonts w:ascii="宋体" w:hAnsi="宋体" w:cs="宋体"/>
          <w:color w:val="auto"/>
          <w:kern w:val="0"/>
          <w:sz w:val="24"/>
          <w:szCs w:val="24"/>
          <w:highlight w:val="none"/>
          <w:lang w:val="zh-CN"/>
        </w:rPr>
        <w:br w:type="page"/>
      </w:r>
      <w:r>
        <w:rPr>
          <w:rStyle w:val="57"/>
          <w:rFonts w:hint="eastAsia" w:ascii="宋体" w:hAnsi="宋体" w:eastAsia="宋体" w:cs="宋体"/>
          <w:b/>
          <w:bCs/>
          <w:color w:val="auto"/>
          <w:highlight w:val="none"/>
          <w:lang w:val="en-US" w:eastAsia="zh-CN"/>
        </w:rPr>
        <w:t>十四</w:t>
      </w:r>
      <w:r>
        <w:rPr>
          <w:rStyle w:val="57"/>
          <w:rFonts w:hint="eastAsia" w:ascii="宋体" w:hAnsi="宋体" w:eastAsia="宋体" w:cs="宋体"/>
          <w:b/>
          <w:bCs/>
          <w:color w:val="auto"/>
          <w:highlight w:val="none"/>
        </w:rPr>
        <w:t>、残疾人福利性单位声明函</w:t>
      </w:r>
    </w:p>
    <w:p w14:paraId="4D359CEB">
      <w:pPr>
        <w:ind w:firstLine="241"/>
        <w:jc w:val="center"/>
        <w:rPr>
          <w:rFonts w:hint="eastAsia" w:ascii="宋体" w:hAnsi="宋体" w:eastAsia="宋体" w:cs="宋体"/>
          <w:b/>
          <w:color w:val="auto"/>
          <w:szCs w:val="24"/>
          <w:highlight w:val="none"/>
          <w:lang w:bidi="ar"/>
        </w:rPr>
      </w:pPr>
      <w:r>
        <w:rPr>
          <w:rFonts w:hint="eastAsia" w:ascii="宋体" w:hAnsi="宋体" w:eastAsia="宋体" w:cs="宋体"/>
          <w:b/>
          <w:color w:val="auto"/>
          <w:szCs w:val="24"/>
          <w:highlight w:val="none"/>
          <w:lang w:bidi="ar"/>
        </w:rPr>
        <w:t> </w:t>
      </w:r>
    </w:p>
    <w:p w14:paraId="71085315">
      <w:pPr>
        <w:ind w:firstLine="241"/>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（非残疾人福利性单位不适用本格式）</w:t>
      </w:r>
    </w:p>
    <w:p w14:paraId="3E11807F">
      <w:pPr>
        <w:widowControl/>
        <w:spacing w:line="450" w:lineRule="atLeast"/>
        <w:ind w:firstLine="200"/>
        <w:jc w:val="left"/>
        <w:textAlignment w:val="baseline"/>
        <w:rPr>
          <w:rFonts w:hint="eastAsia" w:ascii="宋体" w:hAnsi="宋体" w:eastAsia="宋体" w:cs="宋体"/>
          <w:color w:val="auto"/>
          <w:sz w:val="24"/>
          <w:szCs w:val="24"/>
          <w:highlight w:val="none"/>
        </w:rPr>
      </w:pPr>
    </w:p>
    <w:p w14:paraId="55A45511">
      <w:pPr>
        <w:spacing w:line="48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1862149">
      <w:pPr>
        <w:spacing w:line="48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2E1AEDEB">
      <w:pPr>
        <w:spacing w:line="360" w:lineRule="auto"/>
        <w:ind w:firstLine="0" w:firstLineChars="0"/>
        <w:rPr>
          <w:rFonts w:hint="eastAsia" w:ascii="宋体" w:hAnsi="宋体" w:eastAsia="宋体" w:cs="宋体"/>
          <w:color w:val="auto"/>
          <w:sz w:val="24"/>
          <w:szCs w:val="24"/>
          <w:highlight w:val="none"/>
        </w:rPr>
      </w:pPr>
    </w:p>
    <w:p w14:paraId="4FB0D61C">
      <w:pPr>
        <w:spacing w:line="360" w:lineRule="auto"/>
        <w:ind w:firstLine="0" w:firstLineChars="0"/>
        <w:rPr>
          <w:rFonts w:hint="eastAsia" w:ascii="宋体" w:hAnsi="宋体" w:eastAsia="宋体" w:cs="宋体"/>
          <w:color w:val="auto"/>
          <w:sz w:val="24"/>
          <w:szCs w:val="24"/>
          <w:highlight w:val="none"/>
        </w:rPr>
      </w:pPr>
    </w:p>
    <w:p w14:paraId="633AD60D">
      <w:pPr>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rPr>
        <w:t>名称（加盖公章）：</w:t>
      </w:r>
      <w:r>
        <w:rPr>
          <w:rFonts w:hint="eastAsia" w:ascii="宋体" w:hAnsi="宋体" w:eastAsia="宋体" w:cs="宋体"/>
          <w:color w:val="auto"/>
          <w:sz w:val="24"/>
          <w:szCs w:val="24"/>
          <w:highlight w:val="none"/>
          <w:u w:val="single"/>
        </w:rPr>
        <w:t xml:space="preserve">                     </w:t>
      </w:r>
    </w:p>
    <w:p w14:paraId="4894F6C3">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41C7D81">
      <w:pPr>
        <w:widowControl/>
        <w:spacing w:line="450" w:lineRule="atLeast"/>
        <w:ind w:firstLine="210"/>
        <w:jc w:val="center"/>
        <w:textAlignment w:val="baseline"/>
        <w:rPr>
          <w:rFonts w:hint="eastAsia" w:ascii="宋体" w:hAnsi="宋体" w:eastAsia="宋体" w:cs="宋体"/>
          <w:color w:val="auto"/>
          <w:sz w:val="21"/>
          <w:szCs w:val="21"/>
          <w:highlight w:val="none"/>
          <w:shd w:val="clear" w:color="auto" w:fill="FFFFFF"/>
        </w:rPr>
      </w:pPr>
    </w:p>
    <w:p w14:paraId="5A3D1F5D">
      <w:pPr>
        <w:pStyle w:val="25"/>
        <w:spacing w:line="360" w:lineRule="auto"/>
        <w:ind w:firstLine="566" w:firstLineChars="236"/>
        <w:rPr>
          <w:rFonts w:ascii="宋体" w:hAnsi="宋体" w:cs="宋体"/>
          <w:color w:val="auto"/>
          <w:kern w:val="0"/>
          <w:sz w:val="24"/>
          <w:szCs w:val="24"/>
          <w:highlight w:val="none"/>
          <w:lang w:val="zh-CN"/>
        </w:rPr>
      </w:pPr>
    </w:p>
    <w:p w14:paraId="6177AA7C">
      <w:pPr>
        <w:rPr>
          <w:rFonts w:hint="eastAsia"/>
          <w:color w:val="auto"/>
          <w:highlight w:val="none"/>
        </w:rPr>
      </w:pPr>
    </w:p>
    <w:p w14:paraId="67BC20C3">
      <w:pPr>
        <w:pStyle w:val="16"/>
        <w:spacing w:line="500" w:lineRule="exact"/>
        <w:rPr>
          <w:rFonts w:hAnsi="宋体"/>
          <w:b/>
          <w:color w:val="auto"/>
          <w:sz w:val="30"/>
          <w:szCs w:val="30"/>
          <w:highlight w:val="none"/>
        </w:rPr>
      </w:pPr>
    </w:p>
    <w:p w14:paraId="2DE1FD37">
      <w:pPr>
        <w:pStyle w:val="16"/>
        <w:spacing w:line="500" w:lineRule="exact"/>
        <w:rPr>
          <w:rFonts w:hAnsi="宋体"/>
          <w:b/>
          <w:color w:val="auto"/>
          <w:sz w:val="30"/>
          <w:szCs w:val="30"/>
          <w:highlight w:val="none"/>
        </w:rPr>
      </w:pPr>
    </w:p>
    <w:p w14:paraId="363FE616">
      <w:pPr>
        <w:pStyle w:val="16"/>
        <w:spacing w:line="500" w:lineRule="exact"/>
        <w:rPr>
          <w:rFonts w:hAnsi="宋体"/>
          <w:b/>
          <w:color w:val="auto"/>
          <w:sz w:val="30"/>
          <w:szCs w:val="30"/>
          <w:highlight w:val="none"/>
        </w:rPr>
      </w:pPr>
    </w:p>
    <w:p w14:paraId="74E03C39">
      <w:pPr>
        <w:pStyle w:val="53"/>
        <w:rPr>
          <w:rFonts w:hAnsi="宋体"/>
          <w:b/>
          <w:color w:val="auto"/>
          <w:sz w:val="30"/>
          <w:szCs w:val="30"/>
          <w:highlight w:val="none"/>
        </w:rPr>
      </w:pPr>
    </w:p>
    <w:p w14:paraId="4010D64C">
      <w:pPr>
        <w:pStyle w:val="53"/>
        <w:rPr>
          <w:rFonts w:hAnsi="宋体"/>
          <w:b/>
          <w:color w:val="auto"/>
          <w:sz w:val="30"/>
          <w:szCs w:val="30"/>
          <w:highlight w:val="none"/>
        </w:rPr>
      </w:pPr>
    </w:p>
    <w:p w14:paraId="73E64C77">
      <w:pPr>
        <w:rPr>
          <w:rFonts w:hAnsi="宋体"/>
          <w:b/>
          <w:color w:val="auto"/>
          <w:sz w:val="30"/>
          <w:szCs w:val="30"/>
          <w:highlight w:val="none"/>
        </w:rPr>
      </w:pPr>
      <w:r>
        <w:rPr>
          <w:rFonts w:hAnsi="宋体"/>
          <w:b/>
          <w:color w:val="auto"/>
          <w:sz w:val="30"/>
          <w:szCs w:val="30"/>
          <w:highlight w:val="none"/>
        </w:rPr>
        <w:br w:type="page"/>
      </w:r>
    </w:p>
    <w:p w14:paraId="6D13D700">
      <w:pPr>
        <w:autoSpaceDE w:val="0"/>
        <w:autoSpaceDN w:val="0"/>
        <w:adjustRightInd w:val="0"/>
        <w:spacing w:line="400" w:lineRule="exact"/>
        <w:jc w:val="center"/>
        <w:rPr>
          <w:rFonts w:hint="eastAsia" w:ascii="微软雅黑" w:hAnsi="微软雅黑" w:eastAsia="微软雅黑" w:cs="宋体"/>
          <w:bCs/>
          <w:color w:val="auto"/>
          <w:kern w:val="36"/>
          <w:sz w:val="36"/>
          <w:szCs w:val="36"/>
          <w:highlight w:val="none"/>
          <w:lang w:val="zh-CN"/>
        </w:rPr>
      </w:pPr>
      <w:r>
        <w:rPr>
          <w:rFonts w:hint="eastAsia" w:ascii="微软雅黑" w:hAnsi="微软雅黑" w:eastAsia="微软雅黑" w:cs="宋体"/>
          <w:bCs/>
          <w:color w:val="auto"/>
          <w:kern w:val="36"/>
          <w:sz w:val="36"/>
          <w:szCs w:val="36"/>
          <w:highlight w:val="none"/>
          <w:lang w:val="zh-CN"/>
        </w:rPr>
        <w:t>中小企业划型标准规定</w:t>
      </w:r>
    </w:p>
    <w:p w14:paraId="3F6AC2EF">
      <w:pPr>
        <w:autoSpaceDE w:val="0"/>
        <w:autoSpaceDN w:val="0"/>
        <w:adjustRightInd w:val="0"/>
        <w:spacing w:line="400" w:lineRule="exact"/>
        <w:jc w:val="left"/>
        <w:rPr>
          <w:rFonts w:hint="eastAsia" w:ascii="微软雅黑" w:hAnsi="微软雅黑" w:eastAsia="微软雅黑" w:cs="宋体"/>
          <w:bCs/>
          <w:color w:val="auto"/>
          <w:kern w:val="36"/>
          <w:sz w:val="36"/>
          <w:szCs w:val="36"/>
          <w:highlight w:val="none"/>
          <w:lang w:val="zh-CN"/>
        </w:rPr>
      </w:pPr>
    </w:p>
    <w:p w14:paraId="5497A5FF">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一、根据《中华人民共和国中小企业促进法》和《国务院关于进一步促进中小企业发展的若干意见》(国发[2009]36号)，制定本规定。</w:t>
      </w:r>
    </w:p>
    <w:p w14:paraId="3747912F">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二、中小企业划分为中型、小型、微型三种类型，具体标准根据企业从业人员、营业收入、资产总额等指标，结合行业特点制定。</w:t>
      </w:r>
    </w:p>
    <w:p w14:paraId="39C2B0C2">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B113A32">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四、各行业划型标准为：</w:t>
      </w:r>
    </w:p>
    <w:p w14:paraId="5A8A9ACC">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（一）农、林、牧、渔业。营业收入20000万元以下的为中小微型企业。其中，营业收入500万元及以上的为中型企业，营业收入50万元及以上的为小型企业，营业收入50万元以下的为微型企业。</w:t>
      </w:r>
    </w:p>
    <w:p w14:paraId="5AFC12B6">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64376CF">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C586161">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8B6F70F">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0B20B72">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7708767">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F6DA173">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603739">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C1E3AB5">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C9C30AC">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6E5E550">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CD45EA1">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B884432">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BB5021B">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3C56CBC">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（十六）其他未列明行业。从业人员300人以下的为中小微型企业。其中，从业人员100人及以上的为中型企业；从业人员10人及以上的为小型企业；从业人员10人以下的为微型企业。</w:t>
      </w:r>
    </w:p>
    <w:p w14:paraId="23D2BB4A">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五、企业类型的划分以统计部门的统计数据为依据。</w:t>
      </w:r>
    </w:p>
    <w:p w14:paraId="6D53FD2D">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六、本规定适用于在中华人民共和国境内依法设立的各类所有制和各种组织形式的企业。个体工商户和本规定以外的行业，参照本规定进行划型。</w:t>
      </w:r>
    </w:p>
    <w:p w14:paraId="5EC1F128">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40A79293">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八、本规定由工业和信息化部、国家统计局会同有关部门根据《国民经济行业分类》修订情况和企业发展变化情况适时修订。</w:t>
      </w:r>
    </w:p>
    <w:p w14:paraId="414DBFED">
      <w:pPr>
        <w:autoSpaceDE w:val="0"/>
        <w:autoSpaceDN w:val="0"/>
        <w:adjustRightInd w:val="0"/>
        <w:spacing w:line="400" w:lineRule="exact"/>
        <w:ind w:firstLine="420" w:firstLineChars="200"/>
        <w:jc w:val="left"/>
        <w:rPr>
          <w:rFonts w:hint="eastAsia" w:ascii="宋体" w:hAnsi="宋体" w:cs="宋体"/>
          <w:color w:val="auto"/>
          <w:szCs w:val="18"/>
          <w:highlight w:val="none"/>
          <w:lang w:val="zh-CN"/>
        </w:rPr>
      </w:pPr>
      <w:r>
        <w:rPr>
          <w:rFonts w:hint="eastAsia" w:ascii="宋体" w:hAnsi="宋体" w:cs="宋体"/>
          <w:color w:val="auto"/>
          <w:szCs w:val="18"/>
          <w:highlight w:val="none"/>
          <w:lang w:val="zh-CN"/>
        </w:rPr>
        <w:t>九、本规定由工业和信息化部、国家统计局会同有关部门负责解释。</w:t>
      </w:r>
    </w:p>
    <w:p w14:paraId="3C0F04F6">
      <w:pPr>
        <w:pStyle w:val="53"/>
        <w:rPr>
          <w:rFonts w:hAnsi="宋体"/>
          <w:b/>
          <w:color w:val="auto"/>
          <w:sz w:val="30"/>
          <w:szCs w:val="30"/>
          <w:highlight w:val="none"/>
        </w:rPr>
      </w:pPr>
      <w:r>
        <w:rPr>
          <w:rFonts w:hint="eastAsia" w:ascii="宋体" w:hAnsi="宋体" w:cs="宋体"/>
          <w:color w:val="auto"/>
          <w:szCs w:val="18"/>
          <w:highlight w:val="none"/>
          <w:lang w:val="zh-CN"/>
        </w:rPr>
        <w:t>十、本规定自发布之日起执行，原国家经贸委、原国家计委、财政部和国家统计局2003年颁布的《中小企业标准暂行规定》同时废止。</w:t>
      </w:r>
    </w:p>
    <w:bookmarkEnd w:id="53"/>
    <w:sectPr>
      <w:footerReference r:id="rId11" w:type="default"/>
      <w:pgSz w:w="11906" w:h="16838"/>
      <w:pgMar w:top="1134" w:right="992" w:bottom="1134" w:left="1134"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4E750">
    <w:pPr>
      <w:pStyle w:val="2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36451">
    <w:pPr>
      <w:pStyle w:val="20"/>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FB448">
    <w:pPr>
      <w:pStyle w:val="20"/>
      <w:jc w:val="both"/>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D2339">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C5D2339">
                    <w:pPr>
                      <w:pStyle w:val="2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2FAC2">
    <w:pPr>
      <w:pStyle w:val="20"/>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5C2FF8">
                          <w:pPr>
                            <w:pStyle w:val="2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35C2FF8">
                    <w:pPr>
                      <w:pStyle w:val="20"/>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7DE39">
    <w:pPr>
      <w:pStyle w:val="2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ECF6D15">
                          <w:pPr>
                            <w:pStyle w:val="20"/>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II</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6ECF6D15">
                    <w:pPr>
                      <w:pStyle w:val="20"/>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II</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9C71D5B">
                          <w:pPr>
                            <w:snapToGrid w:val="0"/>
                            <w:rPr>
                              <w:rFonts w:hint="eastAsia"/>
                              <w:sz w:val="18"/>
                            </w:rPr>
                          </w:pPr>
                          <w:r>
                            <w:rPr>
                              <w:rFonts w:hint="eastAsia"/>
                              <w:sz w:val="18"/>
                            </w:rPr>
                            <w:t>1</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59C71D5B">
                    <w:pPr>
                      <w:snapToGrid w:val="0"/>
                      <w:rPr>
                        <w:rFonts w:hint="eastAsia"/>
                        <w:sz w:val="18"/>
                      </w:rPr>
                    </w:pPr>
                    <w:r>
                      <w:rPr>
                        <w:rFonts w:hint="eastAsia"/>
                        <w:sz w:val="18"/>
                      </w:rPr>
                      <w:t>1</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CCAF2">
    <w:pPr>
      <w:tabs>
        <w:tab w:val="left" w:pos="3180"/>
      </w:tabs>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5F7B87">
                          <w:pPr>
                            <w:pStyle w:val="20"/>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85F7B87">
                    <w:pPr>
                      <w:pStyle w:val="20"/>
                    </w:pPr>
                    <w:r>
                      <w:fldChar w:fldCharType="begin"/>
                    </w:r>
                    <w:r>
                      <w:instrText xml:space="preserve"> PAGE  \* MERGEFORMAT </w:instrText>
                    </w:r>
                    <w:r>
                      <w:fldChar w:fldCharType="separate"/>
                    </w:r>
                    <w:r>
                      <w:t>24</w:t>
                    </w:r>
                    <w:r>
                      <w:fldChar w:fldCharType="end"/>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4" name="文本框 4"/>
              <wp:cNvGraphicFramePr/>
              <a:graphic xmlns:a="http://schemas.openxmlformats.org/drawingml/2006/main">
                <a:graphicData uri="http://schemas.microsoft.com/office/word/2010/wordprocessingShape">
                  <wps:wsp>
                    <wps:cNvSpPr txBox="1"/>
                    <wps:spPr>
                      <a:xfrm>
                        <a:off x="0" y="0"/>
                        <a:ext cx="4748530" cy="305435"/>
                      </a:xfrm>
                      <a:prstGeom prst="rect">
                        <a:avLst/>
                      </a:prstGeom>
                      <a:noFill/>
                      <a:ln>
                        <a:noFill/>
                      </a:ln>
                    </wps:spPr>
                    <wps:txbx>
                      <w:txbxContent>
                        <w:p w14:paraId="644B294E">
                          <w:pPr>
                            <w:spacing w:before="5"/>
                            <w:ind w:left="20" w:right="0" w:firstLine="0"/>
                            <w:jc w:val="left"/>
                            <w:rPr>
                              <w:rFonts w:hint="eastAsia" w:ascii="宋体" w:eastAsia="宋体"/>
                              <w:sz w:val="18"/>
                            </w:rPr>
                          </w:pPr>
                        </w:p>
                        <w:p w14:paraId="39C776E3">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shape id="_x0000_s1026" o:spid="_x0000_s1026" o:spt="202" type="#_x0000_t202" style="position:absolute;left:0pt;margin-left:89pt;margin-top:758.05pt;height:24.05pt;width:373.9pt;mso-position-horizontal-relative:page;mso-position-vertical-relative:page;z-index:-251657216;mso-width-relative:page;mso-height-relative:page;" filled="f" stroked="f" coordsize="21600,21600" o:gfxdata="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j5qhXaAAAADQEAAA8AAAAAAAAAAQAgAAAAIgAAAGRycy9kb3ducmV2LnhtbFBL&#10;AQIUABQAAAAIAIdO4kAQ2467uwEAAHIDAAAOAAAAAAAAAAEAIAAAACkBAABkcnMvZTJvRG9jLnht&#10;bFBLBQYAAAAABgAGAFkBAABWBQAAAAA=&#10;">
              <v:fill on="f" focussize="0,0"/>
              <v:stroke on="f"/>
              <v:imagedata o:title=""/>
              <o:lock v:ext="edit" aspectratio="f"/>
              <v:textbox inset="0mm,0mm,0mm,0mm">
                <w:txbxContent>
                  <w:p w14:paraId="644B294E">
                    <w:pPr>
                      <w:spacing w:before="5"/>
                      <w:ind w:left="20" w:right="0" w:firstLine="0"/>
                      <w:jc w:val="left"/>
                      <w:rPr>
                        <w:rFonts w:hint="eastAsia" w:ascii="宋体" w:eastAsia="宋体"/>
                        <w:sz w:val="18"/>
                      </w:rPr>
                    </w:pPr>
                  </w:p>
                  <w:p w14:paraId="39C776E3">
                    <w:pPr>
                      <w:spacing w:before="8"/>
                      <w:ind w:left="866" w:right="0" w:firstLine="0"/>
                      <w:jc w:val="center"/>
                      <w:rPr>
                        <w:rFonts w:hint="default" w:ascii="Calibri" w:eastAsia="宋体"/>
                        <w:sz w:val="18"/>
                        <w:lang w:val="en-US" w:eastAsia="zh-CN"/>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8D55B">
    <w:pPr>
      <w:tabs>
        <w:tab w:val="left" w:pos="3180"/>
      </w:tabs>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1F60B8">
                          <w:pPr>
                            <w:pStyle w:val="20"/>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E1F60B8">
                    <w:pPr>
                      <w:pStyle w:val="20"/>
                    </w:pPr>
                    <w:r>
                      <w:fldChar w:fldCharType="begin"/>
                    </w:r>
                    <w:r>
                      <w:instrText xml:space="preserve"> PAGE  \* MERGEFORMAT </w:instrText>
                    </w:r>
                    <w:r>
                      <w:fldChar w:fldCharType="separate"/>
                    </w:r>
                    <w:r>
                      <w:t>33</w:t>
                    </w:r>
                    <w:r>
                      <w:fldChar w:fldCharType="end"/>
                    </w:r>
                  </w:p>
                </w:txbxContent>
              </v:textbox>
            </v:shape>
          </w:pict>
        </mc:Fallback>
      </mc:AlternateContent>
    </w:r>
    <w:r>
      <mc:AlternateContent>
        <mc:Choice Requires="wps">
          <w:drawing>
            <wp:anchor distT="0" distB="0" distL="114300" distR="114300" simplePos="0" relativeHeight="251662336"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3" name="文本框 3"/>
              <wp:cNvGraphicFramePr/>
              <a:graphic xmlns:a="http://schemas.openxmlformats.org/drawingml/2006/main">
                <a:graphicData uri="http://schemas.microsoft.com/office/word/2010/wordprocessingShape">
                  <wps:wsp>
                    <wps:cNvSpPr txBox="1"/>
                    <wps:spPr>
                      <a:xfrm>
                        <a:off x="0" y="0"/>
                        <a:ext cx="4748530" cy="305435"/>
                      </a:xfrm>
                      <a:prstGeom prst="rect">
                        <a:avLst/>
                      </a:prstGeom>
                      <a:noFill/>
                      <a:ln>
                        <a:noFill/>
                      </a:ln>
                    </wps:spPr>
                    <wps:txbx>
                      <w:txbxContent>
                        <w:p w14:paraId="55E03AA5">
                          <w:pPr>
                            <w:spacing w:before="5"/>
                            <w:ind w:left="20" w:right="0" w:firstLine="0"/>
                            <w:jc w:val="left"/>
                            <w:rPr>
                              <w:rFonts w:hint="eastAsia" w:ascii="宋体" w:eastAsia="宋体"/>
                              <w:sz w:val="18"/>
                            </w:rPr>
                          </w:pPr>
                        </w:p>
                        <w:p w14:paraId="717FF6CD">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shape id="_x0000_s1026" o:spid="_x0000_s1026" o:spt="202" type="#_x0000_t202" style="position:absolute;left:0pt;margin-left:89pt;margin-top:758.05pt;height:24.05pt;width:373.9pt;mso-position-horizontal-relative:page;mso-position-vertical-relative:page;z-index:-251654144;mso-width-relative:page;mso-height-relative:page;" filled="f" stroked="f" coordsize="21600,21600" o:gfxdata="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j5qhXaAAAADQEAAA8AAAAAAAAAAQAgAAAAIgAAAGRycy9kb3ducmV2LnhtbFBL&#10;AQIUABQAAAAIAIdO4kD9HVG0uwEAAHIDAAAOAAAAAAAAAAEAIAAAACkBAABkcnMvZTJvRG9jLnht&#10;bFBLBQYAAAAABgAGAFkBAABWBQAAAAA=&#10;">
              <v:fill on="f" focussize="0,0"/>
              <v:stroke on="f"/>
              <v:imagedata o:title=""/>
              <o:lock v:ext="edit" aspectratio="f"/>
              <v:textbox inset="0mm,0mm,0mm,0mm">
                <w:txbxContent>
                  <w:p w14:paraId="55E03AA5">
                    <w:pPr>
                      <w:spacing w:before="5"/>
                      <w:ind w:left="20" w:right="0" w:firstLine="0"/>
                      <w:jc w:val="left"/>
                      <w:rPr>
                        <w:rFonts w:hint="eastAsia" w:ascii="宋体" w:eastAsia="宋体"/>
                        <w:sz w:val="18"/>
                      </w:rPr>
                    </w:pPr>
                  </w:p>
                  <w:p w14:paraId="717FF6CD">
                    <w:pPr>
                      <w:spacing w:before="8"/>
                      <w:ind w:left="866" w:right="0" w:firstLine="0"/>
                      <w:jc w:val="center"/>
                      <w:rPr>
                        <w:rFonts w:hint="default" w:ascii="Calibri" w:eastAsia="宋体"/>
                        <w:sz w:val="18"/>
                        <w:lang w:val="en-US" w:eastAsia="zh-CN"/>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A593D">
    <w:pPr>
      <w:pStyle w:val="2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F392E">
    <w:pPr>
      <w:pStyle w:val="21"/>
      <w:pBdr>
        <w:bottom w:val="none" w:color="auto" w:sz="0" w:space="1"/>
      </w:pBdr>
      <w:tabs>
        <w:tab w:val="left" w:pos="5084"/>
      </w:tabs>
      <w:jc w:val="left"/>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980444"/>
    <w:multiLevelType w:val="singleLevel"/>
    <w:tmpl w:val="93980444"/>
    <w:lvl w:ilvl="0" w:tentative="0">
      <w:start w:val="2"/>
      <w:numFmt w:val="chineseCounting"/>
      <w:suff w:val="space"/>
      <w:lvlText w:val="(%1)"/>
      <w:lvlJc w:val="left"/>
      <w:rPr>
        <w:rFonts w:hint="eastAsia"/>
      </w:rPr>
    </w:lvl>
  </w:abstractNum>
  <w:abstractNum w:abstractNumId="1">
    <w:nsid w:val="CE06F564"/>
    <w:multiLevelType w:val="singleLevel"/>
    <w:tmpl w:val="CE06F564"/>
    <w:lvl w:ilvl="0" w:tentative="0">
      <w:start w:val="3"/>
      <w:numFmt w:val="chineseCounting"/>
      <w:suff w:val="space"/>
      <w:lvlText w:val="第%1章"/>
      <w:lvlJc w:val="left"/>
      <w:rPr>
        <w:rFonts w:hint="eastAsia"/>
      </w:rPr>
    </w:lvl>
  </w:abstractNum>
  <w:abstractNum w:abstractNumId="2">
    <w:nsid w:val="00000001"/>
    <w:multiLevelType w:val="singleLevel"/>
    <w:tmpl w:val="00000001"/>
    <w:lvl w:ilvl="0" w:tentative="0">
      <w:start w:val="1"/>
      <w:numFmt w:val="decimal"/>
      <w:suff w:val="nothing"/>
      <w:lvlText w:val="（%1）"/>
      <w:lvlJc w:val="left"/>
    </w:lvl>
  </w:abstractNum>
  <w:abstractNum w:abstractNumId="3">
    <w:nsid w:val="1A793D42"/>
    <w:multiLevelType w:val="multilevel"/>
    <w:tmpl w:val="1A793D42"/>
    <w:lvl w:ilvl="0" w:tentative="0">
      <w:start w:val="1"/>
      <w:numFmt w:val="japaneseCounting"/>
      <w:lvlText w:val="第%1条"/>
      <w:lvlJc w:val="left"/>
      <w:pPr>
        <w:tabs>
          <w:tab w:val="left" w:pos="1253"/>
        </w:tabs>
        <w:ind w:left="1253" w:hanging="840"/>
      </w:pPr>
      <w:rPr>
        <w:rFonts w:hint="default"/>
      </w:rPr>
    </w:lvl>
    <w:lvl w:ilvl="1" w:tentative="0">
      <w:start w:val="1"/>
      <w:numFmt w:val="lowerLetter"/>
      <w:lvlText w:val="%2)"/>
      <w:lvlJc w:val="left"/>
      <w:pPr>
        <w:tabs>
          <w:tab w:val="left" w:pos="1253"/>
        </w:tabs>
        <w:ind w:left="1253" w:hanging="420"/>
      </w:pPr>
    </w:lvl>
    <w:lvl w:ilvl="2" w:tentative="0">
      <w:start w:val="1"/>
      <w:numFmt w:val="lowerRoman"/>
      <w:pStyle w:val="85"/>
      <w:lvlText w:val="%3."/>
      <w:lvlJc w:val="right"/>
      <w:pPr>
        <w:tabs>
          <w:tab w:val="left" w:pos="1673"/>
        </w:tabs>
        <w:ind w:left="1673" w:hanging="420"/>
      </w:pPr>
    </w:lvl>
    <w:lvl w:ilvl="3" w:tentative="0">
      <w:start w:val="1"/>
      <w:numFmt w:val="decimal"/>
      <w:lvlText w:val="%4."/>
      <w:lvlJc w:val="left"/>
      <w:pPr>
        <w:tabs>
          <w:tab w:val="left" w:pos="2093"/>
        </w:tabs>
        <w:ind w:left="2093" w:hanging="420"/>
      </w:pPr>
    </w:lvl>
    <w:lvl w:ilvl="4" w:tentative="0">
      <w:start w:val="1"/>
      <w:numFmt w:val="lowerLetter"/>
      <w:lvlText w:val="%5)"/>
      <w:lvlJc w:val="left"/>
      <w:pPr>
        <w:tabs>
          <w:tab w:val="left" w:pos="2513"/>
        </w:tabs>
        <w:ind w:left="2513" w:hanging="420"/>
      </w:pPr>
    </w:lvl>
    <w:lvl w:ilvl="5" w:tentative="0">
      <w:start w:val="1"/>
      <w:numFmt w:val="lowerRoman"/>
      <w:pStyle w:val="87"/>
      <w:lvlText w:val="%6."/>
      <w:lvlJc w:val="right"/>
      <w:pPr>
        <w:tabs>
          <w:tab w:val="left" w:pos="2933"/>
        </w:tabs>
        <w:ind w:left="2933" w:hanging="420"/>
      </w:pPr>
    </w:lvl>
    <w:lvl w:ilvl="6" w:tentative="0">
      <w:start w:val="1"/>
      <w:numFmt w:val="decimal"/>
      <w:pStyle w:val="93"/>
      <w:lvlText w:val="%7."/>
      <w:lvlJc w:val="left"/>
      <w:pPr>
        <w:tabs>
          <w:tab w:val="left" w:pos="3353"/>
        </w:tabs>
        <w:ind w:left="3353" w:hanging="420"/>
      </w:pPr>
    </w:lvl>
    <w:lvl w:ilvl="7" w:tentative="0">
      <w:start w:val="1"/>
      <w:numFmt w:val="lowerLetter"/>
      <w:lvlText w:val="%8)"/>
      <w:lvlJc w:val="left"/>
      <w:pPr>
        <w:tabs>
          <w:tab w:val="left" w:pos="3773"/>
        </w:tabs>
        <w:ind w:left="3773" w:hanging="420"/>
      </w:pPr>
    </w:lvl>
    <w:lvl w:ilvl="8" w:tentative="0">
      <w:start w:val="1"/>
      <w:numFmt w:val="lowerRoman"/>
      <w:lvlText w:val="%9."/>
      <w:lvlJc w:val="right"/>
      <w:pPr>
        <w:tabs>
          <w:tab w:val="left" w:pos="4193"/>
        </w:tabs>
        <w:ind w:left="4193" w:hanging="420"/>
      </w:pPr>
    </w:lvl>
  </w:abstractNum>
  <w:abstractNum w:abstractNumId="4">
    <w:nsid w:val="5AD450A8"/>
    <w:multiLevelType w:val="singleLevel"/>
    <w:tmpl w:val="5AD450A8"/>
    <w:lvl w:ilvl="0" w:tentative="0">
      <w:start w:val="2"/>
      <w:numFmt w:val="decimal"/>
      <w:suff w:val="space"/>
      <w:lvlText w:val="%1."/>
      <w:lvlJc w:val="left"/>
    </w:lvl>
  </w:abstractNum>
  <w:abstractNum w:abstractNumId="5">
    <w:nsid w:val="5AD45148"/>
    <w:multiLevelType w:val="singleLevel"/>
    <w:tmpl w:val="5AD45148"/>
    <w:lvl w:ilvl="0" w:tentative="0">
      <w:start w:val="4"/>
      <w:numFmt w:val="decimal"/>
      <w:suff w:val="nothing"/>
      <w:lvlText w:val="%1．"/>
      <w:lvlJc w:val="left"/>
    </w:lvl>
  </w:abstractNum>
  <w:abstractNum w:abstractNumId="6">
    <w:nsid w:val="5DFB4682"/>
    <w:multiLevelType w:val="singleLevel"/>
    <w:tmpl w:val="5DFB4682"/>
    <w:lvl w:ilvl="0" w:tentative="0">
      <w:start w:val="15"/>
      <w:numFmt w:val="decimal"/>
      <w:suff w:val="space"/>
      <w:lvlText w:val="%1."/>
      <w:lvlJc w:val="left"/>
    </w:lvl>
  </w:abstractNum>
  <w:num w:numId="1">
    <w:abstractNumId w:val="3"/>
  </w:num>
  <w:num w:numId="2">
    <w:abstractNumId w:val="6"/>
  </w:num>
  <w:num w:numId="3">
    <w:abstractNumId w:val="1"/>
  </w:num>
  <w:num w:numId="4">
    <w:abstractNumId w:val="2"/>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xYTQyZDk3NDk1NWNkN2FiZDI0MTJmNzc2MDcxY2YifQ=="/>
  </w:docVars>
  <w:rsids>
    <w:rsidRoot w:val="00F92138"/>
    <w:rsid w:val="000011ED"/>
    <w:rsid w:val="00003035"/>
    <w:rsid w:val="000034A6"/>
    <w:rsid w:val="00003A29"/>
    <w:rsid w:val="00003B4C"/>
    <w:rsid w:val="00003D90"/>
    <w:rsid w:val="000040FD"/>
    <w:rsid w:val="00004538"/>
    <w:rsid w:val="00004CC8"/>
    <w:rsid w:val="00004F9B"/>
    <w:rsid w:val="00005143"/>
    <w:rsid w:val="00005950"/>
    <w:rsid w:val="000066EE"/>
    <w:rsid w:val="00006F9F"/>
    <w:rsid w:val="00006FC2"/>
    <w:rsid w:val="0000722A"/>
    <w:rsid w:val="0000775B"/>
    <w:rsid w:val="00007BC6"/>
    <w:rsid w:val="00007F75"/>
    <w:rsid w:val="00007F96"/>
    <w:rsid w:val="0001073E"/>
    <w:rsid w:val="00011006"/>
    <w:rsid w:val="00011968"/>
    <w:rsid w:val="0001269E"/>
    <w:rsid w:val="000127AC"/>
    <w:rsid w:val="0001284A"/>
    <w:rsid w:val="00012D46"/>
    <w:rsid w:val="000139C8"/>
    <w:rsid w:val="000139E0"/>
    <w:rsid w:val="00013C2B"/>
    <w:rsid w:val="00013F2B"/>
    <w:rsid w:val="00014528"/>
    <w:rsid w:val="00014830"/>
    <w:rsid w:val="00014B3F"/>
    <w:rsid w:val="00014CBF"/>
    <w:rsid w:val="00014F8C"/>
    <w:rsid w:val="000150F7"/>
    <w:rsid w:val="0001546F"/>
    <w:rsid w:val="000157C0"/>
    <w:rsid w:val="00016778"/>
    <w:rsid w:val="00020386"/>
    <w:rsid w:val="0002071A"/>
    <w:rsid w:val="00020D44"/>
    <w:rsid w:val="000212EE"/>
    <w:rsid w:val="00021F89"/>
    <w:rsid w:val="000222E5"/>
    <w:rsid w:val="00022A04"/>
    <w:rsid w:val="00022E8C"/>
    <w:rsid w:val="00022F6B"/>
    <w:rsid w:val="00023CCC"/>
    <w:rsid w:val="00024377"/>
    <w:rsid w:val="0002468E"/>
    <w:rsid w:val="000247AF"/>
    <w:rsid w:val="00024BB8"/>
    <w:rsid w:val="00024C60"/>
    <w:rsid w:val="00024F8B"/>
    <w:rsid w:val="000253B5"/>
    <w:rsid w:val="000254AC"/>
    <w:rsid w:val="000259A8"/>
    <w:rsid w:val="00026E34"/>
    <w:rsid w:val="00026F35"/>
    <w:rsid w:val="0002714F"/>
    <w:rsid w:val="00030708"/>
    <w:rsid w:val="00030C53"/>
    <w:rsid w:val="0003130B"/>
    <w:rsid w:val="000320B9"/>
    <w:rsid w:val="0003224D"/>
    <w:rsid w:val="000325F4"/>
    <w:rsid w:val="00032678"/>
    <w:rsid w:val="00032FF8"/>
    <w:rsid w:val="000335B6"/>
    <w:rsid w:val="00033DAF"/>
    <w:rsid w:val="0003439C"/>
    <w:rsid w:val="000343BC"/>
    <w:rsid w:val="00034E06"/>
    <w:rsid w:val="000351B3"/>
    <w:rsid w:val="00035402"/>
    <w:rsid w:val="000355E5"/>
    <w:rsid w:val="00035820"/>
    <w:rsid w:val="00035910"/>
    <w:rsid w:val="00035A5C"/>
    <w:rsid w:val="00035DF7"/>
    <w:rsid w:val="000403AE"/>
    <w:rsid w:val="00040940"/>
    <w:rsid w:val="00041076"/>
    <w:rsid w:val="000412A5"/>
    <w:rsid w:val="0004167F"/>
    <w:rsid w:val="00041ED4"/>
    <w:rsid w:val="000421A5"/>
    <w:rsid w:val="000421C8"/>
    <w:rsid w:val="000426E2"/>
    <w:rsid w:val="00042770"/>
    <w:rsid w:val="000427AB"/>
    <w:rsid w:val="00042DAE"/>
    <w:rsid w:val="00042E6D"/>
    <w:rsid w:val="0004314D"/>
    <w:rsid w:val="00043BC9"/>
    <w:rsid w:val="000447C7"/>
    <w:rsid w:val="00044975"/>
    <w:rsid w:val="00044E5F"/>
    <w:rsid w:val="0004528E"/>
    <w:rsid w:val="00045A41"/>
    <w:rsid w:val="00045B84"/>
    <w:rsid w:val="00046EF7"/>
    <w:rsid w:val="000477E5"/>
    <w:rsid w:val="00047EB0"/>
    <w:rsid w:val="00050027"/>
    <w:rsid w:val="00050162"/>
    <w:rsid w:val="00050664"/>
    <w:rsid w:val="000506B3"/>
    <w:rsid w:val="00050B4B"/>
    <w:rsid w:val="00050EC4"/>
    <w:rsid w:val="000512E9"/>
    <w:rsid w:val="0005137F"/>
    <w:rsid w:val="00051847"/>
    <w:rsid w:val="00052011"/>
    <w:rsid w:val="000520B6"/>
    <w:rsid w:val="000528D6"/>
    <w:rsid w:val="00052DC5"/>
    <w:rsid w:val="00053080"/>
    <w:rsid w:val="000536C4"/>
    <w:rsid w:val="00054966"/>
    <w:rsid w:val="00054C87"/>
    <w:rsid w:val="00055449"/>
    <w:rsid w:val="00055BF1"/>
    <w:rsid w:val="00055E73"/>
    <w:rsid w:val="00056190"/>
    <w:rsid w:val="00056AB7"/>
    <w:rsid w:val="00057438"/>
    <w:rsid w:val="00057B1A"/>
    <w:rsid w:val="000600A2"/>
    <w:rsid w:val="000600AC"/>
    <w:rsid w:val="00060163"/>
    <w:rsid w:val="000606D6"/>
    <w:rsid w:val="00060B78"/>
    <w:rsid w:val="00061151"/>
    <w:rsid w:val="00061194"/>
    <w:rsid w:val="0006269C"/>
    <w:rsid w:val="00062E7A"/>
    <w:rsid w:val="00062F9E"/>
    <w:rsid w:val="0006385F"/>
    <w:rsid w:val="00065160"/>
    <w:rsid w:val="00065639"/>
    <w:rsid w:val="00065A4D"/>
    <w:rsid w:val="000665E4"/>
    <w:rsid w:val="00067111"/>
    <w:rsid w:val="000675B5"/>
    <w:rsid w:val="0007107E"/>
    <w:rsid w:val="00071465"/>
    <w:rsid w:val="00071B5D"/>
    <w:rsid w:val="000723E2"/>
    <w:rsid w:val="00072883"/>
    <w:rsid w:val="000731C2"/>
    <w:rsid w:val="00073222"/>
    <w:rsid w:val="00073617"/>
    <w:rsid w:val="000738B6"/>
    <w:rsid w:val="00074167"/>
    <w:rsid w:val="00074AB7"/>
    <w:rsid w:val="00074DD4"/>
    <w:rsid w:val="0007565A"/>
    <w:rsid w:val="00077644"/>
    <w:rsid w:val="0007788B"/>
    <w:rsid w:val="00077FF6"/>
    <w:rsid w:val="00080266"/>
    <w:rsid w:val="0008063A"/>
    <w:rsid w:val="00081346"/>
    <w:rsid w:val="000815D9"/>
    <w:rsid w:val="00081FD1"/>
    <w:rsid w:val="000820F8"/>
    <w:rsid w:val="00082451"/>
    <w:rsid w:val="00082704"/>
    <w:rsid w:val="00082EA8"/>
    <w:rsid w:val="00082FEC"/>
    <w:rsid w:val="000834F3"/>
    <w:rsid w:val="00084A11"/>
    <w:rsid w:val="00085C7F"/>
    <w:rsid w:val="000870D2"/>
    <w:rsid w:val="00087A27"/>
    <w:rsid w:val="000910C5"/>
    <w:rsid w:val="00091791"/>
    <w:rsid w:val="00091B99"/>
    <w:rsid w:val="0009243F"/>
    <w:rsid w:val="0009290A"/>
    <w:rsid w:val="000945EF"/>
    <w:rsid w:val="0009553A"/>
    <w:rsid w:val="000965CD"/>
    <w:rsid w:val="00096861"/>
    <w:rsid w:val="00096AD2"/>
    <w:rsid w:val="00096CEF"/>
    <w:rsid w:val="000A0119"/>
    <w:rsid w:val="000A073C"/>
    <w:rsid w:val="000A0E08"/>
    <w:rsid w:val="000A0FD6"/>
    <w:rsid w:val="000A1C45"/>
    <w:rsid w:val="000A1DE2"/>
    <w:rsid w:val="000A2D55"/>
    <w:rsid w:val="000A37A2"/>
    <w:rsid w:val="000A4C9D"/>
    <w:rsid w:val="000A5169"/>
    <w:rsid w:val="000A5C45"/>
    <w:rsid w:val="000A60A3"/>
    <w:rsid w:val="000A6CD2"/>
    <w:rsid w:val="000A74D2"/>
    <w:rsid w:val="000A7625"/>
    <w:rsid w:val="000B010C"/>
    <w:rsid w:val="000B06A3"/>
    <w:rsid w:val="000B1865"/>
    <w:rsid w:val="000B2456"/>
    <w:rsid w:val="000B3BC8"/>
    <w:rsid w:val="000B411D"/>
    <w:rsid w:val="000B414E"/>
    <w:rsid w:val="000B4180"/>
    <w:rsid w:val="000B429B"/>
    <w:rsid w:val="000B5ACF"/>
    <w:rsid w:val="000B62C2"/>
    <w:rsid w:val="000B647B"/>
    <w:rsid w:val="000B6631"/>
    <w:rsid w:val="000B6A3F"/>
    <w:rsid w:val="000B6DEE"/>
    <w:rsid w:val="000B72A4"/>
    <w:rsid w:val="000B7385"/>
    <w:rsid w:val="000B7939"/>
    <w:rsid w:val="000B7B41"/>
    <w:rsid w:val="000C018F"/>
    <w:rsid w:val="000C0406"/>
    <w:rsid w:val="000C0A08"/>
    <w:rsid w:val="000C1576"/>
    <w:rsid w:val="000C16C7"/>
    <w:rsid w:val="000C18B9"/>
    <w:rsid w:val="000C1C13"/>
    <w:rsid w:val="000C2478"/>
    <w:rsid w:val="000C2C4E"/>
    <w:rsid w:val="000C2CBC"/>
    <w:rsid w:val="000C31E4"/>
    <w:rsid w:val="000C35F0"/>
    <w:rsid w:val="000C566C"/>
    <w:rsid w:val="000C59F6"/>
    <w:rsid w:val="000C5FC6"/>
    <w:rsid w:val="000C6144"/>
    <w:rsid w:val="000C628D"/>
    <w:rsid w:val="000C6905"/>
    <w:rsid w:val="000C699F"/>
    <w:rsid w:val="000C70F5"/>
    <w:rsid w:val="000C7259"/>
    <w:rsid w:val="000C7DC0"/>
    <w:rsid w:val="000D06C8"/>
    <w:rsid w:val="000D093D"/>
    <w:rsid w:val="000D11A7"/>
    <w:rsid w:val="000D11E7"/>
    <w:rsid w:val="000D1B37"/>
    <w:rsid w:val="000D40AF"/>
    <w:rsid w:val="000D47DB"/>
    <w:rsid w:val="000D519C"/>
    <w:rsid w:val="000D5333"/>
    <w:rsid w:val="000D5B37"/>
    <w:rsid w:val="000D5BC2"/>
    <w:rsid w:val="000D5C96"/>
    <w:rsid w:val="000D6062"/>
    <w:rsid w:val="000D63FC"/>
    <w:rsid w:val="000D671D"/>
    <w:rsid w:val="000D6D5C"/>
    <w:rsid w:val="000D6F1A"/>
    <w:rsid w:val="000E00A8"/>
    <w:rsid w:val="000E0628"/>
    <w:rsid w:val="000E1051"/>
    <w:rsid w:val="000E12EE"/>
    <w:rsid w:val="000E1EA9"/>
    <w:rsid w:val="000E1ECA"/>
    <w:rsid w:val="000E3274"/>
    <w:rsid w:val="000E3298"/>
    <w:rsid w:val="000E3460"/>
    <w:rsid w:val="000E3594"/>
    <w:rsid w:val="000E3A19"/>
    <w:rsid w:val="000E4F78"/>
    <w:rsid w:val="000E5069"/>
    <w:rsid w:val="000E6957"/>
    <w:rsid w:val="000E7700"/>
    <w:rsid w:val="000E7BC8"/>
    <w:rsid w:val="000F0191"/>
    <w:rsid w:val="000F1113"/>
    <w:rsid w:val="000F1327"/>
    <w:rsid w:val="000F25BC"/>
    <w:rsid w:val="000F264A"/>
    <w:rsid w:val="000F350A"/>
    <w:rsid w:val="000F3517"/>
    <w:rsid w:val="000F364A"/>
    <w:rsid w:val="000F3D0D"/>
    <w:rsid w:val="000F56C7"/>
    <w:rsid w:val="000F61C1"/>
    <w:rsid w:val="000F6817"/>
    <w:rsid w:val="00100D7E"/>
    <w:rsid w:val="0010195A"/>
    <w:rsid w:val="00102A52"/>
    <w:rsid w:val="0010326D"/>
    <w:rsid w:val="00103301"/>
    <w:rsid w:val="00103999"/>
    <w:rsid w:val="00103AB1"/>
    <w:rsid w:val="00104B81"/>
    <w:rsid w:val="001058BC"/>
    <w:rsid w:val="00106740"/>
    <w:rsid w:val="00107DBE"/>
    <w:rsid w:val="00111003"/>
    <w:rsid w:val="0011113A"/>
    <w:rsid w:val="0011141A"/>
    <w:rsid w:val="00111A2D"/>
    <w:rsid w:val="00112099"/>
    <w:rsid w:val="00112C90"/>
    <w:rsid w:val="00112E81"/>
    <w:rsid w:val="00112F5B"/>
    <w:rsid w:val="00113733"/>
    <w:rsid w:val="00113956"/>
    <w:rsid w:val="00114B86"/>
    <w:rsid w:val="00114BAC"/>
    <w:rsid w:val="00114E7F"/>
    <w:rsid w:val="00115670"/>
    <w:rsid w:val="0011594D"/>
    <w:rsid w:val="00116607"/>
    <w:rsid w:val="0011671E"/>
    <w:rsid w:val="00117824"/>
    <w:rsid w:val="00120802"/>
    <w:rsid w:val="00120DF7"/>
    <w:rsid w:val="00122B0C"/>
    <w:rsid w:val="00122F62"/>
    <w:rsid w:val="001249A4"/>
    <w:rsid w:val="00124BC6"/>
    <w:rsid w:val="001260F4"/>
    <w:rsid w:val="001270F9"/>
    <w:rsid w:val="00127500"/>
    <w:rsid w:val="00127BFE"/>
    <w:rsid w:val="00127F67"/>
    <w:rsid w:val="00130436"/>
    <w:rsid w:val="00130EFA"/>
    <w:rsid w:val="00131192"/>
    <w:rsid w:val="0013119D"/>
    <w:rsid w:val="00131596"/>
    <w:rsid w:val="001315FD"/>
    <w:rsid w:val="00131842"/>
    <w:rsid w:val="00131B68"/>
    <w:rsid w:val="0013205C"/>
    <w:rsid w:val="00134AC2"/>
    <w:rsid w:val="00134D87"/>
    <w:rsid w:val="0013633F"/>
    <w:rsid w:val="00137254"/>
    <w:rsid w:val="001373DE"/>
    <w:rsid w:val="001377AE"/>
    <w:rsid w:val="00137BD4"/>
    <w:rsid w:val="00140FCC"/>
    <w:rsid w:val="00141B28"/>
    <w:rsid w:val="001435BC"/>
    <w:rsid w:val="00143961"/>
    <w:rsid w:val="00143DED"/>
    <w:rsid w:val="00144977"/>
    <w:rsid w:val="00145C6E"/>
    <w:rsid w:val="00146D13"/>
    <w:rsid w:val="0014785A"/>
    <w:rsid w:val="00147BDA"/>
    <w:rsid w:val="001500A3"/>
    <w:rsid w:val="00150583"/>
    <w:rsid w:val="00150737"/>
    <w:rsid w:val="00150E00"/>
    <w:rsid w:val="00150E78"/>
    <w:rsid w:val="001518A6"/>
    <w:rsid w:val="00151C92"/>
    <w:rsid w:val="00151D76"/>
    <w:rsid w:val="00151D82"/>
    <w:rsid w:val="001520C4"/>
    <w:rsid w:val="00152141"/>
    <w:rsid w:val="00152580"/>
    <w:rsid w:val="001531D5"/>
    <w:rsid w:val="00153C33"/>
    <w:rsid w:val="00153E77"/>
    <w:rsid w:val="00154142"/>
    <w:rsid w:val="001552FB"/>
    <w:rsid w:val="00155E4D"/>
    <w:rsid w:val="001563CA"/>
    <w:rsid w:val="00157CF4"/>
    <w:rsid w:val="00157D8C"/>
    <w:rsid w:val="001602DB"/>
    <w:rsid w:val="00160B58"/>
    <w:rsid w:val="001615FE"/>
    <w:rsid w:val="00161F11"/>
    <w:rsid w:val="001628D1"/>
    <w:rsid w:val="001635EC"/>
    <w:rsid w:val="00163AF5"/>
    <w:rsid w:val="00164A32"/>
    <w:rsid w:val="00166155"/>
    <w:rsid w:val="00166459"/>
    <w:rsid w:val="001666A4"/>
    <w:rsid w:val="00166B5D"/>
    <w:rsid w:val="00170546"/>
    <w:rsid w:val="001708D7"/>
    <w:rsid w:val="00170B3B"/>
    <w:rsid w:val="00170E23"/>
    <w:rsid w:val="00170E6F"/>
    <w:rsid w:val="00171E9E"/>
    <w:rsid w:val="0017230F"/>
    <w:rsid w:val="00172BF4"/>
    <w:rsid w:val="0017330B"/>
    <w:rsid w:val="0017446B"/>
    <w:rsid w:val="00174B67"/>
    <w:rsid w:val="00174FF0"/>
    <w:rsid w:val="0017506B"/>
    <w:rsid w:val="0017569B"/>
    <w:rsid w:val="00175FAB"/>
    <w:rsid w:val="001766AA"/>
    <w:rsid w:val="00176EAE"/>
    <w:rsid w:val="00177137"/>
    <w:rsid w:val="001776FB"/>
    <w:rsid w:val="00177C81"/>
    <w:rsid w:val="001808E2"/>
    <w:rsid w:val="00180BEC"/>
    <w:rsid w:val="00181A3A"/>
    <w:rsid w:val="00181CCB"/>
    <w:rsid w:val="00182C8C"/>
    <w:rsid w:val="0018350F"/>
    <w:rsid w:val="00184BEB"/>
    <w:rsid w:val="00185033"/>
    <w:rsid w:val="00186156"/>
    <w:rsid w:val="00186411"/>
    <w:rsid w:val="001875C3"/>
    <w:rsid w:val="00187FC4"/>
    <w:rsid w:val="001902AC"/>
    <w:rsid w:val="001902E5"/>
    <w:rsid w:val="0019071A"/>
    <w:rsid w:val="00190C4B"/>
    <w:rsid w:val="001910FC"/>
    <w:rsid w:val="0019110D"/>
    <w:rsid w:val="0019184C"/>
    <w:rsid w:val="00191864"/>
    <w:rsid w:val="001920F4"/>
    <w:rsid w:val="00192B99"/>
    <w:rsid w:val="00193724"/>
    <w:rsid w:val="00193D99"/>
    <w:rsid w:val="00194596"/>
    <w:rsid w:val="0019486F"/>
    <w:rsid w:val="0019498B"/>
    <w:rsid w:val="00195D79"/>
    <w:rsid w:val="0019621C"/>
    <w:rsid w:val="00196416"/>
    <w:rsid w:val="00196CD1"/>
    <w:rsid w:val="00197043"/>
    <w:rsid w:val="00197505"/>
    <w:rsid w:val="001A04FC"/>
    <w:rsid w:val="001A093E"/>
    <w:rsid w:val="001A0987"/>
    <w:rsid w:val="001A162C"/>
    <w:rsid w:val="001A1766"/>
    <w:rsid w:val="001A190A"/>
    <w:rsid w:val="001A1F39"/>
    <w:rsid w:val="001A24C7"/>
    <w:rsid w:val="001A305D"/>
    <w:rsid w:val="001A331F"/>
    <w:rsid w:val="001A365F"/>
    <w:rsid w:val="001A3996"/>
    <w:rsid w:val="001A3AEF"/>
    <w:rsid w:val="001A3EF0"/>
    <w:rsid w:val="001A3FAA"/>
    <w:rsid w:val="001A4474"/>
    <w:rsid w:val="001A493C"/>
    <w:rsid w:val="001A50C7"/>
    <w:rsid w:val="001A55F6"/>
    <w:rsid w:val="001A5AC4"/>
    <w:rsid w:val="001A69BB"/>
    <w:rsid w:val="001A7DAA"/>
    <w:rsid w:val="001B02A1"/>
    <w:rsid w:val="001B03B2"/>
    <w:rsid w:val="001B0531"/>
    <w:rsid w:val="001B07BA"/>
    <w:rsid w:val="001B0CE4"/>
    <w:rsid w:val="001B0E49"/>
    <w:rsid w:val="001B0E7E"/>
    <w:rsid w:val="001B0E82"/>
    <w:rsid w:val="001B1BB1"/>
    <w:rsid w:val="001B1CB6"/>
    <w:rsid w:val="001B2025"/>
    <w:rsid w:val="001B22C7"/>
    <w:rsid w:val="001B29D5"/>
    <w:rsid w:val="001B2AB6"/>
    <w:rsid w:val="001B321D"/>
    <w:rsid w:val="001B414D"/>
    <w:rsid w:val="001B49CB"/>
    <w:rsid w:val="001B621F"/>
    <w:rsid w:val="001B674A"/>
    <w:rsid w:val="001B6E90"/>
    <w:rsid w:val="001B737B"/>
    <w:rsid w:val="001B73A3"/>
    <w:rsid w:val="001B7408"/>
    <w:rsid w:val="001B7B77"/>
    <w:rsid w:val="001B7CFB"/>
    <w:rsid w:val="001C0629"/>
    <w:rsid w:val="001C1729"/>
    <w:rsid w:val="001C2BB8"/>
    <w:rsid w:val="001C2D35"/>
    <w:rsid w:val="001C3D12"/>
    <w:rsid w:val="001C45AC"/>
    <w:rsid w:val="001C4807"/>
    <w:rsid w:val="001C5609"/>
    <w:rsid w:val="001C701F"/>
    <w:rsid w:val="001C72C5"/>
    <w:rsid w:val="001C745C"/>
    <w:rsid w:val="001C750F"/>
    <w:rsid w:val="001C77CF"/>
    <w:rsid w:val="001C7893"/>
    <w:rsid w:val="001C78AD"/>
    <w:rsid w:val="001C79B7"/>
    <w:rsid w:val="001D027B"/>
    <w:rsid w:val="001D0660"/>
    <w:rsid w:val="001D0A3C"/>
    <w:rsid w:val="001D1074"/>
    <w:rsid w:val="001D17FB"/>
    <w:rsid w:val="001D1A40"/>
    <w:rsid w:val="001D1BD9"/>
    <w:rsid w:val="001D1ED9"/>
    <w:rsid w:val="001D2354"/>
    <w:rsid w:val="001D42E9"/>
    <w:rsid w:val="001D482B"/>
    <w:rsid w:val="001D4B5E"/>
    <w:rsid w:val="001D4CDA"/>
    <w:rsid w:val="001D5413"/>
    <w:rsid w:val="001D5EEB"/>
    <w:rsid w:val="001D6933"/>
    <w:rsid w:val="001D6FBD"/>
    <w:rsid w:val="001D7210"/>
    <w:rsid w:val="001D7894"/>
    <w:rsid w:val="001D7BC1"/>
    <w:rsid w:val="001D7D78"/>
    <w:rsid w:val="001E067D"/>
    <w:rsid w:val="001E0862"/>
    <w:rsid w:val="001E148F"/>
    <w:rsid w:val="001E1A98"/>
    <w:rsid w:val="001E1B12"/>
    <w:rsid w:val="001E1D12"/>
    <w:rsid w:val="001E2396"/>
    <w:rsid w:val="001E23BF"/>
    <w:rsid w:val="001E275B"/>
    <w:rsid w:val="001E2862"/>
    <w:rsid w:val="001E294B"/>
    <w:rsid w:val="001E2DE6"/>
    <w:rsid w:val="001E31C4"/>
    <w:rsid w:val="001E3609"/>
    <w:rsid w:val="001E3693"/>
    <w:rsid w:val="001E3F45"/>
    <w:rsid w:val="001E696A"/>
    <w:rsid w:val="001E6D2F"/>
    <w:rsid w:val="001E7E7A"/>
    <w:rsid w:val="001F0C2C"/>
    <w:rsid w:val="001F1440"/>
    <w:rsid w:val="001F1853"/>
    <w:rsid w:val="001F2422"/>
    <w:rsid w:val="001F3A64"/>
    <w:rsid w:val="001F3AD9"/>
    <w:rsid w:val="001F4687"/>
    <w:rsid w:val="001F46E0"/>
    <w:rsid w:val="001F4DEF"/>
    <w:rsid w:val="001F5997"/>
    <w:rsid w:val="001F5AA1"/>
    <w:rsid w:val="001F5B60"/>
    <w:rsid w:val="001F5C11"/>
    <w:rsid w:val="001F60AC"/>
    <w:rsid w:val="001F651B"/>
    <w:rsid w:val="001F662E"/>
    <w:rsid w:val="001F7215"/>
    <w:rsid w:val="001F7340"/>
    <w:rsid w:val="001F7506"/>
    <w:rsid w:val="001F7F8D"/>
    <w:rsid w:val="00200316"/>
    <w:rsid w:val="0020050E"/>
    <w:rsid w:val="002009E4"/>
    <w:rsid w:val="0020195A"/>
    <w:rsid w:val="00201B25"/>
    <w:rsid w:val="002027EF"/>
    <w:rsid w:val="00203A55"/>
    <w:rsid w:val="00206225"/>
    <w:rsid w:val="0020757A"/>
    <w:rsid w:val="00207C8F"/>
    <w:rsid w:val="00210B09"/>
    <w:rsid w:val="0021125C"/>
    <w:rsid w:val="002114BA"/>
    <w:rsid w:val="00211C13"/>
    <w:rsid w:val="00212626"/>
    <w:rsid w:val="00212989"/>
    <w:rsid w:val="00212D38"/>
    <w:rsid w:val="0021351A"/>
    <w:rsid w:val="002138FE"/>
    <w:rsid w:val="002149B2"/>
    <w:rsid w:val="00214CC2"/>
    <w:rsid w:val="00215408"/>
    <w:rsid w:val="00216AEA"/>
    <w:rsid w:val="00217054"/>
    <w:rsid w:val="00217AE5"/>
    <w:rsid w:val="00217E9A"/>
    <w:rsid w:val="00220E32"/>
    <w:rsid w:val="00221495"/>
    <w:rsid w:val="00221888"/>
    <w:rsid w:val="00222708"/>
    <w:rsid w:val="002229B0"/>
    <w:rsid w:val="00222A36"/>
    <w:rsid w:val="00223A51"/>
    <w:rsid w:val="00223F00"/>
    <w:rsid w:val="0022446D"/>
    <w:rsid w:val="00224C89"/>
    <w:rsid w:val="002260AD"/>
    <w:rsid w:val="002261F8"/>
    <w:rsid w:val="00226478"/>
    <w:rsid w:val="002278CE"/>
    <w:rsid w:val="00230DFF"/>
    <w:rsid w:val="00230F9C"/>
    <w:rsid w:val="002325AE"/>
    <w:rsid w:val="002326F2"/>
    <w:rsid w:val="00232DC8"/>
    <w:rsid w:val="00232EBF"/>
    <w:rsid w:val="00234641"/>
    <w:rsid w:val="00234BD6"/>
    <w:rsid w:val="002359C3"/>
    <w:rsid w:val="00235ADD"/>
    <w:rsid w:val="00235F89"/>
    <w:rsid w:val="00236F91"/>
    <w:rsid w:val="002373E5"/>
    <w:rsid w:val="00237602"/>
    <w:rsid w:val="002404EA"/>
    <w:rsid w:val="0024074A"/>
    <w:rsid w:val="0024096E"/>
    <w:rsid w:val="002418B1"/>
    <w:rsid w:val="00241A5C"/>
    <w:rsid w:val="00241DE1"/>
    <w:rsid w:val="0024232F"/>
    <w:rsid w:val="00242832"/>
    <w:rsid w:val="00243476"/>
    <w:rsid w:val="002435E0"/>
    <w:rsid w:val="00243931"/>
    <w:rsid w:val="002439A1"/>
    <w:rsid w:val="00243F0E"/>
    <w:rsid w:val="002441BE"/>
    <w:rsid w:val="00246233"/>
    <w:rsid w:val="002464F0"/>
    <w:rsid w:val="002469A3"/>
    <w:rsid w:val="00246B1C"/>
    <w:rsid w:val="002473EC"/>
    <w:rsid w:val="00247D80"/>
    <w:rsid w:val="00250FB6"/>
    <w:rsid w:val="0025111D"/>
    <w:rsid w:val="002517A2"/>
    <w:rsid w:val="00251D2B"/>
    <w:rsid w:val="00251E7B"/>
    <w:rsid w:val="002528CC"/>
    <w:rsid w:val="00252F05"/>
    <w:rsid w:val="002539A8"/>
    <w:rsid w:val="002540FA"/>
    <w:rsid w:val="002542B9"/>
    <w:rsid w:val="002544BE"/>
    <w:rsid w:val="00254894"/>
    <w:rsid w:val="002549A9"/>
    <w:rsid w:val="00255066"/>
    <w:rsid w:val="002550EB"/>
    <w:rsid w:val="00255D59"/>
    <w:rsid w:val="002567EF"/>
    <w:rsid w:val="0026033B"/>
    <w:rsid w:val="00260586"/>
    <w:rsid w:val="0026067E"/>
    <w:rsid w:val="00261358"/>
    <w:rsid w:val="00261387"/>
    <w:rsid w:val="00261D25"/>
    <w:rsid w:val="00262975"/>
    <w:rsid w:val="00262AE0"/>
    <w:rsid w:val="00264CD6"/>
    <w:rsid w:val="0026510C"/>
    <w:rsid w:val="00265323"/>
    <w:rsid w:val="00265494"/>
    <w:rsid w:val="00266A44"/>
    <w:rsid w:val="002677CB"/>
    <w:rsid w:val="00270BD0"/>
    <w:rsid w:val="00271315"/>
    <w:rsid w:val="00273203"/>
    <w:rsid w:val="002735AA"/>
    <w:rsid w:val="0027385D"/>
    <w:rsid w:val="00273AC7"/>
    <w:rsid w:val="00273C4D"/>
    <w:rsid w:val="002748B6"/>
    <w:rsid w:val="00275602"/>
    <w:rsid w:val="00276424"/>
    <w:rsid w:val="0027652D"/>
    <w:rsid w:val="00276941"/>
    <w:rsid w:val="00277138"/>
    <w:rsid w:val="00277F33"/>
    <w:rsid w:val="00280EB0"/>
    <w:rsid w:val="0028132C"/>
    <w:rsid w:val="002814A0"/>
    <w:rsid w:val="00281DD3"/>
    <w:rsid w:val="00281F76"/>
    <w:rsid w:val="00282A80"/>
    <w:rsid w:val="00282E89"/>
    <w:rsid w:val="00283F81"/>
    <w:rsid w:val="0028443A"/>
    <w:rsid w:val="002845B3"/>
    <w:rsid w:val="002846FC"/>
    <w:rsid w:val="00284C41"/>
    <w:rsid w:val="00285132"/>
    <w:rsid w:val="00285367"/>
    <w:rsid w:val="0028552C"/>
    <w:rsid w:val="00285C28"/>
    <w:rsid w:val="00285FD5"/>
    <w:rsid w:val="0028611C"/>
    <w:rsid w:val="002866DB"/>
    <w:rsid w:val="00286ED8"/>
    <w:rsid w:val="00287372"/>
    <w:rsid w:val="00287D3E"/>
    <w:rsid w:val="002903F9"/>
    <w:rsid w:val="00291373"/>
    <w:rsid w:val="00291B3C"/>
    <w:rsid w:val="00291DB8"/>
    <w:rsid w:val="002920EB"/>
    <w:rsid w:val="002922EE"/>
    <w:rsid w:val="00292C08"/>
    <w:rsid w:val="00292E18"/>
    <w:rsid w:val="00293705"/>
    <w:rsid w:val="00293D04"/>
    <w:rsid w:val="00293F3A"/>
    <w:rsid w:val="00294639"/>
    <w:rsid w:val="00294D8B"/>
    <w:rsid w:val="00295A96"/>
    <w:rsid w:val="00295DBE"/>
    <w:rsid w:val="002962DA"/>
    <w:rsid w:val="002964DD"/>
    <w:rsid w:val="00296AFF"/>
    <w:rsid w:val="00296C8E"/>
    <w:rsid w:val="00297E0C"/>
    <w:rsid w:val="002A0B6A"/>
    <w:rsid w:val="002A1103"/>
    <w:rsid w:val="002A16F4"/>
    <w:rsid w:val="002A2251"/>
    <w:rsid w:val="002A25A4"/>
    <w:rsid w:val="002A2C3B"/>
    <w:rsid w:val="002A415D"/>
    <w:rsid w:val="002A49B2"/>
    <w:rsid w:val="002A610A"/>
    <w:rsid w:val="002A671A"/>
    <w:rsid w:val="002A685E"/>
    <w:rsid w:val="002A6A6B"/>
    <w:rsid w:val="002A6CE9"/>
    <w:rsid w:val="002A725F"/>
    <w:rsid w:val="002A75D1"/>
    <w:rsid w:val="002B00FA"/>
    <w:rsid w:val="002B04A2"/>
    <w:rsid w:val="002B055D"/>
    <w:rsid w:val="002B08D1"/>
    <w:rsid w:val="002B0D00"/>
    <w:rsid w:val="002B10E6"/>
    <w:rsid w:val="002B124E"/>
    <w:rsid w:val="002B1707"/>
    <w:rsid w:val="002B1778"/>
    <w:rsid w:val="002B1B61"/>
    <w:rsid w:val="002B210E"/>
    <w:rsid w:val="002B2940"/>
    <w:rsid w:val="002B2BB3"/>
    <w:rsid w:val="002B300C"/>
    <w:rsid w:val="002B3057"/>
    <w:rsid w:val="002B37A6"/>
    <w:rsid w:val="002B4887"/>
    <w:rsid w:val="002B4889"/>
    <w:rsid w:val="002B488E"/>
    <w:rsid w:val="002B52D5"/>
    <w:rsid w:val="002B539B"/>
    <w:rsid w:val="002B587F"/>
    <w:rsid w:val="002B58E0"/>
    <w:rsid w:val="002B594C"/>
    <w:rsid w:val="002B594F"/>
    <w:rsid w:val="002B6695"/>
    <w:rsid w:val="002B6C1E"/>
    <w:rsid w:val="002B792B"/>
    <w:rsid w:val="002C050A"/>
    <w:rsid w:val="002C05D9"/>
    <w:rsid w:val="002C071F"/>
    <w:rsid w:val="002C1042"/>
    <w:rsid w:val="002C13B0"/>
    <w:rsid w:val="002C2330"/>
    <w:rsid w:val="002C2468"/>
    <w:rsid w:val="002C2D77"/>
    <w:rsid w:val="002C3A89"/>
    <w:rsid w:val="002C3E9D"/>
    <w:rsid w:val="002C4A94"/>
    <w:rsid w:val="002C4F1A"/>
    <w:rsid w:val="002C5FBF"/>
    <w:rsid w:val="002C6330"/>
    <w:rsid w:val="002C6460"/>
    <w:rsid w:val="002C6A88"/>
    <w:rsid w:val="002C6E6B"/>
    <w:rsid w:val="002C70DC"/>
    <w:rsid w:val="002C7464"/>
    <w:rsid w:val="002D03D5"/>
    <w:rsid w:val="002D0694"/>
    <w:rsid w:val="002D0DCB"/>
    <w:rsid w:val="002D0E51"/>
    <w:rsid w:val="002D0E6F"/>
    <w:rsid w:val="002D1B57"/>
    <w:rsid w:val="002D207F"/>
    <w:rsid w:val="002D21F9"/>
    <w:rsid w:val="002D2E7E"/>
    <w:rsid w:val="002D2EC2"/>
    <w:rsid w:val="002D308D"/>
    <w:rsid w:val="002D30E8"/>
    <w:rsid w:val="002D3E37"/>
    <w:rsid w:val="002D492C"/>
    <w:rsid w:val="002D4F40"/>
    <w:rsid w:val="002D4F88"/>
    <w:rsid w:val="002D51D8"/>
    <w:rsid w:val="002D6A91"/>
    <w:rsid w:val="002D6CAE"/>
    <w:rsid w:val="002D752F"/>
    <w:rsid w:val="002D7BBF"/>
    <w:rsid w:val="002E00B9"/>
    <w:rsid w:val="002E0D85"/>
    <w:rsid w:val="002E0DA4"/>
    <w:rsid w:val="002E120D"/>
    <w:rsid w:val="002E161B"/>
    <w:rsid w:val="002E1BB9"/>
    <w:rsid w:val="002E30DE"/>
    <w:rsid w:val="002E4355"/>
    <w:rsid w:val="002E4B42"/>
    <w:rsid w:val="002E54DC"/>
    <w:rsid w:val="002E5BE6"/>
    <w:rsid w:val="002E626C"/>
    <w:rsid w:val="002E6298"/>
    <w:rsid w:val="002E7C47"/>
    <w:rsid w:val="002F0582"/>
    <w:rsid w:val="002F094F"/>
    <w:rsid w:val="002F0AD1"/>
    <w:rsid w:val="002F0C93"/>
    <w:rsid w:val="002F103F"/>
    <w:rsid w:val="002F106F"/>
    <w:rsid w:val="002F13FB"/>
    <w:rsid w:val="002F148C"/>
    <w:rsid w:val="002F1B5E"/>
    <w:rsid w:val="002F2007"/>
    <w:rsid w:val="002F20F5"/>
    <w:rsid w:val="002F338D"/>
    <w:rsid w:val="002F3892"/>
    <w:rsid w:val="002F3FD1"/>
    <w:rsid w:val="002F4FAC"/>
    <w:rsid w:val="002F5017"/>
    <w:rsid w:val="002F5092"/>
    <w:rsid w:val="002F558C"/>
    <w:rsid w:val="002F5A67"/>
    <w:rsid w:val="002F6F79"/>
    <w:rsid w:val="002F72CE"/>
    <w:rsid w:val="002F7800"/>
    <w:rsid w:val="002F7D3C"/>
    <w:rsid w:val="002F7EAD"/>
    <w:rsid w:val="002F7EBC"/>
    <w:rsid w:val="003002E1"/>
    <w:rsid w:val="00301EF9"/>
    <w:rsid w:val="00301F57"/>
    <w:rsid w:val="0030227A"/>
    <w:rsid w:val="003022B7"/>
    <w:rsid w:val="00302447"/>
    <w:rsid w:val="00304E68"/>
    <w:rsid w:val="003054A6"/>
    <w:rsid w:val="003056FA"/>
    <w:rsid w:val="0030577F"/>
    <w:rsid w:val="0030584C"/>
    <w:rsid w:val="003061C1"/>
    <w:rsid w:val="003064E0"/>
    <w:rsid w:val="003067E7"/>
    <w:rsid w:val="00307047"/>
    <w:rsid w:val="003071E5"/>
    <w:rsid w:val="003071FC"/>
    <w:rsid w:val="00307877"/>
    <w:rsid w:val="00307E0A"/>
    <w:rsid w:val="00310576"/>
    <w:rsid w:val="00310A6D"/>
    <w:rsid w:val="00310AB1"/>
    <w:rsid w:val="003122E4"/>
    <w:rsid w:val="00312732"/>
    <w:rsid w:val="00312BE8"/>
    <w:rsid w:val="00312C96"/>
    <w:rsid w:val="0031356C"/>
    <w:rsid w:val="00313701"/>
    <w:rsid w:val="00313752"/>
    <w:rsid w:val="0031417D"/>
    <w:rsid w:val="003146F7"/>
    <w:rsid w:val="0031471A"/>
    <w:rsid w:val="003150F5"/>
    <w:rsid w:val="00315648"/>
    <w:rsid w:val="00315F77"/>
    <w:rsid w:val="00316A33"/>
    <w:rsid w:val="00317090"/>
    <w:rsid w:val="00317092"/>
    <w:rsid w:val="00317A07"/>
    <w:rsid w:val="00317EE0"/>
    <w:rsid w:val="00317FCA"/>
    <w:rsid w:val="0032058C"/>
    <w:rsid w:val="00320CB8"/>
    <w:rsid w:val="00321001"/>
    <w:rsid w:val="00321555"/>
    <w:rsid w:val="00322415"/>
    <w:rsid w:val="00323F4D"/>
    <w:rsid w:val="00324447"/>
    <w:rsid w:val="003248ED"/>
    <w:rsid w:val="00324A96"/>
    <w:rsid w:val="00324CE2"/>
    <w:rsid w:val="003254B9"/>
    <w:rsid w:val="003276EA"/>
    <w:rsid w:val="00327A92"/>
    <w:rsid w:val="0033068B"/>
    <w:rsid w:val="00330892"/>
    <w:rsid w:val="00330B62"/>
    <w:rsid w:val="00332235"/>
    <w:rsid w:val="0033292A"/>
    <w:rsid w:val="00332A5B"/>
    <w:rsid w:val="00332D9F"/>
    <w:rsid w:val="003330C9"/>
    <w:rsid w:val="00333FF9"/>
    <w:rsid w:val="00334466"/>
    <w:rsid w:val="00334522"/>
    <w:rsid w:val="003347F7"/>
    <w:rsid w:val="00334DB9"/>
    <w:rsid w:val="003360B0"/>
    <w:rsid w:val="00336A86"/>
    <w:rsid w:val="0033748B"/>
    <w:rsid w:val="00337543"/>
    <w:rsid w:val="003377CD"/>
    <w:rsid w:val="0034003B"/>
    <w:rsid w:val="00340602"/>
    <w:rsid w:val="00340AA4"/>
    <w:rsid w:val="00340E87"/>
    <w:rsid w:val="00341D1A"/>
    <w:rsid w:val="0034382F"/>
    <w:rsid w:val="00343A60"/>
    <w:rsid w:val="00343DAD"/>
    <w:rsid w:val="0034459D"/>
    <w:rsid w:val="00344FAF"/>
    <w:rsid w:val="00345AB4"/>
    <w:rsid w:val="00345B3B"/>
    <w:rsid w:val="00346660"/>
    <w:rsid w:val="00347266"/>
    <w:rsid w:val="00351383"/>
    <w:rsid w:val="003517B3"/>
    <w:rsid w:val="00351DA2"/>
    <w:rsid w:val="00352459"/>
    <w:rsid w:val="003525B9"/>
    <w:rsid w:val="003529F2"/>
    <w:rsid w:val="00352CF0"/>
    <w:rsid w:val="00352F87"/>
    <w:rsid w:val="0035318E"/>
    <w:rsid w:val="0035352F"/>
    <w:rsid w:val="00353880"/>
    <w:rsid w:val="00354331"/>
    <w:rsid w:val="00354A81"/>
    <w:rsid w:val="00354DE4"/>
    <w:rsid w:val="00354F5A"/>
    <w:rsid w:val="00355773"/>
    <w:rsid w:val="003557BD"/>
    <w:rsid w:val="00355F3E"/>
    <w:rsid w:val="003564D1"/>
    <w:rsid w:val="00356587"/>
    <w:rsid w:val="00356693"/>
    <w:rsid w:val="00356F60"/>
    <w:rsid w:val="00357C89"/>
    <w:rsid w:val="00360775"/>
    <w:rsid w:val="00360AC2"/>
    <w:rsid w:val="003621AD"/>
    <w:rsid w:val="0036262E"/>
    <w:rsid w:val="00362EDB"/>
    <w:rsid w:val="0036300A"/>
    <w:rsid w:val="003631DD"/>
    <w:rsid w:val="00363E94"/>
    <w:rsid w:val="0036421E"/>
    <w:rsid w:val="003643C6"/>
    <w:rsid w:val="003644E2"/>
    <w:rsid w:val="00364966"/>
    <w:rsid w:val="00364FA3"/>
    <w:rsid w:val="003658AD"/>
    <w:rsid w:val="00365CE6"/>
    <w:rsid w:val="00366433"/>
    <w:rsid w:val="0036670C"/>
    <w:rsid w:val="00367089"/>
    <w:rsid w:val="00370510"/>
    <w:rsid w:val="00370FC8"/>
    <w:rsid w:val="00371C3C"/>
    <w:rsid w:val="0037218F"/>
    <w:rsid w:val="003721E4"/>
    <w:rsid w:val="00373063"/>
    <w:rsid w:val="00373290"/>
    <w:rsid w:val="003736CA"/>
    <w:rsid w:val="003738CD"/>
    <w:rsid w:val="00373911"/>
    <w:rsid w:val="00373FCA"/>
    <w:rsid w:val="00374260"/>
    <w:rsid w:val="00374277"/>
    <w:rsid w:val="003749EE"/>
    <w:rsid w:val="00374ABB"/>
    <w:rsid w:val="003755FB"/>
    <w:rsid w:val="00376209"/>
    <w:rsid w:val="0037665E"/>
    <w:rsid w:val="003776C6"/>
    <w:rsid w:val="0037780B"/>
    <w:rsid w:val="0037785F"/>
    <w:rsid w:val="003778F7"/>
    <w:rsid w:val="00377991"/>
    <w:rsid w:val="00377A59"/>
    <w:rsid w:val="00380511"/>
    <w:rsid w:val="00380537"/>
    <w:rsid w:val="00380B28"/>
    <w:rsid w:val="00380F81"/>
    <w:rsid w:val="00381476"/>
    <w:rsid w:val="003817C0"/>
    <w:rsid w:val="003822E4"/>
    <w:rsid w:val="003828C9"/>
    <w:rsid w:val="00383485"/>
    <w:rsid w:val="00384272"/>
    <w:rsid w:val="003847DA"/>
    <w:rsid w:val="003848EA"/>
    <w:rsid w:val="00384D75"/>
    <w:rsid w:val="00385542"/>
    <w:rsid w:val="0038567A"/>
    <w:rsid w:val="00385913"/>
    <w:rsid w:val="00385C65"/>
    <w:rsid w:val="003860B0"/>
    <w:rsid w:val="0038672D"/>
    <w:rsid w:val="0038691F"/>
    <w:rsid w:val="00387903"/>
    <w:rsid w:val="00387BF7"/>
    <w:rsid w:val="003900D2"/>
    <w:rsid w:val="003914E7"/>
    <w:rsid w:val="0039172E"/>
    <w:rsid w:val="00391DB7"/>
    <w:rsid w:val="00393FFE"/>
    <w:rsid w:val="003941C9"/>
    <w:rsid w:val="003944C7"/>
    <w:rsid w:val="00394BA2"/>
    <w:rsid w:val="00395428"/>
    <w:rsid w:val="00395754"/>
    <w:rsid w:val="00395E1E"/>
    <w:rsid w:val="003963FF"/>
    <w:rsid w:val="00396D1A"/>
    <w:rsid w:val="00397909"/>
    <w:rsid w:val="003A1003"/>
    <w:rsid w:val="003A12FD"/>
    <w:rsid w:val="003A27B2"/>
    <w:rsid w:val="003A2C4F"/>
    <w:rsid w:val="003A2EF8"/>
    <w:rsid w:val="003A30E9"/>
    <w:rsid w:val="003A326F"/>
    <w:rsid w:val="003A4696"/>
    <w:rsid w:val="003A4B51"/>
    <w:rsid w:val="003A4C33"/>
    <w:rsid w:val="003A618B"/>
    <w:rsid w:val="003A7105"/>
    <w:rsid w:val="003A721C"/>
    <w:rsid w:val="003A7FE7"/>
    <w:rsid w:val="003B0604"/>
    <w:rsid w:val="003B09AB"/>
    <w:rsid w:val="003B1487"/>
    <w:rsid w:val="003B1AFA"/>
    <w:rsid w:val="003B1D6E"/>
    <w:rsid w:val="003B1E8D"/>
    <w:rsid w:val="003B1FA4"/>
    <w:rsid w:val="003B22E9"/>
    <w:rsid w:val="003B274A"/>
    <w:rsid w:val="003B2832"/>
    <w:rsid w:val="003B3319"/>
    <w:rsid w:val="003B3482"/>
    <w:rsid w:val="003B3A2A"/>
    <w:rsid w:val="003B3BEE"/>
    <w:rsid w:val="003B3CA1"/>
    <w:rsid w:val="003B46AA"/>
    <w:rsid w:val="003B4932"/>
    <w:rsid w:val="003B4F2D"/>
    <w:rsid w:val="003B52F5"/>
    <w:rsid w:val="003B53AE"/>
    <w:rsid w:val="003B5AEE"/>
    <w:rsid w:val="003B5E6F"/>
    <w:rsid w:val="003B5F62"/>
    <w:rsid w:val="003B6314"/>
    <w:rsid w:val="003B714B"/>
    <w:rsid w:val="003B73F6"/>
    <w:rsid w:val="003B7AD0"/>
    <w:rsid w:val="003C012F"/>
    <w:rsid w:val="003C08FD"/>
    <w:rsid w:val="003C1D54"/>
    <w:rsid w:val="003C1FC2"/>
    <w:rsid w:val="003C2144"/>
    <w:rsid w:val="003C23EC"/>
    <w:rsid w:val="003C2655"/>
    <w:rsid w:val="003C28B3"/>
    <w:rsid w:val="003C36F7"/>
    <w:rsid w:val="003C38FE"/>
    <w:rsid w:val="003C3E6A"/>
    <w:rsid w:val="003C4284"/>
    <w:rsid w:val="003C4F4F"/>
    <w:rsid w:val="003C6FDC"/>
    <w:rsid w:val="003D06F5"/>
    <w:rsid w:val="003D08E9"/>
    <w:rsid w:val="003D0BD8"/>
    <w:rsid w:val="003D1188"/>
    <w:rsid w:val="003D1735"/>
    <w:rsid w:val="003D1AAE"/>
    <w:rsid w:val="003D2AE9"/>
    <w:rsid w:val="003D2E4C"/>
    <w:rsid w:val="003D38EF"/>
    <w:rsid w:val="003D3C2D"/>
    <w:rsid w:val="003D4AB4"/>
    <w:rsid w:val="003D57E5"/>
    <w:rsid w:val="003D59EF"/>
    <w:rsid w:val="003D63A3"/>
    <w:rsid w:val="003D7129"/>
    <w:rsid w:val="003D7200"/>
    <w:rsid w:val="003D76C8"/>
    <w:rsid w:val="003D7856"/>
    <w:rsid w:val="003D7E78"/>
    <w:rsid w:val="003E0168"/>
    <w:rsid w:val="003E0CE7"/>
    <w:rsid w:val="003E1081"/>
    <w:rsid w:val="003E11EA"/>
    <w:rsid w:val="003E136C"/>
    <w:rsid w:val="003E2231"/>
    <w:rsid w:val="003E255E"/>
    <w:rsid w:val="003E2978"/>
    <w:rsid w:val="003E2AE2"/>
    <w:rsid w:val="003E4DB8"/>
    <w:rsid w:val="003E4DDE"/>
    <w:rsid w:val="003E4FFB"/>
    <w:rsid w:val="003E570D"/>
    <w:rsid w:val="003E6AD5"/>
    <w:rsid w:val="003E6D0F"/>
    <w:rsid w:val="003E6E0C"/>
    <w:rsid w:val="003E6E53"/>
    <w:rsid w:val="003E7FE0"/>
    <w:rsid w:val="003F25B5"/>
    <w:rsid w:val="003F2FD6"/>
    <w:rsid w:val="003F3900"/>
    <w:rsid w:val="003F4A6B"/>
    <w:rsid w:val="003F4B1E"/>
    <w:rsid w:val="003F4D30"/>
    <w:rsid w:val="003F5251"/>
    <w:rsid w:val="003F56DF"/>
    <w:rsid w:val="003F621C"/>
    <w:rsid w:val="003F693D"/>
    <w:rsid w:val="003F6ADD"/>
    <w:rsid w:val="003F75B1"/>
    <w:rsid w:val="003F7665"/>
    <w:rsid w:val="00400FED"/>
    <w:rsid w:val="004010C2"/>
    <w:rsid w:val="00401738"/>
    <w:rsid w:val="00401857"/>
    <w:rsid w:val="004018D3"/>
    <w:rsid w:val="004026D7"/>
    <w:rsid w:val="00402D5A"/>
    <w:rsid w:val="00403081"/>
    <w:rsid w:val="00403474"/>
    <w:rsid w:val="00403F22"/>
    <w:rsid w:val="0040446F"/>
    <w:rsid w:val="00404959"/>
    <w:rsid w:val="00404B7C"/>
    <w:rsid w:val="004068FF"/>
    <w:rsid w:val="0041110A"/>
    <w:rsid w:val="004111C5"/>
    <w:rsid w:val="00411896"/>
    <w:rsid w:val="00411EE3"/>
    <w:rsid w:val="00411EFF"/>
    <w:rsid w:val="00412BB6"/>
    <w:rsid w:val="004130E1"/>
    <w:rsid w:val="00413825"/>
    <w:rsid w:val="00414CE8"/>
    <w:rsid w:val="00415893"/>
    <w:rsid w:val="004159F1"/>
    <w:rsid w:val="00416428"/>
    <w:rsid w:val="004164DB"/>
    <w:rsid w:val="004165C0"/>
    <w:rsid w:val="004202B0"/>
    <w:rsid w:val="00420FD3"/>
    <w:rsid w:val="00421392"/>
    <w:rsid w:val="00421683"/>
    <w:rsid w:val="0042214E"/>
    <w:rsid w:val="00422557"/>
    <w:rsid w:val="004225AD"/>
    <w:rsid w:val="004232C9"/>
    <w:rsid w:val="00423BD8"/>
    <w:rsid w:val="00423CD9"/>
    <w:rsid w:val="004240AD"/>
    <w:rsid w:val="0042472C"/>
    <w:rsid w:val="004255E8"/>
    <w:rsid w:val="00425A93"/>
    <w:rsid w:val="00425C3E"/>
    <w:rsid w:val="00425FF3"/>
    <w:rsid w:val="0042635D"/>
    <w:rsid w:val="00426807"/>
    <w:rsid w:val="00426D48"/>
    <w:rsid w:val="0042722B"/>
    <w:rsid w:val="004277D4"/>
    <w:rsid w:val="00431139"/>
    <w:rsid w:val="00431E9B"/>
    <w:rsid w:val="00431F3B"/>
    <w:rsid w:val="0043207F"/>
    <w:rsid w:val="0043264E"/>
    <w:rsid w:val="004326D6"/>
    <w:rsid w:val="00432989"/>
    <w:rsid w:val="00432E0C"/>
    <w:rsid w:val="004331FE"/>
    <w:rsid w:val="0043320B"/>
    <w:rsid w:val="00433281"/>
    <w:rsid w:val="0043389B"/>
    <w:rsid w:val="00433A4E"/>
    <w:rsid w:val="00433ECD"/>
    <w:rsid w:val="00433EE0"/>
    <w:rsid w:val="0043415B"/>
    <w:rsid w:val="00434615"/>
    <w:rsid w:val="00434719"/>
    <w:rsid w:val="00434C62"/>
    <w:rsid w:val="00434CC9"/>
    <w:rsid w:val="00435B52"/>
    <w:rsid w:val="00435C20"/>
    <w:rsid w:val="00437DF8"/>
    <w:rsid w:val="00440062"/>
    <w:rsid w:val="00440B74"/>
    <w:rsid w:val="00440C3C"/>
    <w:rsid w:val="00441316"/>
    <w:rsid w:val="0044146C"/>
    <w:rsid w:val="00442192"/>
    <w:rsid w:val="00442AC3"/>
    <w:rsid w:val="00442EF9"/>
    <w:rsid w:val="00442FC0"/>
    <w:rsid w:val="0044361E"/>
    <w:rsid w:val="00443857"/>
    <w:rsid w:val="0044479E"/>
    <w:rsid w:val="00444B3E"/>
    <w:rsid w:val="004455A1"/>
    <w:rsid w:val="004466E0"/>
    <w:rsid w:val="00446F56"/>
    <w:rsid w:val="0044747B"/>
    <w:rsid w:val="00447F91"/>
    <w:rsid w:val="004504FB"/>
    <w:rsid w:val="00450651"/>
    <w:rsid w:val="00450E8F"/>
    <w:rsid w:val="00450EC3"/>
    <w:rsid w:val="00452523"/>
    <w:rsid w:val="004528CD"/>
    <w:rsid w:val="00452988"/>
    <w:rsid w:val="0045325D"/>
    <w:rsid w:val="00454507"/>
    <w:rsid w:val="00454520"/>
    <w:rsid w:val="004545DC"/>
    <w:rsid w:val="004548A5"/>
    <w:rsid w:val="0045554E"/>
    <w:rsid w:val="0045584A"/>
    <w:rsid w:val="00455D02"/>
    <w:rsid w:val="0045611F"/>
    <w:rsid w:val="004563E1"/>
    <w:rsid w:val="00456531"/>
    <w:rsid w:val="00456816"/>
    <w:rsid w:val="00457095"/>
    <w:rsid w:val="0045742A"/>
    <w:rsid w:val="00460321"/>
    <w:rsid w:val="00460F11"/>
    <w:rsid w:val="00461556"/>
    <w:rsid w:val="004618A6"/>
    <w:rsid w:val="0046298E"/>
    <w:rsid w:val="00462E06"/>
    <w:rsid w:val="004636C5"/>
    <w:rsid w:val="00463DD3"/>
    <w:rsid w:val="00463F67"/>
    <w:rsid w:val="0046402B"/>
    <w:rsid w:val="00464531"/>
    <w:rsid w:val="00464764"/>
    <w:rsid w:val="00464BC4"/>
    <w:rsid w:val="0046500D"/>
    <w:rsid w:val="00465194"/>
    <w:rsid w:val="0046570D"/>
    <w:rsid w:val="004659A0"/>
    <w:rsid w:val="00465B5C"/>
    <w:rsid w:val="00466288"/>
    <w:rsid w:val="004662BE"/>
    <w:rsid w:val="00466584"/>
    <w:rsid w:val="00466F16"/>
    <w:rsid w:val="00467468"/>
    <w:rsid w:val="004674D6"/>
    <w:rsid w:val="00467CCB"/>
    <w:rsid w:val="00467FD7"/>
    <w:rsid w:val="004707EA"/>
    <w:rsid w:val="00470AB7"/>
    <w:rsid w:val="00471A93"/>
    <w:rsid w:val="00471CC9"/>
    <w:rsid w:val="00471D1E"/>
    <w:rsid w:val="0047250E"/>
    <w:rsid w:val="00473319"/>
    <w:rsid w:val="004733AB"/>
    <w:rsid w:val="0047402B"/>
    <w:rsid w:val="00474110"/>
    <w:rsid w:val="004748CF"/>
    <w:rsid w:val="00474953"/>
    <w:rsid w:val="00475495"/>
    <w:rsid w:val="004754F6"/>
    <w:rsid w:val="00475B26"/>
    <w:rsid w:val="00476469"/>
    <w:rsid w:val="00476A0C"/>
    <w:rsid w:val="00477688"/>
    <w:rsid w:val="00477A6B"/>
    <w:rsid w:val="00477F35"/>
    <w:rsid w:val="00477F44"/>
    <w:rsid w:val="0048054C"/>
    <w:rsid w:val="00480692"/>
    <w:rsid w:val="00480ACA"/>
    <w:rsid w:val="00481660"/>
    <w:rsid w:val="00481836"/>
    <w:rsid w:val="00482D78"/>
    <w:rsid w:val="00482E50"/>
    <w:rsid w:val="004847DC"/>
    <w:rsid w:val="00484AE4"/>
    <w:rsid w:val="004853B5"/>
    <w:rsid w:val="00485530"/>
    <w:rsid w:val="00485D15"/>
    <w:rsid w:val="00485E6C"/>
    <w:rsid w:val="004860BF"/>
    <w:rsid w:val="00486213"/>
    <w:rsid w:val="00486272"/>
    <w:rsid w:val="004866F8"/>
    <w:rsid w:val="00487425"/>
    <w:rsid w:val="004879F8"/>
    <w:rsid w:val="0049044A"/>
    <w:rsid w:val="00490BC9"/>
    <w:rsid w:val="00491201"/>
    <w:rsid w:val="004914C9"/>
    <w:rsid w:val="00491986"/>
    <w:rsid w:val="0049317F"/>
    <w:rsid w:val="0049425A"/>
    <w:rsid w:val="0049512F"/>
    <w:rsid w:val="004951E8"/>
    <w:rsid w:val="00495306"/>
    <w:rsid w:val="00495870"/>
    <w:rsid w:val="00496135"/>
    <w:rsid w:val="0049709A"/>
    <w:rsid w:val="00497203"/>
    <w:rsid w:val="00497584"/>
    <w:rsid w:val="00497DA7"/>
    <w:rsid w:val="004A0015"/>
    <w:rsid w:val="004A0703"/>
    <w:rsid w:val="004A099B"/>
    <w:rsid w:val="004A0E06"/>
    <w:rsid w:val="004A0F6D"/>
    <w:rsid w:val="004A20F4"/>
    <w:rsid w:val="004A2483"/>
    <w:rsid w:val="004A2B3E"/>
    <w:rsid w:val="004A33EF"/>
    <w:rsid w:val="004A36C8"/>
    <w:rsid w:val="004A3C30"/>
    <w:rsid w:val="004A42BF"/>
    <w:rsid w:val="004A48D2"/>
    <w:rsid w:val="004A49DE"/>
    <w:rsid w:val="004A626F"/>
    <w:rsid w:val="004A639C"/>
    <w:rsid w:val="004A6A66"/>
    <w:rsid w:val="004A6D62"/>
    <w:rsid w:val="004A7053"/>
    <w:rsid w:val="004A74F2"/>
    <w:rsid w:val="004A7715"/>
    <w:rsid w:val="004A792F"/>
    <w:rsid w:val="004A7AD3"/>
    <w:rsid w:val="004A7C77"/>
    <w:rsid w:val="004B05E0"/>
    <w:rsid w:val="004B0609"/>
    <w:rsid w:val="004B111D"/>
    <w:rsid w:val="004B20D1"/>
    <w:rsid w:val="004B20F7"/>
    <w:rsid w:val="004B25E8"/>
    <w:rsid w:val="004B2926"/>
    <w:rsid w:val="004B2D60"/>
    <w:rsid w:val="004B310C"/>
    <w:rsid w:val="004B36E7"/>
    <w:rsid w:val="004B3B37"/>
    <w:rsid w:val="004B438B"/>
    <w:rsid w:val="004B4CE0"/>
    <w:rsid w:val="004B560B"/>
    <w:rsid w:val="004B5623"/>
    <w:rsid w:val="004B67EA"/>
    <w:rsid w:val="004C1AF2"/>
    <w:rsid w:val="004C287D"/>
    <w:rsid w:val="004C3147"/>
    <w:rsid w:val="004C3DC1"/>
    <w:rsid w:val="004C4576"/>
    <w:rsid w:val="004C59AE"/>
    <w:rsid w:val="004C59DB"/>
    <w:rsid w:val="004C657B"/>
    <w:rsid w:val="004C69FE"/>
    <w:rsid w:val="004C6C56"/>
    <w:rsid w:val="004C6DF5"/>
    <w:rsid w:val="004C7474"/>
    <w:rsid w:val="004C7579"/>
    <w:rsid w:val="004C78AA"/>
    <w:rsid w:val="004D00E2"/>
    <w:rsid w:val="004D0560"/>
    <w:rsid w:val="004D0D46"/>
    <w:rsid w:val="004D1168"/>
    <w:rsid w:val="004D13F1"/>
    <w:rsid w:val="004D1B79"/>
    <w:rsid w:val="004D2288"/>
    <w:rsid w:val="004D26B2"/>
    <w:rsid w:val="004D2E45"/>
    <w:rsid w:val="004D400B"/>
    <w:rsid w:val="004D4F3A"/>
    <w:rsid w:val="004D5F44"/>
    <w:rsid w:val="004D626C"/>
    <w:rsid w:val="004D6774"/>
    <w:rsid w:val="004D689B"/>
    <w:rsid w:val="004D6992"/>
    <w:rsid w:val="004D7F6E"/>
    <w:rsid w:val="004E0623"/>
    <w:rsid w:val="004E13C6"/>
    <w:rsid w:val="004E1590"/>
    <w:rsid w:val="004E2164"/>
    <w:rsid w:val="004E21D0"/>
    <w:rsid w:val="004E2D83"/>
    <w:rsid w:val="004E3A1A"/>
    <w:rsid w:val="004E4F3B"/>
    <w:rsid w:val="004E54D1"/>
    <w:rsid w:val="004E564C"/>
    <w:rsid w:val="004E678D"/>
    <w:rsid w:val="004E6BFC"/>
    <w:rsid w:val="004E7AF4"/>
    <w:rsid w:val="004F167F"/>
    <w:rsid w:val="004F1F2E"/>
    <w:rsid w:val="004F2BDA"/>
    <w:rsid w:val="004F2DED"/>
    <w:rsid w:val="004F38B0"/>
    <w:rsid w:val="004F4518"/>
    <w:rsid w:val="004F4B71"/>
    <w:rsid w:val="004F4DCF"/>
    <w:rsid w:val="004F4EA9"/>
    <w:rsid w:val="004F5503"/>
    <w:rsid w:val="004F5B5D"/>
    <w:rsid w:val="004F6A46"/>
    <w:rsid w:val="004F7D30"/>
    <w:rsid w:val="004F7D70"/>
    <w:rsid w:val="00500494"/>
    <w:rsid w:val="005006D0"/>
    <w:rsid w:val="00500B11"/>
    <w:rsid w:val="00501300"/>
    <w:rsid w:val="00502852"/>
    <w:rsid w:val="0050354F"/>
    <w:rsid w:val="0050380A"/>
    <w:rsid w:val="00503B49"/>
    <w:rsid w:val="005040B1"/>
    <w:rsid w:val="00506A5B"/>
    <w:rsid w:val="00506A8E"/>
    <w:rsid w:val="00506B82"/>
    <w:rsid w:val="00506C0D"/>
    <w:rsid w:val="00506F69"/>
    <w:rsid w:val="00507668"/>
    <w:rsid w:val="0050795C"/>
    <w:rsid w:val="00507C30"/>
    <w:rsid w:val="005102F7"/>
    <w:rsid w:val="005104AC"/>
    <w:rsid w:val="00511AA3"/>
    <w:rsid w:val="00511B13"/>
    <w:rsid w:val="0051250D"/>
    <w:rsid w:val="005136D9"/>
    <w:rsid w:val="00513961"/>
    <w:rsid w:val="005148C6"/>
    <w:rsid w:val="0051528C"/>
    <w:rsid w:val="0051653A"/>
    <w:rsid w:val="005168BA"/>
    <w:rsid w:val="00516EFC"/>
    <w:rsid w:val="0051701A"/>
    <w:rsid w:val="00517654"/>
    <w:rsid w:val="00521419"/>
    <w:rsid w:val="00521A27"/>
    <w:rsid w:val="00523698"/>
    <w:rsid w:val="00523AF4"/>
    <w:rsid w:val="00523DED"/>
    <w:rsid w:val="00524607"/>
    <w:rsid w:val="00525283"/>
    <w:rsid w:val="00527E88"/>
    <w:rsid w:val="0053000B"/>
    <w:rsid w:val="005300EC"/>
    <w:rsid w:val="00530671"/>
    <w:rsid w:val="00531755"/>
    <w:rsid w:val="005320DF"/>
    <w:rsid w:val="00532170"/>
    <w:rsid w:val="005324E8"/>
    <w:rsid w:val="00532525"/>
    <w:rsid w:val="005331A5"/>
    <w:rsid w:val="00533911"/>
    <w:rsid w:val="00533DA2"/>
    <w:rsid w:val="00533FA6"/>
    <w:rsid w:val="0053477E"/>
    <w:rsid w:val="0053485C"/>
    <w:rsid w:val="00535170"/>
    <w:rsid w:val="0053517B"/>
    <w:rsid w:val="0053771F"/>
    <w:rsid w:val="0054078D"/>
    <w:rsid w:val="00542ECA"/>
    <w:rsid w:val="00543A01"/>
    <w:rsid w:val="00543EBE"/>
    <w:rsid w:val="00544AC1"/>
    <w:rsid w:val="00545485"/>
    <w:rsid w:val="00545A48"/>
    <w:rsid w:val="00545C05"/>
    <w:rsid w:val="005462E9"/>
    <w:rsid w:val="0054683F"/>
    <w:rsid w:val="00546F9D"/>
    <w:rsid w:val="005477D2"/>
    <w:rsid w:val="0054781F"/>
    <w:rsid w:val="00547F5A"/>
    <w:rsid w:val="005502D8"/>
    <w:rsid w:val="00550CB8"/>
    <w:rsid w:val="00550DCC"/>
    <w:rsid w:val="00551A1F"/>
    <w:rsid w:val="00551B72"/>
    <w:rsid w:val="005527DB"/>
    <w:rsid w:val="00553502"/>
    <w:rsid w:val="00554091"/>
    <w:rsid w:val="00554F63"/>
    <w:rsid w:val="00555043"/>
    <w:rsid w:val="0055516F"/>
    <w:rsid w:val="005556E8"/>
    <w:rsid w:val="005557BA"/>
    <w:rsid w:val="00555A1A"/>
    <w:rsid w:val="00555C94"/>
    <w:rsid w:val="00556B24"/>
    <w:rsid w:val="005571DC"/>
    <w:rsid w:val="00557333"/>
    <w:rsid w:val="005574F9"/>
    <w:rsid w:val="00560B28"/>
    <w:rsid w:val="00560BF3"/>
    <w:rsid w:val="00560C55"/>
    <w:rsid w:val="00561932"/>
    <w:rsid w:val="00561B3B"/>
    <w:rsid w:val="00562E26"/>
    <w:rsid w:val="005630A2"/>
    <w:rsid w:val="00563344"/>
    <w:rsid w:val="00563ADF"/>
    <w:rsid w:val="00563D56"/>
    <w:rsid w:val="0056413B"/>
    <w:rsid w:val="00564A34"/>
    <w:rsid w:val="00564B49"/>
    <w:rsid w:val="00566165"/>
    <w:rsid w:val="0056637D"/>
    <w:rsid w:val="005667F0"/>
    <w:rsid w:val="0056685A"/>
    <w:rsid w:val="00566F00"/>
    <w:rsid w:val="00567885"/>
    <w:rsid w:val="00567C8C"/>
    <w:rsid w:val="00567E91"/>
    <w:rsid w:val="0057147F"/>
    <w:rsid w:val="00571815"/>
    <w:rsid w:val="005718DE"/>
    <w:rsid w:val="0057249C"/>
    <w:rsid w:val="00572672"/>
    <w:rsid w:val="00573325"/>
    <w:rsid w:val="005734AA"/>
    <w:rsid w:val="00573B5F"/>
    <w:rsid w:val="00573C75"/>
    <w:rsid w:val="00573D25"/>
    <w:rsid w:val="005743BB"/>
    <w:rsid w:val="00575238"/>
    <w:rsid w:val="005755EF"/>
    <w:rsid w:val="00575E5F"/>
    <w:rsid w:val="005761D1"/>
    <w:rsid w:val="00576449"/>
    <w:rsid w:val="00576B85"/>
    <w:rsid w:val="0058037F"/>
    <w:rsid w:val="00580D88"/>
    <w:rsid w:val="00581D29"/>
    <w:rsid w:val="0058202B"/>
    <w:rsid w:val="005828EE"/>
    <w:rsid w:val="00582CAE"/>
    <w:rsid w:val="00582D53"/>
    <w:rsid w:val="00583A51"/>
    <w:rsid w:val="005843B6"/>
    <w:rsid w:val="0058457F"/>
    <w:rsid w:val="00584684"/>
    <w:rsid w:val="005860E0"/>
    <w:rsid w:val="00586389"/>
    <w:rsid w:val="00586DC2"/>
    <w:rsid w:val="00586EAB"/>
    <w:rsid w:val="00590B18"/>
    <w:rsid w:val="00591E32"/>
    <w:rsid w:val="0059337D"/>
    <w:rsid w:val="005935FF"/>
    <w:rsid w:val="00593FBE"/>
    <w:rsid w:val="00593FED"/>
    <w:rsid w:val="00594BF5"/>
    <w:rsid w:val="00594D30"/>
    <w:rsid w:val="005952C0"/>
    <w:rsid w:val="005954A7"/>
    <w:rsid w:val="005958E0"/>
    <w:rsid w:val="00595A13"/>
    <w:rsid w:val="00595E63"/>
    <w:rsid w:val="005963B8"/>
    <w:rsid w:val="00596B02"/>
    <w:rsid w:val="00596C29"/>
    <w:rsid w:val="00597363"/>
    <w:rsid w:val="0059798D"/>
    <w:rsid w:val="005A0291"/>
    <w:rsid w:val="005A0479"/>
    <w:rsid w:val="005A27AA"/>
    <w:rsid w:val="005A31C8"/>
    <w:rsid w:val="005A32DD"/>
    <w:rsid w:val="005A3AAB"/>
    <w:rsid w:val="005A3D63"/>
    <w:rsid w:val="005A3E1E"/>
    <w:rsid w:val="005A3E49"/>
    <w:rsid w:val="005A3FF5"/>
    <w:rsid w:val="005A4468"/>
    <w:rsid w:val="005A44F8"/>
    <w:rsid w:val="005A4A8D"/>
    <w:rsid w:val="005A5700"/>
    <w:rsid w:val="005A611F"/>
    <w:rsid w:val="005A6607"/>
    <w:rsid w:val="005A6982"/>
    <w:rsid w:val="005B04AD"/>
    <w:rsid w:val="005B0CAC"/>
    <w:rsid w:val="005B0CC2"/>
    <w:rsid w:val="005B1267"/>
    <w:rsid w:val="005B1D61"/>
    <w:rsid w:val="005B2238"/>
    <w:rsid w:val="005B2487"/>
    <w:rsid w:val="005B2956"/>
    <w:rsid w:val="005B2AB9"/>
    <w:rsid w:val="005B3011"/>
    <w:rsid w:val="005B339F"/>
    <w:rsid w:val="005B3C27"/>
    <w:rsid w:val="005B459A"/>
    <w:rsid w:val="005B5063"/>
    <w:rsid w:val="005B581F"/>
    <w:rsid w:val="005B668C"/>
    <w:rsid w:val="005B6BA3"/>
    <w:rsid w:val="005B7B44"/>
    <w:rsid w:val="005C0401"/>
    <w:rsid w:val="005C0571"/>
    <w:rsid w:val="005C08AA"/>
    <w:rsid w:val="005C096B"/>
    <w:rsid w:val="005C182C"/>
    <w:rsid w:val="005C1C5B"/>
    <w:rsid w:val="005C22C5"/>
    <w:rsid w:val="005C2755"/>
    <w:rsid w:val="005C3AC8"/>
    <w:rsid w:val="005C494D"/>
    <w:rsid w:val="005C4C84"/>
    <w:rsid w:val="005C5350"/>
    <w:rsid w:val="005C53CF"/>
    <w:rsid w:val="005C5CF5"/>
    <w:rsid w:val="005C6194"/>
    <w:rsid w:val="005C6410"/>
    <w:rsid w:val="005C658B"/>
    <w:rsid w:val="005C6EF6"/>
    <w:rsid w:val="005C70DB"/>
    <w:rsid w:val="005C72B8"/>
    <w:rsid w:val="005C76CA"/>
    <w:rsid w:val="005C76DF"/>
    <w:rsid w:val="005C7959"/>
    <w:rsid w:val="005C7A73"/>
    <w:rsid w:val="005D094B"/>
    <w:rsid w:val="005D0D5B"/>
    <w:rsid w:val="005D1EFB"/>
    <w:rsid w:val="005D2A02"/>
    <w:rsid w:val="005D2B24"/>
    <w:rsid w:val="005D332D"/>
    <w:rsid w:val="005D350D"/>
    <w:rsid w:val="005D3E04"/>
    <w:rsid w:val="005D3FDC"/>
    <w:rsid w:val="005D44EC"/>
    <w:rsid w:val="005D5855"/>
    <w:rsid w:val="005D670C"/>
    <w:rsid w:val="005D6DF3"/>
    <w:rsid w:val="005D6F31"/>
    <w:rsid w:val="005D7036"/>
    <w:rsid w:val="005D7A54"/>
    <w:rsid w:val="005E0D41"/>
    <w:rsid w:val="005E16F3"/>
    <w:rsid w:val="005E1B6B"/>
    <w:rsid w:val="005E245A"/>
    <w:rsid w:val="005E2728"/>
    <w:rsid w:val="005E29A9"/>
    <w:rsid w:val="005E2B22"/>
    <w:rsid w:val="005E2E11"/>
    <w:rsid w:val="005E380B"/>
    <w:rsid w:val="005E3BC9"/>
    <w:rsid w:val="005E3C27"/>
    <w:rsid w:val="005E3C8B"/>
    <w:rsid w:val="005E4677"/>
    <w:rsid w:val="005E4B50"/>
    <w:rsid w:val="005E58D2"/>
    <w:rsid w:val="005E58D6"/>
    <w:rsid w:val="005E5BC0"/>
    <w:rsid w:val="005E61ED"/>
    <w:rsid w:val="005E6287"/>
    <w:rsid w:val="005E62B7"/>
    <w:rsid w:val="005E6326"/>
    <w:rsid w:val="005E71C3"/>
    <w:rsid w:val="005F0BC8"/>
    <w:rsid w:val="005F0CDE"/>
    <w:rsid w:val="005F118F"/>
    <w:rsid w:val="005F2164"/>
    <w:rsid w:val="005F2331"/>
    <w:rsid w:val="005F3EA7"/>
    <w:rsid w:val="005F440B"/>
    <w:rsid w:val="005F5466"/>
    <w:rsid w:val="005F58A2"/>
    <w:rsid w:val="005F6301"/>
    <w:rsid w:val="005F6CE9"/>
    <w:rsid w:val="005F78EB"/>
    <w:rsid w:val="0060020D"/>
    <w:rsid w:val="00600641"/>
    <w:rsid w:val="006006CE"/>
    <w:rsid w:val="006012A1"/>
    <w:rsid w:val="00602DBD"/>
    <w:rsid w:val="00603115"/>
    <w:rsid w:val="00603300"/>
    <w:rsid w:val="00603762"/>
    <w:rsid w:val="00603D87"/>
    <w:rsid w:val="006049FC"/>
    <w:rsid w:val="00605C21"/>
    <w:rsid w:val="00610B42"/>
    <w:rsid w:val="006114AE"/>
    <w:rsid w:val="006121BB"/>
    <w:rsid w:val="006122A8"/>
    <w:rsid w:val="00612C36"/>
    <w:rsid w:val="00612EA4"/>
    <w:rsid w:val="00612F83"/>
    <w:rsid w:val="006143EF"/>
    <w:rsid w:val="0061534C"/>
    <w:rsid w:val="00615619"/>
    <w:rsid w:val="00615AE9"/>
    <w:rsid w:val="006160CB"/>
    <w:rsid w:val="00616B0B"/>
    <w:rsid w:val="00617108"/>
    <w:rsid w:val="0061734B"/>
    <w:rsid w:val="00617D5C"/>
    <w:rsid w:val="006203C0"/>
    <w:rsid w:val="0062078F"/>
    <w:rsid w:val="006216EB"/>
    <w:rsid w:val="00621831"/>
    <w:rsid w:val="00621AB5"/>
    <w:rsid w:val="006228D3"/>
    <w:rsid w:val="00622A8C"/>
    <w:rsid w:val="00622F56"/>
    <w:rsid w:val="00623035"/>
    <w:rsid w:val="006235AB"/>
    <w:rsid w:val="006241AC"/>
    <w:rsid w:val="0062469F"/>
    <w:rsid w:val="00624E9C"/>
    <w:rsid w:val="00626A4B"/>
    <w:rsid w:val="00627868"/>
    <w:rsid w:val="00627C33"/>
    <w:rsid w:val="00632450"/>
    <w:rsid w:val="00632639"/>
    <w:rsid w:val="00632CF9"/>
    <w:rsid w:val="00632D60"/>
    <w:rsid w:val="00632E6F"/>
    <w:rsid w:val="0063329F"/>
    <w:rsid w:val="00634583"/>
    <w:rsid w:val="00634E7E"/>
    <w:rsid w:val="00634E9E"/>
    <w:rsid w:val="006364AE"/>
    <w:rsid w:val="00636CDB"/>
    <w:rsid w:val="00636DBA"/>
    <w:rsid w:val="006373AC"/>
    <w:rsid w:val="00637FA9"/>
    <w:rsid w:val="00640610"/>
    <w:rsid w:val="006427E0"/>
    <w:rsid w:val="006435A3"/>
    <w:rsid w:val="00645341"/>
    <w:rsid w:val="006460B2"/>
    <w:rsid w:val="00646E62"/>
    <w:rsid w:val="006475B9"/>
    <w:rsid w:val="006477F6"/>
    <w:rsid w:val="00650AD1"/>
    <w:rsid w:val="00651104"/>
    <w:rsid w:val="0065139B"/>
    <w:rsid w:val="00651A7F"/>
    <w:rsid w:val="00652B4B"/>
    <w:rsid w:val="00653CD8"/>
    <w:rsid w:val="00654B7B"/>
    <w:rsid w:val="00655B5F"/>
    <w:rsid w:val="00655DE1"/>
    <w:rsid w:val="0065613D"/>
    <w:rsid w:val="00656874"/>
    <w:rsid w:val="00657D56"/>
    <w:rsid w:val="00657F76"/>
    <w:rsid w:val="00660077"/>
    <w:rsid w:val="0066198E"/>
    <w:rsid w:val="00661EF6"/>
    <w:rsid w:val="00662715"/>
    <w:rsid w:val="00662D25"/>
    <w:rsid w:val="00663080"/>
    <w:rsid w:val="00663372"/>
    <w:rsid w:val="006635F1"/>
    <w:rsid w:val="00664D87"/>
    <w:rsid w:val="00664F1D"/>
    <w:rsid w:val="00666389"/>
    <w:rsid w:val="00667303"/>
    <w:rsid w:val="0066764B"/>
    <w:rsid w:val="00667B73"/>
    <w:rsid w:val="00667BA1"/>
    <w:rsid w:val="006706C3"/>
    <w:rsid w:val="00670ADE"/>
    <w:rsid w:val="0067108B"/>
    <w:rsid w:val="006720F0"/>
    <w:rsid w:val="00672A65"/>
    <w:rsid w:val="00672CF4"/>
    <w:rsid w:val="0067394F"/>
    <w:rsid w:val="006739CC"/>
    <w:rsid w:val="00673E15"/>
    <w:rsid w:val="00673E58"/>
    <w:rsid w:val="0067423F"/>
    <w:rsid w:val="006742F1"/>
    <w:rsid w:val="006749DF"/>
    <w:rsid w:val="00675814"/>
    <w:rsid w:val="00675867"/>
    <w:rsid w:val="006758ED"/>
    <w:rsid w:val="0067684E"/>
    <w:rsid w:val="0067728D"/>
    <w:rsid w:val="0067771A"/>
    <w:rsid w:val="006802C4"/>
    <w:rsid w:val="006810DF"/>
    <w:rsid w:val="00681358"/>
    <w:rsid w:val="00681423"/>
    <w:rsid w:val="006817D9"/>
    <w:rsid w:val="006819EC"/>
    <w:rsid w:val="006820EA"/>
    <w:rsid w:val="00682901"/>
    <w:rsid w:val="006834EB"/>
    <w:rsid w:val="00683B65"/>
    <w:rsid w:val="00684591"/>
    <w:rsid w:val="006845F7"/>
    <w:rsid w:val="006845FB"/>
    <w:rsid w:val="00686797"/>
    <w:rsid w:val="0068689C"/>
    <w:rsid w:val="006872CE"/>
    <w:rsid w:val="0069096E"/>
    <w:rsid w:val="0069159E"/>
    <w:rsid w:val="00691CFA"/>
    <w:rsid w:val="00691D09"/>
    <w:rsid w:val="00692067"/>
    <w:rsid w:val="0069271B"/>
    <w:rsid w:val="00692843"/>
    <w:rsid w:val="006933AA"/>
    <w:rsid w:val="006939D3"/>
    <w:rsid w:val="00693AD8"/>
    <w:rsid w:val="00694090"/>
    <w:rsid w:val="00694785"/>
    <w:rsid w:val="00694F6D"/>
    <w:rsid w:val="006951C4"/>
    <w:rsid w:val="006965AF"/>
    <w:rsid w:val="00696831"/>
    <w:rsid w:val="00696F70"/>
    <w:rsid w:val="00697516"/>
    <w:rsid w:val="006975B7"/>
    <w:rsid w:val="006978B7"/>
    <w:rsid w:val="006A0B48"/>
    <w:rsid w:val="006A20A8"/>
    <w:rsid w:val="006A260F"/>
    <w:rsid w:val="006A27C0"/>
    <w:rsid w:val="006A2C8E"/>
    <w:rsid w:val="006A3B69"/>
    <w:rsid w:val="006A45E7"/>
    <w:rsid w:val="006A4A18"/>
    <w:rsid w:val="006A4FAF"/>
    <w:rsid w:val="006A640B"/>
    <w:rsid w:val="006A6CEF"/>
    <w:rsid w:val="006A7248"/>
    <w:rsid w:val="006A7DE1"/>
    <w:rsid w:val="006B02B9"/>
    <w:rsid w:val="006B03F3"/>
    <w:rsid w:val="006B0475"/>
    <w:rsid w:val="006B0976"/>
    <w:rsid w:val="006B103D"/>
    <w:rsid w:val="006B1255"/>
    <w:rsid w:val="006B12C0"/>
    <w:rsid w:val="006B164D"/>
    <w:rsid w:val="006B18BD"/>
    <w:rsid w:val="006B1993"/>
    <w:rsid w:val="006B22C0"/>
    <w:rsid w:val="006B3A6F"/>
    <w:rsid w:val="006B4898"/>
    <w:rsid w:val="006B4BCF"/>
    <w:rsid w:val="006B56F6"/>
    <w:rsid w:val="006B5BF1"/>
    <w:rsid w:val="006B6027"/>
    <w:rsid w:val="006B6836"/>
    <w:rsid w:val="006B6A0A"/>
    <w:rsid w:val="006B70FE"/>
    <w:rsid w:val="006B7B1A"/>
    <w:rsid w:val="006C01CE"/>
    <w:rsid w:val="006C0277"/>
    <w:rsid w:val="006C046E"/>
    <w:rsid w:val="006C080E"/>
    <w:rsid w:val="006C1434"/>
    <w:rsid w:val="006C1818"/>
    <w:rsid w:val="006C18CA"/>
    <w:rsid w:val="006C29F1"/>
    <w:rsid w:val="006C2CB1"/>
    <w:rsid w:val="006C3921"/>
    <w:rsid w:val="006C3B1D"/>
    <w:rsid w:val="006C4067"/>
    <w:rsid w:val="006C440D"/>
    <w:rsid w:val="006C44AE"/>
    <w:rsid w:val="006C44B0"/>
    <w:rsid w:val="006C5494"/>
    <w:rsid w:val="006C56DD"/>
    <w:rsid w:val="006C5869"/>
    <w:rsid w:val="006C5CC1"/>
    <w:rsid w:val="006C5D48"/>
    <w:rsid w:val="006C6829"/>
    <w:rsid w:val="006C7198"/>
    <w:rsid w:val="006C7D46"/>
    <w:rsid w:val="006D0401"/>
    <w:rsid w:val="006D0C27"/>
    <w:rsid w:val="006D1321"/>
    <w:rsid w:val="006D292A"/>
    <w:rsid w:val="006D29BA"/>
    <w:rsid w:val="006D2A2A"/>
    <w:rsid w:val="006D2B62"/>
    <w:rsid w:val="006D2C49"/>
    <w:rsid w:val="006D30FB"/>
    <w:rsid w:val="006D337A"/>
    <w:rsid w:val="006D34B1"/>
    <w:rsid w:val="006D3B73"/>
    <w:rsid w:val="006D5024"/>
    <w:rsid w:val="006D6622"/>
    <w:rsid w:val="006D6E5E"/>
    <w:rsid w:val="006D7148"/>
    <w:rsid w:val="006D7F93"/>
    <w:rsid w:val="006E0C45"/>
    <w:rsid w:val="006E0D97"/>
    <w:rsid w:val="006E11DE"/>
    <w:rsid w:val="006E2093"/>
    <w:rsid w:val="006E2228"/>
    <w:rsid w:val="006E28C9"/>
    <w:rsid w:val="006E33D2"/>
    <w:rsid w:val="006E349C"/>
    <w:rsid w:val="006E410A"/>
    <w:rsid w:val="006E4AD1"/>
    <w:rsid w:val="006E56C6"/>
    <w:rsid w:val="006E6423"/>
    <w:rsid w:val="006E660D"/>
    <w:rsid w:val="006E7560"/>
    <w:rsid w:val="006E7876"/>
    <w:rsid w:val="006F1373"/>
    <w:rsid w:val="006F199F"/>
    <w:rsid w:val="006F1C20"/>
    <w:rsid w:val="006F21B5"/>
    <w:rsid w:val="006F2E8D"/>
    <w:rsid w:val="006F3283"/>
    <w:rsid w:val="006F330A"/>
    <w:rsid w:val="006F3755"/>
    <w:rsid w:val="006F383D"/>
    <w:rsid w:val="006F4000"/>
    <w:rsid w:val="006F4252"/>
    <w:rsid w:val="006F437A"/>
    <w:rsid w:val="006F4ED1"/>
    <w:rsid w:val="006F53C0"/>
    <w:rsid w:val="006F59D8"/>
    <w:rsid w:val="006F5E90"/>
    <w:rsid w:val="006F646B"/>
    <w:rsid w:val="006F6904"/>
    <w:rsid w:val="006F6A99"/>
    <w:rsid w:val="006F7B02"/>
    <w:rsid w:val="006F7DBF"/>
    <w:rsid w:val="00700E2B"/>
    <w:rsid w:val="00700F3A"/>
    <w:rsid w:val="00701157"/>
    <w:rsid w:val="0070139F"/>
    <w:rsid w:val="00701AFE"/>
    <w:rsid w:val="00702AB7"/>
    <w:rsid w:val="0070387F"/>
    <w:rsid w:val="007039C5"/>
    <w:rsid w:val="007040BB"/>
    <w:rsid w:val="0070436B"/>
    <w:rsid w:val="007044D3"/>
    <w:rsid w:val="0070586A"/>
    <w:rsid w:val="00705B41"/>
    <w:rsid w:val="00705B67"/>
    <w:rsid w:val="00705D69"/>
    <w:rsid w:val="00705FF3"/>
    <w:rsid w:val="00706DDF"/>
    <w:rsid w:val="00706F91"/>
    <w:rsid w:val="007070E9"/>
    <w:rsid w:val="0070724D"/>
    <w:rsid w:val="00707ADB"/>
    <w:rsid w:val="00710566"/>
    <w:rsid w:val="00710C9D"/>
    <w:rsid w:val="0071102D"/>
    <w:rsid w:val="00713000"/>
    <w:rsid w:val="007139B1"/>
    <w:rsid w:val="0071433A"/>
    <w:rsid w:val="007150C2"/>
    <w:rsid w:val="00715B61"/>
    <w:rsid w:val="00716494"/>
    <w:rsid w:val="00716D92"/>
    <w:rsid w:val="00717A6C"/>
    <w:rsid w:val="00717F73"/>
    <w:rsid w:val="00720A27"/>
    <w:rsid w:val="00720A49"/>
    <w:rsid w:val="00721192"/>
    <w:rsid w:val="00721676"/>
    <w:rsid w:val="007219A3"/>
    <w:rsid w:val="00722336"/>
    <w:rsid w:val="00722A3A"/>
    <w:rsid w:val="00722AA4"/>
    <w:rsid w:val="007232FE"/>
    <w:rsid w:val="00725328"/>
    <w:rsid w:val="00725842"/>
    <w:rsid w:val="007272EF"/>
    <w:rsid w:val="007276E6"/>
    <w:rsid w:val="00727EF5"/>
    <w:rsid w:val="007303CA"/>
    <w:rsid w:val="00731689"/>
    <w:rsid w:val="00731922"/>
    <w:rsid w:val="00732236"/>
    <w:rsid w:val="00732F3C"/>
    <w:rsid w:val="0073321A"/>
    <w:rsid w:val="007332CA"/>
    <w:rsid w:val="00733ACA"/>
    <w:rsid w:val="00734179"/>
    <w:rsid w:val="007341A4"/>
    <w:rsid w:val="0073473B"/>
    <w:rsid w:val="00734ACE"/>
    <w:rsid w:val="007351D8"/>
    <w:rsid w:val="00735483"/>
    <w:rsid w:val="00735853"/>
    <w:rsid w:val="00735C51"/>
    <w:rsid w:val="007375A1"/>
    <w:rsid w:val="007378FF"/>
    <w:rsid w:val="00737FEF"/>
    <w:rsid w:val="00740169"/>
    <w:rsid w:val="00740F26"/>
    <w:rsid w:val="00741B0D"/>
    <w:rsid w:val="00742115"/>
    <w:rsid w:val="0074212A"/>
    <w:rsid w:val="00742FAF"/>
    <w:rsid w:val="007433A6"/>
    <w:rsid w:val="00743A2D"/>
    <w:rsid w:val="00743D7A"/>
    <w:rsid w:val="0074415F"/>
    <w:rsid w:val="00744269"/>
    <w:rsid w:val="007445A6"/>
    <w:rsid w:val="007449E9"/>
    <w:rsid w:val="00744F98"/>
    <w:rsid w:val="00745AF6"/>
    <w:rsid w:val="007460E2"/>
    <w:rsid w:val="007474BA"/>
    <w:rsid w:val="0074783C"/>
    <w:rsid w:val="007478E1"/>
    <w:rsid w:val="0074792A"/>
    <w:rsid w:val="0074799E"/>
    <w:rsid w:val="00747FD2"/>
    <w:rsid w:val="007506C7"/>
    <w:rsid w:val="00750A2F"/>
    <w:rsid w:val="00751556"/>
    <w:rsid w:val="00751CCD"/>
    <w:rsid w:val="00751D57"/>
    <w:rsid w:val="007520D4"/>
    <w:rsid w:val="00752560"/>
    <w:rsid w:val="007525B3"/>
    <w:rsid w:val="0075328F"/>
    <w:rsid w:val="00754592"/>
    <w:rsid w:val="00754D20"/>
    <w:rsid w:val="0075512F"/>
    <w:rsid w:val="0075585B"/>
    <w:rsid w:val="00755BDC"/>
    <w:rsid w:val="00755CDE"/>
    <w:rsid w:val="007560A0"/>
    <w:rsid w:val="00756253"/>
    <w:rsid w:val="00756F3B"/>
    <w:rsid w:val="00756FDD"/>
    <w:rsid w:val="00757141"/>
    <w:rsid w:val="00757260"/>
    <w:rsid w:val="00757A59"/>
    <w:rsid w:val="007606A4"/>
    <w:rsid w:val="00761040"/>
    <w:rsid w:val="007614B4"/>
    <w:rsid w:val="00761AD5"/>
    <w:rsid w:val="00761CF1"/>
    <w:rsid w:val="00762842"/>
    <w:rsid w:val="00762CB4"/>
    <w:rsid w:val="007635B5"/>
    <w:rsid w:val="00763ADB"/>
    <w:rsid w:val="00763DCB"/>
    <w:rsid w:val="00764B15"/>
    <w:rsid w:val="0076651C"/>
    <w:rsid w:val="00766B77"/>
    <w:rsid w:val="00767185"/>
    <w:rsid w:val="00767BF9"/>
    <w:rsid w:val="00767EC8"/>
    <w:rsid w:val="0077077E"/>
    <w:rsid w:val="00770C3B"/>
    <w:rsid w:val="00770E74"/>
    <w:rsid w:val="007714CD"/>
    <w:rsid w:val="00771B64"/>
    <w:rsid w:val="007721AB"/>
    <w:rsid w:val="007721F3"/>
    <w:rsid w:val="00772335"/>
    <w:rsid w:val="00772CF4"/>
    <w:rsid w:val="00772E0A"/>
    <w:rsid w:val="0077335E"/>
    <w:rsid w:val="007733FB"/>
    <w:rsid w:val="0077394E"/>
    <w:rsid w:val="00773A7B"/>
    <w:rsid w:val="00776695"/>
    <w:rsid w:val="00776AD5"/>
    <w:rsid w:val="00776F09"/>
    <w:rsid w:val="00777755"/>
    <w:rsid w:val="007777ED"/>
    <w:rsid w:val="007801A2"/>
    <w:rsid w:val="00780CB9"/>
    <w:rsid w:val="00781326"/>
    <w:rsid w:val="00782310"/>
    <w:rsid w:val="007828DB"/>
    <w:rsid w:val="00782942"/>
    <w:rsid w:val="007834C1"/>
    <w:rsid w:val="00783A64"/>
    <w:rsid w:val="00784E5E"/>
    <w:rsid w:val="00786711"/>
    <w:rsid w:val="00786920"/>
    <w:rsid w:val="00787156"/>
    <w:rsid w:val="00787A4B"/>
    <w:rsid w:val="0079012B"/>
    <w:rsid w:val="00790CA3"/>
    <w:rsid w:val="00790D37"/>
    <w:rsid w:val="00790FBF"/>
    <w:rsid w:val="00792185"/>
    <w:rsid w:val="00792361"/>
    <w:rsid w:val="007926AF"/>
    <w:rsid w:val="00792D88"/>
    <w:rsid w:val="00793108"/>
    <w:rsid w:val="0079343F"/>
    <w:rsid w:val="007941C7"/>
    <w:rsid w:val="00794827"/>
    <w:rsid w:val="00794C08"/>
    <w:rsid w:val="007950A7"/>
    <w:rsid w:val="007954CD"/>
    <w:rsid w:val="00796067"/>
    <w:rsid w:val="007961D2"/>
    <w:rsid w:val="0079708F"/>
    <w:rsid w:val="007970DA"/>
    <w:rsid w:val="00797C32"/>
    <w:rsid w:val="00797ECA"/>
    <w:rsid w:val="007A014B"/>
    <w:rsid w:val="007A1CD0"/>
    <w:rsid w:val="007A1FA7"/>
    <w:rsid w:val="007A2C62"/>
    <w:rsid w:val="007A2E5B"/>
    <w:rsid w:val="007A30FB"/>
    <w:rsid w:val="007A38EE"/>
    <w:rsid w:val="007A3CE6"/>
    <w:rsid w:val="007A4B2F"/>
    <w:rsid w:val="007A4C0C"/>
    <w:rsid w:val="007A5820"/>
    <w:rsid w:val="007A59A2"/>
    <w:rsid w:val="007A6349"/>
    <w:rsid w:val="007A7065"/>
    <w:rsid w:val="007A708C"/>
    <w:rsid w:val="007A719D"/>
    <w:rsid w:val="007A7262"/>
    <w:rsid w:val="007B073A"/>
    <w:rsid w:val="007B295B"/>
    <w:rsid w:val="007B383C"/>
    <w:rsid w:val="007B49F3"/>
    <w:rsid w:val="007B4F42"/>
    <w:rsid w:val="007B5023"/>
    <w:rsid w:val="007B56EE"/>
    <w:rsid w:val="007B574A"/>
    <w:rsid w:val="007B5BC9"/>
    <w:rsid w:val="007B6036"/>
    <w:rsid w:val="007B65D9"/>
    <w:rsid w:val="007B6ADD"/>
    <w:rsid w:val="007B7227"/>
    <w:rsid w:val="007B72BC"/>
    <w:rsid w:val="007B74D5"/>
    <w:rsid w:val="007B75B6"/>
    <w:rsid w:val="007B76F3"/>
    <w:rsid w:val="007B78B6"/>
    <w:rsid w:val="007B7950"/>
    <w:rsid w:val="007B7BC9"/>
    <w:rsid w:val="007B7CE2"/>
    <w:rsid w:val="007B7D2E"/>
    <w:rsid w:val="007C0E55"/>
    <w:rsid w:val="007C1251"/>
    <w:rsid w:val="007C1266"/>
    <w:rsid w:val="007C15CF"/>
    <w:rsid w:val="007C19B3"/>
    <w:rsid w:val="007C1B76"/>
    <w:rsid w:val="007C2188"/>
    <w:rsid w:val="007C2358"/>
    <w:rsid w:val="007C2E58"/>
    <w:rsid w:val="007C3277"/>
    <w:rsid w:val="007C3612"/>
    <w:rsid w:val="007C4493"/>
    <w:rsid w:val="007C53E0"/>
    <w:rsid w:val="007C54BD"/>
    <w:rsid w:val="007C5977"/>
    <w:rsid w:val="007C5F1F"/>
    <w:rsid w:val="007C6C01"/>
    <w:rsid w:val="007C755C"/>
    <w:rsid w:val="007D09AE"/>
    <w:rsid w:val="007D1403"/>
    <w:rsid w:val="007D15F0"/>
    <w:rsid w:val="007D2712"/>
    <w:rsid w:val="007D2B78"/>
    <w:rsid w:val="007D3070"/>
    <w:rsid w:val="007D3150"/>
    <w:rsid w:val="007D3515"/>
    <w:rsid w:val="007D38A1"/>
    <w:rsid w:val="007D42BB"/>
    <w:rsid w:val="007D48F2"/>
    <w:rsid w:val="007D5020"/>
    <w:rsid w:val="007D58D4"/>
    <w:rsid w:val="007D6159"/>
    <w:rsid w:val="007D648D"/>
    <w:rsid w:val="007D6C87"/>
    <w:rsid w:val="007D7063"/>
    <w:rsid w:val="007D721B"/>
    <w:rsid w:val="007D7D6C"/>
    <w:rsid w:val="007E1545"/>
    <w:rsid w:val="007E1B59"/>
    <w:rsid w:val="007E1CFB"/>
    <w:rsid w:val="007E2097"/>
    <w:rsid w:val="007E2517"/>
    <w:rsid w:val="007E263D"/>
    <w:rsid w:val="007E2C0E"/>
    <w:rsid w:val="007E3A09"/>
    <w:rsid w:val="007E3B5B"/>
    <w:rsid w:val="007E40C9"/>
    <w:rsid w:val="007E487B"/>
    <w:rsid w:val="007E54B6"/>
    <w:rsid w:val="007E5822"/>
    <w:rsid w:val="007E5BB9"/>
    <w:rsid w:val="007E6444"/>
    <w:rsid w:val="007E64D8"/>
    <w:rsid w:val="007E6AB5"/>
    <w:rsid w:val="007E7C24"/>
    <w:rsid w:val="007F12E3"/>
    <w:rsid w:val="007F21ED"/>
    <w:rsid w:val="007F275D"/>
    <w:rsid w:val="007F3416"/>
    <w:rsid w:val="007F3519"/>
    <w:rsid w:val="007F39B8"/>
    <w:rsid w:val="007F4C99"/>
    <w:rsid w:val="007F4E3B"/>
    <w:rsid w:val="007F5866"/>
    <w:rsid w:val="007F6329"/>
    <w:rsid w:val="007F6A23"/>
    <w:rsid w:val="007F6A7D"/>
    <w:rsid w:val="007F719C"/>
    <w:rsid w:val="0080052E"/>
    <w:rsid w:val="00801047"/>
    <w:rsid w:val="008014CB"/>
    <w:rsid w:val="008014E5"/>
    <w:rsid w:val="008016A8"/>
    <w:rsid w:val="00802B20"/>
    <w:rsid w:val="00802E52"/>
    <w:rsid w:val="008031EB"/>
    <w:rsid w:val="008033C9"/>
    <w:rsid w:val="00804007"/>
    <w:rsid w:val="008049CB"/>
    <w:rsid w:val="008049D5"/>
    <w:rsid w:val="0080505D"/>
    <w:rsid w:val="0080576C"/>
    <w:rsid w:val="008069A3"/>
    <w:rsid w:val="00807056"/>
    <w:rsid w:val="008073BA"/>
    <w:rsid w:val="00807873"/>
    <w:rsid w:val="0081086F"/>
    <w:rsid w:val="00810AEE"/>
    <w:rsid w:val="00811038"/>
    <w:rsid w:val="0081108C"/>
    <w:rsid w:val="00811EAE"/>
    <w:rsid w:val="00812627"/>
    <w:rsid w:val="008127D4"/>
    <w:rsid w:val="00813770"/>
    <w:rsid w:val="00813C7D"/>
    <w:rsid w:val="00814340"/>
    <w:rsid w:val="0081584B"/>
    <w:rsid w:val="0081627B"/>
    <w:rsid w:val="00816A4E"/>
    <w:rsid w:val="0082023F"/>
    <w:rsid w:val="0082025E"/>
    <w:rsid w:val="00820DA8"/>
    <w:rsid w:val="00821B49"/>
    <w:rsid w:val="0082204F"/>
    <w:rsid w:val="0082214E"/>
    <w:rsid w:val="00822FA2"/>
    <w:rsid w:val="00823100"/>
    <w:rsid w:val="00824428"/>
    <w:rsid w:val="00824482"/>
    <w:rsid w:val="008247F2"/>
    <w:rsid w:val="0082493A"/>
    <w:rsid w:val="00825599"/>
    <w:rsid w:val="00825764"/>
    <w:rsid w:val="00825849"/>
    <w:rsid w:val="00825C18"/>
    <w:rsid w:val="00825EFE"/>
    <w:rsid w:val="00830949"/>
    <w:rsid w:val="00831386"/>
    <w:rsid w:val="00832546"/>
    <w:rsid w:val="00832C2B"/>
    <w:rsid w:val="00832C81"/>
    <w:rsid w:val="00832E61"/>
    <w:rsid w:val="00832ED0"/>
    <w:rsid w:val="00832FB0"/>
    <w:rsid w:val="0083389C"/>
    <w:rsid w:val="00834579"/>
    <w:rsid w:val="00835AFC"/>
    <w:rsid w:val="00835FBB"/>
    <w:rsid w:val="0083610D"/>
    <w:rsid w:val="00836FD7"/>
    <w:rsid w:val="008374B7"/>
    <w:rsid w:val="008374EB"/>
    <w:rsid w:val="00837802"/>
    <w:rsid w:val="0084043D"/>
    <w:rsid w:val="00840A4B"/>
    <w:rsid w:val="00840D8C"/>
    <w:rsid w:val="008418D2"/>
    <w:rsid w:val="00842200"/>
    <w:rsid w:val="0084234F"/>
    <w:rsid w:val="00842639"/>
    <w:rsid w:val="00843529"/>
    <w:rsid w:val="00843800"/>
    <w:rsid w:val="00843BD9"/>
    <w:rsid w:val="00843DEA"/>
    <w:rsid w:val="00844682"/>
    <w:rsid w:val="00844C9D"/>
    <w:rsid w:val="00844E93"/>
    <w:rsid w:val="00845A4F"/>
    <w:rsid w:val="00845E2C"/>
    <w:rsid w:val="00845E92"/>
    <w:rsid w:val="00845EC4"/>
    <w:rsid w:val="0084618E"/>
    <w:rsid w:val="00846908"/>
    <w:rsid w:val="008470ED"/>
    <w:rsid w:val="00847307"/>
    <w:rsid w:val="00847919"/>
    <w:rsid w:val="00850140"/>
    <w:rsid w:val="00850DEC"/>
    <w:rsid w:val="00851902"/>
    <w:rsid w:val="00852180"/>
    <w:rsid w:val="00852185"/>
    <w:rsid w:val="00852490"/>
    <w:rsid w:val="00852544"/>
    <w:rsid w:val="008525ED"/>
    <w:rsid w:val="008537E4"/>
    <w:rsid w:val="00853CED"/>
    <w:rsid w:val="0085449D"/>
    <w:rsid w:val="008546E3"/>
    <w:rsid w:val="0085501A"/>
    <w:rsid w:val="008551A1"/>
    <w:rsid w:val="008571C6"/>
    <w:rsid w:val="008577EA"/>
    <w:rsid w:val="00857AD6"/>
    <w:rsid w:val="008608AF"/>
    <w:rsid w:val="00860D85"/>
    <w:rsid w:val="00861A5B"/>
    <w:rsid w:val="008624C9"/>
    <w:rsid w:val="00862971"/>
    <w:rsid w:val="00862F64"/>
    <w:rsid w:val="00863DB9"/>
    <w:rsid w:val="008646A0"/>
    <w:rsid w:val="00864765"/>
    <w:rsid w:val="0086535B"/>
    <w:rsid w:val="00865967"/>
    <w:rsid w:val="00865FCF"/>
    <w:rsid w:val="00866103"/>
    <w:rsid w:val="008663D3"/>
    <w:rsid w:val="00866953"/>
    <w:rsid w:val="00866A32"/>
    <w:rsid w:val="008677A0"/>
    <w:rsid w:val="00867CFE"/>
    <w:rsid w:val="00867DC3"/>
    <w:rsid w:val="00870123"/>
    <w:rsid w:val="008703E8"/>
    <w:rsid w:val="00871031"/>
    <w:rsid w:val="0087134E"/>
    <w:rsid w:val="00871BE5"/>
    <w:rsid w:val="008724C3"/>
    <w:rsid w:val="00872ED3"/>
    <w:rsid w:val="008730E6"/>
    <w:rsid w:val="00873530"/>
    <w:rsid w:val="00873BB2"/>
    <w:rsid w:val="00874D7A"/>
    <w:rsid w:val="00874FE8"/>
    <w:rsid w:val="008751D2"/>
    <w:rsid w:val="008754F3"/>
    <w:rsid w:val="00875CD3"/>
    <w:rsid w:val="00876A3D"/>
    <w:rsid w:val="008775C6"/>
    <w:rsid w:val="00880382"/>
    <w:rsid w:val="008803FD"/>
    <w:rsid w:val="0088057C"/>
    <w:rsid w:val="008807A7"/>
    <w:rsid w:val="008818CD"/>
    <w:rsid w:val="00881C8F"/>
    <w:rsid w:val="0088263C"/>
    <w:rsid w:val="00883149"/>
    <w:rsid w:val="0088365F"/>
    <w:rsid w:val="0088367B"/>
    <w:rsid w:val="0088394C"/>
    <w:rsid w:val="00883D8F"/>
    <w:rsid w:val="0088508D"/>
    <w:rsid w:val="00885BA3"/>
    <w:rsid w:val="00885C25"/>
    <w:rsid w:val="0088633A"/>
    <w:rsid w:val="0088644D"/>
    <w:rsid w:val="008869AA"/>
    <w:rsid w:val="0088701A"/>
    <w:rsid w:val="008873C8"/>
    <w:rsid w:val="00887F51"/>
    <w:rsid w:val="008911B3"/>
    <w:rsid w:val="00891444"/>
    <w:rsid w:val="0089190B"/>
    <w:rsid w:val="00892C79"/>
    <w:rsid w:val="008931EE"/>
    <w:rsid w:val="00893759"/>
    <w:rsid w:val="008941FD"/>
    <w:rsid w:val="00894482"/>
    <w:rsid w:val="008947B3"/>
    <w:rsid w:val="00894E8F"/>
    <w:rsid w:val="0089520C"/>
    <w:rsid w:val="008963EB"/>
    <w:rsid w:val="00896E39"/>
    <w:rsid w:val="00896E96"/>
    <w:rsid w:val="00897D74"/>
    <w:rsid w:val="008A0FC1"/>
    <w:rsid w:val="008A13A0"/>
    <w:rsid w:val="008A184F"/>
    <w:rsid w:val="008A1867"/>
    <w:rsid w:val="008A1FF6"/>
    <w:rsid w:val="008A2CCF"/>
    <w:rsid w:val="008A347B"/>
    <w:rsid w:val="008A4668"/>
    <w:rsid w:val="008A474F"/>
    <w:rsid w:val="008A4F09"/>
    <w:rsid w:val="008A5BE5"/>
    <w:rsid w:val="008A61DF"/>
    <w:rsid w:val="008A6B9B"/>
    <w:rsid w:val="008A6F2A"/>
    <w:rsid w:val="008A7427"/>
    <w:rsid w:val="008A7830"/>
    <w:rsid w:val="008B1A45"/>
    <w:rsid w:val="008B259A"/>
    <w:rsid w:val="008B30FE"/>
    <w:rsid w:val="008B38BB"/>
    <w:rsid w:val="008B40CD"/>
    <w:rsid w:val="008B4EDA"/>
    <w:rsid w:val="008B623C"/>
    <w:rsid w:val="008B6D98"/>
    <w:rsid w:val="008B797A"/>
    <w:rsid w:val="008C0E3B"/>
    <w:rsid w:val="008C12D3"/>
    <w:rsid w:val="008C1E61"/>
    <w:rsid w:val="008C2827"/>
    <w:rsid w:val="008C3098"/>
    <w:rsid w:val="008C31B1"/>
    <w:rsid w:val="008C3394"/>
    <w:rsid w:val="008C34C1"/>
    <w:rsid w:val="008C37BB"/>
    <w:rsid w:val="008C5502"/>
    <w:rsid w:val="008C5624"/>
    <w:rsid w:val="008C596E"/>
    <w:rsid w:val="008C616B"/>
    <w:rsid w:val="008C74BE"/>
    <w:rsid w:val="008C7624"/>
    <w:rsid w:val="008C76BB"/>
    <w:rsid w:val="008C7720"/>
    <w:rsid w:val="008D0765"/>
    <w:rsid w:val="008D0849"/>
    <w:rsid w:val="008D0AE7"/>
    <w:rsid w:val="008D15B5"/>
    <w:rsid w:val="008D1CDA"/>
    <w:rsid w:val="008D2A7E"/>
    <w:rsid w:val="008D2E53"/>
    <w:rsid w:val="008D3D94"/>
    <w:rsid w:val="008D40EB"/>
    <w:rsid w:val="008D4C40"/>
    <w:rsid w:val="008D6298"/>
    <w:rsid w:val="008D71A2"/>
    <w:rsid w:val="008D786F"/>
    <w:rsid w:val="008D78B7"/>
    <w:rsid w:val="008D7E78"/>
    <w:rsid w:val="008E007D"/>
    <w:rsid w:val="008E0083"/>
    <w:rsid w:val="008E1090"/>
    <w:rsid w:val="008E10A4"/>
    <w:rsid w:val="008E1857"/>
    <w:rsid w:val="008E1CA8"/>
    <w:rsid w:val="008E1F41"/>
    <w:rsid w:val="008E236F"/>
    <w:rsid w:val="008E29F9"/>
    <w:rsid w:val="008E2ACF"/>
    <w:rsid w:val="008E2EC3"/>
    <w:rsid w:val="008E316D"/>
    <w:rsid w:val="008E326E"/>
    <w:rsid w:val="008E32A5"/>
    <w:rsid w:val="008E47E4"/>
    <w:rsid w:val="008E49C1"/>
    <w:rsid w:val="008E4F9D"/>
    <w:rsid w:val="008E5297"/>
    <w:rsid w:val="008E6387"/>
    <w:rsid w:val="008E6789"/>
    <w:rsid w:val="008E68AA"/>
    <w:rsid w:val="008E7AB6"/>
    <w:rsid w:val="008F039F"/>
    <w:rsid w:val="008F0700"/>
    <w:rsid w:val="008F15DE"/>
    <w:rsid w:val="008F197F"/>
    <w:rsid w:val="008F20A4"/>
    <w:rsid w:val="008F3A91"/>
    <w:rsid w:val="008F3BA7"/>
    <w:rsid w:val="008F3C05"/>
    <w:rsid w:val="008F45BD"/>
    <w:rsid w:val="008F4869"/>
    <w:rsid w:val="008F4BC0"/>
    <w:rsid w:val="008F4D53"/>
    <w:rsid w:val="008F50FC"/>
    <w:rsid w:val="008F51E9"/>
    <w:rsid w:val="008F61E2"/>
    <w:rsid w:val="008F73D7"/>
    <w:rsid w:val="008F7A1C"/>
    <w:rsid w:val="00900E00"/>
    <w:rsid w:val="0090186C"/>
    <w:rsid w:val="0090195B"/>
    <w:rsid w:val="00901A6F"/>
    <w:rsid w:val="0090224A"/>
    <w:rsid w:val="009032B3"/>
    <w:rsid w:val="00903798"/>
    <w:rsid w:val="00904233"/>
    <w:rsid w:val="009046C3"/>
    <w:rsid w:val="00904EBE"/>
    <w:rsid w:val="00904EE6"/>
    <w:rsid w:val="00905C4B"/>
    <w:rsid w:val="009060A0"/>
    <w:rsid w:val="0090652C"/>
    <w:rsid w:val="009065E7"/>
    <w:rsid w:val="00906C63"/>
    <w:rsid w:val="00906CFE"/>
    <w:rsid w:val="00906EC4"/>
    <w:rsid w:val="00907443"/>
    <w:rsid w:val="009074C8"/>
    <w:rsid w:val="00907ACA"/>
    <w:rsid w:val="00907CCC"/>
    <w:rsid w:val="00907D01"/>
    <w:rsid w:val="00907D68"/>
    <w:rsid w:val="00910498"/>
    <w:rsid w:val="0091066B"/>
    <w:rsid w:val="00910BE7"/>
    <w:rsid w:val="00912677"/>
    <w:rsid w:val="00912BC5"/>
    <w:rsid w:val="00914A02"/>
    <w:rsid w:val="00914F85"/>
    <w:rsid w:val="009150CD"/>
    <w:rsid w:val="00915235"/>
    <w:rsid w:val="0091560E"/>
    <w:rsid w:val="00916792"/>
    <w:rsid w:val="009179D8"/>
    <w:rsid w:val="00917C32"/>
    <w:rsid w:val="009206BA"/>
    <w:rsid w:val="00920C3A"/>
    <w:rsid w:val="0092112E"/>
    <w:rsid w:val="00921250"/>
    <w:rsid w:val="00921626"/>
    <w:rsid w:val="00921F84"/>
    <w:rsid w:val="00923C76"/>
    <w:rsid w:val="0092403A"/>
    <w:rsid w:val="009243B5"/>
    <w:rsid w:val="00924B82"/>
    <w:rsid w:val="00925E7A"/>
    <w:rsid w:val="009266F3"/>
    <w:rsid w:val="00926CAC"/>
    <w:rsid w:val="00926E9E"/>
    <w:rsid w:val="009274F0"/>
    <w:rsid w:val="009277F7"/>
    <w:rsid w:val="0093086E"/>
    <w:rsid w:val="00930DA7"/>
    <w:rsid w:val="00931925"/>
    <w:rsid w:val="00931CA4"/>
    <w:rsid w:val="00931D3F"/>
    <w:rsid w:val="00931F56"/>
    <w:rsid w:val="00932B33"/>
    <w:rsid w:val="00932EB6"/>
    <w:rsid w:val="00933EC7"/>
    <w:rsid w:val="00934198"/>
    <w:rsid w:val="0093469C"/>
    <w:rsid w:val="009360A4"/>
    <w:rsid w:val="009366BF"/>
    <w:rsid w:val="00937962"/>
    <w:rsid w:val="00937A1A"/>
    <w:rsid w:val="00937BA3"/>
    <w:rsid w:val="00940432"/>
    <w:rsid w:val="009405AF"/>
    <w:rsid w:val="00940DD7"/>
    <w:rsid w:val="00941196"/>
    <w:rsid w:val="009411EF"/>
    <w:rsid w:val="0094129C"/>
    <w:rsid w:val="00941504"/>
    <w:rsid w:val="0094161D"/>
    <w:rsid w:val="00941E3D"/>
    <w:rsid w:val="00942297"/>
    <w:rsid w:val="009427E5"/>
    <w:rsid w:val="009428B8"/>
    <w:rsid w:val="00942AC2"/>
    <w:rsid w:val="00943ED7"/>
    <w:rsid w:val="00944BF3"/>
    <w:rsid w:val="00944CA8"/>
    <w:rsid w:val="00944DE9"/>
    <w:rsid w:val="0094537C"/>
    <w:rsid w:val="00945539"/>
    <w:rsid w:val="009456D4"/>
    <w:rsid w:val="009459DF"/>
    <w:rsid w:val="009459FD"/>
    <w:rsid w:val="00945D26"/>
    <w:rsid w:val="00947212"/>
    <w:rsid w:val="0094729E"/>
    <w:rsid w:val="00947D12"/>
    <w:rsid w:val="00950551"/>
    <w:rsid w:val="00950882"/>
    <w:rsid w:val="00953137"/>
    <w:rsid w:val="00953489"/>
    <w:rsid w:val="009544BE"/>
    <w:rsid w:val="00954A16"/>
    <w:rsid w:val="00954A64"/>
    <w:rsid w:val="009551C9"/>
    <w:rsid w:val="009551F6"/>
    <w:rsid w:val="00955883"/>
    <w:rsid w:val="00955F48"/>
    <w:rsid w:val="00957E9B"/>
    <w:rsid w:val="0096066E"/>
    <w:rsid w:val="00960FA3"/>
    <w:rsid w:val="0096106C"/>
    <w:rsid w:val="00961E59"/>
    <w:rsid w:val="00961FCA"/>
    <w:rsid w:val="009627E1"/>
    <w:rsid w:val="009647F1"/>
    <w:rsid w:val="00964891"/>
    <w:rsid w:val="00964CB2"/>
    <w:rsid w:val="00965ED6"/>
    <w:rsid w:val="009662E7"/>
    <w:rsid w:val="00966645"/>
    <w:rsid w:val="009676D6"/>
    <w:rsid w:val="00967B96"/>
    <w:rsid w:val="009705F6"/>
    <w:rsid w:val="00970774"/>
    <w:rsid w:val="00970A2A"/>
    <w:rsid w:val="00970CFC"/>
    <w:rsid w:val="00971A53"/>
    <w:rsid w:val="00971DF3"/>
    <w:rsid w:val="00971E9F"/>
    <w:rsid w:val="009722B2"/>
    <w:rsid w:val="009725E8"/>
    <w:rsid w:val="0097306A"/>
    <w:rsid w:val="00975C8B"/>
    <w:rsid w:val="00977837"/>
    <w:rsid w:val="009779FE"/>
    <w:rsid w:val="009804B7"/>
    <w:rsid w:val="00981829"/>
    <w:rsid w:val="00981E97"/>
    <w:rsid w:val="00982743"/>
    <w:rsid w:val="009833F9"/>
    <w:rsid w:val="009836D3"/>
    <w:rsid w:val="00983A02"/>
    <w:rsid w:val="00983CBD"/>
    <w:rsid w:val="009859D8"/>
    <w:rsid w:val="00986251"/>
    <w:rsid w:val="0098696E"/>
    <w:rsid w:val="00986ACB"/>
    <w:rsid w:val="009878A7"/>
    <w:rsid w:val="00990577"/>
    <w:rsid w:val="00991118"/>
    <w:rsid w:val="00991A81"/>
    <w:rsid w:val="00992596"/>
    <w:rsid w:val="009928DB"/>
    <w:rsid w:val="00992E8D"/>
    <w:rsid w:val="00992FD2"/>
    <w:rsid w:val="009938A8"/>
    <w:rsid w:val="00993955"/>
    <w:rsid w:val="00993BBF"/>
    <w:rsid w:val="009949F1"/>
    <w:rsid w:val="0099587E"/>
    <w:rsid w:val="00995914"/>
    <w:rsid w:val="00995C73"/>
    <w:rsid w:val="00995E21"/>
    <w:rsid w:val="009962A7"/>
    <w:rsid w:val="00996778"/>
    <w:rsid w:val="00996C06"/>
    <w:rsid w:val="00996C83"/>
    <w:rsid w:val="0099700D"/>
    <w:rsid w:val="0099792D"/>
    <w:rsid w:val="009A008F"/>
    <w:rsid w:val="009A191E"/>
    <w:rsid w:val="009A23AA"/>
    <w:rsid w:val="009A2574"/>
    <w:rsid w:val="009A2CCA"/>
    <w:rsid w:val="009A2E47"/>
    <w:rsid w:val="009A2F8B"/>
    <w:rsid w:val="009A32DF"/>
    <w:rsid w:val="009A353E"/>
    <w:rsid w:val="009A368D"/>
    <w:rsid w:val="009A3762"/>
    <w:rsid w:val="009A4EC6"/>
    <w:rsid w:val="009A5218"/>
    <w:rsid w:val="009A538E"/>
    <w:rsid w:val="009A623F"/>
    <w:rsid w:val="009A6492"/>
    <w:rsid w:val="009A79E6"/>
    <w:rsid w:val="009A7C7C"/>
    <w:rsid w:val="009A7DB4"/>
    <w:rsid w:val="009B0A5A"/>
    <w:rsid w:val="009B1844"/>
    <w:rsid w:val="009B1CE9"/>
    <w:rsid w:val="009B27B0"/>
    <w:rsid w:val="009B41E7"/>
    <w:rsid w:val="009B45FA"/>
    <w:rsid w:val="009B5165"/>
    <w:rsid w:val="009B5F9E"/>
    <w:rsid w:val="009B6333"/>
    <w:rsid w:val="009B737A"/>
    <w:rsid w:val="009B789C"/>
    <w:rsid w:val="009C056D"/>
    <w:rsid w:val="009C07D5"/>
    <w:rsid w:val="009C0E4F"/>
    <w:rsid w:val="009C3450"/>
    <w:rsid w:val="009C38DE"/>
    <w:rsid w:val="009C3FF0"/>
    <w:rsid w:val="009C4015"/>
    <w:rsid w:val="009C4AD0"/>
    <w:rsid w:val="009C51B3"/>
    <w:rsid w:val="009C697E"/>
    <w:rsid w:val="009C6D29"/>
    <w:rsid w:val="009C7DAE"/>
    <w:rsid w:val="009D0788"/>
    <w:rsid w:val="009D079B"/>
    <w:rsid w:val="009D0D65"/>
    <w:rsid w:val="009D0DFF"/>
    <w:rsid w:val="009D1D03"/>
    <w:rsid w:val="009D2393"/>
    <w:rsid w:val="009D26D0"/>
    <w:rsid w:val="009D27E2"/>
    <w:rsid w:val="009D3234"/>
    <w:rsid w:val="009D361B"/>
    <w:rsid w:val="009D3620"/>
    <w:rsid w:val="009D4784"/>
    <w:rsid w:val="009D487B"/>
    <w:rsid w:val="009D4A5E"/>
    <w:rsid w:val="009D4DD5"/>
    <w:rsid w:val="009D57C7"/>
    <w:rsid w:val="009D6247"/>
    <w:rsid w:val="009D644C"/>
    <w:rsid w:val="009D6AF2"/>
    <w:rsid w:val="009D7498"/>
    <w:rsid w:val="009D77F8"/>
    <w:rsid w:val="009D7951"/>
    <w:rsid w:val="009E037D"/>
    <w:rsid w:val="009E0477"/>
    <w:rsid w:val="009E07A1"/>
    <w:rsid w:val="009E08D1"/>
    <w:rsid w:val="009E0A8F"/>
    <w:rsid w:val="009E13BD"/>
    <w:rsid w:val="009E1851"/>
    <w:rsid w:val="009E1AE7"/>
    <w:rsid w:val="009E3C65"/>
    <w:rsid w:val="009E3FB2"/>
    <w:rsid w:val="009E44E3"/>
    <w:rsid w:val="009E4544"/>
    <w:rsid w:val="009E479C"/>
    <w:rsid w:val="009E4C47"/>
    <w:rsid w:val="009E5621"/>
    <w:rsid w:val="009E5925"/>
    <w:rsid w:val="009E5B74"/>
    <w:rsid w:val="009E6A56"/>
    <w:rsid w:val="009F01F6"/>
    <w:rsid w:val="009F0548"/>
    <w:rsid w:val="009F065B"/>
    <w:rsid w:val="009F09AE"/>
    <w:rsid w:val="009F2EB8"/>
    <w:rsid w:val="009F34CC"/>
    <w:rsid w:val="009F375E"/>
    <w:rsid w:val="009F3D05"/>
    <w:rsid w:val="009F45AC"/>
    <w:rsid w:val="009F4942"/>
    <w:rsid w:val="009F545F"/>
    <w:rsid w:val="009F54B7"/>
    <w:rsid w:val="009F5981"/>
    <w:rsid w:val="009F600D"/>
    <w:rsid w:val="009F6E78"/>
    <w:rsid w:val="009F7637"/>
    <w:rsid w:val="009F767E"/>
    <w:rsid w:val="00A0026E"/>
    <w:rsid w:val="00A002B2"/>
    <w:rsid w:val="00A002EC"/>
    <w:rsid w:val="00A00352"/>
    <w:rsid w:val="00A003E3"/>
    <w:rsid w:val="00A00E81"/>
    <w:rsid w:val="00A027D2"/>
    <w:rsid w:val="00A02CE4"/>
    <w:rsid w:val="00A02F67"/>
    <w:rsid w:val="00A038B3"/>
    <w:rsid w:val="00A03BCB"/>
    <w:rsid w:val="00A04105"/>
    <w:rsid w:val="00A04BE6"/>
    <w:rsid w:val="00A07721"/>
    <w:rsid w:val="00A100D6"/>
    <w:rsid w:val="00A104F6"/>
    <w:rsid w:val="00A10E9E"/>
    <w:rsid w:val="00A1162C"/>
    <w:rsid w:val="00A12694"/>
    <w:rsid w:val="00A12C70"/>
    <w:rsid w:val="00A12CDB"/>
    <w:rsid w:val="00A132A7"/>
    <w:rsid w:val="00A15429"/>
    <w:rsid w:val="00A15A33"/>
    <w:rsid w:val="00A169FD"/>
    <w:rsid w:val="00A17693"/>
    <w:rsid w:val="00A20EEB"/>
    <w:rsid w:val="00A2186C"/>
    <w:rsid w:val="00A21A94"/>
    <w:rsid w:val="00A2281C"/>
    <w:rsid w:val="00A231CC"/>
    <w:rsid w:val="00A2434E"/>
    <w:rsid w:val="00A24693"/>
    <w:rsid w:val="00A248A6"/>
    <w:rsid w:val="00A249B0"/>
    <w:rsid w:val="00A25623"/>
    <w:rsid w:val="00A25C70"/>
    <w:rsid w:val="00A26028"/>
    <w:rsid w:val="00A26097"/>
    <w:rsid w:val="00A267C9"/>
    <w:rsid w:val="00A26CDC"/>
    <w:rsid w:val="00A30067"/>
    <w:rsid w:val="00A302C2"/>
    <w:rsid w:val="00A30E68"/>
    <w:rsid w:val="00A32422"/>
    <w:rsid w:val="00A3273F"/>
    <w:rsid w:val="00A32875"/>
    <w:rsid w:val="00A32B8E"/>
    <w:rsid w:val="00A34F6C"/>
    <w:rsid w:val="00A3542C"/>
    <w:rsid w:val="00A36F9F"/>
    <w:rsid w:val="00A37110"/>
    <w:rsid w:val="00A375CD"/>
    <w:rsid w:val="00A40109"/>
    <w:rsid w:val="00A40230"/>
    <w:rsid w:val="00A4094F"/>
    <w:rsid w:val="00A42CEC"/>
    <w:rsid w:val="00A42EB5"/>
    <w:rsid w:val="00A42F7D"/>
    <w:rsid w:val="00A44689"/>
    <w:rsid w:val="00A45C6B"/>
    <w:rsid w:val="00A462F5"/>
    <w:rsid w:val="00A46B2E"/>
    <w:rsid w:val="00A4712F"/>
    <w:rsid w:val="00A47456"/>
    <w:rsid w:val="00A47781"/>
    <w:rsid w:val="00A477CB"/>
    <w:rsid w:val="00A477CC"/>
    <w:rsid w:val="00A47E13"/>
    <w:rsid w:val="00A500CA"/>
    <w:rsid w:val="00A50585"/>
    <w:rsid w:val="00A50F20"/>
    <w:rsid w:val="00A51669"/>
    <w:rsid w:val="00A52212"/>
    <w:rsid w:val="00A522B1"/>
    <w:rsid w:val="00A52FCA"/>
    <w:rsid w:val="00A53A3F"/>
    <w:rsid w:val="00A54148"/>
    <w:rsid w:val="00A5553F"/>
    <w:rsid w:val="00A557D3"/>
    <w:rsid w:val="00A55C8C"/>
    <w:rsid w:val="00A560CF"/>
    <w:rsid w:val="00A601E0"/>
    <w:rsid w:val="00A601ED"/>
    <w:rsid w:val="00A60DE4"/>
    <w:rsid w:val="00A610C5"/>
    <w:rsid w:val="00A61B2A"/>
    <w:rsid w:val="00A6274B"/>
    <w:rsid w:val="00A62CAF"/>
    <w:rsid w:val="00A62CEB"/>
    <w:rsid w:val="00A636D4"/>
    <w:rsid w:val="00A638D7"/>
    <w:rsid w:val="00A6390B"/>
    <w:rsid w:val="00A65392"/>
    <w:rsid w:val="00A65597"/>
    <w:rsid w:val="00A65A5E"/>
    <w:rsid w:val="00A65DB0"/>
    <w:rsid w:val="00A65E87"/>
    <w:rsid w:val="00A66035"/>
    <w:rsid w:val="00A664FA"/>
    <w:rsid w:val="00A66C07"/>
    <w:rsid w:val="00A678B2"/>
    <w:rsid w:val="00A70266"/>
    <w:rsid w:val="00A709EE"/>
    <w:rsid w:val="00A70F1F"/>
    <w:rsid w:val="00A71B68"/>
    <w:rsid w:val="00A71C01"/>
    <w:rsid w:val="00A71EEA"/>
    <w:rsid w:val="00A72B21"/>
    <w:rsid w:val="00A73A7B"/>
    <w:rsid w:val="00A75FBB"/>
    <w:rsid w:val="00A760FF"/>
    <w:rsid w:val="00A767C8"/>
    <w:rsid w:val="00A76B07"/>
    <w:rsid w:val="00A76FF4"/>
    <w:rsid w:val="00A770AC"/>
    <w:rsid w:val="00A770F2"/>
    <w:rsid w:val="00A776F6"/>
    <w:rsid w:val="00A778D7"/>
    <w:rsid w:val="00A80852"/>
    <w:rsid w:val="00A80A7C"/>
    <w:rsid w:val="00A817D8"/>
    <w:rsid w:val="00A81C9D"/>
    <w:rsid w:val="00A8211D"/>
    <w:rsid w:val="00A82308"/>
    <w:rsid w:val="00A83E70"/>
    <w:rsid w:val="00A8422D"/>
    <w:rsid w:val="00A8433E"/>
    <w:rsid w:val="00A844E6"/>
    <w:rsid w:val="00A851B5"/>
    <w:rsid w:val="00A854BF"/>
    <w:rsid w:val="00A85583"/>
    <w:rsid w:val="00A85AE8"/>
    <w:rsid w:val="00A85FAE"/>
    <w:rsid w:val="00A86336"/>
    <w:rsid w:val="00A864C8"/>
    <w:rsid w:val="00A865ED"/>
    <w:rsid w:val="00A9001B"/>
    <w:rsid w:val="00A9045D"/>
    <w:rsid w:val="00A90C36"/>
    <w:rsid w:val="00A91CBB"/>
    <w:rsid w:val="00A92028"/>
    <w:rsid w:val="00A9290F"/>
    <w:rsid w:val="00A93471"/>
    <w:rsid w:val="00A944FA"/>
    <w:rsid w:val="00A958E7"/>
    <w:rsid w:val="00A95E4B"/>
    <w:rsid w:val="00A97864"/>
    <w:rsid w:val="00AA0AB6"/>
    <w:rsid w:val="00AA0FBC"/>
    <w:rsid w:val="00AA152C"/>
    <w:rsid w:val="00AA1E31"/>
    <w:rsid w:val="00AA2073"/>
    <w:rsid w:val="00AA25A2"/>
    <w:rsid w:val="00AA260E"/>
    <w:rsid w:val="00AA2653"/>
    <w:rsid w:val="00AA2D5A"/>
    <w:rsid w:val="00AA2F1B"/>
    <w:rsid w:val="00AA3300"/>
    <w:rsid w:val="00AA36D5"/>
    <w:rsid w:val="00AA3823"/>
    <w:rsid w:val="00AA3D71"/>
    <w:rsid w:val="00AA4616"/>
    <w:rsid w:val="00AA468F"/>
    <w:rsid w:val="00AA47CF"/>
    <w:rsid w:val="00AA4CF5"/>
    <w:rsid w:val="00AA5435"/>
    <w:rsid w:val="00AA62ED"/>
    <w:rsid w:val="00AA6331"/>
    <w:rsid w:val="00AA63D2"/>
    <w:rsid w:val="00AA67DE"/>
    <w:rsid w:val="00AA6F19"/>
    <w:rsid w:val="00AA7044"/>
    <w:rsid w:val="00AA72D6"/>
    <w:rsid w:val="00AA7490"/>
    <w:rsid w:val="00AA7883"/>
    <w:rsid w:val="00AB0413"/>
    <w:rsid w:val="00AB0B38"/>
    <w:rsid w:val="00AB0D9F"/>
    <w:rsid w:val="00AB1937"/>
    <w:rsid w:val="00AB2E97"/>
    <w:rsid w:val="00AB3014"/>
    <w:rsid w:val="00AB4216"/>
    <w:rsid w:val="00AB4450"/>
    <w:rsid w:val="00AB5648"/>
    <w:rsid w:val="00AB620D"/>
    <w:rsid w:val="00AB6855"/>
    <w:rsid w:val="00AB69B5"/>
    <w:rsid w:val="00AC05DC"/>
    <w:rsid w:val="00AC1135"/>
    <w:rsid w:val="00AC15A4"/>
    <w:rsid w:val="00AC1FE8"/>
    <w:rsid w:val="00AC236F"/>
    <w:rsid w:val="00AC2440"/>
    <w:rsid w:val="00AC26ED"/>
    <w:rsid w:val="00AC2759"/>
    <w:rsid w:val="00AC2A64"/>
    <w:rsid w:val="00AC2FB2"/>
    <w:rsid w:val="00AC31CA"/>
    <w:rsid w:val="00AC3DB2"/>
    <w:rsid w:val="00AC3E1E"/>
    <w:rsid w:val="00AC48E7"/>
    <w:rsid w:val="00AC52A1"/>
    <w:rsid w:val="00AC52A3"/>
    <w:rsid w:val="00AC5A17"/>
    <w:rsid w:val="00AC70F2"/>
    <w:rsid w:val="00AC7A69"/>
    <w:rsid w:val="00AD03B9"/>
    <w:rsid w:val="00AD04D8"/>
    <w:rsid w:val="00AD0512"/>
    <w:rsid w:val="00AD0BC7"/>
    <w:rsid w:val="00AD13CB"/>
    <w:rsid w:val="00AD16F9"/>
    <w:rsid w:val="00AD2C60"/>
    <w:rsid w:val="00AD2F73"/>
    <w:rsid w:val="00AD3869"/>
    <w:rsid w:val="00AD3A8D"/>
    <w:rsid w:val="00AD3D0E"/>
    <w:rsid w:val="00AD44C9"/>
    <w:rsid w:val="00AD50C9"/>
    <w:rsid w:val="00AD5329"/>
    <w:rsid w:val="00AD66A7"/>
    <w:rsid w:val="00AD6B2F"/>
    <w:rsid w:val="00AD6D99"/>
    <w:rsid w:val="00AD6F66"/>
    <w:rsid w:val="00AD721D"/>
    <w:rsid w:val="00AD799B"/>
    <w:rsid w:val="00AE042E"/>
    <w:rsid w:val="00AE0A16"/>
    <w:rsid w:val="00AE0EF5"/>
    <w:rsid w:val="00AE13A6"/>
    <w:rsid w:val="00AE1F13"/>
    <w:rsid w:val="00AE25C6"/>
    <w:rsid w:val="00AE26F3"/>
    <w:rsid w:val="00AE28AA"/>
    <w:rsid w:val="00AE2BB4"/>
    <w:rsid w:val="00AE3022"/>
    <w:rsid w:val="00AE42B1"/>
    <w:rsid w:val="00AE5638"/>
    <w:rsid w:val="00AE5EF4"/>
    <w:rsid w:val="00AE6D36"/>
    <w:rsid w:val="00AE71D4"/>
    <w:rsid w:val="00AF0405"/>
    <w:rsid w:val="00AF1517"/>
    <w:rsid w:val="00AF157A"/>
    <w:rsid w:val="00AF16EE"/>
    <w:rsid w:val="00AF1DB1"/>
    <w:rsid w:val="00AF20C2"/>
    <w:rsid w:val="00AF30E1"/>
    <w:rsid w:val="00AF3B86"/>
    <w:rsid w:val="00AF41DA"/>
    <w:rsid w:val="00AF4B40"/>
    <w:rsid w:val="00AF50D5"/>
    <w:rsid w:val="00AF54FC"/>
    <w:rsid w:val="00AF5B20"/>
    <w:rsid w:val="00AF5DA5"/>
    <w:rsid w:val="00AF5DD8"/>
    <w:rsid w:val="00AF625A"/>
    <w:rsid w:val="00AF6D0C"/>
    <w:rsid w:val="00AF7031"/>
    <w:rsid w:val="00AF73E7"/>
    <w:rsid w:val="00AF786A"/>
    <w:rsid w:val="00AF7B22"/>
    <w:rsid w:val="00AF7BD3"/>
    <w:rsid w:val="00AF7EEE"/>
    <w:rsid w:val="00AF7F85"/>
    <w:rsid w:val="00B0009C"/>
    <w:rsid w:val="00B0095B"/>
    <w:rsid w:val="00B00E80"/>
    <w:rsid w:val="00B010D4"/>
    <w:rsid w:val="00B01402"/>
    <w:rsid w:val="00B015D1"/>
    <w:rsid w:val="00B016E7"/>
    <w:rsid w:val="00B019F6"/>
    <w:rsid w:val="00B01F8C"/>
    <w:rsid w:val="00B02BFE"/>
    <w:rsid w:val="00B02EC7"/>
    <w:rsid w:val="00B03F8F"/>
    <w:rsid w:val="00B042C2"/>
    <w:rsid w:val="00B044DE"/>
    <w:rsid w:val="00B04E6C"/>
    <w:rsid w:val="00B0625F"/>
    <w:rsid w:val="00B067F5"/>
    <w:rsid w:val="00B07556"/>
    <w:rsid w:val="00B076BD"/>
    <w:rsid w:val="00B07BF8"/>
    <w:rsid w:val="00B1022D"/>
    <w:rsid w:val="00B10B56"/>
    <w:rsid w:val="00B111B6"/>
    <w:rsid w:val="00B11708"/>
    <w:rsid w:val="00B11AD7"/>
    <w:rsid w:val="00B11DB6"/>
    <w:rsid w:val="00B11FFC"/>
    <w:rsid w:val="00B1207F"/>
    <w:rsid w:val="00B122FA"/>
    <w:rsid w:val="00B12B5A"/>
    <w:rsid w:val="00B1301E"/>
    <w:rsid w:val="00B13405"/>
    <w:rsid w:val="00B136A8"/>
    <w:rsid w:val="00B1399D"/>
    <w:rsid w:val="00B14361"/>
    <w:rsid w:val="00B14E1D"/>
    <w:rsid w:val="00B14ED2"/>
    <w:rsid w:val="00B15C0B"/>
    <w:rsid w:val="00B1613B"/>
    <w:rsid w:val="00B16A4B"/>
    <w:rsid w:val="00B17CF7"/>
    <w:rsid w:val="00B20536"/>
    <w:rsid w:val="00B2094B"/>
    <w:rsid w:val="00B21453"/>
    <w:rsid w:val="00B21F72"/>
    <w:rsid w:val="00B226B8"/>
    <w:rsid w:val="00B226FA"/>
    <w:rsid w:val="00B228CF"/>
    <w:rsid w:val="00B22952"/>
    <w:rsid w:val="00B22CAF"/>
    <w:rsid w:val="00B22EBE"/>
    <w:rsid w:val="00B25657"/>
    <w:rsid w:val="00B2578A"/>
    <w:rsid w:val="00B25858"/>
    <w:rsid w:val="00B25FEF"/>
    <w:rsid w:val="00B25FF4"/>
    <w:rsid w:val="00B2645A"/>
    <w:rsid w:val="00B26860"/>
    <w:rsid w:val="00B26AAC"/>
    <w:rsid w:val="00B26BB0"/>
    <w:rsid w:val="00B2713F"/>
    <w:rsid w:val="00B279FA"/>
    <w:rsid w:val="00B30F63"/>
    <w:rsid w:val="00B311E0"/>
    <w:rsid w:val="00B3152E"/>
    <w:rsid w:val="00B31F38"/>
    <w:rsid w:val="00B321C1"/>
    <w:rsid w:val="00B32586"/>
    <w:rsid w:val="00B3339D"/>
    <w:rsid w:val="00B3397B"/>
    <w:rsid w:val="00B33B86"/>
    <w:rsid w:val="00B34411"/>
    <w:rsid w:val="00B34A76"/>
    <w:rsid w:val="00B379CB"/>
    <w:rsid w:val="00B4057A"/>
    <w:rsid w:val="00B408FC"/>
    <w:rsid w:val="00B422AC"/>
    <w:rsid w:val="00B42449"/>
    <w:rsid w:val="00B4273B"/>
    <w:rsid w:val="00B4303F"/>
    <w:rsid w:val="00B4322A"/>
    <w:rsid w:val="00B43572"/>
    <w:rsid w:val="00B435DF"/>
    <w:rsid w:val="00B43DB0"/>
    <w:rsid w:val="00B44223"/>
    <w:rsid w:val="00B44320"/>
    <w:rsid w:val="00B44DBB"/>
    <w:rsid w:val="00B45A20"/>
    <w:rsid w:val="00B45E40"/>
    <w:rsid w:val="00B46179"/>
    <w:rsid w:val="00B461F3"/>
    <w:rsid w:val="00B46262"/>
    <w:rsid w:val="00B4671F"/>
    <w:rsid w:val="00B46C8B"/>
    <w:rsid w:val="00B46F89"/>
    <w:rsid w:val="00B47824"/>
    <w:rsid w:val="00B4795C"/>
    <w:rsid w:val="00B47ABE"/>
    <w:rsid w:val="00B5069E"/>
    <w:rsid w:val="00B50B2A"/>
    <w:rsid w:val="00B51847"/>
    <w:rsid w:val="00B5225E"/>
    <w:rsid w:val="00B52EE9"/>
    <w:rsid w:val="00B53178"/>
    <w:rsid w:val="00B534CD"/>
    <w:rsid w:val="00B543F0"/>
    <w:rsid w:val="00B544DD"/>
    <w:rsid w:val="00B54D47"/>
    <w:rsid w:val="00B55928"/>
    <w:rsid w:val="00B5646E"/>
    <w:rsid w:val="00B577C1"/>
    <w:rsid w:val="00B6170F"/>
    <w:rsid w:val="00B62000"/>
    <w:rsid w:val="00B62695"/>
    <w:rsid w:val="00B62E44"/>
    <w:rsid w:val="00B637D9"/>
    <w:rsid w:val="00B63AC0"/>
    <w:rsid w:val="00B63E7A"/>
    <w:rsid w:val="00B644E8"/>
    <w:rsid w:val="00B649FC"/>
    <w:rsid w:val="00B65F9D"/>
    <w:rsid w:val="00B66FC1"/>
    <w:rsid w:val="00B673EF"/>
    <w:rsid w:val="00B678B1"/>
    <w:rsid w:val="00B67FBB"/>
    <w:rsid w:val="00B709F7"/>
    <w:rsid w:val="00B70A0A"/>
    <w:rsid w:val="00B70A14"/>
    <w:rsid w:val="00B71308"/>
    <w:rsid w:val="00B71892"/>
    <w:rsid w:val="00B72CC9"/>
    <w:rsid w:val="00B72D43"/>
    <w:rsid w:val="00B734E1"/>
    <w:rsid w:val="00B73B25"/>
    <w:rsid w:val="00B740A3"/>
    <w:rsid w:val="00B747F4"/>
    <w:rsid w:val="00B750F3"/>
    <w:rsid w:val="00B75AE5"/>
    <w:rsid w:val="00B75BA4"/>
    <w:rsid w:val="00B76700"/>
    <w:rsid w:val="00B76F0C"/>
    <w:rsid w:val="00B772F7"/>
    <w:rsid w:val="00B775EC"/>
    <w:rsid w:val="00B80014"/>
    <w:rsid w:val="00B80705"/>
    <w:rsid w:val="00B8149C"/>
    <w:rsid w:val="00B821B2"/>
    <w:rsid w:val="00B82380"/>
    <w:rsid w:val="00B8244A"/>
    <w:rsid w:val="00B84003"/>
    <w:rsid w:val="00B858AF"/>
    <w:rsid w:val="00B8631F"/>
    <w:rsid w:val="00B8646D"/>
    <w:rsid w:val="00B86556"/>
    <w:rsid w:val="00B8686A"/>
    <w:rsid w:val="00B86CAA"/>
    <w:rsid w:val="00B876EB"/>
    <w:rsid w:val="00B908B1"/>
    <w:rsid w:val="00B91D78"/>
    <w:rsid w:val="00B923B5"/>
    <w:rsid w:val="00B92620"/>
    <w:rsid w:val="00B92A1A"/>
    <w:rsid w:val="00B92CDC"/>
    <w:rsid w:val="00B933FE"/>
    <w:rsid w:val="00B93ADB"/>
    <w:rsid w:val="00B95212"/>
    <w:rsid w:val="00B95EBD"/>
    <w:rsid w:val="00B95F95"/>
    <w:rsid w:val="00B95FF8"/>
    <w:rsid w:val="00B962D0"/>
    <w:rsid w:val="00B963D7"/>
    <w:rsid w:val="00B96496"/>
    <w:rsid w:val="00B9723E"/>
    <w:rsid w:val="00B97ADB"/>
    <w:rsid w:val="00B97B75"/>
    <w:rsid w:val="00BA0657"/>
    <w:rsid w:val="00BA0A9E"/>
    <w:rsid w:val="00BA0CE3"/>
    <w:rsid w:val="00BA161F"/>
    <w:rsid w:val="00BA17AB"/>
    <w:rsid w:val="00BA1CD2"/>
    <w:rsid w:val="00BA2DA3"/>
    <w:rsid w:val="00BA3295"/>
    <w:rsid w:val="00BA32BB"/>
    <w:rsid w:val="00BA3330"/>
    <w:rsid w:val="00BA3C13"/>
    <w:rsid w:val="00BA3D2F"/>
    <w:rsid w:val="00BA3F4E"/>
    <w:rsid w:val="00BA433C"/>
    <w:rsid w:val="00BA4ACF"/>
    <w:rsid w:val="00BA4C01"/>
    <w:rsid w:val="00BA51DB"/>
    <w:rsid w:val="00BA6761"/>
    <w:rsid w:val="00BA688F"/>
    <w:rsid w:val="00BA6E1A"/>
    <w:rsid w:val="00BA7605"/>
    <w:rsid w:val="00BA7B6B"/>
    <w:rsid w:val="00BA7E10"/>
    <w:rsid w:val="00BB08B1"/>
    <w:rsid w:val="00BB1CF3"/>
    <w:rsid w:val="00BB1EE6"/>
    <w:rsid w:val="00BB2103"/>
    <w:rsid w:val="00BB229A"/>
    <w:rsid w:val="00BB280F"/>
    <w:rsid w:val="00BB2C66"/>
    <w:rsid w:val="00BB2E70"/>
    <w:rsid w:val="00BB3506"/>
    <w:rsid w:val="00BB373C"/>
    <w:rsid w:val="00BB38FF"/>
    <w:rsid w:val="00BB3AD9"/>
    <w:rsid w:val="00BB3B21"/>
    <w:rsid w:val="00BB3B6D"/>
    <w:rsid w:val="00BB3DD4"/>
    <w:rsid w:val="00BB4368"/>
    <w:rsid w:val="00BB4685"/>
    <w:rsid w:val="00BB4B89"/>
    <w:rsid w:val="00BB4BE8"/>
    <w:rsid w:val="00BB4DB4"/>
    <w:rsid w:val="00BB5549"/>
    <w:rsid w:val="00BB5DF7"/>
    <w:rsid w:val="00BB6175"/>
    <w:rsid w:val="00BB6B24"/>
    <w:rsid w:val="00BB6B50"/>
    <w:rsid w:val="00BB6FC8"/>
    <w:rsid w:val="00BB71E0"/>
    <w:rsid w:val="00BB7B0E"/>
    <w:rsid w:val="00BC0041"/>
    <w:rsid w:val="00BC05F9"/>
    <w:rsid w:val="00BC146A"/>
    <w:rsid w:val="00BC15CF"/>
    <w:rsid w:val="00BC18EE"/>
    <w:rsid w:val="00BC1EBA"/>
    <w:rsid w:val="00BC2BD4"/>
    <w:rsid w:val="00BC2F36"/>
    <w:rsid w:val="00BC33F6"/>
    <w:rsid w:val="00BC36C8"/>
    <w:rsid w:val="00BC37C9"/>
    <w:rsid w:val="00BC4744"/>
    <w:rsid w:val="00BC4C6B"/>
    <w:rsid w:val="00BC4E24"/>
    <w:rsid w:val="00BC5995"/>
    <w:rsid w:val="00BC6C92"/>
    <w:rsid w:val="00BC7153"/>
    <w:rsid w:val="00BC7AAF"/>
    <w:rsid w:val="00BD047E"/>
    <w:rsid w:val="00BD061B"/>
    <w:rsid w:val="00BD0F61"/>
    <w:rsid w:val="00BD133B"/>
    <w:rsid w:val="00BD1CBB"/>
    <w:rsid w:val="00BD1D69"/>
    <w:rsid w:val="00BD1FEB"/>
    <w:rsid w:val="00BD221B"/>
    <w:rsid w:val="00BD2720"/>
    <w:rsid w:val="00BD2CD8"/>
    <w:rsid w:val="00BD2D00"/>
    <w:rsid w:val="00BD2D33"/>
    <w:rsid w:val="00BD36DB"/>
    <w:rsid w:val="00BD3804"/>
    <w:rsid w:val="00BD3A28"/>
    <w:rsid w:val="00BD3D06"/>
    <w:rsid w:val="00BD3F68"/>
    <w:rsid w:val="00BD42AF"/>
    <w:rsid w:val="00BD4542"/>
    <w:rsid w:val="00BD4CCA"/>
    <w:rsid w:val="00BD4FC2"/>
    <w:rsid w:val="00BD557D"/>
    <w:rsid w:val="00BD59BF"/>
    <w:rsid w:val="00BD5CE2"/>
    <w:rsid w:val="00BD615D"/>
    <w:rsid w:val="00BD6593"/>
    <w:rsid w:val="00BD66EC"/>
    <w:rsid w:val="00BD6ADC"/>
    <w:rsid w:val="00BD7538"/>
    <w:rsid w:val="00BD7B13"/>
    <w:rsid w:val="00BD7E98"/>
    <w:rsid w:val="00BE0099"/>
    <w:rsid w:val="00BE0227"/>
    <w:rsid w:val="00BE0AF4"/>
    <w:rsid w:val="00BE288A"/>
    <w:rsid w:val="00BE2D44"/>
    <w:rsid w:val="00BE3073"/>
    <w:rsid w:val="00BE3141"/>
    <w:rsid w:val="00BE346F"/>
    <w:rsid w:val="00BE36D3"/>
    <w:rsid w:val="00BE3A6B"/>
    <w:rsid w:val="00BE3F8B"/>
    <w:rsid w:val="00BE4281"/>
    <w:rsid w:val="00BE5AF8"/>
    <w:rsid w:val="00BE5DFF"/>
    <w:rsid w:val="00BE6CBC"/>
    <w:rsid w:val="00BF029F"/>
    <w:rsid w:val="00BF031C"/>
    <w:rsid w:val="00BF0D52"/>
    <w:rsid w:val="00BF156B"/>
    <w:rsid w:val="00BF227C"/>
    <w:rsid w:val="00BF2350"/>
    <w:rsid w:val="00BF27E1"/>
    <w:rsid w:val="00BF2B47"/>
    <w:rsid w:val="00BF3BA3"/>
    <w:rsid w:val="00BF42CA"/>
    <w:rsid w:val="00BF4E03"/>
    <w:rsid w:val="00BF50C0"/>
    <w:rsid w:val="00BF5DB3"/>
    <w:rsid w:val="00BF5E77"/>
    <w:rsid w:val="00BF667C"/>
    <w:rsid w:val="00BF78D5"/>
    <w:rsid w:val="00C0061B"/>
    <w:rsid w:val="00C00C6A"/>
    <w:rsid w:val="00C011CA"/>
    <w:rsid w:val="00C01A76"/>
    <w:rsid w:val="00C024AA"/>
    <w:rsid w:val="00C02A2C"/>
    <w:rsid w:val="00C03BC5"/>
    <w:rsid w:val="00C03DF6"/>
    <w:rsid w:val="00C040A5"/>
    <w:rsid w:val="00C04111"/>
    <w:rsid w:val="00C04342"/>
    <w:rsid w:val="00C04366"/>
    <w:rsid w:val="00C04476"/>
    <w:rsid w:val="00C045C0"/>
    <w:rsid w:val="00C05032"/>
    <w:rsid w:val="00C0515E"/>
    <w:rsid w:val="00C0572A"/>
    <w:rsid w:val="00C05740"/>
    <w:rsid w:val="00C059EE"/>
    <w:rsid w:val="00C05ED7"/>
    <w:rsid w:val="00C0617A"/>
    <w:rsid w:val="00C06D5A"/>
    <w:rsid w:val="00C06F4D"/>
    <w:rsid w:val="00C07280"/>
    <w:rsid w:val="00C0789D"/>
    <w:rsid w:val="00C07BA7"/>
    <w:rsid w:val="00C1054F"/>
    <w:rsid w:val="00C10977"/>
    <w:rsid w:val="00C12018"/>
    <w:rsid w:val="00C15004"/>
    <w:rsid w:val="00C159C3"/>
    <w:rsid w:val="00C15AA6"/>
    <w:rsid w:val="00C15CF2"/>
    <w:rsid w:val="00C15D7A"/>
    <w:rsid w:val="00C15E2D"/>
    <w:rsid w:val="00C1636B"/>
    <w:rsid w:val="00C1685F"/>
    <w:rsid w:val="00C174D3"/>
    <w:rsid w:val="00C17C0F"/>
    <w:rsid w:val="00C20E42"/>
    <w:rsid w:val="00C20FD8"/>
    <w:rsid w:val="00C21489"/>
    <w:rsid w:val="00C223B7"/>
    <w:rsid w:val="00C22635"/>
    <w:rsid w:val="00C2264E"/>
    <w:rsid w:val="00C22D04"/>
    <w:rsid w:val="00C2322B"/>
    <w:rsid w:val="00C23F62"/>
    <w:rsid w:val="00C24BA6"/>
    <w:rsid w:val="00C2514C"/>
    <w:rsid w:val="00C25B28"/>
    <w:rsid w:val="00C262A2"/>
    <w:rsid w:val="00C27148"/>
    <w:rsid w:val="00C27F59"/>
    <w:rsid w:val="00C302AC"/>
    <w:rsid w:val="00C309F6"/>
    <w:rsid w:val="00C326D0"/>
    <w:rsid w:val="00C33604"/>
    <w:rsid w:val="00C33B3A"/>
    <w:rsid w:val="00C3434D"/>
    <w:rsid w:val="00C3460A"/>
    <w:rsid w:val="00C347CA"/>
    <w:rsid w:val="00C34A16"/>
    <w:rsid w:val="00C35248"/>
    <w:rsid w:val="00C36109"/>
    <w:rsid w:val="00C361A3"/>
    <w:rsid w:val="00C3635D"/>
    <w:rsid w:val="00C3666B"/>
    <w:rsid w:val="00C37873"/>
    <w:rsid w:val="00C379E8"/>
    <w:rsid w:val="00C37DE4"/>
    <w:rsid w:val="00C37E0F"/>
    <w:rsid w:val="00C40A28"/>
    <w:rsid w:val="00C40D16"/>
    <w:rsid w:val="00C40D26"/>
    <w:rsid w:val="00C4250C"/>
    <w:rsid w:val="00C42FC0"/>
    <w:rsid w:val="00C43B9E"/>
    <w:rsid w:val="00C44027"/>
    <w:rsid w:val="00C445E7"/>
    <w:rsid w:val="00C4486A"/>
    <w:rsid w:val="00C44C8F"/>
    <w:rsid w:val="00C44ECF"/>
    <w:rsid w:val="00C455AD"/>
    <w:rsid w:val="00C45FBE"/>
    <w:rsid w:val="00C46546"/>
    <w:rsid w:val="00C4674C"/>
    <w:rsid w:val="00C467C8"/>
    <w:rsid w:val="00C4695B"/>
    <w:rsid w:val="00C472A8"/>
    <w:rsid w:val="00C472D1"/>
    <w:rsid w:val="00C47455"/>
    <w:rsid w:val="00C47725"/>
    <w:rsid w:val="00C47C39"/>
    <w:rsid w:val="00C47F22"/>
    <w:rsid w:val="00C51326"/>
    <w:rsid w:val="00C51871"/>
    <w:rsid w:val="00C51C10"/>
    <w:rsid w:val="00C51FEA"/>
    <w:rsid w:val="00C52130"/>
    <w:rsid w:val="00C5216E"/>
    <w:rsid w:val="00C526E5"/>
    <w:rsid w:val="00C52748"/>
    <w:rsid w:val="00C52E49"/>
    <w:rsid w:val="00C5452E"/>
    <w:rsid w:val="00C54EC4"/>
    <w:rsid w:val="00C5528F"/>
    <w:rsid w:val="00C55DD1"/>
    <w:rsid w:val="00C562D2"/>
    <w:rsid w:val="00C56325"/>
    <w:rsid w:val="00C57FC6"/>
    <w:rsid w:val="00C61298"/>
    <w:rsid w:val="00C61AD4"/>
    <w:rsid w:val="00C61EC8"/>
    <w:rsid w:val="00C62508"/>
    <w:rsid w:val="00C62DA8"/>
    <w:rsid w:val="00C62E9A"/>
    <w:rsid w:val="00C630D0"/>
    <w:rsid w:val="00C63443"/>
    <w:rsid w:val="00C6360B"/>
    <w:rsid w:val="00C637D8"/>
    <w:rsid w:val="00C64240"/>
    <w:rsid w:val="00C6437C"/>
    <w:rsid w:val="00C65652"/>
    <w:rsid w:val="00C658E8"/>
    <w:rsid w:val="00C65913"/>
    <w:rsid w:val="00C661AC"/>
    <w:rsid w:val="00C66763"/>
    <w:rsid w:val="00C66822"/>
    <w:rsid w:val="00C67017"/>
    <w:rsid w:val="00C705AD"/>
    <w:rsid w:val="00C70CAD"/>
    <w:rsid w:val="00C70E2A"/>
    <w:rsid w:val="00C71281"/>
    <w:rsid w:val="00C714C2"/>
    <w:rsid w:val="00C71782"/>
    <w:rsid w:val="00C7329C"/>
    <w:rsid w:val="00C7357C"/>
    <w:rsid w:val="00C735B4"/>
    <w:rsid w:val="00C7422E"/>
    <w:rsid w:val="00C742A9"/>
    <w:rsid w:val="00C75F7D"/>
    <w:rsid w:val="00C7653A"/>
    <w:rsid w:val="00C76615"/>
    <w:rsid w:val="00C76E8D"/>
    <w:rsid w:val="00C77124"/>
    <w:rsid w:val="00C772AE"/>
    <w:rsid w:val="00C77584"/>
    <w:rsid w:val="00C80165"/>
    <w:rsid w:val="00C801E5"/>
    <w:rsid w:val="00C818E1"/>
    <w:rsid w:val="00C82A4B"/>
    <w:rsid w:val="00C82F2E"/>
    <w:rsid w:val="00C8329C"/>
    <w:rsid w:val="00C8335B"/>
    <w:rsid w:val="00C836B1"/>
    <w:rsid w:val="00C84056"/>
    <w:rsid w:val="00C84BA7"/>
    <w:rsid w:val="00C85181"/>
    <w:rsid w:val="00C869FA"/>
    <w:rsid w:val="00C86A43"/>
    <w:rsid w:val="00C8741C"/>
    <w:rsid w:val="00C87453"/>
    <w:rsid w:val="00C876CC"/>
    <w:rsid w:val="00C91449"/>
    <w:rsid w:val="00C91C0D"/>
    <w:rsid w:val="00C9221A"/>
    <w:rsid w:val="00C9314B"/>
    <w:rsid w:val="00C9359C"/>
    <w:rsid w:val="00C935EA"/>
    <w:rsid w:val="00C936D4"/>
    <w:rsid w:val="00C93B00"/>
    <w:rsid w:val="00C93D32"/>
    <w:rsid w:val="00C9417F"/>
    <w:rsid w:val="00C941FF"/>
    <w:rsid w:val="00C942B2"/>
    <w:rsid w:val="00C94C2B"/>
    <w:rsid w:val="00C95107"/>
    <w:rsid w:val="00C9518A"/>
    <w:rsid w:val="00C95439"/>
    <w:rsid w:val="00C95ACC"/>
    <w:rsid w:val="00C95E23"/>
    <w:rsid w:val="00C96802"/>
    <w:rsid w:val="00C96CEA"/>
    <w:rsid w:val="00C97119"/>
    <w:rsid w:val="00C97762"/>
    <w:rsid w:val="00CA076B"/>
    <w:rsid w:val="00CA15ED"/>
    <w:rsid w:val="00CA1B4E"/>
    <w:rsid w:val="00CA1DEC"/>
    <w:rsid w:val="00CA229F"/>
    <w:rsid w:val="00CA2984"/>
    <w:rsid w:val="00CA2D98"/>
    <w:rsid w:val="00CA3679"/>
    <w:rsid w:val="00CA381F"/>
    <w:rsid w:val="00CA3A39"/>
    <w:rsid w:val="00CA3E92"/>
    <w:rsid w:val="00CA493D"/>
    <w:rsid w:val="00CA4CDC"/>
    <w:rsid w:val="00CA58C4"/>
    <w:rsid w:val="00CA5C6F"/>
    <w:rsid w:val="00CA6570"/>
    <w:rsid w:val="00CA6920"/>
    <w:rsid w:val="00CA71C4"/>
    <w:rsid w:val="00CA7523"/>
    <w:rsid w:val="00CA7BD4"/>
    <w:rsid w:val="00CB0270"/>
    <w:rsid w:val="00CB0924"/>
    <w:rsid w:val="00CB0E3A"/>
    <w:rsid w:val="00CB1462"/>
    <w:rsid w:val="00CB1685"/>
    <w:rsid w:val="00CB18C4"/>
    <w:rsid w:val="00CB1F59"/>
    <w:rsid w:val="00CB2098"/>
    <w:rsid w:val="00CB2560"/>
    <w:rsid w:val="00CB2F9A"/>
    <w:rsid w:val="00CB3B3F"/>
    <w:rsid w:val="00CB4B70"/>
    <w:rsid w:val="00CB4EBB"/>
    <w:rsid w:val="00CB5494"/>
    <w:rsid w:val="00CB5C05"/>
    <w:rsid w:val="00CB6D56"/>
    <w:rsid w:val="00CB7295"/>
    <w:rsid w:val="00CB7C33"/>
    <w:rsid w:val="00CB7DCA"/>
    <w:rsid w:val="00CC0A90"/>
    <w:rsid w:val="00CC13D2"/>
    <w:rsid w:val="00CC1B59"/>
    <w:rsid w:val="00CC1BD9"/>
    <w:rsid w:val="00CC2401"/>
    <w:rsid w:val="00CC259A"/>
    <w:rsid w:val="00CC2895"/>
    <w:rsid w:val="00CC2EFF"/>
    <w:rsid w:val="00CC3001"/>
    <w:rsid w:val="00CC37FC"/>
    <w:rsid w:val="00CC3F4B"/>
    <w:rsid w:val="00CC4376"/>
    <w:rsid w:val="00CC4D38"/>
    <w:rsid w:val="00CC5364"/>
    <w:rsid w:val="00CC55D3"/>
    <w:rsid w:val="00CC6361"/>
    <w:rsid w:val="00CC6873"/>
    <w:rsid w:val="00CC6A95"/>
    <w:rsid w:val="00CD0836"/>
    <w:rsid w:val="00CD0A1C"/>
    <w:rsid w:val="00CD1318"/>
    <w:rsid w:val="00CD1B16"/>
    <w:rsid w:val="00CD2032"/>
    <w:rsid w:val="00CD2182"/>
    <w:rsid w:val="00CD2480"/>
    <w:rsid w:val="00CD2698"/>
    <w:rsid w:val="00CD2771"/>
    <w:rsid w:val="00CD2C8F"/>
    <w:rsid w:val="00CD2D30"/>
    <w:rsid w:val="00CD459B"/>
    <w:rsid w:val="00CD462B"/>
    <w:rsid w:val="00CD4993"/>
    <w:rsid w:val="00CD5136"/>
    <w:rsid w:val="00CD6611"/>
    <w:rsid w:val="00CD6666"/>
    <w:rsid w:val="00CD6D93"/>
    <w:rsid w:val="00CD6EFC"/>
    <w:rsid w:val="00CD727B"/>
    <w:rsid w:val="00CE087C"/>
    <w:rsid w:val="00CE0955"/>
    <w:rsid w:val="00CE0F99"/>
    <w:rsid w:val="00CE0FC2"/>
    <w:rsid w:val="00CE101E"/>
    <w:rsid w:val="00CE1056"/>
    <w:rsid w:val="00CE1251"/>
    <w:rsid w:val="00CE1533"/>
    <w:rsid w:val="00CE1F19"/>
    <w:rsid w:val="00CE321B"/>
    <w:rsid w:val="00CE321D"/>
    <w:rsid w:val="00CE361F"/>
    <w:rsid w:val="00CE44F1"/>
    <w:rsid w:val="00CE4771"/>
    <w:rsid w:val="00CE5853"/>
    <w:rsid w:val="00CE59FF"/>
    <w:rsid w:val="00CE5E48"/>
    <w:rsid w:val="00CE6D89"/>
    <w:rsid w:val="00CF0030"/>
    <w:rsid w:val="00CF065B"/>
    <w:rsid w:val="00CF08DE"/>
    <w:rsid w:val="00CF0EF0"/>
    <w:rsid w:val="00CF1763"/>
    <w:rsid w:val="00CF3B50"/>
    <w:rsid w:val="00CF3D1A"/>
    <w:rsid w:val="00CF43F4"/>
    <w:rsid w:val="00CF4412"/>
    <w:rsid w:val="00CF4A3E"/>
    <w:rsid w:val="00CF4E2B"/>
    <w:rsid w:val="00CF5166"/>
    <w:rsid w:val="00CF54DC"/>
    <w:rsid w:val="00CF59CF"/>
    <w:rsid w:val="00CF5E56"/>
    <w:rsid w:val="00CF65EC"/>
    <w:rsid w:val="00CF690C"/>
    <w:rsid w:val="00CF770E"/>
    <w:rsid w:val="00CF7F40"/>
    <w:rsid w:val="00CF7F99"/>
    <w:rsid w:val="00D0005A"/>
    <w:rsid w:val="00D01029"/>
    <w:rsid w:val="00D01456"/>
    <w:rsid w:val="00D022ED"/>
    <w:rsid w:val="00D023B1"/>
    <w:rsid w:val="00D025CC"/>
    <w:rsid w:val="00D02659"/>
    <w:rsid w:val="00D02C39"/>
    <w:rsid w:val="00D02C42"/>
    <w:rsid w:val="00D02E00"/>
    <w:rsid w:val="00D0345F"/>
    <w:rsid w:val="00D03575"/>
    <w:rsid w:val="00D03688"/>
    <w:rsid w:val="00D03D6C"/>
    <w:rsid w:val="00D04B64"/>
    <w:rsid w:val="00D05257"/>
    <w:rsid w:val="00D053E3"/>
    <w:rsid w:val="00D0577E"/>
    <w:rsid w:val="00D05A9D"/>
    <w:rsid w:val="00D05AC6"/>
    <w:rsid w:val="00D06355"/>
    <w:rsid w:val="00D06CBC"/>
    <w:rsid w:val="00D0727B"/>
    <w:rsid w:val="00D073E6"/>
    <w:rsid w:val="00D1054C"/>
    <w:rsid w:val="00D1060D"/>
    <w:rsid w:val="00D1087A"/>
    <w:rsid w:val="00D11333"/>
    <w:rsid w:val="00D1155C"/>
    <w:rsid w:val="00D12A92"/>
    <w:rsid w:val="00D12AA5"/>
    <w:rsid w:val="00D12E84"/>
    <w:rsid w:val="00D132C3"/>
    <w:rsid w:val="00D132D2"/>
    <w:rsid w:val="00D1339B"/>
    <w:rsid w:val="00D146F3"/>
    <w:rsid w:val="00D14762"/>
    <w:rsid w:val="00D15061"/>
    <w:rsid w:val="00D15359"/>
    <w:rsid w:val="00D15A4E"/>
    <w:rsid w:val="00D15E74"/>
    <w:rsid w:val="00D1613E"/>
    <w:rsid w:val="00D177BB"/>
    <w:rsid w:val="00D17A18"/>
    <w:rsid w:val="00D20A01"/>
    <w:rsid w:val="00D20C81"/>
    <w:rsid w:val="00D216DD"/>
    <w:rsid w:val="00D2211B"/>
    <w:rsid w:val="00D22F3F"/>
    <w:rsid w:val="00D23013"/>
    <w:rsid w:val="00D244E6"/>
    <w:rsid w:val="00D248E4"/>
    <w:rsid w:val="00D2497E"/>
    <w:rsid w:val="00D24C61"/>
    <w:rsid w:val="00D24CF6"/>
    <w:rsid w:val="00D255B8"/>
    <w:rsid w:val="00D25846"/>
    <w:rsid w:val="00D25F47"/>
    <w:rsid w:val="00D260BD"/>
    <w:rsid w:val="00D26897"/>
    <w:rsid w:val="00D26FF0"/>
    <w:rsid w:val="00D27F5B"/>
    <w:rsid w:val="00D30264"/>
    <w:rsid w:val="00D30536"/>
    <w:rsid w:val="00D31C57"/>
    <w:rsid w:val="00D31E5E"/>
    <w:rsid w:val="00D31E74"/>
    <w:rsid w:val="00D31FD4"/>
    <w:rsid w:val="00D325E5"/>
    <w:rsid w:val="00D33789"/>
    <w:rsid w:val="00D337F6"/>
    <w:rsid w:val="00D33916"/>
    <w:rsid w:val="00D33A23"/>
    <w:rsid w:val="00D33A7B"/>
    <w:rsid w:val="00D34056"/>
    <w:rsid w:val="00D3440E"/>
    <w:rsid w:val="00D349C3"/>
    <w:rsid w:val="00D356D8"/>
    <w:rsid w:val="00D35CEA"/>
    <w:rsid w:val="00D35D02"/>
    <w:rsid w:val="00D36873"/>
    <w:rsid w:val="00D36ADA"/>
    <w:rsid w:val="00D374CA"/>
    <w:rsid w:val="00D402AD"/>
    <w:rsid w:val="00D407F3"/>
    <w:rsid w:val="00D408B8"/>
    <w:rsid w:val="00D41609"/>
    <w:rsid w:val="00D41781"/>
    <w:rsid w:val="00D417B4"/>
    <w:rsid w:val="00D41DA1"/>
    <w:rsid w:val="00D425E0"/>
    <w:rsid w:val="00D430DE"/>
    <w:rsid w:val="00D43547"/>
    <w:rsid w:val="00D44163"/>
    <w:rsid w:val="00D443C4"/>
    <w:rsid w:val="00D44649"/>
    <w:rsid w:val="00D44661"/>
    <w:rsid w:val="00D4471F"/>
    <w:rsid w:val="00D4622E"/>
    <w:rsid w:val="00D46DB4"/>
    <w:rsid w:val="00D46E21"/>
    <w:rsid w:val="00D477DE"/>
    <w:rsid w:val="00D506DF"/>
    <w:rsid w:val="00D508DB"/>
    <w:rsid w:val="00D50DFA"/>
    <w:rsid w:val="00D5160F"/>
    <w:rsid w:val="00D51A2D"/>
    <w:rsid w:val="00D51D1C"/>
    <w:rsid w:val="00D51E1B"/>
    <w:rsid w:val="00D5224A"/>
    <w:rsid w:val="00D52479"/>
    <w:rsid w:val="00D524E6"/>
    <w:rsid w:val="00D5263B"/>
    <w:rsid w:val="00D529F2"/>
    <w:rsid w:val="00D52C3E"/>
    <w:rsid w:val="00D52CC7"/>
    <w:rsid w:val="00D52D40"/>
    <w:rsid w:val="00D53CF4"/>
    <w:rsid w:val="00D546C6"/>
    <w:rsid w:val="00D54BDE"/>
    <w:rsid w:val="00D552CE"/>
    <w:rsid w:val="00D558C8"/>
    <w:rsid w:val="00D55FB0"/>
    <w:rsid w:val="00D569F5"/>
    <w:rsid w:val="00D56A75"/>
    <w:rsid w:val="00D56BA7"/>
    <w:rsid w:val="00D571DB"/>
    <w:rsid w:val="00D57B19"/>
    <w:rsid w:val="00D57D47"/>
    <w:rsid w:val="00D60B19"/>
    <w:rsid w:val="00D60F64"/>
    <w:rsid w:val="00D6133D"/>
    <w:rsid w:val="00D61501"/>
    <w:rsid w:val="00D61C53"/>
    <w:rsid w:val="00D629CE"/>
    <w:rsid w:val="00D630CF"/>
    <w:rsid w:val="00D63642"/>
    <w:rsid w:val="00D63D52"/>
    <w:rsid w:val="00D63DFD"/>
    <w:rsid w:val="00D652D8"/>
    <w:rsid w:val="00D65518"/>
    <w:rsid w:val="00D664B1"/>
    <w:rsid w:val="00D6720F"/>
    <w:rsid w:val="00D676F4"/>
    <w:rsid w:val="00D709B3"/>
    <w:rsid w:val="00D71300"/>
    <w:rsid w:val="00D715BE"/>
    <w:rsid w:val="00D71B4D"/>
    <w:rsid w:val="00D72508"/>
    <w:rsid w:val="00D72511"/>
    <w:rsid w:val="00D72AC4"/>
    <w:rsid w:val="00D72FD8"/>
    <w:rsid w:val="00D737C3"/>
    <w:rsid w:val="00D73896"/>
    <w:rsid w:val="00D74424"/>
    <w:rsid w:val="00D75440"/>
    <w:rsid w:val="00D75BA1"/>
    <w:rsid w:val="00D76DEF"/>
    <w:rsid w:val="00D77186"/>
    <w:rsid w:val="00D77211"/>
    <w:rsid w:val="00D77D94"/>
    <w:rsid w:val="00D80157"/>
    <w:rsid w:val="00D81144"/>
    <w:rsid w:val="00D81510"/>
    <w:rsid w:val="00D815EE"/>
    <w:rsid w:val="00D8202A"/>
    <w:rsid w:val="00D8217C"/>
    <w:rsid w:val="00D821FD"/>
    <w:rsid w:val="00D82217"/>
    <w:rsid w:val="00D82AF6"/>
    <w:rsid w:val="00D83260"/>
    <w:rsid w:val="00D83FFC"/>
    <w:rsid w:val="00D84054"/>
    <w:rsid w:val="00D84206"/>
    <w:rsid w:val="00D84DA6"/>
    <w:rsid w:val="00D86A64"/>
    <w:rsid w:val="00D86B4C"/>
    <w:rsid w:val="00D874D3"/>
    <w:rsid w:val="00D875B3"/>
    <w:rsid w:val="00D876A8"/>
    <w:rsid w:val="00D9004C"/>
    <w:rsid w:val="00D90372"/>
    <w:rsid w:val="00D9153A"/>
    <w:rsid w:val="00D92992"/>
    <w:rsid w:val="00D92A2D"/>
    <w:rsid w:val="00D93641"/>
    <w:rsid w:val="00D939F5"/>
    <w:rsid w:val="00D93BF5"/>
    <w:rsid w:val="00D94C7A"/>
    <w:rsid w:val="00D95328"/>
    <w:rsid w:val="00D95792"/>
    <w:rsid w:val="00D95FE6"/>
    <w:rsid w:val="00D97295"/>
    <w:rsid w:val="00D9773E"/>
    <w:rsid w:val="00D97F77"/>
    <w:rsid w:val="00DA0390"/>
    <w:rsid w:val="00DA0457"/>
    <w:rsid w:val="00DA0635"/>
    <w:rsid w:val="00DA0797"/>
    <w:rsid w:val="00DA0E24"/>
    <w:rsid w:val="00DA12BA"/>
    <w:rsid w:val="00DA1884"/>
    <w:rsid w:val="00DA448E"/>
    <w:rsid w:val="00DA4BA6"/>
    <w:rsid w:val="00DA4F7A"/>
    <w:rsid w:val="00DA5C32"/>
    <w:rsid w:val="00DA6429"/>
    <w:rsid w:val="00DA78EC"/>
    <w:rsid w:val="00DA7A12"/>
    <w:rsid w:val="00DA7B44"/>
    <w:rsid w:val="00DB0BA9"/>
    <w:rsid w:val="00DB22D0"/>
    <w:rsid w:val="00DB2954"/>
    <w:rsid w:val="00DB3B07"/>
    <w:rsid w:val="00DB5249"/>
    <w:rsid w:val="00DB6C8D"/>
    <w:rsid w:val="00DB6F9B"/>
    <w:rsid w:val="00DB7960"/>
    <w:rsid w:val="00DB79DC"/>
    <w:rsid w:val="00DB7C4B"/>
    <w:rsid w:val="00DC0823"/>
    <w:rsid w:val="00DC1322"/>
    <w:rsid w:val="00DC16F4"/>
    <w:rsid w:val="00DC2250"/>
    <w:rsid w:val="00DC2BFE"/>
    <w:rsid w:val="00DC2E2A"/>
    <w:rsid w:val="00DC2FFD"/>
    <w:rsid w:val="00DC4919"/>
    <w:rsid w:val="00DC49F4"/>
    <w:rsid w:val="00DC4AC0"/>
    <w:rsid w:val="00DC5329"/>
    <w:rsid w:val="00DC7993"/>
    <w:rsid w:val="00DD026D"/>
    <w:rsid w:val="00DD0914"/>
    <w:rsid w:val="00DD11D4"/>
    <w:rsid w:val="00DD150F"/>
    <w:rsid w:val="00DD1B46"/>
    <w:rsid w:val="00DD2DEE"/>
    <w:rsid w:val="00DD32F3"/>
    <w:rsid w:val="00DD5A64"/>
    <w:rsid w:val="00DD5EB5"/>
    <w:rsid w:val="00DD60E4"/>
    <w:rsid w:val="00DD6782"/>
    <w:rsid w:val="00DD69A1"/>
    <w:rsid w:val="00DD6D1F"/>
    <w:rsid w:val="00DD73DB"/>
    <w:rsid w:val="00DD7FC7"/>
    <w:rsid w:val="00DE05AF"/>
    <w:rsid w:val="00DE0F5E"/>
    <w:rsid w:val="00DE2425"/>
    <w:rsid w:val="00DE2F71"/>
    <w:rsid w:val="00DE4FE7"/>
    <w:rsid w:val="00DE5262"/>
    <w:rsid w:val="00DE5604"/>
    <w:rsid w:val="00DE5A2C"/>
    <w:rsid w:val="00DE5EAB"/>
    <w:rsid w:val="00DE617A"/>
    <w:rsid w:val="00DE66D1"/>
    <w:rsid w:val="00DE6FDD"/>
    <w:rsid w:val="00DE6FDE"/>
    <w:rsid w:val="00DE7FDA"/>
    <w:rsid w:val="00DF0982"/>
    <w:rsid w:val="00DF1167"/>
    <w:rsid w:val="00DF1348"/>
    <w:rsid w:val="00DF19C8"/>
    <w:rsid w:val="00DF1C82"/>
    <w:rsid w:val="00DF1CAA"/>
    <w:rsid w:val="00DF248A"/>
    <w:rsid w:val="00DF2F6E"/>
    <w:rsid w:val="00DF3944"/>
    <w:rsid w:val="00DF3D67"/>
    <w:rsid w:val="00DF3E04"/>
    <w:rsid w:val="00DF4094"/>
    <w:rsid w:val="00DF412D"/>
    <w:rsid w:val="00DF4FA3"/>
    <w:rsid w:val="00DF5A95"/>
    <w:rsid w:val="00DF622C"/>
    <w:rsid w:val="00DF6BFD"/>
    <w:rsid w:val="00DF7185"/>
    <w:rsid w:val="00DF7C30"/>
    <w:rsid w:val="00E0037A"/>
    <w:rsid w:val="00E004A7"/>
    <w:rsid w:val="00E011F9"/>
    <w:rsid w:val="00E01413"/>
    <w:rsid w:val="00E01700"/>
    <w:rsid w:val="00E017E0"/>
    <w:rsid w:val="00E0273B"/>
    <w:rsid w:val="00E02BC7"/>
    <w:rsid w:val="00E02D0B"/>
    <w:rsid w:val="00E033B0"/>
    <w:rsid w:val="00E03B77"/>
    <w:rsid w:val="00E041CB"/>
    <w:rsid w:val="00E055CB"/>
    <w:rsid w:val="00E05CE9"/>
    <w:rsid w:val="00E06A1E"/>
    <w:rsid w:val="00E070E7"/>
    <w:rsid w:val="00E07224"/>
    <w:rsid w:val="00E075AC"/>
    <w:rsid w:val="00E07A29"/>
    <w:rsid w:val="00E100D5"/>
    <w:rsid w:val="00E105C6"/>
    <w:rsid w:val="00E10F97"/>
    <w:rsid w:val="00E13253"/>
    <w:rsid w:val="00E13425"/>
    <w:rsid w:val="00E14339"/>
    <w:rsid w:val="00E146C6"/>
    <w:rsid w:val="00E1472B"/>
    <w:rsid w:val="00E15BA8"/>
    <w:rsid w:val="00E16366"/>
    <w:rsid w:val="00E163C9"/>
    <w:rsid w:val="00E1640A"/>
    <w:rsid w:val="00E16660"/>
    <w:rsid w:val="00E16ABF"/>
    <w:rsid w:val="00E16C23"/>
    <w:rsid w:val="00E20930"/>
    <w:rsid w:val="00E20A32"/>
    <w:rsid w:val="00E20C6A"/>
    <w:rsid w:val="00E20E74"/>
    <w:rsid w:val="00E21258"/>
    <w:rsid w:val="00E214F0"/>
    <w:rsid w:val="00E221FA"/>
    <w:rsid w:val="00E227E4"/>
    <w:rsid w:val="00E23072"/>
    <w:rsid w:val="00E230DB"/>
    <w:rsid w:val="00E243FA"/>
    <w:rsid w:val="00E24D40"/>
    <w:rsid w:val="00E25260"/>
    <w:rsid w:val="00E25484"/>
    <w:rsid w:val="00E2549B"/>
    <w:rsid w:val="00E25C3C"/>
    <w:rsid w:val="00E25EFD"/>
    <w:rsid w:val="00E26148"/>
    <w:rsid w:val="00E26EB8"/>
    <w:rsid w:val="00E279FA"/>
    <w:rsid w:val="00E27C5C"/>
    <w:rsid w:val="00E27CBB"/>
    <w:rsid w:val="00E27F5F"/>
    <w:rsid w:val="00E304C8"/>
    <w:rsid w:val="00E3059C"/>
    <w:rsid w:val="00E30E41"/>
    <w:rsid w:val="00E30E63"/>
    <w:rsid w:val="00E317FE"/>
    <w:rsid w:val="00E31D61"/>
    <w:rsid w:val="00E32629"/>
    <w:rsid w:val="00E33435"/>
    <w:rsid w:val="00E33895"/>
    <w:rsid w:val="00E3423D"/>
    <w:rsid w:val="00E34613"/>
    <w:rsid w:val="00E347D1"/>
    <w:rsid w:val="00E34EF7"/>
    <w:rsid w:val="00E3510B"/>
    <w:rsid w:val="00E35A3F"/>
    <w:rsid w:val="00E35ABC"/>
    <w:rsid w:val="00E364CD"/>
    <w:rsid w:val="00E365D0"/>
    <w:rsid w:val="00E37632"/>
    <w:rsid w:val="00E37CCC"/>
    <w:rsid w:val="00E4009D"/>
    <w:rsid w:val="00E40880"/>
    <w:rsid w:val="00E428A9"/>
    <w:rsid w:val="00E42AE0"/>
    <w:rsid w:val="00E4316D"/>
    <w:rsid w:val="00E449B2"/>
    <w:rsid w:val="00E45046"/>
    <w:rsid w:val="00E4611A"/>
    <w:rsid w:val="00E47350"/>
    <w:rsid w:val="00E47963"/>
    <w:rsid w:val="00E47D0A"/>
    <w:rsid w:val="00E47DD2"/>
    <w:rsid w:val="00E47F2E"/>
    <w:rsid w:val="00E514CF"/>
    <w:rsid w:val="00E51700"/>
    <w:rsid w:val="00E51F16"/>
    <w:rsid w:val="00E52527"/>
    <w:rsid w:val="00E52BEF"/>
    <w:rsid w:val="00E53BAE"/>
    <w:rsid w:val="00E5410E"/>
    <w:rsid w:val="00E54C0E"/>
    <w:rsid w:val="00E54CAA"/>
    <w:rsid w:val="00E54D5D"/>
    <w:rsid w:val="00E55564"/>
    <w:rsid w:val="00E55A79"/>
    <w:rsid w:val="00E55E07"/>
    <w:rsid w:val="00E55E90"/>
    <w:rsid w:val="00E562B6"/>
    <w:rsid w:val="00E567C1"/>
    <w:rsid w:val="00E5719F"/>
    <w:rsid w:val="00E57832"/>
    <w:rsid w:val="00E578DD"/>
    <w:rsid w:val="00E60BD1"/>
    <w:rsid w:val="00E610CE"/>
    <w:rsid w:val="00E61265"/>
    <w:rsid w:val="00E61967"/>
    <w:rsid w:val="00E61D0D"/>
    <w:rsid w:val="00E62CB7"/>
    <w:rsid w:val="00E62EC8"/>
    <w:rsid w:val="00E634D0"/>
    <w:rsid w:val="00E63FD6"/>
    <w:rsid w:val="00E64822"/>
    <w:rsid w:val="00E64A03"/>
    <w:rsid w:val="00E64A59"/>
    <w:rsid w:val="00E64D72"/>
    <w:rsid w:val="00E65B53"/>
    <w:rsid w:val="00E65B65"/>
    <w:rsid w:val="00E65F34"/>
    <w:rsid w:val="00E66532"/>
    <w:rsid w:val="00E667D6"/>
    <w:rsid w:val="00E672AC"/>
    <w:rsid w:val="00E6762B"/>
    <w:rsid w:val="00E678B6"/>
    <w:rsid w:val="00E6799E"/>
    <w:rsid w:val="00E67DD6"/>
    <w:rsid w:val="00E70719"/>
    <w:rsid w:val="00E7171F"/>
    <w:rsid w:val="00E71A82"/>
    <w:rsid w:val="00E73D19"/>
    <w:rsid w:val="00E74541"/>
    <w:rsid w:val="00E74E45"/>
    <w:rsid w:val="00E753E2"/>
    <w:rsid w:val="00E75E4F"/>
    <w:rsid w:val="00E77CB0"/>
    <w:rsid w:val="00E77DD7"/>
    <w:rsid w:val="00E80CA0"/>
    <w:rsid w:val="00E80D62"/>
    <w:rsid w:val="00E815D8"/>
    <w:rsid w:val="00E81746"/>
    <w:rsid w:val="00E81C55"/>
    <w:rsid w:val="00E81FC9"/>
    <w:rsid w:val="00E836DD"/>
    <w:rsid w:val="00E839AF"/>
    <w:rsid w:val="00E8448C"/>
    <w:rsid w:val="00E8490E"/>
    <w:rsid w:val="00E84F30"/>
    <w:rsid w:val="00E84FCE"/>
    <w:rsid w:val="00E855E1"/>
    <w:rsid w:val="00E85C54"/>
    <w:rsid w:val="00E862D3"/>
    <w:rsid w:val="00E86DF6"/>
    <w:rsid w:val="00E875E0"/>
    <w:rsid w:val="00E901AC"/>
    <w:rsid w:val="00E90488"/>
    <w:rsid w:val="00E90EDC"/>
    <w:rsid w:val="00E91552"/>
    <w:rsid w:val="00E91863"/>
    <w:rsid w:val="00E92004"/>
    <w:rsid w:val="00E928AC"/>
    <w:rsid w:val="00E929A4"/>
    <w:rsid w:val="00E93090"/>
    <w:rsid w:val="00E94C67"/>
    <w:rsid w:val="00E953D1"/>
    <w:rsid w:val="00E95A24"/>
    <w:rsid w:val="00E97110"/>
    <w:rsid w:val="00E97725"/>
    <w:rsid w:val="00E977BC"/>
    <w:rsid w:val="00E97995"/>
    <w:rsid w:val="00EA01F5"/>
    <w:rsid w:val="00EA0299"/>
    <w:rsid w:val="00EA0E17"/>
    <w:rsid w:val="00EA1173"/>
    <w:rsid w:val="00EA130E"/>
    <w:rsid w:val="00EA1391"/>
    <w:rsid w:val="00EA2633"/>
    <w:rsid w:val="00EA2DD7"/>
    <w:rsid w:val="00EA3359"/>
    <w:rsid w:val="00EA3847"/>
    <w:rsid w:val="00EA3916"/>
    <w:rsid w:val="00EA3966"/>
    <w:rsid w:val="00EA3C14"/>
    <w:rsid w:val="00EA3E50"/>
    <w:rsid w:val="00EA4041"/>
    <w:rsid w:val="00EA438A"/>
    <w:rsid w:val="00EA6B4A"/>
    <w:rsid w:val="00EA6FED"/>
    <w:rsid w:val="00EA74C5"/>
    <w:rsid w:val="00EA7CC4"/>
    <w:rsid w:val="00EB0861"/>
    <w:rsid w:val="00EB0E4B"/>
    <w:rsid w:val="00EB0F6A"/>
    <w:rsid w:val="00EB2053"/>
    <w:rsid w:val="00EB319F"/>
    <w:rsid w:val="00EB32C1"/>
    <w:rsid w:val="00EB34DA"/>
    <w:rsid w:val="00EB3A37"/>
    <w:rsid w:val="00EB4B12"/>
    <w:rsid w:val="00EB4D18"/>
    <w:rsid w:val="00EB5876"/>
    <w:rsid w:val="00EB5DF7"/>
    <w:rsid w:val="00EB628E"/>
    <w:rsid w:val="00EB6E25"/>
    <w:rsid w:val="00EB71B1"/>
    <w:rsid w:val="00EB73E8"/>
    <w:rsid w:val="00EB7D0C"/>
    <w:rsid w:val="00EC04D2"/>
    <w:rsid w:val="00EC141A"/>
    <w:rsid w:val="00EC2295"/>
    <w:rsid w:val="00EC23DF"/>
    <w:rsid w:val="00EC270E"/>
    <w:rsid w:val="00EC4943"/>
    <w:rsid w:val="00EC53C8"/>
    <w:rsid w:val="00EC6121"/>
    <w:rsid w:val="00EC6588"/>
    <w:rsid w:val="00EC65AA"/>
    <w:rsid w:val="00EC663D"/>
    <w:rsid w:val="00EC67B9"/>
    <w:rsid w:val="00EC6BED"/>
    <w:rsid w:val="00EC6E71"/>
    <w:rsid w:val="00ED006E"/>
    <w:rsid w:val="00ED03A5"/>
    <w:rsid w:val="00ED0625"/>
    <w:rsid w:val="00ED075E"/>
    <w:rsid w:val="00ED099B"/>
    <w:rsid w:val="00ED1761"/>
    <w:rsid w:val="00ED2874"/>
    <w:rsid w:val="00ED2AC6"/>
    <w:rsid w:val="00ED2B6F"/>
    <w:rsid w:val="00ED2BF1"/>
    <w:rsid w:val="00ED2DF5"/>
    <w:rsid w:val="00ED4683"/>
    <w:rsid w:val="00ED4782"/>
    <w:rsid w:val="00ED54E0"/>
    <w:rsid w:val="00ED5B67"/>
    <w:rsid w:val="00ED5BAB"/>
    <w:rsid w:val="00ED631C"/>
    <w:rsid w:val="00ED6459"/>
    <w:rsid w:val="00ED6AB1"/>
    <w:rsid w:val="00ED73DE"/>
    <w:rsid w:val="00ED742E"/>
    <w:rsid w:val="00ED7C57"/>
    <w:rsid w:val="00EE0266"/>
    <w:rsid w:val="00EE0320"/>
    <w:rsid w:val="00EE1066"/>
    <w:rsid w:val="00EE1551"/>
    <w:rsid w:val="00EE20F2"/>
    <w:rsid w:val="00EE2296"/>
    <w:rsid w:val="00EE3075"/>
    <w:rsid w:val="00EE3726"/>
    <w:rsid w:val="00EE6A80"/>
    <w:rsid w:val="00EE7157"/>
    <w:rsid w:val="00EE73C7"/>
    <w:rsid w:val="00EE743F"/>
    <w:rsid w:val="00EE78F7"/>
    <w:rsid w:val="00EF099E"/>
    <w:rsid w:val="00EF0D91"/>
    <w:rsid w:val="00EF0E0E"/>
    <w:rsid w:val="00EF1E86"/>
    <w:rsid w:val="00EF32EA"/>
    <w:rsid w:val="00EF364A"/>
    <w:rsid w:val="00EF413E"/>
    <w:rsid w:val="00EF4B1F"/>
    <w:rsid w:val="00EF4C69"/>
    <w:rsid w:val="00EF50FF"/>
    <w:rsid w:val="00EF520D"/>
    <w:rsid w:val="00EF54D7"/>
    <w:rsid w:val="00EF5F82"/>
    <w:rsid w:val="00EF62CA"/>
    <w:rsid w:val="00EF6AD9"/>
    <w:rsid w:val="00EF6E6E"/>
    <w:rsid w:val="00EF717E"/>
    <w:rsid w:val="00EF7ED6"/>
    <w:rsid w:val="00F00419"/>
    <w:rsid w:val="00F01522"/>
    <w:rsid w:val="00F02628"/>
    <w:rsid w:val="00F02653"/>
    <w:rsid w:val="00F03368"/>
    <w:rsid w:val="00F0463E"/>
    <w:rsid w:val="00F0494C"/>
    <w:rsid w:val="00F05513"/>
    <w:rsid w:val="00F06205"/>
    <w:rsid w:val="00F06590"/>
    <w:rsid w:val="00F065BF"/>
    <w:rsid w:val="00F0681F"/>
    <w:rsid w:val="00F06A33"/>
    <w:rsid w:val="00F074B6"/>
    <w:rsid w:val="00F0753F"/>
    <w:rsid w:val="00F10941"/>
    <w:rsid w:val="00F11885"/>
    <w:rsid w:val="00F1199D"/>
    <w:rsid w:val="00F11B23"/>
    <w:rsid w:val="00F12435"/>
    <w:rsid w:val="00F12880"/>
    <w:rsid w:val="00F1298A"/>
    <w:rsid w:val="00F139B1"/>
    <w:rsid w:val="00F14284"/>
    <w:rsid w:val="00F144B8"/>
    <w:rsid w:val="00F14A64"/>
    <w:rsid w:val="00F15970"/>
    <w:rsid w:val="00F16141"/>
    <w:rsid w:val="00F16D3F"/>
    <w:rsid w:val="00F1741E"/>
    <w:rsid w:val="00F20170"/>
    <w:rsid w:val="00F203E2"/>
    <w:rsid w:val="00F210E5"/>
    <w:rsid w:val="00F2147C"/>
    <w:rsid w:val="00F21956"/>
    <w:rsid w:val="00F223C3"/>
    <w:rsid w:val="00F22497"/>
    <w:rsid w:val="00F22669"/>
    <w:rsid w:val="00F23316"/>
    <w:rsid w:val="00F23763"/>
    <w:rsid w:val="00F24C76"/>
    <w:rsid w:val="00F24F41"/>
    <w:rsid w:val="00F253FB"/>
    <w:rsid w:val="00F259F8"/>
    <w:rsid w:val="00F2641D"/>
    <w:rsid w:val="00F26D76"/>
    <w:rsid w:val="00F26DD7"/>
    <w:rsid w:val="00F2743F"/>
    <w:rsid w:val="00F274FA"/>
    <w:rsid w:val="00F2776B"/>
    <w:rsid w:val="00F27B74"/>
    <w:rsid w:val="00F27C1E"/>
    <w:rsid w:val="00F30FF0"/>
    <w:rsid w:val="00F31E15"/>
    <w:rsid w:val="00F33261"/>
    <w:rsid w:val="00F33576"/>
    <w:rsid w:val="00F33BC6"/>
    <w:rsid w:val="00F3410F"/>
    <w:rsid w:val="00F350A9"/>
    <w:rsid w:val="00F36531"/>
    <w:rsid w:val="00F372C9"/>
    <w:rsid w:val="00F37B18"/>
    <w:rsid w:val="00F4005E"/>
    <w:rsid w:val="00F4042F"/>
    <w:rsid w:val="00F40B7C"/>
    <w:rsid w:val="00F410FB"/>
    <w:rsid w:val="00F4187B"/>
    <w:rsid w:val="00F41942"/>
    <w:rsid w:val="00F42447"/>
    <w:rsid w:val="00F42DFA"/>
    <w:rsid w:val="00F431D1"/>
    <w:rsid w:val="00F43830"/>
    <w:rsid w:val="00F44082"/>
    <w:rsid w:val="00F44248"/>
    <w:rsid w:val="00F444F9"/>
    <w:rsid w:val="00F44895"/>
    <w:rsid w:val="00F44CB8"/>
    <w:rsid w:val="00F44EE9"/>
    <w:rsid w:val="00F44FE7"/>
    <w:rsid w:val="00F45025"/>
    <w:rsid w:val="00F45CE7"/>
    <w:rsid w:val="00F45CF2"/>
    <w:rsid w:val="00F45D1A"/>
    <w:rsid w:val="00F46F35"/>
    <w:rsid w:val="00F5008F"/>
    <w:rsid w:val="00F500E6"/>
    <w:rsid w:val="00F50260"/>
    <w:rsid w:val="00F5146F"/>
    <w:rsid w:val="00F523DA"/>
    <w:rsid w:val="00F529CE"/>
    <w:rsid w:val="00F52ADD"/>
    <w:rsid w:val="00F52DA7"/>
    <w:rsid w:val="00F52E00"/>
    <w:rsid w:val="00F53E1A"/>
    <w:rsid w:val="00F55208"/>
    <w:rsid w:val="00F55369"/>
    <w:rsid w:val="00F55609"/>
    <w:rsid w:val="00F55A7E"/>
    <w:rsid w:val="00F56387"/>
    <w:rsid w:val="00F56D15"/>
    <w:rsid w:val="00F572B6"/>
    <w:rsid w:val="00F57A16"/>
    <w:rsid w:val="00F6022E"/>
    <w:rsid w:val="00F60E80"/>
    <w:rsid w:val="00F6124A"/>
    <w:rsid w:val="00F61272"/>
    <w:rsid w:val="00F61ACD"/>
    <w:rsid w:val="00F61B48"/>
    <w:rsid w:val="00F62C75"/>
    <w:rsid w:val="00F62CEE"/>
    <w:rsid w:val="00F6401C"/>
    <w:rsid w:val="00F641C5"/>
    <w:rsid w:val="00F643F0"/>
    <w:rsid w:val="00F647F6"/>
    <w:rsid w:val="00F64E62"/>
    <w:rsid w:val="00F65C45"/>
    <w:rsid w:val="00F66B87"/>
    <w:rsid w:val="00F67B05"/>
    <w:rsid w:val="00F7064C"/>
    <w:rsid w:val="00F717BD"/>
    <w:rsid w:val="00F71D8B"/>
    <w:rsid w:val="00F75055"/>
    <w:rsid w:val="00F75405"/>
    <w:rsid w:val="00F7548A"/>
    <w:rsid w:val="00F76B79"/>
    <w:rsid w:val="00F774F0"/>
    <w:rsid w:val="00F776A4"/>
    <w:rsid w:val="00F77F38"/>
    <w:rsid w:val="00F8130A"/>
    <w:rsid w:val="00F8138E"/>
    <w:rsid w:val="00F81DAF"/>
    <w:rsid w:val="00F824FF"/>
    <w:rsid w:val="00F8289C"/>
    <w:rsid w:val="00F828B1"/>
    <w:rsid w:val="00F83E13"/>
    <w:rsid w:val="00F83FCA"/>
    <w:rsid w:val="00F8419D"/>
    <w:rsid w:val="00F844C5"/>
    <w:rsid w:val="00F85BB6"/>
    <w:rsid w:val="00F85C20"/>
    <w:rsid w:val="00F85C73"/>
    <w:rsid w:val="00F863C5"/>
    <w:rsid w:val="00F865F9"/>
    <w:rsid w:val="00F86686"/>
    <w:rsid w:val="00F868DB"/>
    <w:rsid w:val="00F86CF1"/>
    <w:rsid w:val="00F86F4F"/>
    <w:rsid w:val="00F8775F"/>
    <w:rsid w:val="00F87BBF"/>
    <w:rsid w:val="00F904F3"/>
    <w:rsid w:val="00F90C57"/>
    <w:rsid w:val="00F91AA1"/>
    <w:rsid w:val="00F91BA5"/>
    <w:rsid w:val="00F92138"/>
    <w:rsid w:val="00F923BE"/>
    <w:rsid w:val="00F92736"/>
    <w:rsid w:val="00F92E19"/>
    <w:rsid w:val="00F93062"/>
    <w:rsid w:val="00F935DA"/>
    <w:rsid w:val="00F954A0"/>
    <w:rsid w:val="00F9607F"/>
    <w:rsid w:val="00F96730"/>
    <w:rsid w:val="00F96994"/>
    <w:rsid w:val="00F972EC"/>
    <w:rsid w:val="00F97CC0"/>
    <w:rsid w:val="00FA0258"/>
    <w:rsid w:val="00FA178B"/>
    <w:rsid w:val="00FA1BBC"/>
    <w:rsid w:val="00FA1BD5"/>
    <w:rsid w:val="00FA20D0"/>
    <w:rsid w:val="00FA21D2"/>
    <w:rsid w:val="00FA22CE"/>
    <w:rsid w:val="00FA2EDC"/>
    <w:rsid w:val="00FA3669"/>
    <w:rsid w:val="00FA3746"/>
    <w:rsid w:val="00FA3C6C"/>
    <w:rsid w:val="00FA3F93"/>
    <w:rsid w:val="00FA3FBC"/>
    <w:rsid w:val="00FA3FDB"/>
    <w:rsid w:val="00FA53AE"/>
    <w:rsid w:val="00FA58B2"/>
    <w:rsid w:val="00FA5DDC"/>
    <w:rsid w:val="00FA613E"/>
    <w:rsid w:val="00FA616E"/>
    <w:rsid w:val="00FA6E44"/>
    <w:rsid w:val="00FA6EEF"/>
    <w:rsid w:val="00FB0C9E"/>
    <w:rsid w:val="00FB1F30"/>
    <w:rsid w:val="00FB2702"/>
    <w:rsid w:val="00FB332F"/>
    <w:rsid w:val="00FB3B24"/>
    <w:rsid w:val="00FB3DDF"/>
    <w:rsid w:val="00FB46AB"/>
    <w:rsid w:val="00FB4A0C"/>
    <w:rsid w:val="00FB5519"/>
    <w:rsid w:val="00FB56CA"/>
    <w:rsid w:val="00FB6238"/>
    <w:rsid w:val="00FB6571"/>
    <w:rsid w:val="00FB65B9"/>
    <w:rsid w:val="00FB668A"/>
    <w:rsid w:val="00FB7674"/>
    <w:rsid w:val="00FC00CB"/>
    <w:rsid w:val="00FC10E5"/>
    <w:rsid w:val="00FC17B1"/>
    <w:rsid w:val="00FC2140"/>
    <w:rsid w:val="00FC21BC"/>
    <w:rsid w:val="00FC2469"/>
    <w:rsid w:val="00FC343C"/>
    <w:rsid w:val="00FC39A4"/>
    <w:rsid w:val="00FC3A6F"/>
    <w:rsid w:val="00FC4927"/>
    <w:rsid w:val="00FC4950"/>
    <w:rsid w:val="00FC4E5D"/>
    <w:rsid w:val="00FC6162"/>
    <w:rsid w:val="00FC622A"/>
    <w:rsid w:val="00FC6832"/>
    <w:rsid w:val="00FC6B15"/>
    <w:rsid w:val="00FC6F49"/>
    <w:rsid w:val="00FC6FD8"/>
    <w:rsid w:val="00FC7727"/>
    <w:rsid w:val="00FC7E2C"/>
    <w:rsid w:val="00FD0A4D"/>
    <w:rsid w:val="00FD14AA"/>
    <w:rsid w:val="00FD1933"/>
    <w:rsid w:val="00FD19CE"/>
    <w:rsid w:val="00FD1AF2"/>
    <w:rsid w:val="00FD2D65"/>
    <w:rsid w:val="00FD35AB"/>
    <w:rsid w:val="00FD37D3"/>
    <w:rsid w:val="00FD4220"/>
    <w:rsid w:val="00FD43EC"/>
    <w:rsid w:val="00FD4973"/>
    <w:rsid w:val="00FD49C1"/>
    <w:rsid w:val="00FD51CB"/>
    <w:rsid w:val="00FD63F3"/>
    <w:rsid w:val="00FD6559"/>
    <w:rsid w:val="00FE09D4"/>
    <w:rsid w:val="00FE0E43"/>
    <w:rsid w:val="00FE1073"/>
    <w:rsid w:val="00FE2070"/>
    <w:rsid w:val="00FE211B"/>
    <w:rsid w:val="00FE32D6"/>
    <w:rsid w:val="00FE4165"/>
    <w:rsid w:val="00FE42F2"/>
    <w:rsid w:val="00FE4B23"/>
    <w:rsid w:val="00FE56AC"/>
    <w:rsid w:val="00FE5E25"/>
    <w:rsid w:val="00FE625F"/>
    <w:rsid w:val="00FF07B1"/>
    <w:rsid w:val="00FF1B34"/>
    <w:rsid w:val="00FF2039"/>
    <w:rsid w:val="00FF2133"/>
    <w:rsid w:val="00FF2B1C"/>
    <w:rsid w:val="00FF367E"/>
    <w:rsid w:val="00FF5EA0"/>
    <w:rsid w:val="00FF5F74"/>
    <w:rsid w:val="00FF621B"/>
    <w:rsid w:val="00FF7159"/>
    <w:rsid w:val="00FF7232"/>
    <w:rsid w:val="00FF748D"/>
    <w:rsid w:val="01064C9A"/>
    <w:rsid w:val="016A606C"/>
    <w:rsid w:val="017362BD"/>
    <w:rsid w:val="0197393F"/>
    <w:rsid w:val="01B35E3B"/>
    <w:rsid w:val="01E449DA"/>
    <w:rsid w:val="01F306CC"/>
    <w:rsid w:val="023D333D"/>
    <w:rsid w:val="028D5673"/>
    <w:rsid w:val="02BA5CB7"/>
    <w:rsid w:val="02C92423"/>
    <w:rsid w:val="02F50D1E"/>
    <w:rsid w:val="03211823"/>
    <w:rsid w:val="03347E88"/>
    <w:rsid w:val="038A5ABF"/>
    <w:rsid w:val="039B16B6"/>
    <w:rsid w:val="039E05DA"/>
    <w:rsid w:val="03D5738D"/>
    <w:rsid w:val="03ED571C"/>
    <w:rsid w:val="03FC3375"/>
    <w:rsid w:val="0431318B"/>
    <w:rsid w:val="04322D1A"/>
    <w:rsid w:val="044F24C5"/>
    <w:rsid w:val="04762137"/>
    <w:rsid w:val="04E82D3F"/>
    <w:rsid w:val="04FE4606"/>
    <w:rsid w:val="055256A1"/>
    <w:rsid w:val="0598753C"/>
    <w:rsid w:val="05A9269D"/>
    <w:rsid w:val="05F80AA9"/>
    <w:rsid w:val="06533D3B"/>
    <w:rsid w:val="06724784"/>
    <w:rsid w:val="06A905A2"/>
    <w:rsid w:val="06D46658"/>
    <w:rsid w:val="06FC0676"/>
    <w:rsid w:val="07207B9C"/>
    <w:rsid w:val="07216614"/>
    <w:rsid w:val="07B33255"/>
    <w:rsid w:val="082F789B"/>
    <w:rsid w:val="08396ED3"/>
    <w:rsid w:val="08A05850"/>
    <w:rsid w:val="08A420E1"/>
    <w:rsid w:val="08C120E0"/>
    <w:rsid w:val="090128EB"/>
    <w:rsid w:val="0939545A"/>
    <w:rsid w:val="09A53221"/>
    <w:rsid w:val="09B65004"/>
    <w:rsid w:val="0A363A1D"/>
    <w:rsid w:val="0A5E0FEF"/>
    <w:rsid w:val="0A654A44"/>
    <w:rsid w:val="0AAA6709"/>
    <w:rsid w:val="0AC73F32"/>
    <w:rsid w:val="0B4A5116"/>
    <w:rsid w:val="0B6768F3"/>
    <w:rsid w:val="0B7B75D7"/>
    <w:rsid w:val="0BB76C03"/>
    <w:rsid w:val="0BE514A3"/>
    <w:rsid w:val="0C6E2553"/>
    <w:rsid w:val="0C887271"/>
    <w:rsid w:val="0C8B41A2"/>
    <w:rsid w:val="0CEA1C85"/>
    <w:rsid w:val="0D3D36A4"/>
    <w:rsid w:val="0D514AA1"/>
    <w:rsid w:val="0D6F1145"/>
    <w:rsid w:val="0D791A19"/>
    <w:rsid w:val="0D9D2076"/>
    <w:rsid w:val="0DAB060F"/>
    <w:rsid w:val="0E42412C"/>
    <w:rsid w:val="0E5A6D3F"/>
    <w:rsid w:val="0E5E3E03"/>
    <w:rsid w:val="0E794CFD"/>
    <w:rsid w:val="0E920931"/>
    <w:rsid w:val="0EC71FEA"/>
    <w:rsid w:val="0ECC1A8E"/>
    <w:rsid w:val="0EE41A9E"/>
    <w:rsid w:val="0F02798E"/>
    <w:rsid w:val="0F0832FF"/>
    <w:rsid w:val="0F4E618A"/>
    <w:rsid w:val="0F4F5A5E"/>
    <w:rsid w:val="0F505B34"/>
    <w:rsid w:val="0FD71303"/>
    <w:rsid w:val="0FF9647C"/>
    <w:rsid w:val="1012617E"/>
    <w:rsid w:val="102155FB"/>
    <w:rsid w:val="10675755"/>
    <w:rsid w:val="10C5403D"/>
    <w:rsid w:val="10EC5BD9"/>
    <w:rsid w:val="112A6E39"/>
    <w:rsid w:val="117F2E0D"/>
    <w:rsid w:val="118A6265"/>
    <w:rsid w:val="11BC012B"/>
    <w:rsid w:val="11D6041E"/>
    <w:rsid w:val="11E44B84"/>
    <w:rsid w:val="11F358DC"/>
    <w:rsid w:val="11FD7411"/>
    <w:rsid w:val="1220749E"/>
    <w:rsid w:val="12235F3C"/>
    <w:rsid w:val="1237314D"/>
    <w:rsid w:val="123F6455"/>
    <w:rsid w:val="12B65EBF"/>
    <w:rsid w:val="12C44D3D"/>
    <w:rsid w:val="13611F7D"/>
    <w:rsid w:val="14512AE0"/>
    <w:rsid w:val="14575AE1"/>
    <w:rsid w:val="14D7411C"/>
    <w:rsid w:val="14F60EC4"/>
    <w:rsid w:val="14FA4179"/>
    <w:rsid w:val="152A5522"/>
    <w:rsid w:val="153E5E53"/>
    <w:rsid w:val="155405E9"/>
    <w:rsid w:val="157A70F8"/>
    <w:rsid w:val="157B78DE"/>
    <w:rsid w:val="157D0B2C"/>
    <w:rsid w:val="158C7A3C"/>
    <w:rsid w:val="15C047FF"/>
    <w:rsid w:val="16486296"/>
    <w:rsid w:val="16C31734"/>
    <w:rsid w:val="17A7775F"/>
    <w:rsid w:val="17CA3567"/>
    <w:rsid w:val="1819365B"/>
    <w:rsid w:val="182403C0"/>
    <w:rsid w:val="18285F02"/>
    <w:rsid w:val="182F6ADF"/>
    <w:rsid w:val="188E3A9B"/>
    <w:rsid w:val="18B21D51"/>
    <w:rsid w:val="1936109D"/>
    <w:rsid w:val="194C5989"/>
    <w:rsid w:val="197B7584"/>
    <w:rsid w:val="19932087"/>
    <w:rsid w:val="1A1C66DD"/>
    <w:rsid w:val="1A85424D"/>
    <w:rsid w:val="1AE15806"/>
    <w:rsid w:val="1B416BA3"/>
    <w:rsid w:val="1B496BEE"/>
    <w:rsid w:val="1B762CF0"/>
    <w:rsid w:val="1B813CC4"/>
    <w:rsid w:val="1B9B2CA9"/>
    <w:rsid w:val="1BA749C4"/>
    <w:rsid w:val="1BB27C53"/>
    <w:rsid w:val="1BB66110"/>
    <w:rsid w:val="1BDD4A1B"/>
    <w:rsid w:val="1BEA0EFF"/>
    <w:rsid w:val="1C0227D6"/>
    <w:rsid w:val="1C654B74"/>
    <w:rsid w:val="1CBF0500"/>
    <w:rsid w:val="1CFE11EF"/>
    <w:rsid w:val="1D7311BF"/>
    <w:rsid w:val="1DA8475E"/>
    <w:rsid w:val="1DFE2624"/>
    <w:rsid w:val="1DFF0335"/>
    <w:rsid w:val="1E0064D3"/>
    <w:rsid w:val="1E05605A"/>
    <w:rsid w:val="1E0E0A9A"/>
    <w:rsid w:val="1E171374"/>
    <w:rsid w:val="1E3B2150"/>
    <w:rsid w:val="1E4F2CD5"/>
    <w:rsid w:val="1E805BA0"/>
    <w:rsid w:val="1EDD2072"/>
    <w:rsid w:val="1EE4155E"/>
    <w:rsid w:val="1F506A4C"/>
    <w:rsid w:val="1F595E8F"/>
    <w:rsid w:val="1F6D76F6"/>
    <w:rsid w:val="1FCB4A6E"/>
    <w:rsid w:val="1FCF6663"/>
    <w:rsid w:val="1FE13A05"/>
    <w:rsid w:val="202109B6"/>
    <w:rsid w:val="20816028"/>
    <w:rsid w:val="20B43BF1"/>
    <w:rsid w:val="20B80B22"/>
    <w:rsid w:val="2105322D"/>
    <w:rsid w:val="21374DD4"/>
    <w:rsid w:val="214C5BC5"/>
    <w:rsid w:val="21E93AF0"/>
    <w:rsid w:val="220612E3"/>
    <w:rsid w:val="224F3B62"/>
    <w:rsid w:val="229438B4"/>
    <w:rsid w:val="22B742CD"/>
    <w:rsid w:val="22D52DDA"/>
    <w:rsid w:val="246D6944"/>
    <w:rsid w:val="24922AB1"/>
    <w:rsid w:val="2527378E"/>
    <w:rsid w:val="2530284B"/>
    <w:rsid w:val="25556D82"/>
    <w:rsid w:val="2560751D"/>
    <w:rsid w:val="25803898"/>
    <w:rsid w:val="259D70B9"/>
    <w:rsid w:val="261F644A"/>
    <w:rsid w:val="26BB3CAD"/>
    <w:rsid w:val="26C115E8"/>
    <w:rsid w:val="271D3475"/>
    <w:rsid w:val="272C509E"/>
    <w:rsid w:val="27313F6F"/>
    <w:rsid w:val="27893DAB"/>
    <w:rsid w:val="28617AA2"/>
    <w:rsid w:val="29415789"/>
    <w:rsid w:val="296E4DB7"/>
    <w:rsid w:val="297A3312"/>
    <w:rsid w:val="29BF7984"/>
    <w:rsid w:val="2A9F183F"/>
    <w:rsid w:val="2AC511FF"/>
    <w:rsid w:val="2B037858"/>
    <w:rsid w:val="2B057A12"/>
    <w:rsid w:val="2B137A26"/>
    <w:rsid w:val="2B251B81"/>
    <w:rsid w:val="2B3702A8"/>
    <w:rsid w:val="2B6E5792"/>
    <w:rsid w:val="2BC52EF0"/>
    <w:rsid w:val="2BDF269A"/>
    <w:rsid w:val="2BE96C22"/>
    <w:rsid w:val="2BF5404C"/>
    <w:rsid w:val="2C1252C2"/>
    <w:rsid w:val="2C9A0975"/>
    <w:rsid w:val="2CC0413F"/>
    <w:rsid w:val="2D055E1D"/>
    <w:rsid w:val="2D910EBE"/>
    <w:rsid w:val="2DA400CE"/>
    <w:rsid w:val="2DAC2698"/>
    <w:rsid w:val="2DB71FA7"/>
    <w:rsid w:val="2E5C32EB"/>
    <w:rsid w:val="2E8A42F7"/>
    <w:rsid w:val="2EF00020"/>
    <w:rsid w:val="2F180AB4"/>
    <w:rsid w:val="2F334462"/>
    <w:rsid w:val="2F866390"/>
    <w:rsid w:val="2F94153F"/>
    <w:rsid w:val="2FD12CC9"/>
    <w:rsid w:val="2FD41F86"/>
    <w:rsid w:val="2FF5623D"/>
    <w:rsid w:val="3027709A"/>
    <w:rsid w:val="30294ADC"/>
    <w:rsid w:val="302E770B"/>
    <w:rsid w:val="304C6A88"/>
    <w:rsid w:val="305D7F50"/>
    <w:rsid w:val="31496866"/>
    <w:rsid w:val="31602E24"/>
    <w:rsid w:val="317408E4"/>
    <w:rsid w:val="3182385E"/>
    <w:rsid w:val="31FA1774"/>
    <w:rsid w:val="32642CEC"/>
    <w:rsid w:val="32B33C46"/>
    <w:rsid w:val="33020093"/>
    <w:rsid w:val="330714FD"/>
    <w:rsid w:val="333C0154"/>
    <w:rsid w:val="33FC7E8C"/>
    <w:rsid w:val="342D2F02"/>
    <w:rsid w:val="343A7E32"/>
    <w:rsid w:val="34496E92"/>
    <w:rsid w:val="34F10498"/>
    <w:rsid w:val="35B651B7"/>
    <w:rsid w:val="35C56367"/>
    <w:rsid w:val="35EE0253"/>
    <w:rsid w:val="369571B1"/>
    <w:rsid w:val="371B7E5C"/>
    <w:rsid w:val="37980295"/>
    <w:rsid w:val="37A418D8"/>
    <w:rsid w:val="38491261"/>
    <w:rsid w:val="386020D3"/>
    <w:rsid w:val="3865492E"/>
    <w:rsid w:val="386A0217"/>
    <w:rsid w:val="389436BE"/>
    <w:rsid w:val="394A1F2F"/>
    <w:rsid w:val="3A71031B"/>
    <w:rsid w:val="3A922B1F"/>
    <w:rsid w:val="3AA577FC"/>
    <w:rsid w:val="3BA42EB1"/>
    <w:rsid w:val="3BC938F0"/>
    <w:rsid w:val="3C183D6E"/>
    <w:rsid w:val="3C4517C4"/>
    <w:rsid w:val="3CBC31FE"/>
    <w:rsid w:val="3D347787"/>
    <w:rsid w:val="3D37105D"/>
    <w:rsid w:val="3F7D054B"/>
    <w:rsid w:val="3F850EA5"/>
    <w:rsid w:val="3FA179AA"/>
    <w:rsid w:val="3FD733D9"/>
    <w:rsid w:val="401738F5"/>
    <w:rsid w:val="404855C5"/>
    <w:rsid w:val="40592E84"/>
    <w:rsid w:val="40A86BF9"/>
    <w:rsid w:val="40D951D2"/>
    <w:rsid w:val="41923C46"/>
    <w:rsid w:val="41AA0ACA"/>
    <w:rsid w:val="41B62D5F"/>
    <w:rsid w:val="41E04AE3"/>
    <w:rsid w:val="41F6471C"/>
    <w:rsid w:val="424C082D"/>
    <w:rsid w:val="426B74AE"/>
    <w:rsid w:val="42BD6EF0"/>
    <w:rsid w:val="42C24FD0"/>
    <w:rsid w:val="42F56341"/>
    <w:rsid w:val="42FA336E"/>
    <w:rsid w:val="43041412"/>
    <w:rsid w:val="431F392D"/>
    <w:rsid w:val="43364990"/>
    <w:rsid w:val="43417B2B"/>
    <w:rsid w:val="43467BC5"/>
    <w:rsid w:val="437B23A2"/>
    <w:rsid w:val="43BF2D12"/>
    <w:rsid w:val="43EC5115"/>
    <w:rsid w:val="4415055B"/>
    <w:rsid w:val="444878C1"/>
    <w:rsid w:val="445B1741"/>
    <w:rsid w:val="445B5984"/>
    <w:rsid w:val="445D5F4C"/>
    <w:rsid w:val="44763F08"/>
    <w:rsid w:val="44817E8C"/>
    <w:rsid w:val="44A105CA"/>
    <w:rsid w:val="44F2662B"/>
    <w:rsid w:val="44FB3862"/>
    <w:rsid w:val="45877724"/>
    <w:rsid w:val="458A0EA3"/>
    <w:rsid w:val="465869CB"/>
    <w:rsid w:val="468F4EFD"/>
    <w:rsid w:val="46D7388F"/>
    <w:rsid w:val="47121221"/>
    <w:rsid w:val="4772342A"/>
    <w:rsid w:val="478E1277"/>
    <w:rsid w:val="48A0098D"/>
    <w:rsid w:val="48B439FC"/>
    <w:rsid w:val="48C044AF"/>
    <w:rsid w:val="49253917"/>
    <w:rsid w:val="494C5DE0"/>
    <w:rsid w:val="49725FF6"/>
    <w:rsid w:val="499C3B40"/>
    <w:rsid w:val="49BF6D61"/>
    <w:rsid w:val="4A531BC5"/>
    <w:rsid w:val="4A813F5B"/>
    <w:rsid w:val="4AAB4206"/>
    <w:rsid w:val="4AE403BE"/>
    <w:rsid w:val="4B0E2E16"/>
    <w:rsid w:val="4B2B03A0"/>
    <w:rsid w:val="4BB7477B"/>
    <w:rsid w:val="4C5D5DD6"/>
    <w:rsid w:val="4CC13AA8"/>
    <w:rsid w:val="4CCE37BE"/>
    <w:rsid w:val="4CFE6137"/>
    <w:rsid w:val="4D160340"/>
    <w:rsid w:val="4D3A3383"/>
    <w:rsid w:val="4D4215BD"/>
    <w:rsid w:val="4D6871A7"/>
    <w:rsid w:val="4D9A561E"/>
    <w:rsid w:val="4DBD6A94"/>
    <w:rsid w:val="4DDC01B9"/>
    <w:rsid w:val="4E277F6E"/>
    <w:rsid w:val="4E6E5BDC"/>
    <w:rsid w:val="4E83005C"/>
    <w:rsid w:val="4ECB2E4F"/>
    <w:rsid w:val="4F136B0E"/>
    <w:rsid w:val="4F345A3A"/>
    <w:rsid w:val="4F7F0B09"/>
    <w:rsid w:val="4F83137D"/>
    <w:rsid w:val="4F906609"/>
    <w:rsid w:val="4F9155F1"/>
    <w:rsid w:val="4F98252E"/>
    <w:rsid w:val="4FA9310C"/>
    <w:rsid w:val="4FEE214E"/>
    <w:rsid w:val="505477A0"/>
    <w:rsid w:val="50603B72"/>
    <w:rsid w:val="50987DB7"/>
    <w:rsid w:val="50FA52A6"/>
    <w:rsid w:val="50FD52B5"/>
    <w:rsid w:val="50FF3F4A"/>
    <w:rsid w:val="510C51B5"/>
    <w:rsid w:val="51243167"/>
    <w:rsid w:val="51263104"/>
    <w:rsid w:val="51297BD8"/>
    <w:rsid w:val="512F5BCF"/>
    <w:rsid w:val="51342574"/>
    <w:rsid w:val="51380E48"/>
    <w:rsid w:val="51B965FC"/>
    <w:rsid w:val="538B2AB6"/>
    <w:rsid w:val="538F3C50"/>
    <w:rsid w:val="539C7FFE"/>
    <w:rsid w:val="53CF796F"/>
    <w:rsid w:val="53D27D64"/>
    <w:rsid w:val="540F2D98"/>
    <w:rsid w:val="548F3C73"/>
    <w:rsid w:val="549A713E"/>
    <w:rsid w:val="549D2738"/>
    <w:rsid w:val="54CD2C7A"/>
    <w:rsid w:val="54DA6115"/>
    <w:rsid w:val="551E2E5D"/>
    <w:rsid w:val="559B2F4A"/>
    <w:rsid w:val="55B32794"/>
    <w:rsid w:val="55FE3977"/>
    <w:rsid w:val="565D54C8"/>
    <w:rsid w:val="569E48CE"/>
    <w:rsid w:val="56C579D5"/>
    <w:rsid w:val="57017A7F"/>
    <w:rsid w:val="571854E6"/>
    <w:rsid w:val="57432F68"/>
    <w:rsid w:val="57551F55"/>
    <w:rsid w:val="576631B4"/>
    <w:rsid w:val="578C03FE"/>
    <w:rsid w:val="58145D63"/>
    <w:rsid w:val="58276B45"/>
    <w:rsid w:val="58D740C7"/>
    <w:rsid w:val="58F52A51"/>
    <w:rsid w:val="58F55856"/>
    <w:rsid w:val="5942717C"/>
    <w:rsid w:val="5953256C"/>
    <w:rsid w:val="5955718D"/>
    <w:rsid w:val="598A6BBE"/>
    <w:rsid w:val="599555A4"/>
    <w:rsid w:val="59AA358A"/>
    <w:rsid w:val="59B140E5"/>
    <w:rsid w:val="59BD32BD"/>
    <w:rsid w:val="59CA7CFF"/>
    <w:rsid w:val="59E86B9F"/>
    <w:rsid w:val="59E910AB"/>
    <w:rsid w:val="5A644C07"/>
    <w:rsid w:val="5A9D6C4B"/>
    <w:rsid w:val="5B5B66DC"/>
    <w:rsid w:val="5B6648C7"/>
    <w:rsid w:val="5B7D1A85"/>
    <w:rsid w:val="5BE622C6"/>
    <w:rsid w:val="5C1C4FA9"/>
    <w:rsid w:val="5C4B5C6D"/>
    <w:rsid w:val="5C6A70FC"/>
    <w:rsid w:val="5C8D60EF"/>
    <w:rsid w:val="5CA964D7"/>
    <w:rsid w:val="5D457A78"/>
    <w:rsid w:val="5DC757F8"/>
    <w:rsid w:val="5DFC6D3C"/>
    <w:rsid w:val="5E3209E8"/>
    <w:rsid w:val="5E7524E6"/>
    <w:rsid w:val="5F183E0C"/>
    <w:rsid w:val="5F2413D1"/>
    <w:rsid w:val="5FF85DB8"/>
    <w:rsid w:val="60151849"/>
    <w:rsid w:val="60743FD5"/>
    <w:rsid w:val="607939D6"/>
    <w:rsid w:val="61295DD7"/>
    <w:rsid w:val="616E707C"/>
    <w:rsid w:val="61F007AB"/>
    <w:rsid w:val="6203073F"/>
    <w:rsid w:val="620A2C3A"/>
    <w:rsid w:val="621813D1"/>
    <w:rsid w:val="62397BA1"/>
    <w:rsid w:val="624B0278"/>
    <w:rsid w:val="626E0AFD"/>
    <w:rsid w:val="626E2A3F"/>
    <w:rsid w:val="6305285B"/>
    <w:rsid w:val="637A1F7C"/>
    <w:rsid w:val="63A63849"/>
    <w:rsid w:val="64535AA4"/>
    <w:rsid w:val="64646DE3"/>
    <w:rsid w:val="64857BC7"/>
    <w:rsid w:val="649025EF"/>
    <w:rsid w:val="64AA2690"/>
    <w:rsid w:val="64CA35B2"/>
    <w:rsid w:val="65405C8E"/>
    <w:rsid w:val="655B482F"/>
    <w:rsid w:val="66807B4C"/>
    <w:rsid w:val="66AC783F"/>
    <w:rsid w:val="66CB5338"/>
    <w:rsid w:val="66D60C56"/>
    <w:rsid w:val="66FB3677"/>
    <w:rsid w:val="670C1B0F"/>
    <w:rsid w:val="67407CEE"/>
    <w:rsid w:val="678A58F8"/>
    <w:rsid w:val="6791048F"/>
    <w:rsid w:val="67961AC6"/>
    <w:rsid w:val="67B062A6"/>
    <w:rsid w:val="67ED4F17"/>
    <w:rsid w:val="68543FBA"/>
    <w:rsid w:val="686B65DA"/>
    <w:rsid w:val="68987E30"/>
    <w:rsid w:val="68CD04C2"/>
    <w:rsid w:val="68D914C5"/>
    <w:rsid w:val="68D979E8"/>
    <w:rsid w:val="68EB2052"/>
    <w:rsid w:val="68EF3534"/>
    <w:rsid w:val="68FF583F"/>
    <w:rsid w:val="691C0CBD"/>
    <w:rsid w:val="69275234"/>
    <w:rsid w:val="693102DF"/>
    <w:rsid w:val="694751DB"/>
    <w:rsid w:val="69D660B2"/>
    <w:rsid w:val="69E712F3"/>
    <w:rsid w:val="69E97753"/>
    <w:rsid w:val="6A0D5DD0"/>
    <w:rsid w:val="6A9616BA"/>
    <w:rsid w:val="6B6704AB"/>
    <w:rsid w:val="6B906529"/>
    <w:rsid w:val="6BAE03D4"/>
    <w:rsid w:val="6BC87B69"/>
    <w:rsid w:val="6BD75683"/>
    <w:rsid w:val="6C3867D3"/>
    <w:rsid w:val="6C897115"/>
    <w:rsid w:val="6C931E67"/>
    <w:rsid w:val="6CC174CE"/>
    <w:rsid w:val="6CD84F63"/>
    <w:rsid w:val="6CFA6E24"/>
    <w:rsid w:val="6D04740E"/>
    <w:rsid w:val="6D091DD7"/>
    <w:rsid w:val="6D30723A"/>
    <w:rsid w:val="6D3F4260"/>
    <w:rsid w:val="6DA952AB"/>
    <w:rsid w:val="6DDD3ACB"/>
    <w:rsid w:val="6DDE7F68"/>
    <w:rsid w:val="6E170B30"/>
    <w:rsid w:val="6E2738E7"/>
    <w:rsid w:val="6E433451"/>
    <w:rsid w:val="6E66437B"/>
    <w:rsid w:val="6E7D5654"/>
    <w:rsid w:val="6EA314CB"/>
    <w:rsid w:val="6EA823C5"/>
    <w:rsid w:val="6EAB02FA"/>
    <w:rsid w:val="6ED57A72"/>
    <w:rsid w:val="6EED26EE"/>
    <w:rsid w:val="6EEE3E5F"/>
    <w:rsid w:val="6F6B3CB4"/>
    <w:rsid w:val="6F941AC3"/>
    <w:rsid w:val="6F987BE5"/>
    <w:rsid w:val="6FBA5DBC"/>
    <w:rsid w:val="6FC06798"/>
    <w:rsid w:val="6FFE5B18"/>
    <w:rsid w:val="70114A8F"/>
    <w:rsid w:val="705F07D2"/>
    <w:rsid w:val="706601C1"/>
    <w:rsid w:val="70DA1157"/>
    <w:rsid w:val="71305C74"/>
    <w:rsid w:val="7135284F"/>
    <w:rsid w:val="71440DA3"/>
    <w:rsid w:val="71A36DE5"/>
    <w:rsid w:val="71CB7E3C"/>
    <w:rsid w:val="720B45E8"/>
    <w:rsid w:val="7223471E"/>
    <w:rsid w:val="7224286D"/>
    <w:rsid w:val="72434598"/>
    <w:rsid w:val="72540756"/>
    <w:rsid w:val="72685348"/>
    <w:rsid w:val="72772DE8"/>
    <w:rsid w:val="72842C49"/>
    <w:rsid w:val="72DE1046"/>
    <w:rsid w:val="73886174"/>
    <w:rsid w:val="73965B3A"/>
    <w:rsid w:val="73F1711D"/>
    <w:rsid w:val="73F64F94"/>
    <w:rsid w:val="74393C29"/>
    <w:rsid w:val="745C6968"/>
    <w:rsid w:val="74623ADD"/>
    <w:rsid w:val="74D347D7"/>
    <w:rsid w:val="74E24B72"/>
    <w:rsid w:val="750E26E5"/>
    <w:rsid w:val="752C64EA"/>
    <w:rsid w:val="75532F0F"/>
    <w:rsid w:val="75A23164"/>
    <w:rsid w:val="75B01AD0"/>
    <w:rsid w:val="75D204AB"/>
    <w:rsid w:val="760517E8"/>
    <w:rsid w:val="76241587"/>
    <w:rsid w:val="763C1ED6"/>
    <w:rsid w:val="76446D4F"/>
    <w:rsid w:val="765D4CA4"/>
    <w:rsid w:val="7682191D"/>
    <w:rsid w:val="769D3D7B"/>
    <w:rsid w:val="76E41281"/>
    <w:rsid w:val="76E446A4"/>
    <w:rsid w:val="76FE3F87"/>
    <w:rsid w:val="77043E82"/>
    <w:rsid w:val="776E579F"/>
    <w:rsid w:val="777752DD"/>
    <w:rsid w:val="77F90B4B"/>
    <w:rsid w:val="7881708F"/>
    <w:rsid w:val="78821DBA"/>
    <w:rsid w:val="78AC56A2"/>
    <w:rsid w:val="78B249E8"/>
    <w:rsid w:val="78FB6342"/>
    <w:rsid w:val="797B22D6"/>
    <w:rsid w:val="79FC3A25"/>
    <w:rsid w:val="7A1D5D70"/>
    <w:rsid w:val="7A29614B"/>
    <w:rsid w:val="7A2E2997"/>
    <w:rsid w:val="7A942C8A"/>
    <w:rsid w:val="7AAD14D7"/>
    <w:rsid w:val="7AB22800"/>
    <w:rsid w:val="7AE52177"/>
    <w:rsid w:val="7AE86178"/>
    <w:rsid w:val="7AEC7249"/>
    <w:rsid w:val="7B0B0A66"/>
    <w:rsid w:val="7B65510B"/>
    <w:rsid w:val="7B6624BF"/>
    <w:rsid w:val="7B8C75F4"/>
    <w:rsid w:val="7B9A3006"/>
    <w:rsid w:val="7BA33ADE"/>
    <w:rsid w:val="7BC17BB6"/>
    <w:rsid w:val="7C040259"/>
    <w:rsid w:val="7C8716CA"/>
    <w:rsid w:val="7CD418BF"/>
    <w:rsid w:val="7DB7720D"/>
    <w:rsid w:val="7DBB6EEC"/>
    <w:rsid w:val="7DDE7156"/>
    <w:rsid w:val="7E2A58C2"/>
    <w:rsid w:val="7E51576F"/>
    <w:rsid w:val="7E8A5A20"/>
    <w:rsid w:val="7EC86C91"/>
    <w:rsid w:val="7EEA211B"/>
    <w:rsid w:val="7F4C2569"/>
    <w:rsid w:val="7F8731B0"/>
    <w:rsid w:val="7FF17C0B"/>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qFormat="1" w:uiPriority="99"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7"/>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6"/>
    <w:qFormat/>
    <w:uiPriority w:val="0"/>
    <w:pPr>
      <w:keepNext/>
      <w:keepLines/>
      <w:widowControl/>
      <w:tabs>
        <w:tab w:val="left" w:pos="864"/>
      </w:tabs>
      <w:spacing w:before="280" w:after="290" w:line="376" w:lineRule="auto"/>
      <w:jc w:val="left"/>
      <w:outlineLvl w:val="3"/>
    </w:pPr>
    <w:rPr>
      <w:rFonts w:ascii="Arial" w:hAnsi="Arial" w:eastAsia="黑体"/>
      <w:b/>
      <w:bCs/>
      <w:kern w:val="0"/>
      <w:sz w:val="28"/>
      <w:szCs w:val="28"/>
    </w:rPr>
  </w:style>
  <w:style w:type="paragraph" w:styleId="7">
    <w:name w:val="heading 5"/>
    <w:basedOn w:val="1"/>
    <w:next w:val="1"/>
    <w:semiHidden/>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6">
    <w:name w:val="Normal Indent"/>
    <w:basedOn w:val="1"/>
    <w:link w:val="60"/>
    <w:qFormat/>
    <w:uiPriority w:val="0"/>
    <w:pPr>
      <w:ind w:firstLine="420"/>
    </w:pPr>
    <w:rPr>
      <w:szCs w:val="20"/>
    </w:rPr>
  </w:style>
  <w:style w:type="paragraph" w:styleId="8">
    <w:name w:val="toc 7"/>
    <w:basedOn w:val="1"/>
    <w:next w:val="1"/>
    <w:qFormat/>
    <w:uiPriority w:val="0"/>
    <w:pPr>
      <w:ind w:left="1260"/>
      <w:jc w:val="left"/>
    </w:pPr>
    <w:rPr>
      <w:rFonts w:ascii="Calibri" w:hAnsi="Calibri" w:cs="Calibri"/>
      <w:sz w:val="18"/>
      <w:szCs w:val="18"/>
    </w:rPr>
  </w:style>
  <w:style w:type="paragraph" w:styleId="9">
    <w:name w:val="index 8"/>
    <w:basedOn w:val="1"/>
    <w:next w:val="1"/>
    <w:unhideWhenUsed/>
    <w:qFormat/>
    <w:uiPriority w:val="99"/>
    <w:pPr>
      <w:ind w:left="1400" w:leftChars="1400"/>
    </w:pPr>
  </w:style>
  <w:style w:type="paragraph" w:styleId="10">
    <w:name w:val="annotation text"/>
    <w:basedOn w:val="1"/>
    <w:link w:val="62"/>
    <w:qFormat/>
    <w:uiPriority w:val="0"/>
    <w:pPr>
      <w:jc w:val="left"/>
    </w:pPr>
  </w:style>
  <w:style w:type="paragraph" w:styleId="11">
    <w:name w:val="Body Text 3"/>
    <w:basedOn w:val="1"/>
    <w:qFormat/>
    <w:uiPriority w:val="0"/>
    <w:pPr>
      <w:spacing w:line="240" w:lineRule="exact"/>
    </w:pPr>
    <w:rPr>
      <w:rFonts w:ascii="宋体" w:hAnsi="宋体"/>
      <w:color w:val="000000"/>
      <w:szCs w:val="21"/>
    </w:rPr>
  </w:style>
  <w:style w:type="paragraph" w:styleId="12">
    <w:name w:val="Body Text"/>
    <w:basedOn w:val="1"/>
    <w:qFormat/>
    <w:uiPriority w:val="0"/>
    <w:pPr>
      <w:spacing w:after="120"/>
    </w:pPr>
  </w:style>
  <w:style w:type="paragraph" w:styleId="13">
    <w:name w:val="Body Text Indent"/>
    <w:basedOn w:val="1"/>
    <w:link w:val="61"/>
    <w:qFormat/>
    <w:uiPriority w:val="0"/>
    <w:pPr>
      <w:spacing w:after="120"/>
      <w:ind w:left="420" w:leftChars="200"/>
    </w:pPr>
  </w:style>
  <w:style w:type="paragraph" w:styleId="14">
    <w:name w:val="toc 5"/>
    <w:basedOn w:val="1"/>
    <w:next w:val="1"/>
    <w:qFormat/>
    <w:uiPriority w:val="0"/>
    <w:pPr>
      <w:ind w:left="840"/>
      <w:jc w:val="left"/>
    </w:pPr>
    <w:rPr>
      <w:rFonts w:ascii="Calibri" w:hAnsi="Calibri" w:cs="Calibri"/>
      <w:sz w:val="18"/>
      <w:szCs w:val="18"/>
    </w:rPr>
  </w:style>
  <w:style w:type="paragraph" w:styleId="15">
    <w:name w:val="toc 3"/>
    <w:basedOn w:val="1"/>
    <w:next w:val="1"/>
    <w:qFormat/>
    <w:uiPriority w:val="39"/>
    <w:pPr>
      <w:ind w:left="420"/>
      <w:jc w:val="left"/>
    </w:pPr>
    <w:rPr>
      <w:rFonts w:ascii="Calibri" w:hAnsi="Calibri" w:cs="Calibri"/>
      <w:i/>
      <w:iCs/>
      <w:sz w:val="20"/>
      <w:szCs w:val="20"/>
    </w:rPr>
  </w:style>
  <w:style w:type="paragraph" w:styleId="16">
    <w:name w:val="Plain Text"/>
    <w:basedOn w:val="1"/>
    <w:link w:val="59"/>
    <w:qFormat/>
    <w:uiPriority w:val="0"/>
    <w:rPr>
      <w:rFonts w:ascii="宋体" w:hAnsi="Courier New"/>
      <w:szCs w:val="20"/>
    </w:rPr>
  </w:style>
  <w:style w:type="paragraph" w:styleId="17">
    <w:name w:val="toc 8"/>
    <w:basedOn w:val="1"/>
    <w:next w:val="1"/>
    <w:qFormat/>
    <w:uiPriority w:val="0"/>
    <w:pPr>
      <w:ind w:left="1470"/>
      <w:jc w:val="left"/>
    </w:pPr>
    <w:rPr>
      <w:rFonts w:ascii="Calibri" w:hAnsi="Calibri" w:cs="Calibri"/>
      <w:sz w:val="18"/>
      <w:szCs w:val="18"/>
    </w:rPr>
  </w:style>
  <w:style w:type="paragraph" w:styleId="18">
    <w:name w:val="Date"/>
    <w:basedOn w:val="1"/>
    <w:next w:val="1"/>
    <w:link w:val="63"/>
    <w:qFormat/>
    <w:uiPriority w:val="0"/>
    <w:pPr>
      <w:ind w:left="100" w:leftChars="2500"/>
    </w:pPr>
  </w:style>
  <w:style w:type="paragraph" w:styleId="19">
    <w:name w:val="Balloon Text"/>
    <w:basedOn w:val="1"/>
    <w:semiHidden/>
    <w:qFormat/>
    <w:uiPriority w:val="0"/>
    <w:rPr>
      <w:sz w:val="18"/>
      <w:szCs w:val="18"/>
    </w:rPr>
  </w:style>
  <w:style w:type="paragraph" w:styleId="20">
    <w:name w:val="footer"/>
    <w:basedOn w:val="1"/>
    <w:link w:val="64"/>
    <w:qFormat/>
    <w:uiPriority w:val="99"/>
    <w:pPr>
      <w:tabs>
        <w:tab w:val="center" w:pos="4153"/>
        <w:tab w:val="right" w:pos="8306"/>
      </w:tabs>
      <w:snapToGrid w:val="0"/>
      <w:jc w:val="left"/>
    </w:pPr>
    <w:rPr>
      <w:sz w:val="18"/>
      <w:szCs w:val="18"/>
    </w:rPr>
  </w:style>
  <w:style w:type="paragraph" w:styleId="2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jc w:val="left"/>
    </w:pPr>
    <w:rPr>
      <w:rFonts w:ascii="Calibri" w:hAnsi="Calibri" w:cs="Calibri"/>
      <w:b/>
      <w:bCs/>
      <w:caps/>
      <w:sz w:val="20"/>
      <w:szCs w:val="20"/>
    </w:rPr>
  </w:style>
  <w:style w:type="paragraph" w:styleId="23">
    <w:name w:val="toc 4"/>
    <w:basedOn w:val="1"/>
    <w:next w:val="1"/>
    <w:qFormat/>
    <w:uiPriority w:val="0"/>
    <w:pPr>
      <w:ind w:left="630"/>
      <w:jc w:val="left"/>
    </w:pPr>
    <w:rPr>
      <w:rFonts w:ascii="Calibri" w:hAnsi="Calibri" w:cs="Calibri"/>
      <w:sz w:val="18"/>
      <w:szCs w:val="18"/>
    </w:rPr>
  </w:style>
  <w:style w:type="paragraph" w:styleId="24">
    <w:name w:val="List"/>
    <w:basedOn w:val="1"/>
    <w:qFormat/>
    <w:uiPriority w:val="0"/>
    <w:pPr>
      <w:ind w:left="200" w:hanging="200" w:hangingChars="200"/>
    </w:pPr>
    <w:rPr>
      <w:sz w:val="28"/>
    </w:rPr>
  </w:style>
  <w:style w:type="paragraph" w:styleId="25">
    <w:name w:val="footnote text"/>
    <w:basedOn w:val="1"/>
    <w:qFormat/>
    <w:uiPriority w:val="99"/>
    <w:pPr>
      <w:snapToGrid w:val="0"/>
      <w:jc w:val="left"/>
    </w:pPr>
    <w:rPr>
      <w:sz w:val="18"/>
      <w:szCs w:val="18"/>
    </w:rPr>
  </w:style>
  <w:style w:type="paragraph" w:styleId="26">
    <w:name w:val="toc 6"/>
    <w:basedOn w:val="1"/>
    <w:next w:val="1"/>
    <w:qFormat/>
    <w:uiPriority w:val="0"/>
    <w:pPr>
      <w:ind w:left="1050"/>
      <w:jc w:val="left"/>
    </w:pPr>
    <w:rPr>
      <w:rFonts w:ascii="Calibri" w:hAnsi="Calibri" w:cs="Calibri"/>
      <w:sz w:val="18"/>
      <w:szCs w:val="18"/>
    </w:rPr>
  </w:style>
  <w:style w:type="paragraph" w:styleId="27">
    <w:name w:val="Body Text Indent 3"/>
    <w:basedOn w:val="1"/>
    <w:qFormat/>
    <w:uiPriority w:val="0"/>
    <w:pPr>
      <w:spacing w:after="120"/>
      <w:ind w:left="420" w:leftChars="200"/>
    </w:pPr>
    <w:rPr>
      <w:rFonts w:ascii="Times New Roman" w:hAnsi="Times New Roman" w:eastAsia="宋体" w:cs="Times New Roman"/>
      <w:kern w:val="0"/>
      <w:sz w:val="16"/>
      <w:szCs w:val="16"/>
    </w:rPr>
  </w:style>
  <w:style w:type="paragraph" w:styleId="28">
    <w:name w:val="index 7"/>
    <w:basedOn w:val="1"/>
    <w:next w:val="1"/>
    <w:qFormat/>
    <w:uiPriority w:val="0"/>
    <w:pPr>
      <w:ind w:left="2520"/>
    </w:pPr>
  </w:style>
  <w:style w:type="paragraph" w:styleId="29">
    <w:name w:val="toc 2"/>
    <w:basedOn w:val="1"/>
    <w:next w:val="1"/>
    <w:qFormat/>
    <w:uiPriority w:val="39"/>
    <w:pPr>
      <w:ind w:left="210"/>
      <w:jc w:val="left"/>
    </w:pPr>
    <w:rPr>
      <w:rFonts w:ascii="Calibri" w:hAnsi="Calibri" w:cs="Calibri"/>
      <w:smallCaps/>
      <w:sz w:val="20"/>
      <w:szCs w:val="20"/>
    </w:rPr>
  </w:style>
  <w:style w:type="paragraph" w:styleId="30">
    <w:name w:val="toc 9"/>
    <w:basedOn w:val="1"/>
    <w:next w:val="1"/>
    <w:qFormat/>
    <w:uiPriority w:val="0"/>
    <w:pPr>
      <w:ind w:left="1680"/>
      <w:jc w:val="left"/>
    </w:pPr>
    <w:rPr>
      <w:rFonts w:ascii="Calibri" w:hAnsi="Calibri" w:cs="Calibri"/>
      <w:sz w:val="18"/>
      <w:szCs w:val="18"/>
    </w:rPr>
  </w:style>
  <w:style w:type="paragraph" w:styleId="31">
    <w:name w:val="HTML Preformatted"/>
    <w:basedOn w:val="1"/>
    <w:link w:val="65"/>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2">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3">
    <w:name w:val="annotation subject"/>
    <w:basedOn w:val="10"/>
    <w:next w:val="10"/>
    <w:semiHidden/>
    <w:qFormat/>
    <w:uiPriority w:val="0"/>
    <w:rPr>
      <w:b/>
      <w:bCs/>
    </w:rPr>
  </w:style>
  <w:style w:type="paragraph" w:styleId="34">
    <w:name w:val="Body Text First Indent"/>
    <w:basedOn w:val="12"/>
    <w:next w:val="1"/>
    <w:qFormat/>
    <w:uiPriority w:val="0"/>
    <w:pPr>
      <w:ind w:firstLine="420"/>
    </w:pPr>
    <w:rPr>
      <w:rFonts w:ascii="仿宋_GB2312" w:hAnsi="宋体"/>
      <w:snapToGrid w:val="0"/>
      <w:sz w:val="30"/>
    </w:rPr>
  </w:style>
  <w:style w:type="paragraph" w:styleId="35">
    <w:name w:val="Body Text First Indent 2"/>
    <w:basedOn w:val="13"/>
    <w:qFormat/>
    <w:uiPriority w:val="0"/>
    <w:pPr>
      <w:ind w:firstLine="420" w:firstLine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0"/>
    <w:rPr>
      <w:b/>
      <w:bCs/>
    </w:rPr>
  </w:style>
  <w:style w:type="character" w:styleId="40">
    <w:name w:val="page number"/>
    <w:basedOn w:val="38"/>
    <w:qFormat/>
    <w:uiPriority w:val="0"/>
  </w:style>
  <w:style w:type="character" w:styleId="41">
    <w:name w:val="FollowedHyperlink"/>
    <w:qFormat/>
    <w:uiPriority w:val="0"/>
    <w:rPr>
      <w:color w:val="800080"/>
      <w:u w:val="single"/>
    </w:rPr>
  </w:style>
  <w:style w:type="character" w:styleId="42">
    <w:name w:val="Emphasis"/>
    <w:qFormat/>
    <w:uiPriority w:val="20"/>
    <w:rPr>
      <w:color w:val="CC0000"/>
      <w:sz w:val="24"/>
      <w:szCs w:val="24"/>
    </w:rPr>
  </w:style>
  <w:style w:type="character" w:styleId="43">
    <w:name w:val="HTML Definition"/>
    <w:basedOn w:val="38"/>
    <w:qFormat/>
    <w:uiPriority w:val="0"/>
  </w:style>
  <w:style w:type="character" w:styleId="44">
    <w:name w:val="HTML Typewriter"/>
    <w:basedOn w:val="38"/>
    <w:qFormat/>
    <w:uiPriority w:val="0"/>
    <w:rPr>
      <w:rFonts w:hint="default" w:ascii="monospace" w:hAnsi="monospace" w:eastAsia="monospace" w:cs="monospace"/>
      <w:sz w:val="20"/>
    </w:rPr>
  </w:style>
  <w:style w:type="character" w:styleId="45">
    <w:name w:val="HTML Acronym"/>
    <w:basedOn w:val="38"/>
    <w:qFormat/>
    <w:uiPriority w:val="0"/>
  </w:style>
  <w:style w:type="character" w:styleId="46">
    <w:name w:val="HTML Variable"/>
    <w:basedOn w:val="38"/>
    <w:qFormat/>
    <w:uiPriority w:val="0"/>
  </w:style>
  <w:style w:type="character" w:styleId="47">
    <w:name w:val="Hyperlink"/>
    <w:basedOn w:val="38"/>
    <w:qFormat/>
    <w:uiPriority w:val="0"/>
    <w:rPr>
      <w:color w:val="0000FF"/>
      <w:u w:val="single"/>
    </w:rPr>
  </w:style>
  <w:style w:type="character" w:styleId="48">
    <w:name w:val="HTML Code"/>
    <w:basedOn w:val="38"/>
    <w:qFormat/>
    <w:uiPriority w:val="0"/>
    <w:rPr>
      <w:rFonts w:hint="default" w:ascii="monospace" w:hAnsi="monospace" w:eastAsia="monospace" w:cs="monospace"/>
      <w:sz w:val="20"/>
    </w:rPr>
  </w:style>
  <w:style w:type="character" w:styleId="49">
    <w:name w:val="annotation reference"/>
    <w:qFormat/>
    <w:uiPriority w:val="0"/>
    <w:rPr>
      <w:sz w:val="21"/>
      <w:szCs w:val="21"/>
    </w:rPr>
  </w:style>
  <w:style w:type="character" w:styleId="50">
    <w:name w:val="HTML Cite"/>
    <w:basedOn w:val="38"/>
    <w:qFormat/>
    <w:uiPriority w:val="0"/>
  </w:style>
  <w:style w:type="character" w:styleId="51">
    <w:name w:val="HTML Keyboard"/>
    <w:basedOn w:val="38"/>
    <w:qFormat/>
    <w:uiPriority w:val="0"/>
    <w:rPr>
      <w:rFonts w:hint="default" w:ascii="monospace" w:hAnsi="monospace" w:eastAsia="monospace" w:cs="monospace"/>
      <w:sz w:val="20"/>
    </w:rPr>
  </w:style>
  <w:style w:type="character" w:styleId="52">
    <w:name w:val="HTML Sample"/>
    <w:basedOn w:val="38"/>
    <w:qFormat/>
    <w:uiPriority w:val="0"/>
    <w:rPr>
      <w:rFonts w:ascii="monospace" w:hAnsi="monospace" w:eastAsia="monospace" w:cs="monospace"/>
    </w:rPr>
  </w:style>
  <w:style w:type="paragraph" w:customStyle="1" w:styleId="53">
    <w:name w:val="*正文"/>
    <w:basedOn w:val="1"/>
    <w:qFormat/>
    <w:uiPriority w:val="0"/>
    <w:pPr>
      <w:keepNext/>
      <w:keepLines/>
      <w:spacing w:line="360" w:lineRule="auto"/>
      <w:ind w:firstLine="200" w:firstLineChars="200"/>
    </w:pPr>
    <w:rPr>
      <w:rFonts w:ascii="宋体" w:hAnsi="宋体"/>
    </w:rPr>
  </w:style>
  <w:style w:type="paragraph" w:customStyle="1" w:styleId="5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5">
    <w:name w:val="表格文字"/>
    <w:basedOn w:val="1"/>
    <w:next w:val="12"/>
    <w:qFormat/>
    <w:uiPriority w:val="0"/>
    <w:pPr>
      <w:adjustRightInd w:val="0"/>
      <w:spacing w:line="420" w:lineRule="atLeast"/>
      <w:jc w:val="left"/>
      <w:textAlignment w:val="baseline"/>
    </w:pPr>
    <w:rPr>
      <w:kern w:val="0"/>
      <w:szCs w:val="20"/>
    </w:rPr>
  </w:style>
  <w:style w:type="character" w:customStyle="1" w:styleId="56">
    <w:name w:val="标题 1 Char"/>
    <w:link w:val="2"/>
    <w:qFormat/>
    <w:uiPriority w:val="0"/>
    <w:rPr>
      <w:b/>
      <w:bCs/>
      <w:kern w:val="44"/>
      <w:sz w:val="44"/>
      <w:szCs w:val="44"/>
    </w:rPr>
  </w:style>
  <w:style w:type="character" w:customStyle="1" w:styleId="57">
    <w:name w:val="标题 2 Char"/>
    <w:link w:val="3"/>
    <w:semiHidden/>
    <w:qFormat/>
    <w:uiPriority w:val="0"/>
    <w:rPr>
      <w:rFonts w:ascii="Cambria" w:hAnsi="Cambria" w:eastAsia="宋体" w:cs="Times New Roman"/>
      <w:b/>
      <w:bCs/>
      <w:kern w:val="2"/>
      <w:sz w:val="32"/>
      <w:szCs w:val="32"/>
    </w:rPr>
  </w:style>
  <w:style w:type="paragraph" w:customStyle="1" w:styleId="58">
    <w:name w:val="样式1"/>
    <w:basedOn w:val="1"/>
    <w:next w:val="7"/>
    <w:qFormat/>
    <w:uiPriority w:val="0"/>
    <w:rPr>
      <w:rFonts w:ascii="宋体" w:hAnsi="宋体"/>
      <w:szCs w:val="21"/>
    </w:rPr>
  </w:style>
  <w:style w:type="character" w:customStyle="1" w:styleId="59">
    <w:name w:val="纯文本 Char"/>
    <w:link w:val="16"/>
    <w:qFormat/>
    <w:uiPriority w:val="0"/>
    <w:rPr>
      <w:rFonts w:ascii="宋体" w:hAnsi="Courier New" w:eastAsia="宋体"/>
      <w:kern w:val="2"/>
      <w:sz w:val="21"/>
      <w:lang w:val="en-US" w:eastAsia="zh-CN" w:bidi="ar-SA"/>
    </w:rPr>
  </w:style>
  <w:style w:type="character" w:customStyle="1" w:styleId="60">
    <w:name w:val="正文缩进 Char"/>
    <w:link w:val="6"/>
    <w:qFormat/>
    <w:uiPriority w:val="0"/>
    <w:rPr>
      <w:kern w:val="2"/>
      <w:sz w:val="21"/>
    </w:rPr>
  </w:style>
  <w:style w:type="character" w:customStyle="1" w:styleId="61">
    <w:name w:val="正文文本缩进 Char"/>
    <w:link w:val="13"/>
    <w:qFormat/>
    <w:uiPriority w:val="0"/>
    <w:rPr>
      <w:kern w:val="2"/>
      <w:sz w:val="21"/>
      <w:szCs w:val="24"/>
    </w:rPr>
  </w:style>
  <w:style w:type="character" w:customStyle="1" w:styleId="62">
    <w:name w:val="批注文字 Char"/>
    <w:link w:val="10"/>
    <w:qFormat/>
    <w:uiPriority w:val="0"/>
    <w:rPr>
      <w:kern w:val="2"/>
      <w:sz w:val="21"/>
      <w:szCs w:val="24"/>
    </w:rPr>
  </w:style>
  <w:style w:type="character" w:customStyle="1" w:styleId="63">
    <w:name w:val="日期 Char"/>
    <w:link w:val="18"/>
    <w:qFormat/>
    <w:uiPriority w:val="0"/>
    <w:rPr>
      <w:kern w:val="2"/>
      <w:sz w:val="21"/>
      <w:szCs w:val="24"/>
    </w:rPr>
  </w:style>
  <w:style w:type="character" w:customStyle="1" w:styleId="64">
    <w:name w:val="页脚 Char"/>
    <w:link w:val="20"/>
    <w:qFormat/>
    <w:uiPriority w:val="99"/>
    <w:rPr>
      <w:kern w:val="2"/>
      <w:sz w:val="18"/>
      <w:szCs w:val="18"/>
    </w:rPr>
  </w:style>
  <w:style w:type="character" w:customStyle="1" w:styleId="65">
    <w:name w:val="HTML 预设格式 Char"/>
    <w:link w:val="31"/>
    <w:qFormat/>
    <w:uiPriority w:val="99"/>
    <w:rPr>
      <w:rFonts w:ascii="宋体" w:hAnsi="宋体" w:cs="宋体"/>
      <w:sz w:val="24"/>
      <w:szCs w:val="24"/>
    </w:rPr>
  </w:style>
  <w:style w:type="character" w:customStyle="1" w:styleId="66">
    <w:name w:val="标题 2 Char1"/>
    <w:qFormat/>
    <w:uiPriority w:val="0"/>
    <w:rPr>
      <w:rFonts w:ascii="Arial" w:hAnsi="Arial" w:eastAsia="黑体" w:cs="Times New Roman"/>
      <w:b/>
      <w:bCs/>
      <w:sz w:val="32"/>
      <w:szCs w:val="32"/>
    </w:rPr>
  </w:style>
  <w:style w:type="character" w:customStyle="1" w:styleId="67">
    <w:name w:val="无间距字符"/>
    <w:link w:val="68"/>
    <w:qFormat/>
    <w:uiPriority w:val="0"/>
    <w:rPr>
      <w:kern w:val="2"/>
      <w:sz w:val="21"/>
      <w:szCs w:val="32"/>
    </w:rPr>
  </w:style>
  <w:style w:type="paragraph" w:customStyle="1" w:styleId="68">
    <w:name w:val="无间距"/>
    <w:basedOn w:val="1"/>
    <w:link w:val="67"/>
    <w:qFormat/>
    <w:uiPriority w:val="0"/>
    <w:rPr>
      <w:szCs w:val="32"/>
    </w:rPr>
  </w:style>
  <w:style w:type="character" w:customStyle="1" w:styleId="69">
    <w:name w:val="纯文本 Char1"/>
    <w:qFormat/>
    <w:uiPriority w:val="0"/>
    <w:rPr>
      <w:rFonts w:ascii="宋体" w:hAnsi="Courier New" w:eastAsia="宋体"/>
      <w:kern w:val="2"/>
      <w:sz w:val="21"/>
      <w:lang w:val="en-US" w:eastAsia="zh-CN" w:bidi="ar-SA"/>
    </w:rPr>
  </w:style>
  <w:style w:type="character" w:customStyle="1" w:styleId="70">
    <w:name w:val="at_4"/>
    <w:basedOn w:val="38"/>
    <w:qFormat/>
    <w:uiPriority w:val="0"/>
  </w:style>
  <w:style w:type="character" w:customStyle="1" w:styleId="71">
    <w:name w:val="正文缩进 Char1"/>
    <w:qFormat/>
    <w:uiPriority w:val="0"/>
    <w:rPr>
      <w:rFonts w:eastAsia="宋体"/>
      <w:kern w:val="2"/>
      <w:sz w:val="21"/>
      <w:lang w:val="en-US" w:eastAsia="zh-CN" w:bidi="ar-SA"/>
    </w:rPr>
  </w:style>
  <w:style w:type="character" w:customStyle="1" w:styleId="72">
    <w:name w:val="HTML 预设格式 Char1"/>
    <w:qFormat/>
    <w:uiPriority w:val="0"/>
    <w:rPr>
      <w:rFonts w:ascii="Courier New" w:hAnsi="Courier New" w:cs="Courier New"/>
      <w:kern w:val="2"/>
    </w:rPr>
  </w:style>
  <w:style w:type="character" w:customStyle="1" w:styleId="73">
    <w:name w:val=" Char Char10"/>
    <w:qFormat/>
    <w:uiPriority w:val="0"/>
    <w:rPr>
      <w:rFonts w:eastAsia="宋体"/>
      <w:kern w:val="2"/>
      <w:sz w:val="21"/>
      <w:szCs w:val="24"/>
      <w:lang w:val="en-US" w:eastAsia="zh-CN" w:bidi="ar-SA"/>
    </w:rPr>
  </w:style>
  <w:style w:type="character" w:customStyle="1" w:styleId="74">
    <w:name w:val="font21"/>
    <w:qFormat/>
    <w:uiPriority w:val="0"/>
    <w:rPr>
      <w:rFonts w:hint="eastAsia" w:ascii="宋体" w:hAnsi="宋体" w:eastAsia="宋体" w:cs="宋体"/>
      <w:color w:val="000000"/>
      <w:sz w:val="20"/>
      <w:szCs w:val="20"/>
      <w:u w:val="none"/>
    </w:rPr>
  </w:style>
  <w:style w:type="character" w:customStyle="1" w:styleId="75">
    <w:name w:val=" Char Char1"/>
    <w:qFormat/>
    <w:uiPriority w:val="0"/>
    <w:rPr>
      <w:rFonts w:ascii="宋体" w:hAnsi="Courier New" w:eastAsia="宋体"/>
      <w:kern w:val="2"/>
      <w:sz w:val="21"/>
      <w:lang w:val="en-US" w:eastAsia="zh-CN" w:bidi="ar-SA"/>
    </w:rPr>
  </w:style>
  <w:style w:type="paragraph" w:customStyle="1" w:styleId="76">
    <w:name w:val="Table Paragraph"/>
    <w:basedOn w:val="1"/>
    <w:qFormat/>
    <w:uiPriority w:val="1"/>
    <w:rPr>
      <w:rFonts w:ascii="Calibri" w:hAnsi="Calibri"/>
    </w:rPr>
  </w:style>
  <w:style w:type="paragraph" w:customStyle="1" w:styleId="77">
    <w:name w:val="Plain Text"/>
    <w:basedOn w:val="1"/>
    <w:qFormat/>
    <w:uiPriority w:val="0"/>
    <w:pPr>
      <w:adjustRightInd w:val="0"/>
      <w:textAlignment w:val="baseline"/>
    </w:pPr>
    <w:rPr>
      <w:rFonts w:ascii="宋体" w:hAnsi="Courier New" w:eastAsia="楷体_GB2312"/>
      <w:sz w:val="26"/>
      <w:szCs w:val="20"/>
    </w:rPr>
  </w:style>
  <w:style w:type="paragraph" w:customStyle="1" w:styleId="78">
    <w:name w:val="彩色列表 - 强调文字颜色 11"/>
    <w:basedOn w:val="1"/>
    <w:qFormat/>
    <w:uiPriority w:val="34"/>
    <w:pPr>
      <w:ind w:firstLine="420" w:firstLineChars="200"/>
    </w:pPr>
  </w:style>
  <w:style w:type="paragraph" w:customStyle="1" w:styleId="79">
    <w:name w:val="Char1 Char Char Char Char Char Char"/>
    <w:basedOn w:val="1"/>
    <w:qFormat/>
    <w:uiPriority w:val="0"/>
    <w:rPr>
      <w:rFonts w:ascii="Tahoma" w:hAnsi="Tahoma"/>
      <w:sz w:val="24"/>
      <w:szCs w:val="20"/>
    </w:rPr>
  </w:style>
  <w:style w:type="paragraph" w:customStyle="1" w:styleId="80">
    <w:name w:val="_Style 5"/>
    <w:qFormat/>
    <w:uiPriority w:val="1"/>
    <w:rPr>
      <w:rFonts w:ascii="Times New Roman" w:hAnsi="Times New Roman" w:eastAsia="宋体" w:cs="Times New Roman"/>
      <w:sz w:val="22"/>
      <w:szCs w:val="22"/>
      <w:lang w:val="en-US" w:eastAsia="zh-CN" w:bidi="ar-SA"/>
    </w:rPr>
  </w:style>
  <w:style w:type="paragraph" w:customStyle="1" w:styleId="81">
    <w:name w:val="列出段落1"/>
    <w:basedOn w:val="1"/>
    <w:qFormat/>
    <w:uiPriority w:val="0"/>
    <w:pPr>
      <w:ind w:firstLine="420" w:firstLineChars="200"/>
    </w:pPr>
    <w:rPr>
      <w:rFonts w:ascii="Calibri" w:hAnsi="Calibri"/>
      <w:szCs w:val="22"/>
    </w:rPr>
  </w:style>
  <w:style w:type="paragraph" w:customStyle="1" w:styleId="82">
    <w:name w:val="BodyText"/>
    <w:basedOn w:val="1"/>
    <w:qFormat/>
    <w:uiPriority w:val="0"/>
    <w:pPr>
      <w:spacing w:after="120"/>
      <w:textAlignment w:val="baseline"/>
    </w:pPr>
  </w:style>
  <w:style w:type="paragraph" w:customStyle="1" w:styleId="83">
    <w:name w:val="List Paragraph"/>
    <w:basedOn w:val="1"/>
    <w:qFormat/>
    <w:uiPriority w:val="34"/>
    <w:pPr>
      <w:ind w:firstLine="420" w:firstLineChars="200"/>
    </w:pPr>
  </w:style>
  <w:style w:type="paragraph" w:customStyle="1" w:styleId="84">
    <w:name w:val="TOC Heading"/>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85">
    <w:name w:val="一级条标题"/>
    <w:basedOn w:val="1"/>
    <w:next w:val="86"/>
    <w:qFormat/>
    <w:uiPriority w:val="0"/>
    <w:pPr>
      <w:widowControl/>
      <w:numPr>
        <w:ilvl w:val="2"/>
        <w:numId w:val="1"/>
      </w:numPr>
      <w:tabs>
        <w:tab w:val="left" w:pos="30"/>
      </w:tabs>
      <w:outlineLvl w:val="2"/>
    </w:pPr>
    <w:rPr>
      <w:rFonts w:ascii="黑体" w:eastAsia="黑体"/>
      <w:kern w:val="0"/>
      <w:szCs w:val="20"/>
    </w:rPr>
  </w:style>
  <w:style w:type="paragraph" w:customStyle="1" w:styleId="8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7">
    <w:name w:val="二级条标题"/>
    <w:basedOn w:val="85"/>
    <w:next w:val="86"/>
    <w:qFormat/>
    <w:uiPriority w:val="0"/>
    <w:pPr>
      <w:numPr>
        <w:ilvl w:val="5"/>
      </w:numPr>
      <w:tabs>
        <w:tab w:val="left" w:pos="2933"/>
      </w:tabs>
      <w:outlineLvl w:val="3"/>
    </w:pPr>
  </w:style>
  <w:style w:type="paragraph" w:customStyle="1" w:styleId="88">
    <w:name w:val="1"/>
    <w:basedOn w:val="1"/>
    <w:next w:val="16"/>
    <w:qFormat/>
    <w:uiPriority w:val="0"/>
    <w:rPr>
      <w:rFonts w:ascii="宋体" w:hAnsi="Courier New"/>
      <w:szCs w:val="20"/>
    </w:rPr>
  </w:style>
  <w:style w:type="paragraph" w:customStyle="1" w:styleId="89">
    <w:name w:val="_Style 29"/>
    <w:basedOn w:val="1"/>
    <w:qFormat/>
    <w:uiPriority w:val="0"/>
    <w:rPr>
      <w:rFonts w:ascii="Tahoma" w:hAnsi="Tahoma"/>
      <w:sz w:val="24"/>
      <w:szCs w:val="20"/>
    </w:rPr>
  </w:style>
  <w:style w:type="paragraph" w:customStyle="1" w:styleId="90">
    <w:name w:val="中等深浅网格 21"/>
    <w:basedOn w:val="1"/>
    <w:qFormat/>
    <w:uiPriority w:val="0"/>
    <w:rPr>
      <w:szCs w:val="32"/>
    </w:rPr>
  </w:style>
  <w:style w:type="paragraph" w:customStyle="1" w:styleId="91">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2">
    <w:name w:val="_Style 1"/>
    <w:basedOn w:val="1"/>
    <w:qFormat/>
    <w:uiPriority w:val="0"/>
    <w:pPr>
      <w:ind w:firstLine="420"/>
    </w:pPr>
    <w:rPr>
      <w:rFonts w:ascii="Calibri" w:hAnsi="Calibri"/>
      <w:kern w:val="1"/>
      <w:szCs w:val="22"/>
    </w:rPr>
  </w:style>
  <w:style w:type="paragraph" w:customStyle="1" w:styleId="93">
    <w:name w:val="三级条标题"/>
    <w:basedOn w:val="87"/>
    <w:next w:val="86"/>
    <w:qFormat/>
    <w:uiPriority w:val="0"/>
    <w:pPr>
      <w:numPr>
        <w:ilvl w:val="6"/>
      </w:numPr>
      <w:tabs>
        <w:tab w:val="left" w:pos="3353"/>
      </w:tabs>
      <w:outlineLvl w:val="4"/>
    </w:pPr>
  </w:style>
  <w:style w:type="character" w:customStyle="1" w:styleId="94">
    <w:name w:val="NormalCharacter"/>
    <w:semiHidden/>
    <w:qFormat/>
    <w:uiPriority w:val="0"/>
  </w:style>
  <w:style w:type="paragraph" w:customStyle="1" w:styleId="95">
    <w:name w:val="Heading2"/>
    <w:basedOn w:val="1"/>
    <w:next w:val="1"/>
    <w:qFormat/>
    <w:uiPriority w:val="0"/>
    <w:pPr>
      <w:keepNext/>
      <w:keepLines/>
      <w:spacing w:before="260" w:after="260" w:line="416" w:lineRule="auto"/>
      <w:ind w:left="-1575"/>
    </w:pPr>
    <w:rPr>
      <w:rFonts w:ascii="Arial" w:hAnsi="Arial" w:eastAsia="黑体" w:cs="Times New Roman"/>
      <w:b/>
      <w:bCs/>
      <w:sz w:val="32"/>
      <w:szCs w:val="32"/>
    </w:rPr>
  </w:style>
  <w:style w:type="paragraph" w:customStyle="1" w:styleId="96">
    <w:name w:val="页脚1"/>
    <w:basedOn w:val="1"/>
    <w:qFormat/>
    <w:uiPriority w:val="0"/>
    <w:pPr>
      <w:tabs>
        <w:tab w:val="center" w:pos="4153"/>
        <w:tab w:val="right" w:pos="8306"/>
      </w:tabs>
      <w:snapToGrid w:val="0"/>
      <w:jc w:val="left"/>
    </w:pPr>
    <w:rPr>
      <w:sz w:val="18"/>
      <w:szCs w:val="18"/>
    </w:rPr>
  </w:style>
  <w:style w:type="character" w:customStyle="1" w:styleId="97">
    <w:name w:val="批注引用1"/>
    <w:qFormat/>
    <w:uiPriority w:val="0"/>
    <w:rPr>
      <w:rFonts w:ascii="Times New Roman" w:hAnsi="Times New Roman" w:eastAsia="宋体" w:cs="Times New Roman"/>
      <w:kern w:val="2"/>
      <w:sz w:val="21"/>
      <w:szCs w:val="24"/>
      <w:lang w:val="en-US" w:eastAsia="zh-CN" w:bidi="ar-SA"/>
    </w:rPr>
  </w:style>
  <w:style w:type="table" w:customStyle="1" w:styleId="98">
    <w:name w:val="Table Normal"/>
    <w:semiHidden/>
    <w:unhideWhenUsed/>
    <w:qFormat/>
    <w:uiPriority w:val="0"/>
    <w:tblPr>
      <w:tblCellMar>
        <w:top w:w="0" w:type="dxa"/>
        <w:left w:w="0" w:type="dxa"/>
        <w:bottom w:w="0" w:type="dxa"/>
        <w:right w:w="0" w:type="dxa"/>
      </w:tblCellMar>
    </w:tblPr>
  </w:style>
  <w:style w:type="paragraph" w:customStyle="1" w:styleId="99">
    <w:name w:val="List Paragraph1"/>
    <w:basedOn w:val="1"/>
    <w:qFormat/>
    <w:uiPriority w:val="0"/>
    <w:pPr>
      <w:ind w:firstLine="420"/>
    </w:pPr>
    <w:rPr>
      <w:rFonts w:ascii="Times New Roman" w:hAnsi="Times New Roman" w:eastAsia="宋体" w:cs="Times New Roman"/>
    </w:rPr>
  </w:style>
  <w:style w:type="paragraph" w:customStyle="1" w:styleId="100">
    <w:name w:val="Body text|1"/>
    <w:basedOn w:val="1"/>
    <w:qFormat/>
    <w:uiPriority w:val="0"/>
    <w:pPr>
      <w:widowControl w:val="0"/>
      <w:shd w:val="clear" w:color="auto" w:fill="auto"/>
      <w:spacing w:line="283" w:lineRule="auto"/>
    </w:pPr>
    <w:rPr>
      <w:rFonts w:ascii="宋体" w:hAnsi="宋体" w:eastAsia="宋体" w:cs="宋体"/>
      <w:u w:val="none"/>
      <w:shd w:val="clear" w:color="auto" w:fill="auto"/>
      <w:lang w:val="zh-TW" w:eastAsia="zh-TW" w:bidi="zh-TW"/>
    </w:rPr>
  </w:style>
  <w:style w:type="character" w:customStyle="1" w:styleId="101">
    <w:name w:val="first-child"/>
    <w:basedOn w:val="38"/>
    <w:qFormat/>
    <w:uiPriority w:val="0"/>
  </w:style>
  <w:style w:type="character" w:customStyle="1" w:styleId="102">
    <w:name w:val="layui-layer-tabnow"/>
    <w:basedOn w:val="38"/>
    <w:qFormat/>
    <w:uiPriority w:val="0"/>
    <w:rPr>
      <w:bdr w:val="single" w:color="CCCCCC" w:sz="4" w:space="0"/>
      <w:shd w:val="clear" w:fill="FFFFFF"/>
    </w:rPr>
  </w:style>
  <w:style w:type="paragraph" w:customStyle="1" w:styleId="103">
    <w:name w:val="Blockquote"/>
    <w:basedOn w:val="1"/>
    <w:qFormat/>
    <w:uiPriority w:val="0"/>
    <w:pPr>
      <w:autoSpaceDE w:val="0"/>
      <w:autoSpaceDN w:val="0"/>
      <w:adjustRightInd w:val="0"/>
      <w:spacing w:before="100" w:after="100"/>
      <w:ind w:left="360" w:right="360"/>
      <w:jc w:val="left"/>
    </w:pPr>
    <w:rPr>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43</Pages>
  <Words>15816</Words>
  <Characters>17238</Characters>
  <Lines>219</Lines>
  <Paragraphs>61</Paragraphs>
  <TotalTime>0</TotalTime>
  <ScaleCrop>false</ScaleCrop>
  <LinksUpToDate>false</LinksUpToDate>
  <CharactersWithSpaces>17635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2021-01-22T08:53:00Z</dcterms:created>
  <dc:creator>微软用户</dc:creator>
  <cp:lastModifiedBy>guodu</cp:lastModifiedBy>
  <cp:lastPrinted>2023-12-13T00:41:00Z</cp:lastPrinted>
  <dcterms:modified xsi:type="dcterms:W3CDTF">2025-04-03T05:31:16Z</dcterms:modified>
  <dc:title>医疗设备采购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2F0D578D1F5E4CA4A7B62912E6E71B70_13</vt:lpwstr>
  </property>
  <property fmtid="{D5CDD505-2E9C-101B-9397-08002B2CF9AE}" pid="4" name="KSOTemplateDocerSaveRecord">
    <vt:lpwstr>eyJoZGlkIjoiMmM0OTA1ZmI5MjNiZWJiMGFjMDkyNmI2NjEyMDRhY2IiLCJ1c2VySWQiOiI0MzM2MjcxMzAifQ==</vt:lpwstr>
  </property>
</Properties>
</file>