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71D45">
      <w:pPr>
        <w:pStyle w:val="38"/>
        <w:spacing w:line="0" w:lineRule="atLeast"/>
        <w:jc w:val="both"/>
        <w:rPr>
          <w:rFonts w:hint="default" w:ascii="宋体" w:hAnsi="宋体" w:eastAsia="宋体" w:cs="宋体"/>
          <w:b/>
          <w:sz w:val="32"/>
          <w:szCs w:val="32"/>
          <w:lang w:val="en-US" w:eastAsia="zh-CN"/>
        </w:rPr>
      </w:pPr>
      <w:bookmarkStart w:id="0" w:name="_Toc98580390"/>
    </w:p>
    <w:p w14:paraId="0E0BDDD2">
      <w:pPr>
        <w:pStyle w:val="43"/>
        <w:ind w:firstLine="0"/>
        <w:jc w:val="center"/>
        <w:rPr>
          <w:rFonts w:ascii="宋体" w:hAnsi="宋体" w:eastAsia="宋体" w:cs="宋体"/>
          <w:b/>
          <w:sz w:val="48"/>
          <w:szCs w:val="48"/>
        </w:rPr>
      </w:pPr>
    </w:p>
    <w:p w14:paraId="6B6C3D07">
      <w:pPr>
        <w:pStyle w:val="43"/>
        <w:ind w:firstLine="0"/>
        <w:jc w:val="center"/>
        <w:rPr>
          <w:rFonts w:hint="eastAsia" w:ascii="宋体" w:hAnsi="宋体" w:eastAsia="宋体" w:cs="宋体"/>
          <w:b/>
          <w:sz w:val="40"/>
          <w:szCs w:val="40"/>
          <w:lang w:eastAsia="zh-CN"/>
        </w:rPr>
      </w:pPr>
      <w:r>
        <w:rPr>
          <w:rFonts w:hint="eastAsia" w:ascii="宋体" w:hAnsi="宋体" w:eastAsia="宋体" w:cs="宋体"/>
          <w:b/>
          <w:sz w:val="40"/>
          <w:szCs w:val="40"/>
          <w:lang w:eastAsia="zh-CN"/>
        </w:rPr>
        <w:t>长春工业大学高质量发展-学科建设-智能网联汽车科研创新平台建设项目</w:t>
      </w:r>
    </w:p>
    <w:p w14:paraId="4EB480D2">
      <w:pPr>
        <w:pStyle w:val="43"/>
        <w:rPr>
          <w:rFonts w:ascii="宋体" w:hAnsi="宋体" w:eastAsia="宋体" w:cs="宋体"/>
          <w:b/>
          <w:sz w:val="48"/>
          <w:szCs w:val="48"/>
        </w:rPr>
      </w:pPr>
    </w:p>
    <w:p w14:paraId="2517D0AA">
      <w:pPr>
        <w:pStyle w:val="26"/>
        <w:ind w:left="400"/>
      </w:pPr>
    </w:p>
    <w:p w14:paraId="5DD8EEED">
      <w:pPr>
        <w:pStyle w:val="26"/>
        <w:ind w:left="400"/>
      </w:pPr>
    </w:p>
    <w:p w14:paraId="43676838">
      <w:pPr>
        <w:pStyle w:val="26"/>
        <w:ind w:left="400"/>
      </w:pPr>
    </w:p>
    <w:p w14:paraId="1D2BC132">
      <w:pPr>
        <w:spacing w:line="0" w:lineRule="atLeast"/>
        <w:jc w:val="center"/>
        <w:rPr>
          <w:rFonts w:ascii="宋体" w:hAnsi="宋体" w:cs="宋体"/>
          <w:b/>
          <w:sz w:val="170"/>
          <w:szCs w:val="170"/>
        </w:rPr>
      </w:pPr>
      <w:r>
        <w:rPr>
          <w:rFonts w:hint="eastAsia" w:ascii="宋体" w:hAnsi="宋体" w:cs="宋体"/>
          <w:b/>
          <w:sz w:val="144"/>
          <w:szCs w:val="144"/>
        </w:rPr>
        <w:t>招标文件</w:t>
      </w:r>
    </w:p>
    <w:p w14:paraId="1C05710F">
      <w:pPr>
        <w:jc w:val="center"/>
        <w:rPr>
          <w:rFonts w:ascii="宋体" w:hAnsi="宋体" w:cs="宋体"/>
          <w:b/>
          <w:sz w:val="32"/>
        </w:rPr>
      </w:pPr>
    </w:p>
    <w:p w14:paraId="4701D1E6">
      <w:pPr>
        <w:jc w:val="center"/>
        <w:rPr>
          <w:rFonts w:hint="eastAsia" w:ascii="宋体" w:hAnsi="宋体" w:eastAsia="宋体" w:cs="宋体"/>
          <w:b/>
          <w:color w:val="auto"/>
          <w:sz w:val="32"/>
          <w:lang w:eastAsia="zh-CN"/>
        </w:rPr>
      </w:pPr>
      <w:r>
        <w:rPr>
          <w:rFonts w:hint="eastAsia" w:ascii="宋体" w:hAnsi="宋体" w:cs="宋体"/>
          <w:b/>
          <w:sz w:val="32"/>
        </w:rPr>
        <w:t>项目编号：</w:t>
      </w:r>
      <w:r>
        <w:rPr>
          <w:rFonts w:hint="eastAsia" w:ascii="宋体" w:hAnsi="宋体" w:cs="宋体"/>
          <w:b/>
          <w:color w:val="auto"/>
          <w:sz w:val="32"/>
          <w:lang w:eastAsia="zh-CN"/>
        </w:rPr>
        <w:t>采购计划-[2025]-00259号-JLJJ-HWZB-20250201</w:t>
      </w:r>
    </w:p>
    <w:p w14:paraId="04549C3F">
      <w:pPr>
        <w:jc w:val="center"/>
        <w:rPr>
          <w:rFonts w:ascii="宋体" w:hAnsi="宋体" w:cs="宋体"/>
          <w:sz w:val="32"/>
        </w:rPr>
      </w:pPr>
    </w:p>
    <w:p w14:paraId="1FA82661">
      <w:pPr>
        <w:jc w:val="center"/>
        <w:rPr>
          <w:rFonts w:ascii="宋体" w:hAnsi="宋体" w:cs="宋体"/>
          <w:sz w:val="32"/>
        </w:rPr>
      </w:pPr>
    </w:p>
    <w:p w14:paraId="69F19502">
      <w:pPr>
        <w:jc w:val="center"/>
        <w:rPr>
          <w:rFonts w:ascii="宋体" w:hAnsi="宋体" w:cs="宋体"/>
          <w:sz w:val="18"/>
          <w:szCs w:val="18"/>
        </w:rPr>
      </w:pPr>
    </w:p>
    <w:p w14:paraId="6D1E119B">
      <w:pPr>
        <w:spacing w:line="480" w:lineRule="auto"/>
        <w:jc w:val="both"/>
        <w:rPr>
          <w:rFonts w:hint="eastAsia" w:ascii="宋体" w:hAnsi="宋体" w:eastAsia="宋体" w:cs="宋体"/>
          <w:b/>
          <w:sz w:val="30"/>
          <w:szCs w:val="30"/>
          <w:highlight w:val="none"/>
        </w:rPr>
      </w:pPr>
    </w:p>
    <w:p w14:paraId="3857EBC5">
      <w:pPr>
        <w:pStyle w:val="17"/>
        <w:rPr>
          <w:rFonts w:hint="eastAsia"/>
        </w:rPr>
      </w:pPr>
    </w:p>
    <w:p w14:paraId="393F3F5B">
      <w:pPr>
        <w:spacing w:line="480" w:lineRule="auto"/>
        <w:ind w:firstLine="602" w:firstLineChars="200"/>
        <w:jc w:val="both"/>
        <w:rPr>
          <w:rFonts w:hint="eastAsia" w:ascii="宋体" w:hAnsi="宋体" w:eastAsia="宋体" w:cs="宋体"/>
          <w:b/>
          <w:sz w:val="30"/>
          <w:szCs w:val="30"/>
          <w:highlight w:val="none"/>
        </w:rPr>
      </w:pPr>
    </w:p>
    <w:p w14:paraId="4F3A76A6">
      <w:pPr>
        <w:spacing w:line="480" w:lineRule="auto"/>
        <w:ind w:firstLine="602" w:firstLineChars="200"/>
        <w:jc w:val="center"/>
        <w:rPr>
          <w:rFonts w:hint="eastAsia" w:ascii="宋体" w:hAnsi="宋体" w:eastAsia="宋体" w:cs="宋体"/>
          <w:b/>
          <w:sz w:val="30"/>
          <w:szCs w:val="30"/>
          <w:highlight w:val="none"/>
        </w:rPr>
      </w:pPr>
    </w:p>
    <w:p w14:paraId="1A9478A4">
      <w:pPr>
        <w:spacing w:line="480" w:lineRule="auto"/>
        <w:ind w:firstLine="602" w:firstLineChars="200"/>
        <w:jc w:val="center"/>
        <w:rPr>
          <w:rFonts w:hint="eastAsia" w:ascii="宋体" w:hAnsi="宋体" w:eastAsia="宋体" w:cs="宋体"/>
          <w:b/>
          <w:sz w:val="30"/>
          <w:szCs w:val="30"/>
          <w:highlight w:val="none"/>
          <w:lang w:eastAsia="zh-CN"/>
        </w:rPr>
      </w:pPr>
      <w:r>
        <w:rPr>
          <w:rFonts w:hint="eastAsia" w:ascii="宋体" w:hAnsi="宋体" w:eastAsia="宋体" w:cs="宋体"/>
          <w:b/>
          <w:sz w:val="30"/>
          <w:szCs w:val="30"/>
          <w:highlight w:val="none"/>
        </w:rPr>
        <w:t>采购人：</w:t>
      </w:r>
      <w:r>
        <w:rPr>
          <w:rFonts w:hint="eastAsia" w:ascii="宋体" w:hAnsi="宋体" w:eastAsia="宋体" w:cs="宋体"/>
          <w:b/>
          <w:sz w:val="30"/>
          <w:szCs w:val="30"/>
          <w:highlight w:val="none"/>
          <w:lang w:eastAsia="zh-CN"/>
        </w:rPr>
        <w:t>长春工业大学</w:t>
      </w:r>
    </w:p>
    <w:p w14:paraId="71C174E9">
      <w:pPr>
        <w:spacing w:line="480" w:lineRule="auto"/>
        <w:ind w:firstLine="1807" w:firstLineChars="600"/>
        <w:jc w:val="both"/>
        <w:rPr>
          <w:rFonts w:hint="eastAsia" w:ascii="宋体" w:hAnsi="宋体" w:eastAsia="宋体" w:cs="宋体"/>
          <w:b/>
          <w:sz w:val="30"/>
          <w:szCs w:val="30"/>
          <w:highlight w:val="none"/>
        </w:rPr>
      </w:pPr>
      <w:r>
        <w:rPr>
          <w:rFonts w:hint="eastAsia" w:ascii="宋体" w:hAnsi="宋体" w:eastAsia="宋体" w:cs="宋体"/>
          <w:b/>
          <w:sz w:val="30"/>
          <w:szCs w:val="30"/>
          <w:highlight w:val="none"/>
        </w:rPr>
        <w:t>采购代理机构：吉林省经建咨询有限公司</w:t>
      </w:r>
    </w:p>
    <w:p w14:paraId="5C10C1FF">
      <w:pPr>
        <w:pageBreakBefore w:val="0"/>
        <w:kinsoku/>
        <w:wordWrap/>
        <w:topLinePunct w:val="0"/>
        <w:bidi w:val="0"/>
        <w:adjustRightInd w:val="0"/>
        <w:snapToGrid w:val="0"/>
        <w:spacing w:line="360" w:lineRule="auto"/>
        <w:jc w:val="center"/>
        <w:rPr>
          <w:rFonts w:hint="eastAsia" w:ascii="宋体" w:hAnsi="宋体" w:eastAsia="宋体" w:cs="宋体"/>
          <w:b/>
          <w:bCs w:val="0"/>
          <w:sz w:val="30"/>
          <w:szCs w:val="30"/>
          <w:highlight w:val="none"/>
        </w:rPr>
      </w:pPr>
      <w:r>
        <w:rPr>
          <w:rFonts w:hint="eastAsia" w:ascii="宋体" w:hAnsi="宋体" w:eastAsia="宋体" w:cs="宋体"/>
          <w:b/>
          <w:bCs w:val="0"/>
          <w:sz w:val="30"/>
          <w:szCs w:val="30"/>
          <w:highlight w:val="none"/>
        </w:rPr>
        <w:t>日期：</w:t>
      </w:r>
      <w:r>
        <w:rPr>
          <w:rFonts w:hint="eastAsia" w:ascii="宋体" w:hAnsi="宋体" w:eastAsia="宋体" w:cs="宋体"/>
          <w:b/>
          <w:bCs w:val="0"/>
          <w:sz w:val="30"/>
          <w:szCs w:val="30"/>
          <w:highlight w:val="none"/>
          <w:lang w:val="en-US" w:eastAsia="zh-CN"/>
        </w:rPr>
        <w:t>202</w:t>
      </w:r>
      <w:r>
        <w:rPr>
          <w:rFonts w:hint="eastAsia" w:ascii="宋体" w:hAnsi="宋体" w:cs="宋体"/>
          <w:b/>
          <w:bCs w:val="0"/>
          <w:sz w:val="30"/>
          <w:szCs w:val="30"/>
          <w:highlight w:val="none"/>
          <w:lang w:val="en-US" w:eastAsia="zh-CN"/>
        </w:rPr>
        <w:t>5</w:t>
      </w:r>
      <w:r>
        <w:rPr>
          <w:rFonts w:hint="eastAsia" w:ascii="宋体" w:hAnsi="宋体" w:eastAsia="宋体" w:cs="宋体"/>
          <w:b/>
          <w:bCs w:val="0"/>
          <w:sz w:val="30"/>
          <w:szCs w:val="30"/>
          <w:highlight w:val="none"/>
        </w:rPr>
        <w:t>年</w:t>
      </w:r>
      <w:r>
        <w:rPr>
          <w:rFonts w:hint="eastAsia" w:ascii="宋体" w:hAnsi="宋体" w:cs="宋体"/>
          <w:b/>
          <w:bCs w:val="0"/>
          <w:sz w:val="30"/>
          <w:szCs w:val="30"/>
          <w:highlight w:val="none"/>
          <w:lang w:val="en-US" w:eastAsia="zh-CN"/>
        </w:rPr>
        <w:t>2</w:t>
      </w:r>
      <w:r>
        <w:rPr>
          <w:rFonts w:hint="eastAsia" w:ascii="宋体" w:hAnsi="宋体" w:eastAsia="宋体" w:cs="宋体"/>
          <w:b/>
          <w:bCs w:val="0"/>
          <w:sz w:val="30"/>
          <w:szCs w:val="30"/>
          <w:highlight w:val="none"/>
        </w:rPr>
        <w:t>月</w:t>
      </w:r>
    </w:p>
    <w:p w14:paraId="55CDFC26">
      <w:pPr>
        <w:jc w:val="center"/>
        <w:rPr>
          <w:rFonts w:ascii="宋体" w:hAnsi="宋体" w:cs="宋体"/>
          <w:sz w:val="18"/>
          <w:szCs w:val="18"/>
        </w:rPr>
      </w:pPr>
    </w:p>
    <w:p w14:paraId="2E5609C1">
      <w:pPr>
        <w:spacing w:line="360" w:lineRule="auto"/>
        <w:jc w:val="center"/>
        <w:rPr>
          <w:rFonts w:hint="eastAsia" w:ascii="宋体" w:hAnsi="宋体" w:cs="宋体"/>
          <w:b/>
          <w:bCs/>
          <w:sz w:val="36"/>
          <w:highlight w:val="none"/>
        </w:rPr>
        <w:sectPr>
          <w:headerReference r:id="rId4" w:type="first"/>
          <w:headerReference r:id="rId3" w:type="default"/>
          <w:footerReference r:id="rId5" w:type="even"/>
          <w:pgSz w:w="11906" w:h="16838"/>
          <w:pgMar w:top="1418" w:right="1247" w:bottom="1418" w:left="1418" w:header="851" w:footer="992" w:gutter="0"/>
          <w:cols w:space="720" w:num="1"/>
          <w:titlePg/>
          <w:docGrid w:linePitch="312" w:charSpace="0"/>
        </w:sectPr>
      </w:pPr>
      <w:bookmarkStart w:id="1" w:name="_Toc98580389"/>
    </w:p>
    <w:p w14:paraId="70EFDE39">
      <w:pPr>
        <w:spacing w:line="360" w:lineRule="auto"/>
        <w:jc w:val="center"/>
        <w:rPr>
          <w:rFonts w:ascii="宋体" w:hAnsi="宋体" w:cs="宋体"/>
          <w:b/>
          <w:bCs/>
          <w:sz w:val="36"/>
          <w:highlight w:val="none"/>
        </w:rPr>
      </w:pPr>
      <w:r>
        <w:rPr>
          <w:rFonts w:hint="eastAsia" w:ascii="宋体" w:hAnsi="宋体" w:cs="宋体"/>
          <w:b/>
          <w:bCs/>
          <w:sz w:val="36"/>
          <w:highlight w:val="none"/>
        </w:rPr>
        <w:t>目　　录</w:t>
      </w:r>
    </w:p>
    <w:p w14:paraId="59EAF3CA">
      <w:pPr>
        <w:jc w:val="center"/>
        <w:rPr>
          <w:rFonts w:ascii="宋体" w:hAnsi="宋体" w:cs="宋体"/>
          <w:b/>
          <w:bCs/>
          <w:sz w:val="36"/>
          <w:highlight w:val="none"/>
        </w:rPr>
      </w:pPr>
    </w:p>
    <w:p w14:paraId="3D23882F">
      <w:pPr>
        <w:pStyle w:val="30"/>
        <w:tabs>
          <w:tab w:val="right" w:leader="dot" w:pos="9241"/>
        </w:tabs>
        <w:spacing w:line="480" w:lineRule="auto"/>
        <w:rPr>
          <w:sz w:val="24"/>
          <w:szCs w:val="24"/>
          <w:highlight w:val="none"/>
        </w:rPr>
      </w:pPr>
      <w:r>
        <w:rPr>
          <w:rFonts w:hint="eastAsia" w:ascii="宋体" w:hAnsi="宋体" w:cs="宋体"/>
          <w:sz w:val="40"/>
          <w:szCs w:val="40"/>
          <w:highlight w:val="none"/>
        </w:rPr>
        <w:fldChar w:fldCharType="begin"/>
      </w:r>
      <w:r>
        <w:rPr>
          <w:rFonts w:hint="eastAsia" w:ascii="宋体" w:hAnsi="宋体" w:cs="宋体"/>
          <w:sz w:val="40"/>
          <w:szCs w:val="40"/>
          <w:highlight w:val="none"/>
        </w:rPr>
        <w:instrText xml:space="preserve"> TOC \o "1-1" \h \z \u </w:instrText>
      </w:r>
      <w:r>
        <w:rPr>
          <w:rFonts w:hint="eastAsia" w:ascii="宋体" w:hAnsi="宋体" w:cs="宋体"/>
          <w:sz w:val="40"/>
          <w:szCs w:val="40"/>
          <w:highlight w:val="none"/>
        </w:rPr>
        <w:fldChar w:fldCharType="separate"/>
      </w:r>
      <w:r>
        <w:rPr>
          <w:highlight w:val="none"/>
        </w:rPr>
        <w:fldChar w:fldCharType="begin"/>
      </w:r>
      <w:r>
        <w:rPr>
          <w:highlight w:val="none"/>
        </w:rPr>
        <w:instrText xml:space="preserve"> HYPERLINK \l "_Toc1236" </w:instrText>
      </w:r>
      <w:r>
        <w:rPr>
          <w:highlight w:val="none"/>
        </w:rPr>
        <w:fldChar w:fldCharType="separate"/>
      </w:r>
      <w:r>
        <w:rPr>
          <w:rFonts w:hint="eastAsia" w:ascii="宋体" w:hAnsi="宋体" w:cs="宋体"/>
          <w:sz w:val="24"/>
          <w:szCs w:val="48"/>
          <w:highlight w:val="none"/>
        </w:rPr>
        <w:t>第一部分  招标公告</w:t>
      </w:r>
      <w:r>
        <w:rPr>
          <w:sz w:val="24"/>
          <w:szCs w:val="24"/>
          <w:highlight w:val="none"/>
        </w:rPr>
        <w:tab/>
      </w:r>
      <w:r>
        <w:rPr>
          <w:sz w:val="24"/>
          <w:szCs w:val="24"/>
          <w:highlight w:val="none"/>
        </w:rPr>
        <w:fldChar w:fldCharType="begin"/>
      </w:r>
      <w:r>
        <w:rPr>
          <w:sz w:val="24"/>
          <w:szCs w:val="24"/>
          <w:highlight w:val="none"/>
        </w:rPr>
        <w:instrText xml:space="preserve"> PAGEREF _Toc1236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4"/>
          <w:highlight w:val="none"/>
        </w:rPr>
        <w:fldChar w:fldCharType="end"/>
      </w:r>
    </w:p>
    <w:p w14:paraId="51614D69">
      <w:pPr>
        <w:pStyle w:val="30"/>
        <w:tabs>
          <w:tab w:val="right" w:leader="dot" w:pos="9241"/>
        </w:tabs>
        <w:spacing w:line="480" w:lineRule="auto"/>
        <w:rPr>
          <w:sz w:val="24"/>
          <w:szCs w:val="24"/>
          <w:highlight w:val="none"/>
        </w:rPr>
      </w:pPr>
      <w:r>
        <w:rPr>
          <w:highlight w:val="none"/>
        </w:rPr>
        <w:fldChar w:fldCharType="begin"/>
      </w:r>
      <w:r>
        <w:rPr>
          <w:highlight w:val="none"/>
        </w:rPr>
        <w:instrText xml:space="preserve"> HYPERLINK \l "_Toc4759" </w:instrText>
      </w:r>
      <w:r>
        <w:rPr>
          <w:highlight w:val="none"/>
        </w:rPr>
        <w:fldChar w:fldCharType="separate"/>
      </w:r>
      <w:r>
        <w:rPr>
          <w:rFonts w:hint="eastAsia" w:ascii="宋体" w:hAnsi="宋体" w:cs="宋体"/>
          <w:sz w:val="24"/>
          <w:szCs w:val="48"/>
          <w:highlight w:val="none"/>
        </w:rPr>
        <w:t>第二部分  供应商须知</w:t>
      </w:r>
      <w:r>
        <w:rPr>
          <w:sz w:val="24"/>
          <w:szCs w:val="24"/>
          <w:highlight w:val="none"/>
        </w:rPr>
        <w:tab/>
      </w:r>
      <w:r>
        <w:rPr>
          <w:sz w:val="24"/>
          <w:szCs w:val="24"/>
          <w:highlight w:val="none"/>
        </w:rPr>
        <w:fldChar w:fldCharType="begin"/>
      </w:r>
      <w:r>
        <w:rPr>
          <w:sz w:val="24"/>
          <w:szCs w:val="24"/>
          <w:highlight w:val="none"/>
        </w:rPr>
        <w:instrText xml:space="preserve"> PAGEREF _Toc4759 \h </w:instrText>
      </w:r>
      <w:r>
        <w:rPr>
          <w:sz w:val="24"/>
          <w:szCs w:val="24"/>
          <w:highlight w:val="none"/>
        </w:rPr>
        <w:fldChar w:fldCharType="separate"/>
      </w:r>
      <w:r>
        <w:rPr>
          <w:sz w:val="24"/>
          <w:szCs w:val="24"/>
          <w:highlight w:val="none"/>
        </w:rPr>
        <w:t>4</w:t>
      </w:r>
      <w:r>
        <w:rPr>
          <w:sz w:val="24"/>
          <w:szCs w:val="24"/>
          <w:highlight w:val="none"/>
        </w:rPr>
        <w:fldChar w:fldCharType="end"/>
      </w:r>
      <w:r>
        <w:rPr>
          <w:sz w:val="24"/>
          <w:szCs w:val="24"/>
          <w:highlight w:val="none"/>
        </w:rPr>
        <w:fldChar w:fldCharType="end"/>
      </w:r>
    </w:p>
    <w:p w14:paraId="4EB69332">
      <w:pPr>
        <w:pStyle w:val="30"/>
        <w:tabs>
          <w:tab w:val="right" w:leader="dot" w:pos="9241"/>
        </w:tabs>
        <w:spacing w:line="480" w:lineRule="auto"/>
        <w:rPr>
          <w:sz w:val="24"/>
          <w:szCs w:val="24"/>
          <w:highlight w:val="none"/>
        </w:rPr>
      </w:pPr>
      <w:r>
        <w:rPr>
          <w:highlight w:val="none"/>
        </w:rPr>
        <w:fldChar w:fldCharType="begin"/>
      </w:r>
      <w:r>
        <w:rPr>
          <w:highlight w:val="none"/>
        </w:rPr>
        <w:instrText xml:space="preserve"> HYPERLINK \l "_Toc32763" </w:instrText>
      </w:r>
      <w:r>
        <w:rPr>
          <w:highlight w:val="none"/>
        </w:rPr>
        <w:fldChar w:fldCharType="separate"/>
      </w:r>
      <w:r>
        <w:rPr>
          <w:rFonts w:hint="eastAsia" w:ascii="宋体" w:hAnsi="宋体" w:cs="宋体"/>
          <w:sz w:val="24"/>
          <w:szCs w:val="24"/>
          <w:highlight w:val="none"/>
        </w:rPr>
        <w:t>第三部分  评标办法</w:t>
      </w:r>
      <w:r>
        <w:rPr>
          <w:sz w:val="24"/>
          <w:szCs w:val="24"/>
          <w:highlight w:val="none"/>
        </w:rPr>
        <w:tab/>
      </w:r>
      <w:r>
        <w:rPr>
          <w:sz w:val="24"/>
          <w:szCs w:val="24"/>
          <w:highlight w:val="none"/>
        </w:rPr>
        <w:fldChar w:fldCharType="begin"/>
      </w:r>
      <w:r>
        <w:rPr>
          <w:sz w:val="24"/>
          <w:szCs w:val="24"/>
          <w:highlight w:val="none"/>
        </w:rPr>
        <w:instrText xml:space="preserve"> PAGEREF _Toc32763 \h </w:instrText>
      </w:r>
      <w:r>
        <w:rPr>
          <w:sz w:val="24"/>
          <w:szCs w:val="24"/>
          <w:highlight w:val="none"/>
        </w:rPr>
        <w:fldChar w:fldCharType="separate"/>
      </w:r>
      <w:r>
        <w:rPr>
          <w:sz w:val="24"/>
          <w:szCs w:val="24"/>
          <w:highlight w:val="none"/>
        </w:rPr>
        <w:t>13</w:t>
      </w:r>
      <w:r>
        <w:rPr>
          <w:sz w:val="24"/>
          <w:szCs w:val="24"/>
          <w:highlight w:val="none"/>
        </w:rPr>
        <w:fldChar w:fldCharType="end"/>
      </w:r>
      <w:r>
        <w:rPr>
          <w:sz w:val="24"/>
          <w:szCs w:val="24"/>
          <w:highlight w:val="none"/>
        </w:rPr>
        <w:fldChar w:fldCharType="end"/>
      </w:r>
    </w:p>
    <w:p w14:paraId="12A0A1E0">
      <w:pPr>
        <w:pStyle w:val="30"/>
        <w:tabs>
          <w:tab w:val="right" w:leader="dot" w:pos="9241"/>
        </w:tabs>
        <w:spacing w:line="480" w:lineRule="auto"/>
        <w:rPr>
          <w:sz w:val="24"/>
          <w:szCs w:val="24"/>
          <w:highlight w:val="none"/>
        </w:rPr>
      </w:pPr>
      <w:r>
        <w:rPr>
          <w:highlight w:val="none"/>
        </w:rPr>
        <w:fldChar w:fldCharType="begin"/>
      </w:r>
      <w:r>
        <w:rPr>
          <w:highlight w:val="none"/>
        </w:rPr>
        <w:instrText xml:space="preserve"> HYPERLINK \l "_Toc11835" </w:instrText>
      </w:r>
      <w:r>
        <w:rPr>
          <w:highlight w:val="none"/>
        </w:rPr>
        <w:fldChar w:fldCharType="separate"/>
      </w:r>
      <w:r>
        <w:rPr>
          <w:rFonts w:hint="eastAsia" w:ascii="宋体" w:hAnsi="宋体" w:cs="宋体"/>
          <w:sz w:val="24"/>
          <w:szCs w:val="48"/>
          <w:highlight w:val="none"/>
        </w:rPr>
        <w:t xml:space="preserve">第四部分 </w:t>
      </w:r>
      <w:r>
        <w:rPr>
          <w:rFonts w:hint="eastAsia" w:ascii="宋体" w:hAnsi="宋体" w:cs="宋体"/>
          <w:sz w:val="24"/>
          <w:szCs w:val="48"/>
          <w:highlight w:val="none"/>
          <w:lang w:val="en-US" w:eastAsia="zh-CN"/>
        </w:rPr>
        <w:t xml:space="preserve"> </w:t>
      </w:r>
      <w:r>
        <w:rPr>
          <w:rFonts w:hint="eastAsia" w:ascii="宋体" w:hAnsi="宋体" w:cs="宋体"/>
          <w:sz w:val="24"/>
          <w:szCs w:val="48"/>
          <w:highlight w:val="none"/>
        </w:rPr>
        <w:t>采购需求</w:t>
      </w:r>
      <w:r>
        <w:rPr>
          <w:sz w:val="24"/>
          <w:szCs w:val="24"/>
          <w:highlight w:val="none"/>
        </w:rPr>
        <w:tab/>
      </w:r>
      <w:r>
        <w:rPr>
          <w:sz w:val="24"/>
          <w:szCs w:val="24"/>
          <w:highlight w:val="none"/>
        </w:rPr>
        <w:fldChar w:fldCharType="begin"/>
      </w:r>
      <w:r>
        <w:rPr>
          <w:sz w:val="24"/>
          <w:szCs w:val="24"/>
          <w:highlight w:val="none"/>
        </w:rPr>
        <w:instrText xml:space="preserve"> PAGEREF _Toc11835 \h </w:instrText>
      </w:r>
      <w:r>
        <w:rPr>
          <w:sz w:val="24"/>
          <w:szCs w:val="24"/>
          <w:highlight w:val="none"/>
        </w:rPr>
        <w:fldChar w:fldCharType="separate"/>
      </w:r>
      <w:r>
        <w:rPr>
          <w:sz w:val="24"/>
          <w:szCs w:val="24"/>
          <w:highlight w:val="none"/>
        </w:rPr>
        <w:t>19</w:t>
      </w:r>
      <w:r>
        <w:rPr>
          <w:sz w:val="24"/>
          <w:szCs w:val="24"/>
          <w:highlight w:val="none"/>
        </w:rPr>
        <w:fldChar w:fldCharType="end"/>
      </w:r>
      <w:r>
        <w:rPr>
          <w:sz w:val="24"/>
          <w:szCs w:val="24"/>
          <w:highlight w:val="none"/>
        </w:rPr>
        <w:fldChar w:fldCharType="end"/>
      </w:r>
    </w:p>
    <w:p w14:paraId="698B3E17">
      <w:pPr>
        <w:pStyle w:val="30"/>
        <w:tabs>
          <w:tab w:val="right" w:leader="dot" w:pos="9241"/>
        </w:tabs>
        <w:spacing w:line="480" w:lineRule="auto"/>
        <w:rPr>
          <w:rFonts w:hint="eastAsia" w:eastAsia="宋体"/>
          <w:sz w:val="24"/>
          <w:szCs w:val="24"/>
          <w:highlight w:val="none"/>
          <w:lang w:val="en-US" w:eastAsia="zh-CN"/>
        </w:rPr>
      </w:pPr>
      <w:r>
        <w:rPr>
          <w:highlight w:val="none"/>
        </w:rPr>
        <w:fldChar w:fldCharType="begin"/>
      </w:r>
      <w:r>
        <w:rPr>
          <w:highlight w:val="none"/>
        </w:rPr>
        <w:instrText xml:space="preserve"> HYPERLINK \l "_Toc20708" </w:instrText>
      </w:r>
      <w:r>
        <w:rPr>
          <w:highlight w:val="none"/>
        </w:rPr>
        <w:fldChar w:fldCharType="separate"/>
      </w:r>
      <w:r>
        <w:rPr>
          <w:rFonts w:hint="eastAsia" w:ascii="宋体" w:hAnsi="宋体" w:cs="宋体"/>
          <w:sz w:val="24"/>
          <w:szCs w:val="48"/>
          <w:highlight w:val="none"/>
        </w:rPr>
        <w:t>第五部分  合同格式</w:t>
      </w:r>
      <w:r>
        <w:rPr>
          <w:sz w:val="24"/>
          <w:szCs w:val="24"/>
          <w:highlight w:val="none"/>
        </w:rPr>
        <w:tab/>
      </w:r>
      <w:r>
        <w:rPr>
          <w:rFonts w:hint="eastAsia"/>
          <w:sz w:val="24"/>
          <w:szCs w:val="24"/>
          <w:highlight w:val="none"/>
          <w:lang w:val="en-US" w:eastAsia="zh-CN"/>
        </w:rPr>
        <w:t>5</w:t>
      </w:r>
      <w:r>
        <w:rPr>
          <w:sz w:val="24"/>
          <w:szCs w:val="24"/>
          <w:highlight w:val="none"/>
        </w:rPr>
        <w:fldChar w:fldCharType="end"/>
      </w:r>
      <w:r>
        <w:rPr>
          <w:rFonts w:hint="eastAsia"/>
          <w:sz w:val="24"/>
          <w:szCs w:val="24"/>
          <w:highlight w:val="none"/>
          <w:lang w:val="en-US" w:eastAsia="zh-CN"/>
        </w:rPr>
        <w:t>0</w:t>
      </w:r>
    </w:p>
    <w:p w14:paraId="1A2B35A7">
      <w:pPr>
        <w:pStyle w:val="30"/>
        <w:tabs>
          <w:tab w:val="right" w:leader="dot" w:pos="9241"/>
        </w:tabs>
        <w:spacing w:line="480" w:lineRule="auto"/>
        <w:rPr>
          <w:sz w:val="24"/>
          <w:szCs w:val="24"/>
          <w:highlight w:val="none"/>
        </w:rPr>
      </w:pPr>
      <w:r>
        <w:rPr>
          <w:highlight w:val="none"/>
        </w:rPr>
        <w:fldChar w:fldCharType="begin"/>
      </w:r>
      <w:r>
        <w:rPr>
          <w:highlight w:val="none"/>
        </w:rPr>
        <w:instrText xml:space="preserve"> HYPERLINK \l "_Toc28313" </w:instrText>
      </w:r>
      <w:r>
        <w:rPr>
          <w:highlight w:val="none"/>
        </w:rPr>
        <w:fldChar w:fldCharType="separate"/>
      </w:r>
      <w:r>
        <w:rPr>
          <w:rFonts w:hint="eastAsia" w:ascii="宋体" w:hAnsi="宋体" w:cs="宋体"/>
          <w:sz w:val="24"/>
          <w:szCs w:val="48"/>
          <w:highlight w:val="none"/>
        </w:rPr>
        <w:t>第六部分  投标文件格式</w:t>
      </w:r>
      <w:r>
        <w:rPr>
          <w:sz w:val="24"/>
          <w:szCs w:val="24"/>
          <w:highlight w:val="none"/>
        </w:rPr>
        <w:tab/>
      </w:r>
      <w:r>
        <w:rPr>
          <w:sz w:val="24"/>
          <w:szCs w:val="24"/>
          <w:highlight w:val="none"/>
        </w:rPr>
        <w:fldChar w:fldCharType="begin"/>
      </w:r>
      <w:r>
        <w:rPr>
          <w:sz w:val="24"/>
          <w:szCs w:val="24"/>
          <w:highlight w:val="none"/>
        </w:rPr>
        <w:instrText xml:space="preserve"> PAGEREF _Toc28313 \h </w:instrText>
      </w:r>
      <w:r>
        <w:rPr>
          <w:sz w:val="24"/>
          <w:szCs w:val="24"/>
          <w:highlight w:val="none"/>
        </w:rPr>
        <w:fldChar w:fldCharType="separate"/>
      </w:r>
      <w:r>
        <w:rPr>
          <w:sz w:val="24"/>
          <w:szCs w:val="24"/>
          <w:highlight w:val="none"/>
        </w:rPr>
        <w:t>52</w:t>
      </w:r>
      <w:r>
        <w:rPr>
          <w:sz w:val="24"/>
          <w:szCs w:val="24"/>
          <w:highlight w:val="none"/>
        </w:rPr>
        <w:fldChar w:fldCharType="end"/>
      </w:r>
      <w:r>
        <w:rPr>
          <w:sz w:val="24"/>
          <w:szCs w:val="24"/>
          <w:highlight w:val="none"/>
        </w:rPr>
        <w:fldChar w:fldCharType="end"/>
      </w:r>
    </w:p>
    <w:p w14:paraId="75A30258">
      <w:pPr>
        <w:pStyle w:val="30"/>
        <w:tabs>
          <w:tab w:val="right" w:leader="dot" w:pos="9241"/>
        </w:tabs>
        <w:spacing w:line="480" w:lineRule="auto"/>
        <w:rPr>
          <w:rFonts w:ascii="宋体" w:hAnsi="宋体" w:cs="宋体"/>
          <w:sz w:val="40"/>
          <w:szCs w:val="40"/>
          <w:highlight w:val="none"/>
        </w:rPr>
      </w:pPr>
      <w:r>
        <w:rPr>
          <w:rFonts w:hint="eastAsia" w:ascii="宋体" w:hAnsi="宋体" w:cs="宋体"/>
          <w:sz w:val="24"/>
          <w:szCs w:val="40"/>
          <w:highlight w:val="none"/>
        </w:rPr>
        <w:fldChar w:fldCharType="end"/>
      </w:r>
    </w:p>
    <w:bookmarkEnd w:id="1"/>
    <w:p w14:paraId="40748094">
      <w:pPr>
        <w:rPr>
          <w:rFonts w:ascii="宋体" w:hAnsi="宋体" w:cs="宋体"/>
          <w:highlight w:val="none"/>
        </w:rPr>
      </w:pPr>
      <w:r>
        <w:rPr>
          <w:rFonts w:hint="eastAsia" w:ascii="宋体" w:hAnsi="宋体" w:cs="宋体"/>
          <w:highlight w:val="none"/>
        </w:rPr>
        <w:br w:type="page"/>
      </w:r>
    </w:p>
    <w:p w14:paraId="4A630B26">
      <w:pPr>
        <w:pStyle w:val="17"/>
        <w:rPr>
          <w:highlight w:val="none"/>
        </w:rPr>
        <w:sectPr>
          <w:footerReference r:id="rId7" w:type="first"/>
          <w:footerReference r:id="rId6" w:type="default"/>
          <w:pgSz w:w="11906" w:h="16838"/>
          <w:pgMar w:top="1418" w:right="1247" w:bottom="1418" w:left="1418" w:header="851" w:footer="992" w:gutter="0"/>
          <w:pgNumType w:start="1"/>
          <w:cols w:space="720" w:num="1"/>
          <w:docGrid w:linePitch="312" w:charSpace="0"/>
        </w:sectPr>
      </w:pPr>
      <w:bookmarkStart w:id="61" w:name="_GoBack"/>
      <w:bookmarkEnd w:id="61"/>
    </w:p>
    <w:p w14:paraId="5619CBE2">
      <w:pPr>
        <w:pStyle w:val="3"/>
        <w:spacing w:before="0" w:after="0" w:line="360" w:lineRule="auto"/>
        <w:jc w:val="center"/>
        <w:rPr>
          <w:rFonts w:ascii="宋体" w:hAnsi="宋体" w:cs="宋体"/>
          <w:sz w:val="36"/>
          <w:szCs w:val="36"/>
        </w:rPr>
      </w:pPr>
      <w:bookmarkStart w:id="2" w:name="_Toc1236"/>
      <w:r>
        <w:rPr>
          <w:rFonts w:hint="eastAsia" w:ascii="宋体" w:hAnsi="宋体" w:cs="宋体"/>
          <w:sz w:val="36"/>
          <w:szCs w:val="36"/>
        </w:rPr>
        <w:t>第一部分  招标公告</w:t>
      </w:r>
      <w:bookmarkEnd w:id="2"/>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7"/>
      </w:tblGrid>
      <w:tr w14:paraId="7418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81B7BC9">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项目概况</w:t>
            </w:r>
          </w:p>
          <w:p w14:paraId="3F8CC8E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ascii="宋体" w:hAnsi="宋体" w:cs="宋体"/>
                <w:sz w:val="24"/>
                <w:szCs w:val="24"/>
              </w:rPr>
            </w:pPr>
            <w:r>
              <w:rPr>
                <w:rFonts w:hint="eastAsia" w:ascii="宋体" w:hAnsi="宋体" w:cs="宋体"/>
                <w:sz w:val="24"/>
                <w:szCs w:val="24"/>
                <w:highlight w:val="none"/>
                <w:lang w:eastAsia="zh-CN"/>
              </w:rPr>
              <w:t>长春工业大学高质量发展-学科建设-智能网联汽车科研创新平台建设项目</w:t>
            </w:r>
            <w:r>
              <w:rPr>
                <w:rFonts w:hint="eastAsia" w:ascii="宋体" w:hAnsi="宋体" w:cs="宋体"/>
                <w:sz w:val="24"/>
                <w:szCs w:val="24"/>
                <w:highlight w:val="none"/>
              </w:rPr>
              <w:t>的潜在供应商应</w:t>
            </w:r>
            <w:r>
              <w:rPr>
                <w:rFonts w:hint="eastAsia" w:ascii="宋体" w:hAnsi="宋体" w:cs="宋体"/>
                <w:sz w:val="24"/>
                <w:szCs w:val="24"/>
                <w:highlight w:val="none"/>
                <w:lang w:eastAsia="zh-CN"/>
              </w:rPr>
              <w:t>在“政采云”平台（网址：http://www.zcygov.cn）</w:t>
            </w:r>
            <w:r>
              <w:rPr>
                <w:rFonts w:hint="eastAsia" w:ascii="宋体" w:hAnsi="宋体" w:cs="宋体"/>
                <w:sz w:val="24"/>
                <w:szCs w:val="24"/>
                <w:highlight w:val="none"/>
              </w:rPr>
              <w:t>获取招标</w:t>
            </w:r>
            <w:r>
              <w:rPr>
                <w:rFonts w:hint="eastAsia" w:ascii="宋体" w:hAnsi="宋体" w:cs="宋体"/>
                <w:color w:val="auto"/>
                <w:sz w:val="24"/>
                <w:szCs w:val="24"/>
                <w:highlight w:val="none"/>
              </w:rPr>
              <w:t>文件，并于</w:t>
            </w:r>
            <w:r>
              <w:rPr>
                <w:rFonts w:hint="eastAsia" w:ascii="宋体" w:hAnsi="宋体" w:cs="宋体"/>
                <w:color w:val="auto"/>
                <w:sz w:val="24"/>
                <w:szCs w:val="24"/>
                <w:highlight w:val="none"/>
                <w:lang w:eastAsia="zh-CN"/>
              </w:rPr>
              <w:t>2025年3月4日9时30分</w:t>
            </w:r>
            <w:r>
              <w:rPr>
                <w:rFonts w:hint="eastAsia" w:ascii="宋体" w:hAnsi="宋体" w:cs="宋体"/>
                <w:color w:val="auto"/>
                <w:sz w:val="24"/>
                <w:szCs w:val="24"/>
                <w:highlight w:val="none"/>
              </w:rPr>
              <w:t>（北京时间）前提交投标文件。</w:t>
            </w:r>
          </w:p>
        </w:tc>
      </w:tr>
    </w:tbl>
    <w:p w14:paraId="4A38FB79">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r>
        <w:rPr>
          <w:rFonts w:hint="eastAsia" w:ascii="宋体" w:hAnsi="宋体" w:cs="宋体"/>
          <w:b/>
          <w:sz w:val="24"/>
          <w:szCs w:val="24"/>
        </w:rPr>
        <w:t>一、项目基本情况</w:t>
      </w:r>
    </w:p>
    <w:p w14:paraId="5BA7D1B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sz w:val="24"/>
          <w:szCs w:val="24"/>
        </w:rPr>
      </w:pPr>
      <w:r>
        <w:rPr>
          <w:rFonts w:hint="eastAsia" w:ascii="宋体" w:hAnsi="宋体" w:cs="宋体"/>
          <w:sz w:val="24"/>
          <w:szCs w:val="24"/>
        </w:rPr>
        <w:t>项目编号：</w:t>
      </w:r>
      <w:r>
        <w:rPr>
          <w:rFonts w:hint="eastAsia" w:ascii="宋体" w:hAnsi="宋体" w:cs="宋体"/>
          <w:color w:val="auto"/>
          <w:sz w:val="24"/>
          <w:szCs w:val="24"/>
          <w:lang w:eastAsia="zh-CN"/>
        </w:rPr>
        <w:t>采购计划-[2025]-00259号-JLJJ-HWZB-20250201</w:t>
      </w:r>
      <w:r>
        <w:rPr>
          <w:rFonts w:hint="eastAsia" w:ascii="宋体" w:hAnsi="宋体" w:cs="宋体"/>
          <w:color w:val="auto"/>
          <w:sz w:val="24"/>
          <w:szCs w:val="24"/>
        </w:rPr>
        <w:t>；</w:t>
      </w:r>
    </w:p>
    <w:p w14:paraId="03941CB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采购计划编号：</w:t>
      </w:r>
      <w:r>
        <w:rPr>
          <w:rFonts w:hint="eastAsia" w:ascii="宋体" w:hAnsi="宋体" w:cs="宋体"/>
          <w:color w:val="auto"/>
          <w:sz w:val="24"/>
          <w:szCs w:val="24"/>
          <w:lang w:eastAsia="zh-CN"/>
        </w:rPr>
        <w:t>采购计划-[2025]-00259号</w:t>
      </w:r>
      <w:r>
        <w:rPr>
          <w:rFonts w:hint="eastAsia" w:ascii="宋体" w:hAnsi="宋体" w:cs="宋体"/>
          <w:color w:val="auto"/>
          <w:sz w:val="24"/>
          <w:szCs w:val="24"/>
        </w:rPr>
        <w:t>；</w:t>
      </w:r>
    </w:p>
    <w:p w14:paraId="08CBA8A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长春工业大学高质量发展-学科建设-智能网联汽车科研创新平台建设项目</w:t>
      </w:r>
      <w:r>
        <w:rPr>
          <w:rFonts w:hint="eastAsia" w:ascii="宋体" w:hAnsi="宋体" w:cs="宋体"/>
          <w:sz w:val="24"/>
          <w:szCs w:val="24"/>
        </w:rPr>
        <w:t>；</w:t>
      </w:r>
    </w:p>
    <w:p w14:paraId="4403CBB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预算金额（最高限价）：</w:t>
      </w:r>
      <w:r>
        <w:rPr>
          <w:rFonts w:hint="eastAsia" w:ascii="宋体" w:hAnsi="宋体" w:cs="宋体"/>
          <w:sz w:val="24"/>
          <w:szCs w:val="24"/>
          <w:lang w:eastAsia="zh-CN"/>
        </w:rPr>
        <w:t>393万元</w:t>
      </w:r>
      <w:r>
        <w:rPr>
          <w:rFonts w:hint="eastAsia" w:ascii="宋体" w:hAnsi="宋体" w:cs="宋体"/>
          <w:sz w:val="24"/>
          <w:szCs w:val="24"/>
        </w:rPr>
        <w:t>；</w:t>
      </w:r>
    </w:p>
    <w:p w14:paraId="7D389E6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采购需求：</w:t>
      </w:r>
      <w:r>
        <w:rPr>
          <w:rFonts w:hint="eastAsia" w:ascii="宋体" w:hAnsi="宋体" w:cs="宋体"/>
          <w:sz w:val="24"/>
          <w:szCs w:val="24"/>
          <w:lang w:eastAsia="zh-CN"/>
        </w:rPr>
        <w:t>长春工业大学高质量发展-学科建设-智能网联汽车科研创新平台建设项目</w:t>
      </w:r>
      <w:r>
        <w:rPr>
          <w:rFonts w:hint="eastAsia" w:ascii="宋体" w:hAnsi="宋体" w:cs="宋体"/>
          <w:sz w:val="24"/>
          <w:szCs w:val="24"/>
        </w:rPr>
        <w:t>（具体详见招标文件第四部分采购需求）；</w:t>
      </w:r>
    </w:p>
    <w:p w14:paraId="613756D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合同履行期限（供货期）：</w:t>
      </w:r>
      <w:r>
        <w:rPr>
          <w:rFonts w:hint="eastAsia" w:ascii="宋体" w:hAnsi="宋体" w:cs="宋体"/>
          <w:sz w:val="24"/>
          <w:szCs w:val="24"/>
          <w:lang w:val="zh-CN"/>
        </w:rPr>
        <w:t>合同订立后60天</w:t>
      </w:r>
      <w:r>
        <w:rPr>
          <w:rFonts w:hint="eastAsia" w:ascii="宋体" w:hAnsi="宋体" w:cs="宋体"/>
          <w:sz w:val="24"/>
          <w:szCs w:val="24"/>
        </w:rPr>
        <w:t>；</w:t>
      </w:r>
    </w:p>
    <w:p w14:paraId="176F34F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供货地点：</w:t>
      </w:r>
      <w:r>
        <w:rPr>
          <w:rFonts w:hint="eastAsia" w:ascii="宋体" w:hAnsi="宋体" w:cs="宋体"/>
          <w:sz w:val="24"/>
          <w:szCs w:val="24"/>
          <w:lang w:eastAsia="zh-CN"/>
        </w:rPr>
        <w:t>长春工业大学指定地点</w:t>
      </w:r>
      <w:r>
        <w:rPr>
          <w:rFonts w:hint="eastAsia" w:ascii="宋体" w:hAnsi="宋体" w:cs="宋体"/>
          <w:sz w:val="24"/>
          <w:szCs w:val="24"/>
        </w:rPr>
        <w:t>；</w:t>
      </w:r>
    </w:p>
    <w:p w14:paraId="60F1DF3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质量标准：符合国家及相关行业合格标准；</w:t>
      </w:r>
    </w:p>
    <w:p w14:paraId="11210F2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本项目不接受联合体投标。</w:t>
      </w:r>
    </w:p>
    <w:p w14:paraId="235A5D79">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bookmarkStart w:id="3" w:name="_Toc35393791"/>
      <w:bookmarkStart w:id="4" w:name="_Toc28359003"/>
      <w:bookmarkStart w:id="5" w:name="_Toc28359080"/>
      <w:bookmarkStart w:id="6" w:name="_Toc35393622"/>
      <w:r>
        <w:rPr>
          <w:rFonts w:hint="eastAsia" w:ascii="宋体" w:hAnsi="宋体" w:cs="宋体"/>
          <w:b/>
          <w:sz w:val="24"/>
          <w:szCs w:val="24"/>
        </w:rPr>
        <w:t>二、申请人的资格要求：</w:t>
      </w:r>
      <w:bookmarkEnd w:id="3"/>
      <w:bookmarkEnd w:id="4"/>
      <w:bookmarkEnd w:id="5"/>
      <w:bookmarkEnd w:id="6"/>
    </w:p>
    <w:p w14:paraId="0B58556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14:paraId="514C40BF">
      <w:pPr>
        <w:keepNext w:val="0"/>
        <w:keepLines w:val="0"/>
        <w:pageBreakBefore w:val="0"/>
        <w:kinsoku/>
        <w:wordWrap/>
        <w:overflowPunct/>
        <w:topLinePunct w:val="0"/>
        <w:autoSpaceDE/>
        <w:autoSpaceDN/>
        <w:bidi w:val="0"/>
        <w:adjustRightInd/>
        <w:snapToGrid/>
        <w:spacing w:line="312" w:lineRule="auto"/>
        <w:ind w:firstLine="480" w:firstLineChars="200"/>
        <w:textAlignment w:val="auto"/>
      </w:pPr>
      <w:bookmarkStart w:id="7" w:name="_Toc28359081"/>
      <w:bookmarkStart w:id="8" w:name="_Toc28359004"/>
      <w:r>
        <w:rPr>
          <w:rFonts w:hint="eastAsia" w:ascii="宋体" w:hAnsi="宋体" w:cs="宋体"/>
          <w:sz w:val="24"/>
          <w:szCs w:val="24"/>
        </w:rPr>
        <w:t>2.落实政府采购政策需满足的资格要求：</w:t>
      </w:r>
      <w:r>
        <w:rPr>
          <w:rFonts w:hint="eastAsia" w:ascii="宋体" w:hAnsi="宋体" w:cs="宋体"/>
          <w:sz w:val="24"/>
          <w:szCs w:val="24"/>
          <w:highlight w:val="none"/>
        </w:rPr>
        <w:t>本项目非专门面向中小企业</w:t>
      </w:r>
      <w:r>
        <w:rPr>
          <w:rFonts w:hint="eastAsia" w:ascii="宋体" w:hAnsi="宋体" w:cs="宋体"/>
          <w:sz w:val="24"/>
          <w:szCs w:val="24"/>
        </w:rPr>
        <w:t>；</w:t>
      </w:r>
    </w:p>
    <w:p w14:paraId="56A9B3E4">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lang w:val="zh-CN"/>
        </w:rPr>
      </w:pPr>
      <w:r>
        <w:rPr>
          <w:rFonts w:hint="eastAsia" w:ascii="宋体" w:hAnsi="宋体" w:cs="宋体"/>
          <w:sz w:val="24"/>
          <w:szCs w:val="24"/>
        </w:rPr>
        <w:t>需要落实的政府采购政策：《政府采购促进中小企业发展管理办法》(财库[2020]46号) 、《关于进一步加大政府采购支持中小企业力度的通知》（财库[2022]19号）、《关于政府采购支持监狱企业发展有关问题的通知》(财库〔2014〕68 号)、《关于促进残疾人就业政府采购政策的通知》（财库〔2017〕141 号)、《关于调整优化节能产品、环境标志产品政府采购执行机制的通知》（财库〔2019〕9号）等。</w:t>
      </w:r>
      <w:r>
        <w:rPr>
          <w:rFonts w:hint="eastAsia" w:ascii="宋体" w:hAnsi="宋体" w:cs="宋体"/>
          <w:sz w:val="24"/>
          <w:szCs w:val="24"/>
          <w:lang w:val="zh-CN"/>
        </w:rPr>
        <w:t>专门面向中小企业采购的项目或者采购包，不再执行价格评审优惠的扶持政策。</w:t>
      </w:r>
    </w:p>
    <w:p w14:paraId="369A1C8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3.本项目的特定资格要求：</w:t>
      </w:r>
    </w:p>
    <w:p w14:paraId="3D06BF4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3.1供应商须是具有独立法人资格的企业或其他组织，具有有效营业执照；</w:t>
      </w:r>
    </w:p>
    <w:p w14:paraId="64199F3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3.2拒绝列入政府取消投标资格记录期间的企业或个人投标；</w:t>
      </w:r>
    </w:p>
    <w:p w14:paraId="55F5CCD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3.3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ascii="宋体" w:hAnsi="宋体" w:cs="宋体"/>
          <w:sz w:val="24"/>
          <w:szCs w:val="24"/>
          <w:lang w:eastAsia="zh-CN"/>
        </w:rPr>
        <w:t>在2022年至今供应商和其法定代表人在“中国裁判文书网”</w:t>
      </w:r>
      <w:r>
        <w:rPr>
          <w:rFonts w:hint="eastAsia" w:ascii="宋体" w:hAnsi="宋体" w:cs="宋体"/>
          <w:sz w:val="24"/>
          <w:szCs w:val="24"/>
        </w:rPr>
        <w:t>(wenshu.court.gov.cn)上无行贿犯罪行为；</w:t>
      </w:r>
    </w:p>
    <w:p w14:paraId="7A25F77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rPr>
      </w:pPr>
      <w:r>
        <w:rPr>
          <w:rFonts w:hint="eastAsia" w:ascii="宋体" w:hAnsi="宋体" w:cs="宋体"/>
          <w:sz w:val="24"/>
          <w:szCs w:val="24"/>
        </w:rPr>
        <w:t>3.4与采购人存在利害关系可能影响招标公正性的法人、其他组织或者个人，不得参加本项目投标；单位负责人为同一人或者存在直接控股、管理关系的不同供应商，不得参加同一合同项下的政府采购活动；</w:t>
      </w:r>
    </w:p>
    <w:p w14:paraId="7DC77D6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rPr>
      </w:pPr>
      <w:r>
        <w:rPr>
          <w:rFonts w:hint="eastAsia" w:ascii="宋体" w:hAnsi="宋体" w:cs="宋体"/>
          <w:sz w:val="24"/>
          <w:szCs w:val="24"/>
        </w:rPr>
        <w:t>3.5参加政府采购活动前三年内，在经营活动中没有重大违法记录。</w:t>
      </w:r>
    </w:p>
    <w:p w14:paraId="6A5CBC19">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bookmarkStart w:id="9" w:name="_Toc35393623"/>
      <w:bookmarkStart w:id="10" w:name="_Toc35393792"/>
      <w:r>
        <w:rPr>
          <w:rFonts w:hint="eastAsia" w:ascii="宋体" w:hAnsi="宋体" w:cs="宋体"/>
          <w:b/>
          <w:sz w:val="24"/>
          <w:szCs w:val="24"/>
        </w:rPr>
        <w:t>三、获取招标文件</w:t>
      </w:r>
      <w:bookmarkEnd w:id="7"/>
      <w:bookmarkEnd w:id="8"/>
      <w:bookmarkEnd w:id="9"/>
      <w:bookmarkEnd w:id="10"/>
    </w:p>
    <w:p w14:paraId="30FA205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2025年</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日至2025年</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每天00时至23时59分</w:t>
      </w:r>
      <w:r>
        <w:rPr>
          <w:rFonts w:hint="eastAsia" w:ascii="宋体" w:hAnsi="宋体" w:eastAsia="宋体" w:cs="宋体"/>
          <w:color w:val="auto"/>
          <w:sz w:val="24"/>
          <w:szCs w:val="24"/>
        </w:rPr>
        <w:t>；</w:t>
      </w:r>
    </w:p>
    <w:p w14:paraId="794996E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2.方式：潜在投标人自行登录</w:t>
      </w:r>
      <w:r>
        <w:rPr>
          <w:rFonts w:hint="eastAsia" w:ascii="宋体" w:hAnsi="宋体" w:cs="宋体"/>
          <w:color w:val="auto"/>
          <w:sz w:val="24"/>
          <w:szCs w:val="24"/>
          <w:lang w:eastAsia="zh-CN"/>
        </w:rPr>
        <w:t>“政采云”平台</w:t>
      </w:r>
      <w:r>
        <w:rPr>
          <w:rFonts w:hint="eastAsia" w:ascii="宋体" w:hAnsi="宋体" w:eastAsia="宋体" w:cs="宋体"/>
          <w:color w:val="auto"/>
          <w:sz w:val="24"/>
          <w:szCs w:val="24"/>
        </w:rPr>
        <w:t>（网址：http:// www.zcygov.cn）按要求下载采购文件（操作路径：登录“政采云”平台-项目采购-获取采购文件-找到本项</w:t>
      </w:r>
      <w:r>
        <w:rPr>
          <w:rFonts w:hint="eastAsia" w:ascii="宋体" w:hAnsi="宋体" w:eastAsia="宋体" w:cs="宋体"/>
          <w:sz w:val="24"/>
          <w:szCs w:val="24"/>
        </w:rPr>
        <w:t>目-点击“申请获取采购文件”），其他途径获取的采购文件开标时一律按无效投标处理；</w:t>
      </w:r>
    </w:p>
    <w:p w14:paraId="229AFE1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sz w:val="24"/>
          <w:szCs w:val="24"/>
        </w:rPr>
      </w:pPr>
      <w:r>
        <w:rPr>
          <w:rFonts w:hint="eastAsia" w:ascii="宋体" w:hAnsi="宋体" w:eastAsia="宋体" w:cs="宋体"/>
          <w:color w:val="auto"/>
          <w:sz w:val="24"/>
          <w:szCs w:val="24"/>
          <w:lang w:val="zh-CN"/>
        </w:rPr>
        <w:t>售价：0元。</w:t>
      </w:r>
    </w:p>
    <w:p w14:paraId="6EE38E18">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color w:val="auto"/>
          <w:sz w:val="24"/>
          <w:szCs w:val="24"/>
        </w:rPr>
      </w:pPr>
      <w:r>
        <w:rPr>
          <w:rFonts w:hint="eastAsia" w:ascii="宋体" w:hAnsi="宋体" w:cs="宋体"/>
          <w:b/>
          <w:color w:val="auto"/>
          <w:sz w:val="24"/>
          <w:szCs w:val="24"/>
        </w:rPr>
        <w:t>四、</w:t>
      </w:r>
      <w:r>
        <w:rPr>
          <w:rFonts w:hint="eastAsia" w:ascii="宋体" w:hAnsi="宋体" w:eastAsia="宋体" w:cs="宋体"/>
          <w:b/>
          <w:color w:val="auto"/>
          <w:sz w:val="24"/>
          <w:szCs w:val="24"/>
        </w:rPr>
        <w:t>提交投标文件截止时间、开标时间和地点</w:t>
      </w:r>
    </w:p>
    <w:p w14:paraId="192BAB5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bookmarkStart w:id="11" w:name="_Toc28359007"/>
      <w:bookmarkStart w:id="12" w:name="_Toc35393625"/>
      <w:bookmarkStart w:id="13" w:name="_Toc35393794"/>
      <w:bookmarkStart w:id="14" w:name="_Toc28359084"/>
      <w:r>
        <w:rPr>
          <w:rFonts w:hint="eastAsia" w:ascii="宋体" w:hAnsi="宋体" w:eastAsia="宋体" w:cs="宋体"/>
          <w:color w:val="auto"/>
          <w:sz w:val="24"/>
          <w:szCs w:val="24"/>
          <w:highlight w:val="none"/>
          <w:lang w:val="en-US" w:eastAsia="zh-CN"/>
        </w:rPr>
        <w:t>1.截止时间：</w:t>
      </w:r>
      <w:r>
        <w:rPr>
          <w:rFonts w:hint="eastAsia" w:ascii="宋体" w:hAnsi="宋体" w:cs="宋体"/>
          <w:color w:val="auto"/>
          <w:sz w:val="24"/>
          <w:szCs w:val="24"/>
          <w:highlight w:val="none"/>
          <w:lang w:val="en-US" w:eastAsia="zh-CN"/>
        </w:rPr>
        <w:t>2025年3月4日9时30分</w:t>
      </w:r>
      <w:r>
        <w:rPr>
          <w:rFonts w:hint="eastAsia" w:ascii="宋体" w:hAnsi="宋体" w:eastAsia="宋体" w:cs="宋体"/>
          <w:color w:val="auto"/>
          <w:sz w:val="24"/>
          <w:szCs w:val="24"/>
          <w:highlight w:val="none"/>
          <w:lang w:val="en-US" w:eastAsia="zh-CN"/>
        </w:rPr>
        <w:t>（北京时间）；</w:t>
      </w:r>
    </w:p>
    <w:p w14:paraId="655FA9C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2.地点：长春市二道区洋浦大街凯利中心AB栋101室，开标室四室；</w:t>
      </w:r>
    </w:p>
    <w:p w14:paraId="7DC787D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提交方式：本项目为全流程电子化项目，通过“政采云”平台（http：//www.zcygov.cn）实行在线电子投标，投标人应先安装“政采云投标客户端”（请自行前往“政采云”平台进行下载），并按照本项目采购文件和“政采云”平台的要求编制、加密后在投标文件截止时间前通过网络上传至“政采云”平台，投标人在“政采云”平台提交电子版投标文件时，请填写参加采购活动经办人联系方式。电子投标文件解密期限及方式：开启时间后30分钟内，由投标人持制作该电子投标文件的同一数字证书（CA锁）及电脑进行远程解密（各投标人在开标前及网上开评标系统公布投标人名单前，不要提前进行远程解密）。</w:t>
      </w:r>
    </w:p>
    <w:p w14:paraId="721AB338">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bCs/>
          <w:sz w:val="24"/>
          <w:szCs w:val="24"/>
        </w:rPr>
      </w:pPr>
      <w:r>
        <w:rPr>
          <w:rFonts w:hint="eastAsia" w:ascii="宋体" w:hAnsi="宋体" w:cs="宋体"/>
          <w:b/>
          <w:bCs/>
          <w:sz w:val="24"/>
          <w:szCs w:val="24"/>
        </w:rPr>
        <w:t>五、公告期限</w:t>
      </w:r>
      <w:bookmarkEnd w:id="11"/>
      <w:bookmarkEnd w:id="12"/>
      <w:bookmarkEnd w:id="13"/>
      <w:bookmarkEnd w:id="14"/>
    </w:p>
    <w:p w14:paraId="49E4316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kern w:val="2"/>
          <w:sz w:val="24"/>
          <w:szCs w:val="24"/>
        </w:rPr>
        <w:t>自本公告发布之日起5个工作日</w:t>
      </w:r>
      <w:r>
        <w:rPr>
          <w:rFonts w:hint="eastAsia" w:ascii="宋体" w:hAnsi="宋体" w:cs="宋体"/>
          <w:sz w:val="24"/>
          <w:szCs w:val="24"/>
        </w:rPr>
        <w:t>。</w:t>
      </w:r>
    </w:p>
    <w:p w14:paraId="46FC3AB6">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r>
        <w:rPr>
          <w:rFonts w:hint="eastAsia" w:ascii="宋体" w:hAnsi="宋体" w:cs="宋体"/>
          <w:b/>
          <w:sz w:val="24"/>
          <w:szCs w:val="24"/>
        </w:rPr>
        <w:t>六、其他补充事宜</w:t>
      </w:r>
    </w:p>
    <w:p w14:paraId="5E8B07D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bookmarkStart w:id="15" w:name="_Toc28359085"/>
      <w:bookmarkStart w:id="16" w:name="_Toc28359008"/>
      <w:bookmarkStart w:id="17" w:name="_Toc35393796"/>
      <w:bookmarkStart w:id="18" w:name="_Toc35393627"/>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采购公告发布媒介</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政采云平台</w:t>
      </w:r>
      <w:r>
        <w:rPr>
          <w:rFonts w:hint="eastAsia" w:ascii="宋体" w:hAnsi="宋体" w:eastAsia="宋体" w:cs="宋体"/>
          <w:color w:val="auto"/>
          <w:sz w:val="24"/>
          <w:szCs w:val="24"/>
          <w:highlight w:val="none"/>
          <w:lang w:val="zh-CN" w:eastAsia="zh-CN"/>
        </w:rPr>
        <w:t>、同步推送至吉林省政府采购网、吉林省公共资源交易公共服务平台和中国政府采购网。</w:t>
      </w:r>
    </w:p>
    <w:p w14:paraId="7FDB302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电子化平台相关注意事项：</w:t>
      </w:r>
    </w:p>
    <w:p w14:paraId="344E16A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（1）供应商在电子化平台参与政府采购项目前，应在电子化平台完成信息注册；</w:t>
      </w:r>
    </w:p>
    <w:p w14:paraId="0D77B81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 CA 数字证书申请：未进行政采云注册并办理数字证书（CA 认证）的供应商将无法参与本项目政府采购活动。供应商须自行考虑办理时间，由于供应商自身原因导致无法完成办理的，后果自负；（安信 CA 申请流程：</w:t>
      </w:r>
    </w:p>
    <w:p w14:paraId="73B6822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http://www.anxinca.com/kehu/zcy/kh-zcy-zsshenqing.html；翔晟 CA 申请流程：</w:t>
      </w:r>
    </w:p>
    <w:p w14:paraId="3C21677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http://www.share-sun.com/xsapply/admin/login.aspx?unitname=jilin）</w:t>
      </w:r>
    </w:p>
    <w:p w14:paraId="5905A06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（3）为确保网上操作合法、有效和安全，请供应商确保在电子响应过程中能够对相关数据电文进行加密和使用电子签章，妥善保管 CA 数字证书并使用有效的 CA 数字证书参与整个采购活动；</w:t>
      </w:r>
    </w:p>
    <w:p w14:paraId="71EE6BC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（4）若对项目采购电子交易系统操作有疑问，可登录“政采云”平台，点击右侧咨询小采，获取智能服务管家帮助，或拨打政采云服务热线 95763 获取帮助。</w:t>
      </w:r>
    </w:p>
    <w:p w14:paraId="21C3D40B">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r>
        <w:rPr>
          <w:rFonts w:hint="eastAsia" w:ascii="宋体" w:hAnsi="宋体" w:cs="宋体"/>
          <w:b/>
          <w:sz w:val="24"/>
          <w:szCs w:val="24"/>
        </w:rPr>
        <w:t>七、对本次招标提出询问，请按以下方式联系</w:t>
      </w:r>
      <w:bookmarkEnd w:id="15"/>
      <w:bookmarkEnd w:id="16"/>
      <w:bookmarkEnd w:id="17"/>
      <w:bookmarkEnd w:id="18"/>
    </w:p>
    <w:p w14:paraId="1A65253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采购人信息</w:t>
      </w:r>
    </w:p>
    <w:p w14:paraId="127D686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名    称：长春工业大学</w:t>
      </w:r>
    </w:p>
    <w:p w14:paraId="5AA60CF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地    址：长春市延安大路2055号</w:t>
      </w:r>
    </w:p>
    <w:p w14:paraId="3A1FAA5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eastAsia="zh-CN"/>
        </w:rPr>
        <w:t>冯若甫</w:t>
      </w:r>
      <w:r>
        <w:rPr>
          <w:rFonts w:hint="eastAsia" w:ascii="宋体" w:hAnsi="宋体" w:cs="宋体"/>
          <w:sz w:val="24"/>
          <w:szCs w:val="24"/>
        </w:rPr>
        <w:t>0431-85716512</w:t>
      </w:r>
    </w:p>
    <w:p w14:paraId="7C4E2BC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p>
    <w:p w14:paraId="246A4C6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采购代理机构信息</w:t>
      </w:r>
    </w:p>
    <w:p w14:paraId="59A80EF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名    称：吉林省经建咨询有限公司</w:t>
      </w:r>
    </w:p>
    <w:p w14:paraId="1F88386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地　　址：</w:t>
      </w:r>
      <w:r>
        <w:rPr>
          <w:rFonts w:hint="eastAsia" w:ascii="宋体" w:hAnsi="宋体" w:cs="宋体"/>
          <w:sz w:val="24"/>
          <w:szCs w:val="24"/>
          <w:lang w:eastAsia="zh-CN"/>
        </w:rPr>
        <w:t>长春市南关区净月经济技术开发区临河东街与天兴路交叉口东行300米</w:t>
      </w:r>
    </w:p>
    <w:p w14:paraId="75D0995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val="en-US" w:eastAsia="zh-CN"/>
        </w:rPr>
        <w:t>郭盼、张彬彬</w:t>
      </w:r>
      <w:r>
        <w:rPr>
          <w:rFonts w:hint="eastAsia" w:ascii="宋体" w:hAnsi="宋体" w:cs="宋体"/>
          <w:sz w:val="24"/>
          <w:szCs w:val="24"/>
        </w:rPr>
        <w:t>0431-80744758</w:t>
      </w:r>
    </w:p>
    <w:p w14:paraId="150618F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p>
    <w:p w14:paraId="5D2AA4A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项目联系方式</w:t>
      </w:r>
    </w:p>
    <w:p w14:paraId="74757C2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项目联系人：</w:t>
      </w:r>
      <w:r>
        <w:rPr>
          <w:rFonts w:hint="eastAsia" w:ascii="宋体" w:hAnsi="宋体" w:cs="宋体"/>
          <w:sz w:val="24"/>
          <w:szCs w:val="24"/>
          <w:lang w:eastAsia="zh-CN"/>
        </w:rPr>
        <w:t>郭盼、张彬彬</w:t>
      </w:r>
    </w:p>
    <w:p w14:paraId="290D045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电　　  话：0431-80744758</w:t>
      </w:r>
    </w:p>
    <w:p w14:paraId="4A3340F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rPr>
      </w:pPr>
      <w:r>
        <w:rPr>
          <w:rFonts w:hint="eastAsia" w:ascii="宋体" w:hAnsi="宋体" w:cs="宋体"/>
          <w:sz w:val="24"/>
          <w:szCs w:val="24"/>
        </w:rPr>
        <w:t xml:space="preserve">邮    箱：1342112124@qq.com </w:t>
      </w:r>
    </w:p>
    <w:p w14:paraId="1571BFB0">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sz w:val="36"/>
          <w:szCs w:val="36"/>
        </w:rPr>
      </w:pPr>
      <w:r>
        <w:rPr>
          <w:rFonts w:hint="eastAsia" w:ascii="宋体" w:hAnsi="宋体" w:cs="宋体"/>
          <w:sz w:val="36"/>
          <w:szCs w:val="36"/>
        </w:rPr>
        <w:br w:type="page"/>
      </w:r>
    </w:p>
    <w:p w14:paraId="7D3213B1">
      <w:pPr>
        <w:pStyle w:val="3"/>
        <w:keepNext/>
        <w:keepLines/>
        <w:pageBreakBefore w:val="0"/>
        <w:kinsoku/>
        <w:wordWrap/>
        <w:overflowPunct/>
        <w:topLinePunct w:val="0"/>
        <w:autoSpaceDE/>
        <w:autoSpaceDN/>
        <w:bidi w:val="0"/>
        <w:adjustRightInd/>
        <w:snapToGrid/>
        <w:spacing w:before="0" w:after="0" w:line="240" w:lineRule="auto"/>
        <w:jc w:val="center"/>
        <w:textAlignment w:val="auto"/>
        <w:rPr>
          <w:rFonts w:ascii="宋体" w:hAnsi="宋体" w:cs="宋体"/>
          <w:sz w:val="36"/>
          <w:szCs w:val="36"/>
        </w:rPr>
      </w:pPr>
      <w:bookmarkStart w:id="19" w:name="_Toc4759"/>
      <w:r>
        <w:rPr>
          <w:rFonts w:hint="eastAsia" w:ascii="宋体" w:hAnsi="宋体" w:cs="宋体"/>
          <w:sz w:val="36"/>
          <w:szCs w:val="36"/>
        </w:rPr>
        <w:t>第二部分  供应商须知</w:t>
      </w:r>
      <w:bookmarkEnd w:id="19"/>
    </w:p>
    <w:p w14:paraId="3863D401">
      <w:pPr>
        <w:pStyle w:val="10"/>
        <w:keepNext/>
        <w:keepLines/>
        <w:pageBreakBefore w:val="0"/>
        <w:kinsoku/>
        <w:wordWrap/>
        <w:overflowPunct/>
        <w:topLinePunct w:val="0"/>
        <w:autoSpaceDE/>
        <w:autoSpaceDN/>
        <w:bidi w:val="0"/>
        <w:adjustRightInd/>
        <w:snapToGrid/>
        <w:spacing w:line="240" w:lineRule="auto"/>
        <w:ind w:left="0" w:leftChars="0" w:firstLine="0" w:firstLineChars="0"/>
        <w:textAlignment w:val="auto"/>
        <w:rPr>
          <w:rFonts w:ascii="宋体" w:hAnsi="宋体" w:cs="宋体"/>
          <w:szCs w:val="24"/>
        </w:rPr>
      </w:pPr>
      <w:r>
        <w:rPr>
          <w:rFonts w:hint="eastAsia" w:ascii="宋体" w:hAnsi="宋体" w:cs="宋体"/>
          <w:szCs w:val="24"/>
        </w:rPr>
        <w:t>一、供应商须知前附表</w:t>
      </w:r>
    </w:p>
    <w:tbl>
      <w:tblPr>
        <w:tblStyle w:val="44"/>
        <w:tblW w:w="505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52"/>
        <w:gridCol w:w="2055"/>
        <w:gridCol w:w="6950"/>
      </w:tblGrid>
      <w:tr w14:paraId="26790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single" w:color="auto" w:sz="4" w:space="0"/>
              <w:left w:val="single" w:color="auto" w:sz="4" w:space="0"/>
              <w:bottom w:val="single" w:color="auto" w:sz="4" w:space="0"/>
              <w:right w:val="single" w:color="auto" w:sz="4" w:space="0"/>
            </w:tcBorders>
            <w:vAlign w:val="center"/>
          </w:tcPr>
          <w:p w14:paraId="4ED83901">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w:t>
            </w:r>
          </w:p>
          <w:p w14:paraId="22902DB4">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号</w:t>
            </w:r>
          </w:p>
        </w:tc>
        <w:tc>
          <w:tcPr>
            <w:tcW w:w="1075" w:type="pct"/>
            <w:tcBorders>
              <w:top w:val="single" w:color="auto" w:sz="4" w:space="0"/>
              <w:left w:val="single" w:color="auto" w:sz="4" w:space="0"/>
              <w:bottom w:val="single" w:color="auto" w:sz="4" w:space="0"/>
              <w:right w:val="single" w:color="auto" w:sz="4" w:space="0"/>
            </w:tcBorders>
            <w:vAlign w:val="center"/>
          </w:tcPr>
          <w:p w14:paraId="39941298">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内    容</w:t>
            </w:r>
          </w:p>
        </w:tc>
        <w:tc>
          <w:tcPr>
            <w:tcW w:w="3634" w:type="pct"/>
            <w:tcBorders>
              <w:top w:val="single" w:color="auto" w:sz="4" w:space="0"/>
              <w:left w:val="single" w:color="auto" w:sz="4" w:space="0"/>
              <w:bottom w:val="single" w:color="auto" w:sz="4" w:space="0"/>
              <w:right w:val="single" w:color="auto" w:sz="4" w:space="0"/>
            </w:tcBorders>
            <w:vAlign w:val="center"/>
          </w:tcPr>
          <w:p w14:paraId="20B0428C">
            <w:pPr>
              <w:keepNext w:val="0"/>
              <w:keepLines w:val="0"/>
              <w:pageBreakBefore w:val="0"/>
              <w:tabs>
                <w:tab w:val="left" w:pos="118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说明与要求</w:t>
            </w:r>
          </w:p>
        </w:tc>
      </w:tr>
      <w:tr w14:paraId="37219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9" w:type="pct"/>
            <w:vMerge w:val="restart"/>
            <w:tcBorders>
              <w:top w:val="single" w:color="auto" w:sz="4" w:space="0"/>
              <w:left w:val="single" w:color="auto" w:sz="4" w:space="0"/>
              <w:right w:val="single" w:color="auto" w:sz="4" w:space="0"/>
            </w:tcBorders>
            <w:vAlign w:val="center"/>
          </w:tcPr>
          <w:p w14:paraId="3E602AF8">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075" w:type="pct"/>
            <w:tcBorders>
              <w:top w:val="single" w:color="auto" w:sz="4" w:space="0"/>
              <w:left w:val="single" w:color="auto" w:sz="4" w:space="0"/>
              <w:bottom w:val="single" w:color="auto" w:sz="4" w:space="0"/>
              <w:right w:val="single" w:color="auto" w:sz="4" w:space="0"/>
            </w:tcBorders>
            <w:vAlign w:val="center"/>
          </w:tcPr>
          <w:p w14:paraId="31888920">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采购人</w:t>
            </w:r>
          </w:p>
        </w:tc>
        <w:tc>
          <w:tcPr>
            <w:tcW w:w="3634" w:type="pct"/>
            <w:tcBorders>
              <w:top w:val="single" w:color="auto" w:sz="4" w:space="0"/>
              <w:left w:val="single" w:color="auto" w:sz="4" w:space="0"/>
              <w:bottom w:val="single" w:color="auto" w:sz="4" w:space="0"/>
              <w:right w:val="single" w:color="auto" w:sz="4" w:space="0"/>
            </w:tcBorders>
            <w:vAlign w:val="center"/>
          </w:tcPr>
          <w:p w14:paraId="0F0B3DDF">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名    称：长春工业大学</w:t>
            </w:r>
          </w:p>
          <w:p w14:paraId="6217E56D">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地    址：长春市延安大路2055号</w:t>
            </w:r>
          </w:p>
          <w:p w14:paraId="4CEE229F">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eastAsia="zh-CN"/>
              </w:rPr>
              <w:t>冯若甫</w:t>
            </w:r>
            <w:r>
              <w:rPr>
                <w:rFonts w:hint="eastAsia" w:ascii="宋体" w:hAnsi="宋体" w:eastAsia="宋体" w:cs="宋体"/>
                <w:sz w:val="24"/>
                <w:szCs w:val="24"/>
              </w:rPr>
              <w:t xml:space="preserve">0431-85716512 </w:t>
            </w:r>
          </w:p>
        </w:tc>
      </w:tr>
      <w:tr w14:paraId="31BA6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9" w:type="pct"/>
            <w:vMerge w:val="continue"/>
            <w:tcBorders>
              <w:left w:val="single" w:color="auto" w:sz="4" w:space="0"/>
              <w:bottom w:val="single" w:color="auto" w:sz="4" w:space="0"/>
              <w:right w:val="single" w:color="auto" w:sz="4" w:space="0"/>
            </w:tcBorders>
            <w:vAlign w:val="center"/>
          </w:tcPr>
          <w:p w14:paraId="3B602650">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p>
        </w:tc>
        <w:tc>
          <w:tcPr>
            <w:tcW w:w="1075" w:type="pct"/>
            <w:tcBorders>
              <w:top w:val="single" w:color="auto" w:sz="4" w:space="0"/>
              <w:left w:val="single" w:color="auto" w:sz="4" w:space="0"/>
              <w:bottom w:val="single" w:color="auto" w:sz="4" w:space="0"/>
              <w:right w:val="single" w:color="auto" w:sz="4" w:space="0"/>
            </w:tcBorders>
            <w:vAlign w:val="center"/>
          </w:tcPr>
          <w:p w14:paraId="58F5F4F8">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w:t>
            </w:r>
          </w:p>
        </w:tc>
        <w:tc>
          <w:tcPr>
            <w:tcW w:w="3634" w:type="pct"/>
            <w:tcBorders>
              <w:top w:val="single" w:color="auto" w:sz="4" w:space="0"/>
              <w:left w:val="single" w:color="auto" w:sz="4" w:space="0"/>
              <w:bottom w:val="single" w:color="auto" w:sz="4" w:space="0"/>
              <w:right w:val="single" w:color="auto" w:sz="4" w:space="0"/>
            </w:tcBorders>
            <w:vAlign w:val="center"/>
          </w:tcPr>
          <w:p w14:paraId="27DC70A7">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名    称：吉林省经建咨询有限公司</w:t>
            </w:r>
          </w:p>
          <w:p w14:paraId="0D623D9D">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长春市南关区净月经济技术开发区临河东街与天兴路交叉口东行300米</w:t>
            </w:r>
          </w:p>
          <w:p w14:paraId="105544B9">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郭盼、张彬彬</w:t>
            </w:r>
          </w:p>
          <w:p w14:paraId="26F98505">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联系电话：0431-80744758</w:t>
            </w:r>
          </w:p>
          <w:p w14:paraId="3CE5D5B3">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邮  箱：1342112124@qq.com </w:t>
            </w:r>
          </w:p>
        </w:tc>
      </w:tr>
      <w:tr w14:paraId="4A062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1A2697AF">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075" w:type="pct"/>
            <w:tcBorders>
              <w:top w:val="single" w:color="auto" w:sz="4" w:space="0"/>
              <w:left w:val="single" w:color="auto" w:sz="4" w:space="0"/>
              <w:bottom w:val="single" w:color="auto" w:sz="4" w:space="0"/>
              <w:right w:val="single" w:color="auto" w:sz="4" w:space="0"/>
            </w:tcBorders>
            <w:vAlign w:val="center"/>
          </w:tcPr>
          <w:p w14:paraId="70EDF7B3">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项目编号</w:t>
            </w:r>
          </w:p>
        </w:tc>
        <w:tc>
          <w:tcPr>
            <w:tcW w:w="3634" w:type="pct"/>
            <w:tcBorders>
              <w:top w:val="single" w:color="auto" w:sz="4" w:space="0"/>
              <w:left w:val="single" w:color="auto" w:sz="4" w:space="0"/>
              <w:bottom w:val="single" w:color="auto" w:sz="4" w:space="0"/>
              <w:right w:val="single" w:color="auto" w:sz="4" w:space="0"/>
            </w:tcBorders>
            <w:vAlign w:val="center"/>
          </w:tcPr>
          <w:p w14:paraId="55718F29">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采购计划-[2025]-00259号-</w:t>
            </w:r>
            <w:r>
              <w:rPr>
                <w:rFonts w:hint="eastAsia" w:ascii="宋体" w:hAnsi="宋体" w:cs="宋体"/>
                <w:color w:val="auto"/>
                <w:sz w:val="24"/>
                <w:szCs w:val="24"/>
                <w:lang w:eastAsia="zh-CN"/>
              </w:rPr>
              <w:t>JLJJ-HWZB-20250201</w:t>
            </w:r>
          </w:p>
        </w:tc>
      </w:tr>
      <w:tr w14:paraId="0CE97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7CCE4257">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075" w:type="pct"/>
            <w:tcBorders>
              <w:top w:val="single" w:color="auto" w:sz="4" w:space="0"/>
              <w:left w:val="single" w:color="auto" w:sz="4" w:space="0"/>
              <w:bottom w:val="single" w:color="auto" w:sz="4" w:space="0"/>
              <w:right w:val="single" w:color="auto" w:sz="4" w:space="0"/>
            </w:tcBorders>
            <w:vAlign w:val="center"/>
          </w:tcPr>
          <w:p w14:paraId="10FB767E">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3634" w:type="pct"/>
            <w:tcBorders>
              <w:top w:val="single" w:color="auto" w:sz="4" w:space="0"/>
              <w:left w:val="single" w:color="auto" w:sz="4" w:space="0"/>
              <w:bottom w:val="single" w:color="auto" w:sz="4" w:space="0"/>
              <w:right w:val="single" w:color="auto" w:sz="4" w:space="0"/>
            </w:tcBorders>
            <w:vAlign w:val="center"/>
          </w:tcPr>
          <w:p w14:paraId="22F0B516">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eastAsia="zh-CN"/>
              </w:rPr>
              <w:t>长春工业大学高质量发展-学科建设-智能网联汽车科研创新平台建设项目</w:t>
            </w:r>
          </w:p>
        </w:tc>
      </w:tr>
      <w:tr w14:paraId="408D5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289" w:type="pct"/>
            <w:tcBorders>
              <w:top w:val="single" w:color="auto" w:sz="4" w:space="0"/>
              <w:left w:val="single" w:color="auto" w:sz="4" w:space="0"/>
              <w:right w:val="single" w:color="auto" w:sz="4" w:space="0"/>
            </w:tcBorders>
            <w:vAlign w:val="center"/>
          </w:tcPr>
          <w:p w14:paraId="36EAC5BC">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075" w:type="pct"/>
            <w:tcBorders>
              <w:top w:val="single" w:color="auto" w:sz="4" w:space="0"/>
              <w:left w:val="single" w:color="auto" w:sz="4" w:space="0"/>
              <w:right w:val="single" w:color="auto" w:sz="4" w:space="0"/>
            </w:tcBorders>
            <w:shd w:val="clear" w:color="auto" w:fill="auto"/>
            <w:vAlign w:val="center"/>
          </w:tcPr>
          <w:p w14:paraId="38956515">
            <w:pPr>
              <w:keepNext w:val="0"/>
              <w:keepLines w:val="0"/>
              <w:pageBreakBefore w:val="0"/>
              <w:kinsoku/>
              <w:overflowPunct/>
              <w:topLinePunct w:val="0"/>
              <w:bidi w:val="0"/>
              <w:spacing w:line="312" w:lineRule="auto"/>
              <w:jc w:val="center"/>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预算金额</w:t>
            </w:r>
          </w:p>
          <w:p w14:paraId="53FE2351">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bCs/>
                <w:sz w:val="24"/>
                <w:szCs w:val="24"/>
                <w:lang w:val="zh-CN"/>
              </w:rPr>
              <w:t>（最高限价）</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7BA0C0D4">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393万元</w:t>
            </w:r>
          </w:p>
          <w:p w14:paraId="04090DB0">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注：投标供应商所报价格不得超过最高限价，否则按废标处理。</w:t>
            </w:r>
          </w:p>
        </w:tc>
      </w:tr>
      <w:tr w14:paraId="54402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4F3F452C">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7958F1E8">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供货地点</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55FE8010">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长春工业大学指定地点</w:t>
            </w:r>
          </w:p>
        </w:tc>
      </w:tr>
      <w:tr w14:paraId="4B231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333972CA">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10319B11">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质量标准</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39796559">
            <w:pPr>
              <w:pStyle w:val="15"/>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符合国家及相关行业合格标准</w:t>
            </w:r>
          </w:p>
        </w:tc>
      </w:tr>
      <w:tr w14:paraId="3D7C0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2110C8B1">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6C180425">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0075BDB0">
            <w:pPr>
              <w:pStyle w:val="15"/>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bCs/>
                <w:color w:val="000000"/>
                <w:sz w:val="24"/>
                <w:szCs w:val="24"/>
                <w:highlight w:val="none"/>
                <w:lang w:val="zh-CN"/>
              </w:rPr>
              <w:t>1年</w:t>
            </w:r>
            <w:r>
              <w:rPr>
                <w:rFonts w:hint="eastAsia" w:ascii="宋体" w:hAnsi="宋体" w:cs="宋体"/>
                <w:bCs/>
                <w:color w:val="000000"/>
                <w:sz w:val="24"/>
                <w:szCs w:val="24"/>
                <w:highlight w:val="none"/>
                <w:lang w:val="zh-CN"/>
              </w:rPr>
              <w:t>（其中深度学习工作站要求三年有限保修及上门。）</w:t>
            </w:r>
          </w:p>
        </w:tc>
      </w:tr>
      <w:tr w14:paraId="45518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3FD10FA4">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22702690">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采购需求</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40F233FC">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长春工业大学高质量发展-学科建设-智能网联汽车科研创新平台建设项目</w:t>
            </w:r>
            <w:r>
              <w:rPr>
                <w:rFonts w:hint="eastAsia" w:ascii="宋体" w:hAnsi="宋体" w:eastAsia="宋体" w:cs="宋体"/>
                <w:sz w:val="24"/>
                <w:szCs w:val="24"/>
              </w:rPr>
              <w:t>（具体详见招标文件第四部分采购需求）</w:t>
            </w:r>
          </w:p>
        </w:tc>
      </w:tr>
      <w:tr w14:paraId="2D13B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09439028">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028A161A">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合同履行期限</w:t>
            </w:r>
          </w:p>
          <w:p w14:paraId="7A36CC6F">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（供货期）</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636DA296">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zh-CN"/>
              </w:rPr>
              <w:t>合同订立后60天</w:t>
            </w:r>
          </w:p>
        </w:tc>
      </w:tr>
      <w:tr w14:paraId="74236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right w:val="single" w:color="auto" w:sz="4" w:space="0"/>
            </w:tcBorders>
            <w:vAlign w:val="center"/>
          </w:tcPr>
          <w:p w14:paraId="4E185532">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075" w:type="pct"/>
            <w:tcBorders>
              <w:top w:val="single" w:color="auto" w:sz="4" w:space="0"/>
              <w:left w:val="single" w:color="auto" w:sz="4" w:space="0"/>
              <w:right w:val="single" w:color="auto" w:sz="4" w:space="0"/>
            </w:tcBorders>
            <w:shd w:val="clear" w:color="auto" w:fill="auto"/>
            <w:vAlign w:val="center"/>
          </w:tcPr>
          <w:p w14:paraId="24E95FF1">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资金来源</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5FCC80F3">
            <w:pPr>
              <w:keepNext w:val="0"/>
              <w:keepLines w:val="0"/>
              <w:pageBreakBefore w:val="0"/>
              <w:kinsoku/>
              <w:overflowPunct/>
              <w:topLinePunct w:val="0"/>
              <w:bidi w:val="0"/>
              <w:spacing w:line="312"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财政资金</w:t>
            </w:r>
          </w:p>
        </w:tc>
      </w:tr>
      <w:tr w14:paraId="7D4F5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single" w:color="auto" w:sz="4" w:space="0"/>
              <w:left w:val="single" w:color="auto" w:sz="4" w:space="0"/>
              <w:right w:val="single" w:color="auto" w:sz="4" w:space="0"/>
            </w:tcBorders>
            <w:vAlign w:val="center"/>
          </w:tcPr>
          <w:p w14:paraId="433D5897">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075" w:type="pct"/>
            <w:tcBorders>
              <w:top w:val="single" w:color="auto" w:sz="4" w:space="0"/>
              <w:left w:val="single" w:color="auto" w:sz="4" w:space="0"/>
              <w:right w:val="single" w:color="auto" w:sz="4" w:space="0"/>
            </w:tcBorders>
            <w:vAlign w:val="center"/>
          </w:tcPr>
          <w:p w14:paraId="2C767EA1">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供应商资格要求</w:t>
            </w:r>
          </w:p>
        </w:tc>
        <w:tc>
          <w:tcPr>
            <w:tcW w:w="3634" w:type="pct"/>
            <w:tcBorders>
              <w:top w:val="single" w:color="auto" w:sz="4" w:space="0"/>
              <w:left w:val="single" w:color="auto" w:sz="4" w:space="0"/>
              <w:right w:val="single" w:color="auto" w:sz="4" w:space="0"/>
            </w:tcBorders>
            <w:vAlign w:val="center"/>
          </w:tcPr>
          <w:p w14:paraId="123A59AE">
            <w:pPr>
              <w:keepNext w:val="0"/>
              <w:keepLines w:val="0"/>
              <w:pageBreakBefore w:val="0"/>
              <w:kinsoku/>
              <w:overflowPunct/>
              <w:topLinePunct w:val="0"/>
              <w:bidi w:val="0"/>
              <w:spacing w:line="312"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1.满足《中华人民共和国政府采购法》</w:t>
            </w:r>
            <w:r>
              <w:rPr>
                <w:rFonts w:hint="eastAsia" w:ascii="宋体" w:hAnsi="宋体" w:eastAsia="宋体" w:cs="宋体"/>
                <w:sz w:val="24"/>
                <w:szCs w:val="24"/>
                <w:highlight w:val="none"/>
                <w:lang w:val="zh-CN"/>
              </w:rPr>
              <w:t>第二十二条规定；</w:t>
            </w:r>
          </w:p>
          <w:p w14:paraId="2E4D997A">
            <w:pPr>
              <w:keepNext w:val="0"/>
              <w:keepLines w:val="0"/>
              <w:pageBreakBefore w:val="0"/>
              <w:kinsoku/>
              <w:overflowPunct/>
              <w:topLinePunct w:val="0"/>
              <w:bidi w:val="0"/>
              <w:spacing w:line="312"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2.落实政府采购政策需满足的资格要求：本项目非专门面向中小企业；</w:t>
            </w:r>
          </w:p>
          <w:p w14:paraId="60CCB1BD">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需要落实的政府采购政策：《政府采购促进中小企业发展管理办法》(财库[2020]46号) 、《关于进一步加大政府采购支持中小企业力度的通知》（财库[2022]19号）、《关于政府采购支持监狱企业发展有关问题的通知》(财库〔2014〕68 号)、《关于促进残疾人就业政府采购政策的通知》（财库〔2017〕141 号)、《关于调整优化节能产品、环境标志产品政府采购执行机制的通知》（财库〔2019〕9号）等。专门面向中小企业采购的项目或者采购包，不再执行价格评审优惠的扶持政策。</w:t>
            </w:r>
          </w:p>
          <w:p w14:paraId="3F57CD10">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3.本项目的特定资格要求：</w:t>
            </w:r>
          </w:p>
          <w:p w14:paraId="6DC650C7">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3.1供应商须是具有独立法人资格的企业或其他组织，具有有效营业执照；</w:t>
            </w:r>
          </w:p>
          <w:p w14:paraId="753C3F8E">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3.2拒绝列入政府取消投标资格记录期间的企业或个人投标；</w:t>
            </w:r>
          </w:p>
          <w:p w14:paraId="38900C7E">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3.3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7521F60B">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3.4与采购人存在利害关系可能影响招标公正性的法人、其他组织或者个人，不得参加本项目投标；单位负责人为同一人或者存在直接控股、管理关系的不同供应商，不得参加同一合同项下的政府采购活动；</w:t>
            </w:r>
          </w:p>
          <w:p w14:paraId="6D4415A5">
            <w:pPr>
              <w:keepNext w:val="0"/>
              <w:keepLines w:val="0"/>
              <w:pageBreakBefore w:val="0"/>
              <w:kinsoku/>
              <w:overflowPunct/>
              <w:topLinePunct w:val="0"/>
              <w:bidi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zh-CN"/>
              </w:rPr>
              <w:t>3.5参加政府采购活动前三年内，在经营活动中没有重大违法记录。</w:t>
            </w:r>
          </w:p>
        </w:tc>
      </w:tr>
      <w:tr w14:paraId="7A89F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9" w:type="pct"/>
            <w:tcBorders>
              <w:top w:val="single" w:color="auto" w:sz="4" w:space="0"/>
              <w:left w:val="single" w:color="auto" w:sz="4" w:space="0"/>
              <w:bottom w:val="single" w:color="auto" w:sz="4" w:space="0"/>
              <w:right w:val="single" w:color="auto" w:sz="4" w:space="0"/>
            </w:tcBorders>
            <w:vAlign w:val="center"/>
          </w:tcPr>
          <w:p w14:paraId="421081A0">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075" w:type="pct"/>
            <w:tcBorders>
              <w:top w:val="single" w:color="auto" w:sz="4" w:space="0"/>
              <w:left w:val="single" w:color="auto" w:sz="4" w:space="0"/>
              <w:bottom w:val="single" w:color="auto" w:sz="4" w:space="0"/>
              <w:right w:val="single" w:color="auto" w:sz="4" w:space="0"/>
            </w:tcBorders>
            <w:vAlign w:val="center"/>
          </w:tcPr>
          <w:p w14:paraId="2DBF9974">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投标有效期</w:t>
            </w:r>
          </w:p>
        </w:tc>
        <w:tc>
          <w:tcPr>
            <w:tcW w:w="3634" w:type="pct"/>
            <w:tcBorders>
              <w:top w:val="single" w:color="auto" w:sz="4" w:space="0"/>
              <w:left w:val="single" w:color="auto" w:sz="4" w:space="0"/>
              <w:bottom w:val="single" w:color="auto" w:sz="4" w:space="0"/>
              <w:right w:val="single" w:color="auto" w:sz="4" w:space="0"/>
            </w:tcBorders>
            <w:vAlign w:val="center"/>
          </w:tcPr>
          <w:p w14:paraId="3CCA4C2B">
            <w:pPr>
              <w:keepNext w:val="0"/>
              <w:keepLines w:val="0"/>
              <w:pageBreakBefore w:val="0"/>
              <w:kinsoku/>
              <w:overflowPunct/>
              <w:topLinePunct w:val="0"/>
              <w:bidi w:val="0"/>
              <w:spacing w:line="312" w:lineRule="auto"/>
              <w:ind w:left="-8" w:hanging="166"/>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90</w:t>
            </w:r>
            <w:r>
              <w:rPr>
                <w:rFonts w:hint="eastAsia" w:ascii="宋体" w:hAnsi="宋体" w:eastAsia="宋体" w:cs="宋体"/>
                <w:sz w:val="24"/>
                <w:szCs w:val="24"/>
              </w:rPr>
              <w:t>日历天（从投标截止之日算起）</w:t>
            </w:r>
          </w:p>
        </w:tc>
      </w:tr>
      <w:tr w14:paraId="0D47B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89" w:type="pct"/>
            <w:tcBorders>
              <w:top w:val="single" w:color="auto" w:sz="4" w:space="0"/>
              <w:left w:val="single" w:color="auto" w:sz="4" w:space="0"/>
              <w:bottom w:val="single" w:color="auto" w:sz="4" w:space="0"/>
              <w:right w:val="single" w:color="auto" w:sz="4" w:space="0"/>
            </w:tcBorders>
            <w:vAlign w:val="center"/>
          </w:tcPr>
          <w:p w14:paraId="311D35A5">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075" w:type="pct"/>
            <w:tcBorders>
              <w:top w:val="single" w:color="auto" w:sz="4" w:space="0"/>
              <w:left w:val="single" w:color="auto" w:sz="4" w:space="0"/>
              <w:bottom w:val="single" w:color="auto" w:sz="4" w:space="0"/>
              <w:right w:val="single" w:color="auto" w:sz="4" w:space="0"/>
            </w:tcBorders>
            <w:vAlign w:val="center"/>
          </w:tcPr>
          <w:p w14:paraId="5E83BCED">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投标保证金</w:t>
            </w:r>
          </w:p>
        </w:tc>
        <w:tc>
          <w:tcPr>
            <w:tcW w:w="3634" w:type="pct"/>
            <w:tcBorders>
              <w:top w:val="single" w:color="auto" w:sz="4" w:space="0"/>
              <w:left w:val="single" w:color="auto" w:sz="4" w:space="0"/>
              <w:bottom w:val="single" w:color="auto" w:sz="4" w:space="0"/>
              <w:right w:val="single" w:color="auto" w:sz="4" w:space="0"/>
            </w:tcBorders>
            <w:vAlign w:val="center"/>
          </w:tcPr>
          <w:p w14:paraId="30BB3510">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不收取</w:t>
            </w:r>
          </w:p>
        </w:tc>
      </w:tr>
      <w:tr w14:paraId="0974B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89" w:type="pct"/>
            <w:tcBorders>
              <w:top w:val="single" w:color="auto" w:sz="4" w:space="0"/>
              <w:left w:val="single" w:color="auto" w:sz="4" w:space="0"/>
              <w:bottom w:val="single" w:color="auto" w:sz="4" w:space="0"/>
              <w:right w:val="single" w:color="auto" w:sz="4" w:space="0"/>
            </w:tcBorders>
            <w:vAlign w:val="center"/>
          </w:tcPr>
          <w:p w14:paraId="224B31B2">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075" w:type="pct"/>
            <w:tcBorders>
              <w:top w:val="single" w:color="auto" w:sz="4" w:space="0"/>
              <w:left w:val="single" w:color="auto" w:sz="4" w:space="0"/>
              <w:bottom w:val="single" w:color="auto" w:sz="4" w:space="0"/>
              <w:right w:val="single" w:color="auto" w:sz="4" w:space="0"/>
            </w:tcBorders>
            <w:vAlign w:val="center"/>
          </w:tcPr>
          <w:p w14:paraId="7C5A178C">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供应商的替代方案</w:t>
            </w:r>
          </w:p>
        </w:tc>
        <w:tc>
          <w:tcPr>
            <w:tcW w:w="3634" w:type="pct"/>
            <w:tcBorders>
              <w:top w:val="single" w:color="auto" w:sz="4" w:space="0"/>
              <w:left w:val="single" w:color="auto" w:sz="4" w:space="0"/>
              <w:bottom w:val="single" w:color="auto" w:sz="4" w:space="0"/>
              <w:right w:val="single" w:color="auto" w:sz="4" w:space="0"/>
            </w:tcBorders>
            <w:vAlign w:val="center"/>
          </w:tcPr>
          <w:p w14:paraId="3EA997CE">
            <w:pPr>
              <w:pStyle w:val="15"/>
              <w:keepNext w:val="0"/>
              <w:keepLines w:val="0"/>
              <w:pageBreakBefore w:val="0"/>
              <w:kinsoku/>
              <w:overflowPunct/>
              <w:topLinePunct w:val="0"/>
              <w:bidi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14:paraId="66524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89" w:type="pct"/>
            <w:tcBorders>
              <w:top w:val="single" w:color="auto" w:sz="4" w:space="0"/>
              <w:left w:val="single" w:color="auto" w:sz="4" w:space="0"/>
              <w:bottom w:val="single" w:color="auto" w:sz="4" w:space="0"/>
              <w:right w:val="single" w:color="auto" w:sz="4" w:space="0"/>
            </w:tcBorders>
            <w:vAlign w:val="center"/>
          </w:tcPr>
          <w:p w14:paraId="41630919">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075" w:type="pct"/>
            <w:tcBorders>
              <w:top w:val="single" w:color="auto" w:sz="4" w:space="0"/>
              <w:left w:val="single" w:color="auto" w:sz="4" w:space="0"/>
              <w:bottom w:val="single" w:color="auto" w:sz="4" w:space="0"/>
              <w:right w:val="single" w:color="auto" w:sz="4" w:space="0"/>
            </w:tcBorders>
            <w:vAlign w:val="center"/>
          </w:tcPr>
          <w:p w14:paraId="21F56C15">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投标文件份数</w:t>
            </w:r>
          </w:p>
        </w:tc>
        <w:tc>
          <w:tcPr>
            <w:tcW w:w="3634" w:type="pct"/>
            <w:tcBorders>
              <w:top w:val="single" w:color="auto" w:sz="4" w:space="0"/>
              <w:left w:val="single" w:color="auto" w:sz="4" w:space="0"/>
              <w:bottom w:val="single" w:color="auto" w:sz="4" w:space="0"/>
              <w:right w:val="single" w:color="auto" w:sz="4" w:space="0"/>
            </w:tcBorders>
            <w:vAlign w:val="center"/>
          </w:tcPr>
          <w:p w14:paraId="6380F7CF">
            <w:pPr>
              <w:keepNext w:val="0"/>
              <w:keepLines w:val="0"/>
              <w:pageBreakBefore w:val="0"/>
              <w:kinsoku/>
              <w:overflowPunct/>
              <w:topLinePunct w:val="0"/>
              <w:bidi w:val="0"/>
              <w:spacing w:line="312"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实行政采云电子投标</w:t>
            </w:r>
            <w:r>
              <w:rPr>
                <w:rFonts w:hint="eastAsia" w:ascii="宋体" w:hAnsi="宋体" w:cs="宋体"/>
                <w:sz w:val="24"/>
                <w:szCs w:val="24"/>
                <w:lang w:val="en-US" w:eastAsia="zh-CN"/>
              </w:rPr>
              <w:t>，无需提供纸质版</w:t>
            </w:r>
          </w:p>
        </w:tc>
      </w:tr>
      <w:tr w14:paraId="30DD2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89" w:type="pct"/>
            <w:tcBorders>
              <w:top w:val="single" w:color="auto" w:sz="4" w:space="0"/>
              <w:left w:val="single" w:color="auto" w:sz="4" w:space="0"/>
              <w:bottom w:val="single" w:color="auto" w:sz="4" w:space="0"/>
              <w:right w:val="single" w:color="auto" w:sz="4" w:space="0"/>
            </w:tcBorders>
            <w:vAlign w:val="center"/>
          </w:tcPr>
          <w:p w14:paraId="098C6492">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1075" w:type="pct"/>
            <w:tcBorders>
              <w:top w:val="single" w:color="auto" w:sz="4" w:space="0"/>
              <w:left w:val="single" w:color="auto" w:sz="4" w:space="0"/>
              <w:bottom w:val="single" w:color="auto" w:sz="4" w:space="0"/>
              <w:right w:val="single" w:color="auto" w:sz="4" w:space="0"/>
            </w:tcBorders>
            <w:vAlign w:val="center"/>
          </w:tcPr>
          <w:p w14:paraId="58BE5DAE">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投标文件提交地点及截止时间</w:t>
            </w:r>
          </w:p>
        </w:tc>
        <w:tc>
          <w:tcPr>
            <w:tcW w:w="3634" w:type="pct"/>
            <w:tcBorders>
              <w:top w:val="single" w:color="auto" w:sz="4" w:space="0"/>
              <w:left w:val="single" w:color="auto" w:sz="4" w:space="0"/>
              <w:bottom w:val="single" w:color="auto" w:sz="4" w:space="0"/>
              <w:right w:val="single" w:color="auto" w:sz="4" w:space="0"/>
            </w:tcBorders>
            <w:vAlign w:val="center"/>
          </w:tcPr>
          <w:p w14:paraId="186796BD">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2025年3月4日9时30分</w:t>
            </w:r>
            <w:r>
              <w:rPr>
                <w:rFonts w:hint="eastAsia" w:ascii="宋体" w:hAnsi="宋体" w:eastAsia="宋体" w:cs="宋体"/>
                <w:color w:val="auto"/>
                <w:sz w:val="24"/>
                <w:szCs w:val="24"/>
                <w:highlight w:val="none"/>
              </w:rPr>
              <w:t>（北京时间）</w:t>
            </w:r>
          </w:p>
          <w:p w14:paraId="513C639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sz w:val="24"/>
                <w:szCs w:val="24"/>
                <w:lang w:val="zh-CN"/>
              </w:rPr>
              <w:t>“政采云”平台</w:t>
            </w:r>
          </w:p>
        </w:tc>
      </w:tr>
      <w:tr w14:paraId="48A69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9" w:type="pct"/>
            <w:tcBorders>
              <w:top w:val="single" w:color="auto" w:sz="4" w:space="0"/>
              <w:left w:val="single" w:color="auto" w:sz="4" w:space="0"/>
              <w:bottom w:val="single" w:color="auto" w:sz="4" w:space="0"/>
              <w:right w:val="single" w:color="auto" w:sz="4" w:space="0"/>
            </w:tcBorders>
            <w:vAlign w:val="center"/>
          </w:tcPr>
          <w:p w14:paraId="26955870">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1075" w:type="pct"/>
            <w:tcBorders>
              <w:top w:val="single" w:color="auto" w:sz="4" w:space="0"/>
              <w:left w:val="single" w:color="auto" w:sz="4" w:space="0"/>
              <w:bottom w:val="single" w:color="auto" w:sz="4" w:space="0"/>
              <w:right w:val="single" w:color="auto" w:sz="4" w:space="0"/>
            </w:tcBorders>
            <w:vAlign w:val="center"/>
          </w:tcPr>
          <w:p w14:paraId="51C0F388">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开标</w:t>
            </w:r>
          </w:p>
        </w:tc>
        <w:tc>
          <w:tcPr>
            <w:tcW w:w="3634" w:type="pct"/>
            <w:tcBorders>
              <w:top w:val="single" w:color="auto" w:sz="4" w:space="0"/>
              <w:left w:val="single" w:color="auto" w:sz="4" w:space="0"/>
              <w:bottom w:val="single" w:color="auto" w:sz="4" w:space="0"/>
              <w:right w:val="single" w:color="auto" w:sz="4" w:space="0"/>
            </w:tcBorders>
            <w:vAlign w:val="center"/>
          </w:tcPr>
          <w:p w14:paraId="3310F51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2025年3月4日9时30分</w:t>
            </w:r>
            <w:r>
              <w:rPr>
                <w:rFonts w:hint="eastAsia" w:ascii="宋体" w:hAnsi="宋体" w:eastAsia="宋体" w:cs="宋体"/>
                <w:color w:val="auto"/>
                <w:sz w:val="24"/>
                <w:szCs w:val="24"/>
                <w:highlight w:val="none"/>
              </w:rPr>
              <w:t>（北京时间）</w:t>
            </w:r>
          </w:p>
          <w:p w14:paraId="4D1BF2BF">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长春市二道区洋浦大街凯利中心AB栋101室，开标室四室</w:t>
            </w:r>
          </w:p>
        </w:tc>
      </w:tr>
      <w:tr w14:paraId="605EF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289" w:type="pct"/>
            <w:tcBorders>
              <w:top w:val="single" w:color="auto" w:sz="4" w:space="0"/>
              <w:left w:val="single" w:color="auto" w:sz="4" w:space="0"/>
              <w:bottom w:val="single" w:color="auto" w:sz="4" w:space="0"/>
              <w:right w:val="single" w:color="auto" w:sz="4" w:space="0"/>
            </w:tcBorders>
            <w:vAlign w:val="center"/>
          </w:tcPr>
          <w:p w14:paraId="551DF6F9">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1075" w:type="pct"/>
            <w:tcBorders>
              <w:top w:val="single" w:color="auto" w:sz="4" w:space="0"/>
              <w:left w:val="single" w:color="auto" w:sz="4" w:space="0"/>
              <w:bottom w:val="single" w:color="auto" w:sz="4" w:space="0"/>
              <w:right w:val="single" w:color="auto" w:sz="4" w:space="0"/>
            </w:tcBorders>
            <w:vAlign w:val="center"/>
          </w:tcPr>
          <w:p w14:paraId="7D1330B3">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评标方法及标准</w:t>
            </w:r>
          </w:p>
        </w:tc>
        <w:tc>
          <w:tcPr>
            <w:tcW w:w="3634" w:type="pct"/>
            <w:tcBorders>
              <w:top w:val="single" w:color="auto" w:sz="4" w:space="0"/>
              <w:left w:val="single" w:color="auto" w:sz="4" w:space="0"/>
              <w:bottom w:val="single" w:color="auto" w:sz="4" w:space="0"/>
              <w:right w:val="single" w:color="auto" w:sz="4" w:space="0"/>
            </w:tcBorders>
            <w:vAlign w:val="center"/>
          </w:tcPr>
          <w:p w14:paraId="67FDD1B6">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zh-CN"/>
              </w:rPr>
              <w:t>最低评标价法</w:t>
            </w:r>
          </w:p>
        </w:tc>
      </w:tr>
      <w:tr w14:paraId="4053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single" w:color="auto" w:sz="4" w:space="0"/>
              <w:left w:val="single" w:color="auto" w:sz="4" w:space="0"/>
              <w:bottom w:val="single" w:color="auto" w:sz="4" w:space="0"/>
              <w:right w:val="single" w:color="auto" w:sz="4" w:space="0"/>
            </w:tcBorders>
            <w:vAlign w:val="center"/>
          </w:tcPr>
          <w:p w14:paraId="2D4D23ED">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1075" w:type="pct"/>
            <w:tcBorders>
              <w:top w:val="single" w:color="auto" w:sz="4" w:space="0"/>
              <w:left w:val="single" w:color="auto" w:sz="4" w:space="0"/>
              <w:bottom w:val="single" w:color="auto" w:sz="4" w:space="0"/>
              <w:right w:val="single" w:color="auto" w:sz="4" w:space="0"/>
            </w:tcBorders>
            <w:vAlign w:val="center"/>
          </w:tcPr>
          <w:p w14:paraId="4E46EEC1">
            <w:pPr>
              <w:keepNext w:val="0"/>
              <w:keepLines w:val="0"/>
              <w:pageBreakBefore w:val="0"/>
              <w:kinsoku/>
              <w:wordWrap w:val="0"/>
              <w:overflowPunct/>
              <w:topLinePunct w:val="0"/>
              <w:autoSpaceDE w:val="0"/>
              <w:autoSpaceDN w:val="0"/>
              <w:bidi w:val="0"/>
              <w:adjustRightInd w:val="0"/>
              <w:spacing w:line="312" w:lineRule="auto"/>
              <w:jc w:val="center"/>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评标委员会的组建</w:t>
            </w:r>
          </w:p>
        </w:tc>
        <w:tc>
          <w:tcPr>
            <w:tcW w:w="3634" w:type="pct"/>
            <w:tcBorders>
              <w:top w:val="single" w:color="auto" w:sz="4" w:space="0"/>
              <w:left w:val="single" w:color="auto" w:sz="4" w:space="0"/>
              <w:bottom w:val="single" w:color="auto" w:sz="4" w:space="0"/>
              <w:right w:val="single" w:color="auto" w:sz="4" w:space="0"/>
            </w:tcBorders>
            <w:vAlign w:val="center"/>
          </w:tcPr>
          <w:p w14:paraId="67A6B1E8">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评标委员</w:t>
            </w:r>
            <w:r>
              <w:rPr>
                <w:rFonts w:hint="eastAsia" w:ascii="宋体" w:hAnsi="宋体" w:eastAsia="宋体" w:cs="宋体"/>
                <w:color w:val="auto"/>
                <w:sz w:val="24"/>
                <w:szCs w:val="24"/>
                <w:highlight w:val="none"/>
              </w:rPr>
              <w:t>会构成：采购人代表1人，技术、经济相关专业专家4人；</w:t>
            </w:r>
          </w:p>
          <w:p w14:paraId="1749AEC3">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评标专家确定方式：从依法成立的评标专家库中随机抽取。</w:t>
            </w:r>
          </w:p>
        </w:tc>
      </w:tr>
      <w:tr w14:paraId="5FBBF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289" w:type="pct"/>
            <w:tcBorders>
              <w:top w:val="single" w:color="auto" w:sz="4" w:space="0"/>
              <w:left w:val="single" w:color="auto" w:sz="4" w:space="0"/>
              <w:bottom w:val="single" w:color="auto" w:sz="4" w:space="0"/>
              <w:right w:val="single" w:color="auto" w:sz="4" w:space="0"/>
            </w:tcBorders>
            <w:vAlign w:val="center"/>
          </w:tcPr>
          <w:p w14:paraId="05CB51CB">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075" w:type="pct"/>
            <w:tcBorders>
              <w:top w:val="single" w:color="auto" w:sz="4" w:space="0"/>
              <w:left w:val="single" w:color="auto" w:sz="4" w:space="0"/>
              <w:bottom w:val="single" w:color="auto" w:sz="4" w:space="0"/>
              <w:right w:val="single" w:color="auto" w:sz="4" w:space="0"/>
            </w:tcBorders>
            <w:vAlign w:val="center"/>
          </w:tcPr>
          <w:p w14:paraId="26237F89">
            <w:pPr>
              <w:keepNext w:val="0"/>
              <w:keepLines w:val="0"/>
              <w:pageBreakBefore w:val="0"/>
              <w:kinsoku/>
              <w:wordWrap w:val="0"/>
              <w:overflowPunct/>
              <w:topLinePunct w:val="0"/>
              <w:autoSpaceDE w:val="0"/>
              <w:autoSpaceDN w:val="0"/>
              <w:bidi w:val="0"/>
              <w:adjustRightInd w:val="0"/>
              <w:spacing w:line="312" w:lineRule="auto"/>
              <w:jc w:val="center"/>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是否授权评标委员会确定中标人</w:t>
            </w:r>
          </w:p>
        </w:tc>
        <w:tc>
          <w:tcPr>
            <w:tcW w:w="3634" w:type="pct"/>
            <w:tcBorders>
              <w:top w:val="single" w:color="auto" w:sz="4" w:space="0"/>
              <w:left w:val="single" w:color="auto" w:sz="4" w:space="0"/>
              <w:bottom w:val="single" w:color="auto" w:sz="4" w:space="0"/>
              <w:right w:val="single" w:color="auto" w:sz="4" w:space="0"/>
            </w:tcBorders>
            <w:vAlign w:val="center"/>
          </w:tcPr>
          <w:p w14:paraId="1E7B2FA0">
            <w:pPr>
              <w:keepNext w:val="0"/>
              <w:keepLines w:val="0"/>
              <w:pageBreakBefore w:val="0"/>
              <w:kinsoku/>
              <w:wordWrap w:val="0"/>
              <w:overflowPunct/>
              <w:topLinePunct w:val="0"/>
              <w:bidi w:val="0"/>
              <w:spacing w:line="312" w:lineRule="auto"/>
              <w:textAlignment w:val="auto"/>
              <w:rPr>
                <w:rFonts w:hint="eastAsia" w:ascii="宋体" w:hAnsi="宋体" w:eastAsia="宋体" w:cs="宋体"/>
                <w:bCs/>
                <w:kern w:val="15"/>
                <w:sz w:val="24"/>
                <w:szCs w:val="24"/>
              </w:rPr>
            </w:pPr>
            <w:r>
              <w:rPr>
                <w:rFonts w:hint="eastAsia" w:ascii="宋体" w:hAnsi="宋体" w:eastAsia="宋体" w:cs="宋体"/>
                <w:bCs/>
                <w:sz w:val="24"/>
                <w:szCs w:val="24"/>
                <w:lang w:val="zh-CN"/>
              </w:rPr>
              <w:t>否，推荐3名中标候选人</w:t>
            </w:r>
          </w:p>
        </w:tc>
      </w:tr>
      <w:tr w14:paraId="0C25A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289" w:type="pct"/>
            <w:tcBorders>
              <w:top w:val="single" w:color="auto" w:sz="4" w:space="0"/>
              <w:left w:val="single" w:color="auto" w:sz="4" w:space="0"/>
              <w:bottom w:val="single" w:color="auto" w:sz="4" w:space="0"/>
              <w:right w:val="single" w:color="auto" w:sz="4" w:space="0"/>
            </w:tcBorders>
            <w:vAlign w:val="center"/>
          </w:tcPr>
          <w:p w14:paraId="647C5A0D">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075" w:type="pct"/>
            <w:tcBorders>
              <w:top w:val="single" w:color="auto" w:sz="4" w:space="0"/>
              <w:left w:val="single" w:color="auto" w:sz="4" w:space="0"/>
              <w:bottom w:val="single" w:color="auto" w:sz="4" w:space="0"/>
              <w:right w:val="single" w:color="auto" w:sz="4" w:space="0"/>
            </w:tcBorders>
            <w:vAlign w:val="center"/>
          </w:tcPr>
          <w:p w14:paraId="626A0857">
            <w:pPr>
              <w:keepNext w:val="0"/>
              <w:keepLines w:val="0"/>
              <w:pageBreakBefore w:val="0"/>
              <w:kinsoku/>
              <w:overflowPunct/>
              <w:topLinePunct w:val="0"/>
              <w:bidi w:val="0"/>
              <w:adjustRightInd w:val="0"/>
              <w:snapToGrid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签订合同</w:t>
            </w:r>
          </w:p>
        </w:tc>
        <w:tc>
          <w:tcPr>
            <w:tcW w:w="3634" w:type="pct"/>
            <w:tcBorders>
              <w:top w:val="single" w:color="auto" w:sz="4" w:space="0"/>
              <w:left w:val="single" w:color="auto" w:sz="4" w:space="0"/>
              <w:bottom w:val="single" w:color="auto" w:sz="4" w:space="0"/>
              <w:right w:val="single" w:color="auto" w:sz="4" w:space="0"/>
            </w:tcBorders>
            <w:vAlign w:val="center"/>
          </w:tcPr>
          <w:p w14:paraId="4B292610">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中标人应在中标结果确定后</w:t>
            </w:r>
            <w:r>
              <w:rPr>
                <w:rFonts w:hint="eastAsia" w:ascii="宋体" w:hAnsi="宋体" w:eastAsia="宋体" w:cs="宋体"/>
                <w:sz w:val="24"/>
                <w:szCs w:val="24"/>
                <w:u w:val="single"/>
              </w:rPr>
              <w:t xml:space="preserve"> 30 </w:t>
            </w:r>
            <w:r>
              <w:rPr>
                <w:rFonts w:hint="eastAsia" w:ascii="宋体" w:hAnsi="宋体" w:eastAsia="宋体" w:cs="宋体"/>
                <w:sz w:val="24"/>
                <w:szCs w:val="24"/>
              </w:rPr>
              <w:t>天内签订采购合同</w:t>
            </w:r>
          </w:p>
        </w:tc>
      </w:tr>
      <w:tr w14:paraId="288D2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2CD9033">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14840672">
            <w:pPr>
              <w:keepNext w:val="0"/>
              <w:keepLines w:val="0"/>
              <w:pageBreakBefore w:val="0"/>
              <w:kinsoku/>
              <w:overflowPunct/>
              <w:topLinePunct w:val="0"/>
              <w:bidi w:val="0"/>
              <w:spacing w:line="312" w:lineRule="auto"/>
              <w:jc w:val="center"/>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rPr>
              <w:t>付款方式</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570730B6">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bCs/>
                <w:kern w:val="15"/>
                <w:sz w:val="24"/>
                <w:szCs w:val="24"/>
              </w:rPr>
            </w:pPr>
            <w:r>
              <w:rPr>
                <w:rFonts w:hint="eastAsia" w:ascii="宋体" w:hAnsi="宋体" w:eastAsia="宋体" w:cs="宋体"/>
                <w:sz w:val="24"/>
                <w:szCs w:val="24"/>
              </w:rPr>
              <w:t>按合同约定执行</w:t>
            </w:r>
          </w:p>
        </w:tc>
      </w:tr>
      <w:tr w14:paraId="3F210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7964D94">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43C0898A">
            <w:pPr>
              <w:keepNext w:val="0"/>
              <w:keepLines w:val="0"/>
              <w:pageBreakBefore w:val="0"/>
              <w:kinsoku/>
              <w:overflowPunct/>
              <w:topLinePunct w:val="0"/>
              <w:bidi w:val="0"/>
              <w:adjustRightInd w:val="0"/>
              <w:snapToGrid w:val="0"/>
              <w:spacing w:line="312" w:lineRule="auto"/>
              <w:jc w:val="center"/>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rPr>
              <w:t>履约担保</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4C82F757">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bCs/>
                <w:kern w:val="15"/>
                <w:sz w:val="24"/>
                <w:szCs w:val="24"/>
                <w:highlight w:val="none"/>
              </w:rPr>
            </w:pPr>
            <w:r>
              <w:rPr>
                <w:rFonts w:hint="eastAsia" w:ascii="宋体" w:hAnsi="宋体" w:eastAsia="宋体" w:cs="宋体"/>
                <w:bCs/>
                <w:kern w:val="15"/>
                <w:sz w:val="24"/>
                <w:szCs w:val="24"/>
              </w:rPr>
              <w:t>1</w:t>
            </w:r>
            <w:r>
              <w:rPr>
                <w:rFonts w:hint="eastAsia" w:ascii="宋体" w:hAnsi="宋体" w:eastAsia="宋体" w:cs="宋体"/>
                <w:bCs/>
                <w:kern w:val="15"/>
                <w:sz w:val="24"/>
                <w:szCs w:val="24"/>
                <w:highlight w:val="none"/>
              </w:rPr>
              <w:t>.履约担保的金额：中标价款的5%；支付方式：按合同约定执行。</w:t>
            </w:r>
          </w:p>
          <w:p w14:paraId="08F1DFE9">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2.履约担保缴纳（提交）时间：下发中标通知书之日起7日内提交。</w:t>
            </w:r>
          </w:p>
          <w:p w14:paraId="27E1A34E">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highlight w:val="none"/>
              </w:rPr>
              <w:t>3.履约保证金交纳后</w:t>
            </w:r>
            <w:r>
              <w:rPr>
                <w:rFonts w:hint="eastAsia" w:ascii="宋体" w:hAnsi="宋体" w:eastAsia="宋体" w:cs="宋体"/>
                <w:bCs/>
                <w:kern w:val="15"/>
                <w:sz w:val="24"/>
                <w:szCs w:val="24"/>
              </w:rPr>
              <w:t>持中标通知书与采购人签订供货合同。</w:t>
            </w:r>
          </w:p>
          <w:p w14:paraId="76E10F27">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rPr>
              <w:t>4.履约保证金退还：由采购人根据采购合同约定，待供应商履行完合同约定权利义务事项后退还。</w:t>
            </w:r>
          </w:p>
        </w:tc>
      </w:tr>
      <w:tr w14:paraId="0F17A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9" w:type="pct"/>
            <w:tcBorders>
              <w:top w:val="single" w:color="auto" w:sz="4" w:space="0"/>
              <w:left w:val="single" w:color="auto" w:sz="4" w:space="0"/>
              <w:bottom w:val="single" w:color="auto" w:sz="4" w:space="0"/>
              <w:right w:val="single" w:color="auto" w:sz="4" w:space="0"/>
            </w:tcBorders>
            <w:vAlign w:val="center"/>
          </w:tcPr>
          <w:p w14:paraId="44466697">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1075" w:type="pct"/>
            <w:tcBorders>
              <w:top w:val="single" w:color="auto" w:sz="4" w:space="0"/>
              <w:left w:val="single" w:color="auto" w:sz="4" w:space="0"/>
              <w:bottom w:val="single" w:color="auto" w:sz="4" w:space="0"/>
              <w:right w:val="single" w:color="auto" w:sz="4" w:space="0"/>
            </w:tcBorders>
            <w:vAlign w:val="center"/>
          </w:tcPr>
          <w:p w14:paraId="53F9380F">
            <w:pPr>
              <w:keepNext w:val="0"/>
              <w:keepLines w:val="0"/>
              <w:pageBreakBefore w:val="0"/>
              <w:kinsoku/>
              <w:overflowPunct/>
              <w:topLinePunct w:val="0"/>
              <w:bidi w:val="0"/>
              <w:spacing w:line="312" w:lineRule="auto"/>
              <w:jc w:val="center"/>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rPr>
              <w:t>合同存档</w:t>
            </w:r>
          </w:p>
        </w:tc>
        <w:tc>
          <w:tcPr>
            <w:tcW w:w="3634" w:type="pct"/>
            <w:tcBorders>
              <w:top w:val="single" w:color="auto" w:sz="4" w:space="0"/>
              <w:left w:val="single" w:color="auto" w:sz="4" w:space="0"/>
              <w:bottom w:val="single" w:color="auto" w:sz="4" w:space="0"/>
              <w:right w:val="single" w:color="auto" w:sz="4" w:space="0"/>
            </w:tcBorders>
            <w:vAlign w:val="center"/>
          </w:tcPr>
          <w:p w14:paraId="5F52B780">
            <w:pPr>
              <w:keepNext w:val="0"/>
              <w:keepLines w:val="0"/>
              <w:pageBreakBefore w:val="0"/>
              <w:kinsoku/>
              <w:overflowPunct/>
              <w:topLinePunct w:val="0"/>
              <w:bidi w:val="0"/>
              <w:spacing w:line="312" w:lineRule="auto"/>
              <w:jc w:val="both"/>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rPr>
              <w:t>中标人与采购人签订合同后</w:t>
            </w:r>
            <w:r>
              <w:rPr>
                <w:rFonts w:hint="eastAsia" w:ascii="宋体" w:hAnsi="宋体" w:eastAsia="宋体" w:cs="宋体"/>
                <w:bCs/>
                <w:kern w:val="15"/>
                <w:sz w:val="24"/>
                <w:szCs w:val="24"/>
                <w:u w:val="single"/>
              </w:rPr>
              <w:t xml:space="preserve"> 2 </w:t>
            </w:r>
            <w:r>
              <w:rPr>
                <w:rFonts w:hint="eastAsia" w:ascii="宋体" w:hAnsi="宋体" w:eastAsia="宋体" w:cs="宋体"/>
                <w:bCs/>
                <w:kern w:val="15"/>
                <w:sz w:val="24"/>
                <w:szCs w:val="24"/>
              </w:rPr>
              <w:t>个工作日内将采购合同复印件送至采购代理机构存档并进行合同公示。</w:t>
            </w:r>
          </w:p>
        </w:tc>
      </w:tr>
      <w:tr w14:paraId="2C6D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single" w:color="auto" w:sz="4" w:space="0"/>
              <w:left w:val="single" w:color="auto" w:sz="4" w:space="0"/>
              <w:bottom w:val="single" w:color="auto" w:sz="4" w:space="0"/>
              <w:right w:val="single" w:color="auto" w:sz="4" w:space="0"/>
            </w:tcBorders>
            <w:vAlign w:val="center"/>
          </w:tcPr>
          <w:p w14:paraId="7104610B">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1075" w:type="pct"/>
            <w:tcBorders>
              <w:top w:val="single" w:color="auto" w:sz="4" w:space="0"/>
              <w:left w:val="single" w:color="auto" w:sz="4" w:space="0"/>
              <w:bottom w:val="single" w:color="auto" w:sz="4" w:space="0"/>
              <w:right w:val="single" w:color="auto" w:sz="4" w:space="0"/>
            </w:tcBorders>
            <w:vAlign w:val="center"/>
          </w:tcPr>
          <w:p w14:paraId="6A6B49C6">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rPr>
              <w:t>招标代理服务费</w:t>
            </w:r>
          </w:p>
        </w:tc>
        <w:tc>
          <w:tcPr>
            <w:tcW w:w="3634" w:type="pct"/>
            <w:tcBorders>
              <w:top w:val="single" w:color="auto" w:sz="4" w:space="0"/>
              <w:left w:val="single" w:color="auto" w:sz="4" w:space="0"/>
              <w:bottom w:val="single" w:color="auto" w:sz="4" w:space="0"/>
              <w:right w:val="single" w:color="auto" w:sz="4" w:space="0"/>
            </w:tcBorders>
            <w:vAlign w:val="center"/>
          </w:tcPr>
          <w:p w14:paraId="7D3F416C">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参照《国家发改委办公厅关于招标代理服务费收费有关问题的通知》（发改办价格[2003]857号）和国家发展计划委员会计价价格[2002]1980号文件</w:t>
            </w:r>
            <w:r>
              <w:rPr>
                <w:rFonts w:hint="eastAsia" w:ascii="宋体" w:hAnsi="宋体" w:cs="宋体"/>
                <w:sz w:val="24"/>
                <w:szCs w:val="24"/>
                <w:lang w:val="en-US" w:eastAsia="zh-CN"/>
              </w:rPr>
              <w:t>及</w:t>
            </w:r>
            <w:r>
              <w:rPr>
                <w:rFonts w:hint="eastAsia" w:ascii="宋体" w:hAnsi="宋体" w:eastAsia="宋体" w:cs="宋体"/>
                <w:sz w:val="24"/>
                <w:szCs w:val="24"/>
              </w:rPr>
              <w:t>《国家发展改革委关于进一步放开建设项目专业服务价格的通知》（发改价格〔2015〕299号）的取费标准向中标人收取招标代理服务费。</w:t>
            </w:r>
          </w:p>
        </w:tc>
      </w:tr>
      <w:tr w14:paraId="39CDD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single" w:color="auto" w:sz="4" w:space="0"/>
              <w:left w:val="single" w:color="auto" w:sz="4" w:space="0"/>
              <w:bottom w:val="single" w:color="auto" w:sz="4" w:space="0"/>
              <w:right w:val="single" w:color="auto" w:sz="4" w:space="0"/>
            </w:tcBorders>
            <w:vAlign w:val="center"/>
          </w:tcPr>
          <w:p w14:paraId="5C68703D">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1075" w:type="pct"/>
            <w:tcBorders>
              <w:top w:val="single" w:color="auto" w:sz="4" w:space="0"/>
              <w:left w:val="single" w:color="auto" w:sz="4" w:space="0"/>
              <w:bottom w:val="single" w:color="auto" w:sz="4" w:space="0"/>
              <w:right w:val="single" w:color="auto" w:sz="4" w:space="0"/>
            </w:tcBorders>
            <w:vAlign w:val="center"/>
          </w:tcPr>
          <w:p w14:paraId="497BABC9">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lang w:val="zh-CN"/>
              </w:rPr>
              <w:t>交货方式</w:t>
            </w:r>
          </w:p>
        </w:tc>
        <w:tc>
          <w:tcPr>
            <w:tcW w:w="3634" w:type="pct"/>
            <w:tcBorders>
              <w:top w:val="single" w:color="auto" w:sz="4" w:space="0"/>
              <w:left w:val="single" w:color="auto" w:sz="4" w:space="0"/>
              <w:bottom w:val="single" w:color="auto" w:sz="4" w:space="0"/>
              <w:right w:val="single" w:color="auto" w:sz="4" w:space="0"/>
            </w:tcBorders>
            <w:vAlign w:val="center"/>
          </w:tcPr>
          <w:p w14:paraId="3B0A64A3">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zh-CN"/>
              </w:rPr>
              <w:t>中标人负责将货物安全完好运抵交货地点、安装调试并保证验收合格。</w:t>
            </w:r>
          </w:p>
        </w:tc>
      </w:tr>
      <w:tr w14:paraId="51EFE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single" w:color="auto" w:sz="4" w:space="0"/>
              <w:left w:val="single" w:color="auto" w:sz="4" w:space="0"/>
              <w:bottom w:val="single" w:color="auto" w:sz="4" w:space="0"/>
              <w:right w:val="single" w:color="auto" w:sz="4" w:space="0"/>
            </w:tcBorders>
            <w:vAlign w:val="center"/>
          </w:tcPr>
          <w:p w14:paraId="543E8BCC">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075" w:type="pct"/>
            <w:tcBorders>
              <w:top w:val="single" w:color="auto" w:sz="4" w:space="0"/>
              <w:left w:val="single" w:color="auto" w:sz="4" w:space="0"/>
              <w:bottom w:val="single" w:color="auto" w:sz="4" w:space="0"/>
              <w:right w:val="single" w:color="auto" w:sz="4" w:space="0"/>
            </w:tcBorders>
            <w:vAlign w:val="center"/>
          </w:tcPr>
          <w:p w14:paraId="448A6D59">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bCs/>
                <w:kern w:val="15"/>
                <w:sz w:val="24"/>
                <w:szCs w:val="24"/>
                <w:lang w:val="zh-CN"/>
              </w:rPr>
            </w:pPr>
            <w:r>
              <w:rPr>
                <w:rFonts w:hint="eastAsia" w:ascii="宋体" w:hAnsi="宋体" w:eastAsia="宋体" w:cs="宋体"/>
                <w:color w:val="auto"/>
                <w:sz w:val="24"/>
                <w:szCs w:val="24"/>
                <w:highlight w:val="none"/>
              </w:rPr>
              <w:t>解密方式</w:t>
            </w:r>
          </w:p>
        </w:tc>
        <w:tc>
          <w:tcPr>
            <w:tcW w:w="3634" w:type="pct"/>
            <w:tcBorders>
              <w:top w:val="single" w:color="auto" w:sz="4" w:space="0"/>
              <w:left w:val="single" w:color="auto" w:sz="4" w:space="0"/>
              <w:bottom w:val="single" w:color="auto" w:sz="4" w:space="0"/>
              <w:right w:val="single" w:color="auto" w:sz="4" w:space="0"/>
            </w:tcBorders>
            <w:vAlign w:val="center"/>
          </w:tcPr>
          <w:p w14:paraId="7BC1FF31">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（1）本项目采用全流程电子化招投标，开标方式为远程开标，并按照现场工作人员通知使用CA锁进行投标文件远程解密。</w:t>
            </w:r>
          </w:p>
          <w:p w14:paraId="4C996330">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2）电子投标文件提交方式：本项目为全流程电子化项目，通过“政采云”平台（http：//www.zcygov.cn）实行在线电子投标，投标人应先安装“政采云投标客户端”（请自行前往“政采云”平台进行下载），并按照本项目招标文件和“政采云”平台的要求编制、加密后在提交投标文件截止时间前通过网络将电子投标文件上传至“政采云”平台（http：//www.zcygov.cn），投标人在“政采云”平台（http：//www.zcygov.cn）提交电子投标文件时，请填写参加采购活动经办人联系方式。</w:t>
            </w:r>
          </w:p>
          <w:p w14:paraId="1F2A06F8">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3）电子投标文件解密期限及方式：开标时间后30分钟内，由投标人持制作该电子投标文件的同一数字证书（CA锁）及电脑进行远程解密（各投标人开标前及网上开评标系统公布投标人名单前，不要提前进行远程解密；当采购代理机构开启解密程序后，各投标人再进行解密）。</w:t>
            </w:r>
          </w:p>
          <w:p w14:paraId="028D18C9">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val="zh-CN"/>
              </w:rPr>
            </w:pPr>
            <w:r>
              <w:rPr>
                <w:rFonts w:hint="eastAsia" w:ascii="宋体" w:hAnsi="宋体" w:eastAsia="宋体" w:cs="宋体"/>
                <w:sz w:val="24"/>
                <w:szCs w:val="24"/>
              </w:rPr>
              <w:t>（4）投标文件解密截止时间后，“政采云”平台（http：//www.zcygov.cn）公布投标报价信息，投标人持企业数字证书登录“政采云”平台在线查询投标报价信息。因投标投标人自身原因未能按时完成解密的，视为逾期未提交投标文件，其投标无效。</w:t>
            </w:r>
          </w:p>
        </w:tc>
      </w:tr>
      <w:tr w14:paraId="7A11B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FF4C54B">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bCs/>
                <w:kern w:val="15"/>
                <w:sz w:val="24"/>
                <w:szCs w:val="24"/>
              </w:rPr>
              <w:t>本项目招标公告与招标文件中内容有不符之处，以本招标文件中内容为准。</w:t>
            </w:r>
          </w:p>
        </w:tc>
      </w:tr>
    </w:tbl>
    <w:p w14:paraId="2601A4F1">
      <w:pPr>
        <w:spacing w:line="288" w:lineRule="auto"/>
        <w:rPr>
          <w:rFonts w:ascii="宋体" w:hAnsi="宋体" w:cs="宋体"/>
          <w:b/>
          <w:kern w:val="2"/>
          <w:sz w:val="24"/>
          <w:szCs w:val="24"/>
        </w:rPr>
      </w:pPr>
    </w:p>
    <w:p w14:paraId="0ADD0169">
      <w:pPr>
        <w:pStyle w:val="10"/>
        <w:spacing w:line="288" w:lineRule="auto"/>
        <w:rPr>
          <w:rFonts w:ascii="宋体" w:hAnsi="宋体" w:cs="宋体"/>
          <w:szCs w:val="24"/>
        </w:rPr>
      </w:pPr>
      <w:r>
        <w:rPr>
          <w:rFonts w:hint="eastAsia" w:ascii="宋体" w:hAnsi="宋体" w:cs="宋体"/>
          <w:szCs w:val="24"/>
        </w:rPr>
        <w:t>二、供应商须知</w:t>
      </w:r>
      <w:bookmarkEnd w:id="0"/>
    </w:p>
    <w:p w14:paraId="399B2876">
      <w:pPr>
        <w:pStyle w:val="4"/>
        <w:spacing w:before="0" w:after="0" w:line="288" w:lineRule="auto"/>
        <w:jc w:val="center"/>
        <w:rPr>
          <w:rFonts w:ascii="宋体" w:hAnsi="宋体" w:eastAsia="宋体" w:cs="宋体"/>
          <w:sz w:val="24"/>
          <w:szCs w:val="24"/>
        </w:rPr>
      </w:pPr>
      <w:bookmarkStart w:id="20" w:name="_Toc98580391"/>
      <w:r>
        <w:rPr>
          <w:rFonts w:hint="eastAsia" w:ascii="宋体" w:hAnsi="宋体" w:eastAsia="宋体" w:cs="宋体"/>
          <w:sz w:val="24"/>
          <w:szCs w:val="24"/>
        </w:rPr>
        <w:t>A 说明</w:t>
      </w:r>
      <w:bookmarkEnd w:id="20"/>
    </w:p>
    <w:p w14:paraId="15171F91">
      <w:pPr>
        <w:pStyle w:val="5"/>
        <w:spacing w:before="0" w:after="0" w:line="288" w:lineRule="auto"/>
        <w:rPr>
          <w:rFonts w:ascii="宋体" w:hAnsi="宋体" w:cs="宋体"/>
          <w:b w:val="0"/>
          <w:spacing w:val="6"/>
          <w:sz w:val="24"/>
          <w:szCs w:val="24"/>
        </w:rPr>
      </w:pPr>
      <w:bookmarkStart w:id="21" w:name="_Toc98580392"/>
      <w:r>
        <w:rPr>
          <w:rFonts w:hint="eastAsia" w:ascii="宋体" w:hAnsi="宋体" w:cs="宋体"/>
          <w:sz w:val="24"/>
          <w:szCs w:val="24"/>
        </w:rPr>
        <w:t>1.适用范围</w:t>
      </w:r>
      <w:bookmarkEnd w:id="21"/>
    </w:p>
    <w:p w14:paraId="2E2CCA64">
      <w:pPr>
        <w:spacing w:line="288" w:lineRule="auto"/>
        <w:ind w:firstLine="567"/>
        <w:jc w:val="both"/>
        <w:rPr>
          <w:rFonts w:ascii="宋体" w:hAnsi="宋体" w:cs="宋体"/>
          <w:sz w:val="24"/>
          <w:szCs w:val="24"/>
        </w:rPr>
      </w:pPr>
      <w:r>
        <w:rPr>
          <w:rFonts w:hint="eastAsia" w:ascii="宋体" w:hAnsi="宋体" w:cs="宋体"/>
          <w:sz w:val="24"/>
          <w:szCs w:val="24"/>
        </w:rPr>
        <w:t>本文件是受</w:t>
      </w:r>
      <w:r>
        <w:rPr>
          <w:rFonts w:hint="eastAsia" w:ascii="宋体" w:hAnsi="宋体" w:cs="宋体"/>
          <w:spacing w:val="6"/>
          <w:sz w:val="24"/>
          <w:szCs w:val="24"/>
        </w:rPr>
        <w:t>采购人</w:t>
      </w:r>
      <w:r>
        <w:rPr>
          <w:rFonts w:hint="eastAsia" w:ascii="宋体" w:hAnsi="宋体" w:cs="宋体"/>
          <w:sz w:val="24"/>
          <w:szCs w:val="24"/>
        </w:rPr>
        <w:t>委托</w:t>
      </w:r>
      <w:r>
        <w:rPr>
          <w:rFonts w:hint="eastAsia" w:ascii="宋体" w:hAnsi="宋体" w:cs="宋体"/>
          <w:spacing w:val="6"/>
          <w:sz w:val="24"/>
          <w:szCs w:val="24"/>
        </w:rPr>
        <w:t>，对采购人</w:t>
      </w:r>
      <w:r>
        <w:rPr>
          <w:rFonts w:hint="eastAsia" w:ascii="宋体" w:hAnsi="宋体" w:cs="宋体"/>
          <w:sz w:val="24"/>
          <w:szCs w:val="24"/>
        </w:rPr>
        <w:t>委托</w:t>
      </w:r>
      <w:r>
        <w:rPr>
          <w:rFonts w:hint="eastAsia" w:ascii="宋体" w:hAnsi="宋体" w:cs="宋体"/>
          <w:bCs/>
          <w:sz w:val="24"/>
          <w:szCs w:val="24"/>
          <w:lang w:val="zh-CN"/>
        </w:rPr>
        <w:t>采购项目</w:t>
      </w:r>
      <w:r>
        <w:rPr>
          <w:rFonts w:hint="eastAsia" w:ascii="宋体" w:hAnsi="宋体" w:cs="宋体"/>
          <w:spacing w:val="6"/>
          <w:sz w:val="24"/>
          <w:szCs w:val="24"/>
        </w:rPr>
        <w:t>的规范性招标</w:t>
      </w:r>
      <w:r>
        <w:rPr>
          <w:rFonts w:hint="eastAsia" w:ascii="宋体" w:hAnsi="宋体" w:cs="宋体"/>
          <w:sz w:val="24"/>
          <w:szCs w:val="24"/>
        </w:rPr>
        <w:t>文件，适用于本项目招标公告所述的标的采购及服务，是供应商编制投标文件的依据。</w:t>
      </w:r>
    </w:p>
    <w:p w14:paraId="359403AD">
      <w:pPr>
        <w:pStyle w:val="5"/>
        <w:spacing w:before="0" w:after="0" w:line="288" w:lineRule="auto"/>
        <w:rPr>
          <w:rFonts w:ascii="宋体" w:hAnsi="宋体" w:cs="宋体"/>
          <w:sz w:val="24"/>
          <w:szCs w:val="24"/>
        </w:rPr>
      </w:pPr>
      <w:bookmarkStart w:id="22" w:name="_Toc98580393"/>
      <w:r>
        <w:rPr>
          <w:rFonts w:hint="eastAsia" w:ascii="宋体" w:hAnsi="宋体" w:cs="宋体"/>
          <w:sz w:val="24"/>
          <w:szCs w:val="24"/>
        </w:rPr>
        <w:t>2.法律适用</w:t>
      </w:r>
      <w:bookmarkEnd w:id="22"/>
    </w:p>
    <w:p w14:paraId="2DD4E2DD">
      <w:pPr>
        <w:spacing w:line="288" w:lineRule="auto"/>
        <w:ind w:firstLine="567"/>
        <w:jc w:val="both"/>
        <w:rPr>
          <w:rFonts w:ascii="宋体" w:hAnsi="宋体" w:cs="宋体"/>
          <w:sz w:val="24"/>
          <w:szCs w:val="24"/>
        </w:rPr>
      </w:pPr>
      <w:r>
        <w:rPr>
          <w:rFonts w:hint="eastAsia" w:ascii="宋体" w:hAnsi="宋体" w:cs="宋体"/>
          <w:sz w:val="24"/>
          <w:szCs w:val="24"/>
        </w:rPr>
        <w:t>本招标文件及由本次招标产生的合同适用</w:t>
      </w:r>
      <w:r>
        <w:rPr>
          <w:rFonts w:hint="eastAsia" w:ascii="宋体" w:hAnsi="宋体" w:cs="宋体"/>
          <w:sz w:val="24"/>
          <w:szCs w:val="24"/>
          <w:lang w:val="zh-CN"/>
        </w:rPr>
        <w:t>《中华人民共和国政府采购法》《中华人民共和国政府采购法实施条例》《政府采购货物和服务招标投标管理办法》及政府采购其它相关法规</w:t>
      </w:r>
      <w:r>
        <w:rPr>
          <w:rFonts w:hint="eastAsia" w:ascii="宋体" w:hAnsi="宋体" w:cs="宋体"/>
          <w:sz w:val="24"/>
          <w:szCs w:val="24"/>
        </w:rPr>
        <w:t>。</w:t>
      </w:r>
    </w:p>
    <w:p w14:paraId="5F0AE7FD">
      <w:pPr>
        <w:pStyle w:val="5"/>
        <w:spacing w:before="0" w:after="0" w:line="288" w:lineRule="auto"/>
        <w:rPr>
          <w:rFonts w:ascii="宋体" w:hAnsi="宋体" w:cs="宋体"/>
          <w:sz w:val="24"/>
          <w:szCs w:val="24"/>
        </w:rPr>
      </w:pPr>
      <w:bookmarkStart w:id="23" w:name="_Toc98580394"/>
      <w:r>
        <w:rPr>
          <w:rFonts w:hint="eastAsia" w:ascii="宋体" w:hAnsi="宋体" w:cs="宋体"/>
          <w:sz w:val="24"/>
          <w:szCs w:val="24"/>
        </w:rPr>
        <w:t>3.定义</w:t>
      </w:r>
      <w:bookmarkEnd w:id="23"/>
    </w:p>
    <w:p w14:paraId="2FE4100E">
      <w:pPr>
        <w:spacing w:line="288" w:lineRule="auto"/>
        <w:ind w:firstLine="351"/>
        <w:jc w:val="both"/>
        <w:rPr>
          <w:rFonts w:ascii="宋体" w:hAnsi="宋体" w:cs="宋体"/>
          <w:sz w:val="24"/>
          <w:szCs w:val="24"/>
        </w:rPr>
      </w:pPr>
      <w:r>
        <w:rPr>
          <w:rFonts w:hint="eastAsia" w:ascii="宋体" w:hAnsi="宋体" w:cs="宋体"/>
          <w:sz w:val="24"/>
          <w:szCs w:val="24"/>
        </w:rPr>
        <w:t>“招标机构”系指组织本次招标的代理机构；</w:t>
      </w:r>
    </w:p>
    <w:p w14:paraId="2E48E339">
      <w:pPr>
        <w:spacing w:line="288" w:lineRule="auto"/>
        <w:ind w:firstLine="351"/>
        <w:jc w:val="both"/>
        <w:rPr>
          <w:rFonts w:ascii="宋体" w:hAnsi="宋体" w:cs="宋体"/>
          <w:sz w:val="24"/>
          <w:szCs w:val="24"/>
        </w:rPr>
      </w:pPr>
      <w:r>
        <w:rPr>
          <w:rFonts w:hint="eastAsia" w:ascii="宋体" w:hAnsi="宋体" w:cs="宋体"/>
          <w:sz w:val="24"/>
          <w:szCs w:val="24"/>
        </w:rPr>
        <w:t>“供应商”系指向招标机构提交投标文件的投标商；</w:t>
      </w:r>
    </w:p>
    <w:p w14:paraId="1493E588">
      <w:pPr>
        <w:spacing w:line="288" w:lineRule="auto"/>
        <w:ind w:firstLine="351"/>
        <w:jc w:val="both"/>
        <w:rPr>
          <w:rFonts w:ascii="宋体" w:hAnsi="宋体" w:cs="宋体"/>
          <w:sz w:val="24"/>
          <w:szCs w:val="24"/>
        </w:rPr>
      </w:pPr>
      <w:r>
        <w:rPr>
          <w:rFonts w:hint="eastAsia" w:ascii="宋体" w:hAnsi="宋体" w:cs="宋体"/>
          <w:sz w:val="24"/>
          <w:szCs w:val="24"/>
        </w:rPr>
        <w:t>“买方”系指采购人，合同一方当事人；</w:t>
      </w:r>
    </w:p>
    <w:p w14:paraId="568E8C9A">
      <w:pPr>
        <w:spacing w:line="288" w:lineRule="auto"/>
        <w:ind w:firstLine="351"/>
        <w:jc w:val="both"/>
        <w:rPr>
          <w:rFonts w:ascii="宋体" w:hAnsi="宋体" w:cs="宋体"/>
          <w:sz w:val="24"/>
          <w:szCs w:val="24"/>
        </w:rPr>
      </w:pPr>
      <w:r>
        <w:rPr>
          <w:rFonts w:hint="eastAsia" w:ascii="宋体" w:hAnsi="宋体" w:cs="宋体"/>
          <w:sz w:val="24"/>
          <w:szCs w:val="24"/>
        </w:rPr>
        <w:t>“服务”系指招标文件规定须完成的服务和其他的类似义务；</w:t>
      </w:r>
    </w:p>
    <w:p w14:paraId="2C678CE8">
      <w:pPr>
        <w:spacing w:line="288" w:lineRule="auto"/>
        <w:ind w:firstLine="351"/>
        <w:jc w:val="both"/>
        <w:rPr>
          <w:rFonts w:ascii="宋体" w:hAnsi="宋体" w:cs="宋体"/>
          <w:sz w:val="24"/>
          <w:szCs w:val="24"/>
        </w:rPr>
      </w:pPr>
      <w:r>
        <w:rPr>
          <w:rFonts w:hint="eastAsia" w:ascii="宋体" w:hAnsi="宋体" w:cs="宋体"/>
          <w:sz w:val="24"/>
          <w:szCs w:val="24"/>
        </w:rPr>
        <w:t>“日”、“天”系指日历日；</w:t>
      </w:r>
    </w:p>
    <w:p w14:paraId="541228E7">
      <w:pPr>
        <w:pStyle w:val="122"/>
        <w:spacing w:before="0" w:beforeAutospacing="0" w:after="0" w:afterAutospacing="0" w:line="288" w:lineRule="auto"/>
        <w:ind w:firstLine="240"/>
        <w:rPr>
          <w:rFonts w:cs="宋体"/>
        </w:rPr>
      </w:pPr>
      <w:r>
        <w:rPr>
          <w:rFonts w:hint="eastAsia" w:cs="宋体"/>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008221FA">
      <w:pPr>
        <w:pStyle w:val="5"/>
        <w:spacing w:before="0" w:after="0" w:line="288" w:lineRule="auto"/>
        <w:rPr>
          <w:rFonts w:ascii="宋体" w:hAnsi="宋体" w:cs="宋体"/>
          <w:sz w:val="24"/>
          <w:szCs w:val="24"/>
        </w:rPr>
      </w:pPr>
      <w:bookmarkStart w:id="24" w:name="_Toc98580395"/>
      <w:r>
        <w:rPr>
          <w:rFonts w:hint="eastAsia" w:ascii="宋体" w:hAnsi="宋体" w:cs="宋体"/>
          <w:sz w:val="24"/>
          <w:szCs w:val="24"/>
        </w:rPr>
        <w:t>4.合格的供应商</w:t>
      </w:r>
      <w:bookmarkEnd w:id="24"/>
    </w:p>
    <w:p w14:paraId="7EA367FF">
      <w:pPr>
        <w:spacing w:line="288" w:lineRule="auto"/>
        <w:ind w:firstLine="480" w:firstLineChars="200"/>
        <w:jc w:val="both"/>
        <w:rPr>
          <w:rFonts w:ascii="宋体" w:hAnsi="宋体" w:cs="宋体"/>
          <w:sz w:val="24"/>
          <w:szCs w:val="24"/>
        </w:rPr>
      </w:pPr>
      <w:r>
        <w:rPr>
          <w:rFonts w:hint="eastAsia" w:ascii="宋体" w:hAnsi="宋体" w:cs="宋体"/>
          <w:sz w:val="24"/>
          <w:szCs w:val="24"/>
        </w:rPr>
        <w:t>4.1合格供应商必须符合供应商须知前附表第11项下各项要求；</w:t>
      </w:r>
    </w:p>
    <w:p w14:paraId="116A8638">
      <w:pPr>
        <w:spacing w:line="288" w:lineRule="auto"/>
        <w:ind w:firstLine="480" w:firstLineChars="200"/>
        <w:jc w:val="both"/>
        <w:rPr>
          <w:rFonts w:ascii="宋体" w:hAnsi="宋体" w:cs="宋体"/>
          <w:sz w:val="24"/>
          <w:szCs w:val="24"/>
        </w:rPr>
      </w:pPr>
      <w:r>
        <w:rPr>
          <w:rFonts w:hint="eastAsia" w:ascii="宋体" w:hAnsi="宋体" w:cs="宋体"/>
          <w:sz w:val="24"/>
          <w:szCs w:val="24"/>
        </w:rPr>
        <w:t>4.2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645C4934">
      <w:pPr>
        <w:spacing w:line="288" w:lineRule="auto"/>
        <w:jc w:val="both"/>
        <w:rPr>
          <w:rFonts w:ascii="宋体" w:hAnsi="宋体" w:cs="宋体"/>
          <w:b/>
          <w:sz w:val="24"/>
          <w:szCs w:val="24"/>
        </w:rPr>
      </w:pPr>
      <w:bookmarkStart w:id="25" w:name="_Toc98580402"/>
      <w:r>
        <w:rPr>
          <w:rFonts w:hint="eastAsia" w:ascii="宋体" w:hAnsi="宋体" w:cs="宋体"/>
          <w:b/>
          <w:sz w:val="24"/>
          <w:szCs w:val="24"/>
        </w:rPr>
        <w:t>5．投标费用</w:t>
      </w:r>
    </w:p>
    <w:p w14:paraId="27D824C0">
      <w:pPr>
        <w:spacing w:line="288" w:lineRule="auto"/>
        <w:ind w:firstLine="480" w:firstLineChars="200"/>
        <w:rPr>
          <w:rFonts w:ascii="宋体" w:hAnsi="宋体" w:cs="宋体"/>
          <w:sz w:val="24"/>
          <w:szCs w:val="24"/>
        </w:rPr>
      </w:pPr>
      <w:r>
        <w:rPr>
          <w:rFonts w:hint="eastAsia" w:ascii="宋体" w:hAnsi="宋体" w:cs="宋体"/>
          <w:sz w:val="24"/>
          <w:szCs w:val="24"/>
        </w:rPr>
        <w:t>供应商应承担其在投标准备、编制、递交投标文件和签订合同协议书的整个过程中发生的一切费用而不论其投标结果如何。</w:t>
      </w:r>
    </w:p>
    <w:p w14:paraId="5F10A328">
      <w:pPr>
        <w:pStyle w:val="4"/>
        <w:spacing w:before="0" w:after="0" w:line="288" w:lineRule="auto"/>
        <w:jc w:val="center"/>
        <w:rPr>
          <w:rFonts w:ascii="宋体" w:hAnsi="宋体" w:eastAsia="宋体" w:cs="宋体"/>
          <w:sz w:val="24"/>
          <w:szCs w:val="24"/>
        </w:rPr>
      </w:pPr>
      <w:bookmarkStart w:id="26" w:name="_Toc98580396"/>
      <w:r>
        <w:rPr>
          <w:rFonts w:hint="eastAsia" w:ascii="宋体" w:hAnsi="宋体" w:eastAsia="宋体" w:cs="宋体"/>
          <w:sz w:val="24"/>
          <w:szCs w:val="24"/>
        </w:rPr>
        <w:t>B.招标文件说明</w:t>
      </w:r>
      <w:bookmarkEnd w:id="26"/>
    </w:p>
    <w:p w14:paraId="37FC3E06">
      <w:pPr>
        <w:pStyle w:val="5"/>
        <w:spacing w:before="0" w:after="0" w:line="288" w:lineRule="auto"/>
        <w:rPr>
          <w:rFonts w:ascii="宋体" w:hAnsi="宋体" w:cs="宋体"/>
          <w:sz w:val="24"/>
          <w:szCs w:val="24"/>
        </w:rPr>
      </w:pPr>
      <w:bookmarkStart w:id="27" w:name="_Toc98580397"/>
      <w:r>
        <w:rPr>
          <w:rFonts w:hint="eastAsia" w:ascii="宋体" w:hAnsi="宋体" w:cs="宋体"/>
          <w:sz w:val="24"/>
          <w:szCs w:val="24"/>
        </w:rPr>
        <w:t>6.招标文件</w:t>
      </w:r>
      <w:bookmarkEnd w:id="27"/>
    </w:p>
    <w:p w14:paraId="641B2D69">
      <w:pPr>
        <w:spacing w:line="288" w:lineRule="auto"/>
        <w:ind w:firstLine="480" w:firstLineChars="200"/>
        <w:rPr>
          <w:rFonts w:ascii="宋体" w:hAnsi="宋体" w:cs="宋体"/>
          <w:sz w:val="24"/>
          <w:szCs w:val="24"/>
        </w:rPr>
      </w:pPr>
      <w:r>
        <w:rPr>
          <w:rFonts w:hint="eastAsia" w:ascii="宋体" w:hAnsi="宋体" w:cs="宋体"/>
          <w:sz w:val="24"/>
          <w:szCs w:val="24"/>
        </w:rPr>
        <w:t>招标文件用以阐明所需货物及服务、招标投标程序和投标文件格式。招标文件由以下部分组成：</w:t>
      </w:r>
    </w:p>
    <w:p w14:paraId="666ED598">
      <w:pPr>
        <w:spacing w:line="288" w:lineRule="auto"/>
        <w:ind w:firstLine="709"/>
        <w:jc w:val="both"/>
        <w:rPr>
          <w:rFonts w:ascii="宋体" w:hAnsi="宋体" w:cs="宋体"/>
          <w:sz w:val="24"/>
          <w:szCs w:val="24"/>
        </w:rPr>
      </w:pPr>
      <w:bookmarkStart w:id="28" w:name="_Toc98580398"/>
      <w:r>
        <w:rPr>
          <w:rFonts w:hint="eastAsia" w:ascii="宋体" w:hAnsi="宋体" w:cs="宋体"/>
          <w:sz w:val="24"/>
          <w:szCs w:val="24"/>
        </w:rPr>
        <w:t>第一部分   招标公告</w:t>
      </w:r>
    </w:p>
    <w:p w14:paraId="39023AB6">
      <w:pPr>
        <w:spacing w:line="288" w:lineRule="auto"/>
        <w:ind w:firstLine="709"/>
        <w:jc w:val="both"/>
        <w:rPr>
          <w:rFonts w:ascii="宋体" w:hAnsi="宋体" w:cs="宋体"/>
          <w:sz w:val="24"/>
          <w:szCs w:val="24"/>
        </w:rPr>
      </w:pPr>
      <w:r>
        <w:rPr>
          <w:rFonts w:hint="eastAsia" w:ascii="宋体" w:hAnsi="宋体" w:cs="宋体"/>
          <w:sz w:val="24"/>
          <w:szCs w:val="24"/>
        </w:rPr>
        <w:t>第二部分   供应商须知</w:t>
      </w:r>
    </w:p>
    <w:p w14:paraId="41F6269E">
      <w:pPr>
        <w:spacing w:line="288" w:lineRule="auto"/>
        <w:ind w:firstLine="709"/>
        <w:jc w:val="both"/>
        <w:rPr>
          <w:rFonts w:ascii="宋体" w:hAnsi="宋体" w:cs="宋体"/>
          <w:sz w:val="24"/>
          <w:szCs w:val="24"/>
        </w:rPr>
      </w:pPr>
      <w:r>
        <w:rPr>
          <w:rFonts w:hint="eastAsia" w:ascii="宋体" w:hAnsi="宋体" w:cs="宋体"/>
          <w:sz w:val="24"/>
          <w:szCs w:val="24"/>
        </w:rPr>
        <w:t>第三部分   评标办法</w:t>
      </w:r>
    </w:p>
    <w:p w14:paraId="0519EF5F">
      <w:pPr>
        <w:spacing w:line="288" w:lineRule="auto"/>
        <w:ind w:firstLine="709"/>
        <w:jc w:val="both"/>
        <w:rPr>
          <w:rFonts w:ascii="宋体" w:hAnsi="宋体" w:cs="宋体"/>
          <w:sz w:val="24"/>
          <w:szCs w:val="24"/>
        </w:rPr>
      </w:pPr>
      <w:r>
        <w:rPr>
          <w:rFonts w:hint="eastAsia" w:ascii="宋体" w:hAnsi="宋体" w:cs="宋体"/>
          <w:sz w:val="24"/>
          <w:szCs w:val="24"/>
        </w:rPr>
        <w:t>第四部分   采购需求</w:t>
      </w:r>
    </w:p>
    <w:p w14:paraId="2731A865">
      <w:pPr>
        <w:spacing w:line="288" w:lineRule="auto"/>
        <w:ind w:firstLine="709"/>
        <w:jc w:val="both"/>
        <w:rPr>
          <w:rFonts w:ascii="宋体" w:hAnsi="宋体" w:cs="宋体"/>
          <w:sz w:val="24"/>
          <w:szCs w:val="24"/>
        </w:rPr>
      </w:pPr>
      <w:r>
        <w:rPr>
          <w:rFonts w:hint="eastAsia" w:ascii="宋体" w:hAnsi="宋体" w:cs="宋体"/>
          <w:sz w:val="24"/>
          <w:szCs w:val="24"/>
        </w:rPr>
        <w:t>第五部分   合同格式</w:t>
      </w:r>
    </w:p>
    <w:p w14:paraId="2090C14D">
      <w:pPr>
        <w:spacing w:line="288" w:lineRule="auto"/>
        <w:ind w:firstLine="709"/>
        <w:jc w:val="both"/>
        <w:rPr>
          <w:rFonts w:ascii="宋体" w:hAnsi="宋体" w:cs="宋体"/>
          <w:sz w:val="24"/>
          <w:szCs w:val="24"/>
        </w:rPr>
      </w:pPr>
      <w:r>
        <w:rPr>
          <w:rFonts w:hint="eastAsia" w:ascii="宋体" w:hAnsi="宋体" w:cs="宋体"/>
          <w:sz w:val="24"/>
          <w:szCs w:val="24"/>
        </w:rPr>
        <w:t>第六部分   投标文件格式</w:t>
      </w:r>
    </w:p>
    <w:p w14:paraId="249B8677">
      <w:pPr>
        <w:pStyle w:val="5"/>
        <w:spacing w:before="0" w:after="0" w:line="288" w:lineRule="auto"/>
        <w:rPr>
          <w:rFonts w:ascii="宋体" w:hAnsi="宋体" w:cs="宋体"/>
          <w:sz w:val="24"/>
          <w:szCs w:val="24"/>
        </w:rPr>
      </w:pPr>
      <w:r>
        <w:rPr>
          <w:rFonts w:hint="eastAsia" w:ascii="宋体" w:hAnsi="宋体" w:cs="宋体"/>
          <w:sz w:val="24"/>
          <w:szCs w:val="24"/>
        </w:rPr>
        <w:t>7.招标文件的澄清</w:t>
      </w:r>
      <w:bookmarkEnd w:id="28"/>
    </w:p>
    <w:p w14:paraId="3DA91DBD">
      <w:pPr>
        <w:spacing w:line="288" w:lineRule="auto"/>
        <w:ind w:firstLine="480" w:firstLineChars="200"/>
        <w:jc w:val="both"/>
        <w:rPr>
          <w:rFonts w:ascii="宋体" w:hAnsi="宋体" w:cs="宋体"/>
          <w:sz w:val="24"/>
          <w:szCs w:val="24"/>
        </w:rPr>
      </w:pPr>
      <w:r>
        <w:rPr>
          <w:rFonts w:hint="eastAsia" w:ascii="宋体" w:hAnsi="宋体" w:cs="宋体"/>
          <w:sz w:val="24"/>
          <w:szCs w:val="24"/>
        </w:rPr>
        <w:t>供应商对本次招标文件的内容有疑问时，可要求澄清，但应在距投标截止日10日前，在</w:t>
      </w:r>
      <w:r>
        <w:rPr>
          <w:rFonts w:hint="eastAsia" w:ascii="宋体" w:hAnsi="宋体" w:cs="宋体"/>
          <w:sz w:val="24"/>
          <w:szCs w:val="24"/>
          <w:lang w:eastAsia="zh-CN"/>
        </w:rPr>
        <w:t>“政采云”平台</w:t>
      </w:r>
      <w:r>
        <w:rPr>
          <w:rFonts w:hint="eastAsia" w:ascii="宋体" w:hAnsi="宋体" w:cs="宋体"/>
          <w:sz w:val="24"/>
          <w:szCs w:val="24"/>
        </w:rPr>
        <w:t>上提交，</w:t>
      </w:r>
      <w:r>
        <w:fldChar w:fldCharType="begin"/>
      </w:r>
      <w:r>
        <w:instrText xml:space="preserve"> HYPERLINK "mailto:同时将电子档疑问发至我公司信箱:HTZB0509@163.com" </w:instrText>
      </w:r>
      <w:r>
        <w:fldChar w:fldCharType="separate"/>
      </w:r>
      <w:r>
        <w:rPr>
          <w:rFonts w:hint="eastAsia" w:ascii="宋体" w:hAnsi="宋体" w:cs="宋体"/>
          <w:sz w:val="24"/>
          <w:szCs w:val="24"/>
        </w:rPr>
        <w:t>同时将电子文本疑问发至我公司信箱：</w:t>
      </w:r>
      <w:r>
        <w:rPr>
          <w:rFonts w:hint="eastAsia" w:ascii="宋体" w:hAnsi="宋体" w:cs="宋体"/>
          <w:sz w:val="24"/>
          <w:szCs w:val="24"/>
        </w:rPr>
        <w:fldChar w:fldCharType="end"/>
      </w:r>
      <w:r>
        <w:rPr>
          <w:rFonts w:hint="eastAsia" w:ascii="宋体" w:hAnsi="宋体" w:cs="宋体"/>
          <w:sz w:val="24"/>
          <w:szCs w:val="24"/>
        </w:rPr>
        <w:t>1342112124@qq.com，并电话通知采购代理机构，投标人逾期所提问题，不予解答。</w:t>
      </w:r>
      <w:bookmarkStart w:id="29" w:name="_Toc98580399"/>
      <w:r>
        <w:rPr>
          <w:rFonts w:hint="eastAsia" w:ascii="宋体" w:hAnsi="宋体" w:cs="宋体"/>
          <w:sz w:val="24"/>
          <w:szCs w:val="24"/>
        </w:rPr>
        <w:t>招标文件澄清在</w:t>
      </w:r>
      <w:r>
        <w:rPr>
          <w:rFonts w:hint="eastAsia" w:ascii="宋体" w:hAnsi="宋体" w:cs="宋体"/>
          <w:sz w:val="24"/>
          <w:szCs w:val="24"/>
          <w:lang w:eastAsia="zh-CN"/>
        </w:rPr>
        <w:t>“政采云”平台</w:t>
      </w:r>
      <w:r>
        <w:rPr>
          <w:rFonts w:hint="eastAsia" w:ascii="宋体" w:hAnsi="宋体" w:cs="宋体"/>
          <w:sz w:val="24"/>
          <w:szCs w:val="24"/>
        </w:rPr>
        <w:t>发布，请潜在供应商在参加与本项目活动期间关注网站信息，所有有意愿的供应商有义务在网上自行查询。</w:t>
      </w:r>
    </w:p>
    <w:p w14:paraId="49DE690B">
      <w:pPr>
        <w:pStyle w:val="5"/>
        <w:spacing w:before="0" w:after="0" w:line="288" w:lineRule="auto"/>
        <w:rPr>
          <w:rFonts w:ascii="宋体" w:hAnsi="宋体" w:cs="宋体"/>
          <w:sz w:val="24"/>
          <w:szCs w:val="24"/>
        </w:rPr>
      </w:pPr>
      <w:r>
        <w:rPr>
          <w:rFonts w:hint="eastAsia" w:ascii="宋体" w:hAnsi="宋体" w:cs="宋体"/>
          <w:sz w:val="24"/>
          <w:szCs w:val="24"/>
        </w:rPr>
        <w:t>8.招标文件的修改</w:t>
      </w:r>
      <w:bookmarkEnd w:id="29"/>
    </w:p>
    <w:p w14:paraId="6816DFB6">
      <w:pPr>
        <w:spacing w:line="288" w:lineRule="auto"/>
        <w:ind w:firstLine="480" w:firstLineChars="200"/>
        <w:jc w:val="both"/>
        <w:rPr>
          <w:rFonts w:ascii="宋体" w:hAnsi="宋体" w:cs="宋体"/>
          <w:sz w:val="24"/>
          <w:szCs w:val="24"/>
        </w:rPr>
      </w:pPr>
      <w:r>
        <w:rPr>
          <w:rFonts w:hint="eastAsia" w:ascii="宋体" w:hAnsi="宋体" w:cs="宋体"/>
          <w:sz w:val="24"/>
          <w:szCs w:val="24"/>
        </w:rPr>
        <w:t>8.1在</w:t>
      </w:r>
      <w:r>
        <w:rPr>
          <w:rFonts w:hint="eastAsia" w:ascii="宋体" w:hAnsi="宋体" w:cs="宋体"/>
          <w:sz w:val="24"/>
          <w:szCs w:val="24"/>
          <w:lang w:val="zh-CN"/>
        </w:rPr>
        <w:t>投标截止时间15日前</w:t>
      </w:r>
      <w:r>
        <w:rPr>
          <w:rFonts w:hint="eastAsia" w:ascii="宋体" w:hAnsi="宋体" w:cs="宋体"/>
          <w:sz w:val="24"/>
          <w:szCs w:val="24"/>
        </w:rPr>
        <w:t>，招标机构可根据需要和（或）依据供应商要求澄清的问题而修改招标文件，并在</w:t>
      </w:r>
      <w:r>
        <w:rPr>
          <w:rFonts w:hint="eastAsia" w:ascii="宋体" w:hAnsi="宋体" w:cs="宋体"/>
          <w:sz w:val="24"/>
          <w:szCs w:val="24"/>
          <w:lang w:eastAsia="zh-CN"/>
        </w:rPr>
        <w:t>“政采云”平台</w:t>
      </w:r>
      <w:r>
        <w:rPr>
          <w:rFonts w:hint="eastAsia" w:ascii="宋体" w:hAnsi="宋体" w:cs="宋体"/>
          <w:sz w:val="24"/>
          <w:szCs w:val="24"/>
        </w:rPr>
        <w:t>上发布，请潜在供应商在参加与本项目活动期间关注网站信息，所有有意愿的供应商有义务在网上自行查询。</w:t>
      </w:r>
    </w:p>
    <w:p w14:paraId="4451FEDD">
      <w:pPr>
        <w:spacing w:line="288" w:lineRule="auto"/>
        <w:ind w:firstLine="480" w:firstLineChars="200"/>
        <w:jc w:val="both"/>
        <w:rPr>
          <w:rFonts w:ascii="宋体" w:hAnsi="宋体" w:cs="宋体"/>
          <w:sz w:val="24"/>
          <w:szCs w:val="24"/>
        </w:rPr>
      </w:pPr>
      <w:r>
        <w:rPr>
          <w:rFonts w:hint="eastAsia" w:ascii="宋体" w:hAnsi="宋体" w:cs="宋体"/>
          <w:sz w:val="24"/>
          <w:szCs w:val="24"/>
        </w:rPr>
        <w:t>8.2 招标文件的修改书将构成招标文件的一部分，对供应商具有同样的约束力。</w:t>
      </w:r>
    </w:p>
    <w:p w14:paraId="3937477A">
      <w:pPr>
        <w:pStyle w:val="4"/>
        <w:spacing w:before="0" w:after="0" w:line="288" w:lineRule="auto"/>
        <w:jc w:val="center"/>
        <w:rPr>
          <w:rFonts w:ascii="宋体" w:hAnsi="宋体" w:eastAsia="宋体" w:cs="宋体"/>
          <w:sz w:val="24"/>
          <w:szCs w:val="24"/>
        </w:rPr>
      </w:pPr>
      <w:bookmarkStart w:id="30" w:name="_Toc98580400"/>
      <w:r>
        <w:rPr>
          <w:rFonts w:hint="eastAsia" w:ascii="宋体" w:hAnsi="宋体" w:eastAsia="宋体" w:cs="宋体"/>
          <w:sz w:val="24"/>
          <w:szCs w:val="24"/>
        </w:rPr>
        <w:t>C投标文件的编写</w:t>
      </w:r>
      <w:bookmarkEnd w:id="30"/>
    </w:p>
    <w:p w14:paraId="6FCC64B7">
      <w:pPr>
        <w:pStyle w:val="5"/>
        <w:spacing w:before="0" w:after="0" w:line="288" w:lineRule="auto"/>
        <w:rPr>
          <w:rFonts w:ascii="宋体" w:hAnsi="宋体" w:cs="宋体"/>
          <w:sz w:val="24"/>
          <w:szCs w:val="24"/>
        </w:rPr>
      </w:pPr>
      <w:bookmarkStart w:id="31" w:name="_Toc98580401"/>
      <w:r>
        <w:rPr>
          <w:rFonts w:hint="eastAsia" w:ascii="宋体" w:hAnsi="宋体" w:cs="宋体"/>
          <w:sz w:val="24"/>
          <w:szCs w:val="24"/>
        </w:rPr>
        <w:t>9.投标语言及计量单位</w:t>
      </w:r>
      <w:bookmarkEnd w:id="31"/>
    </w:p>
    <w:p w14:paraId="2AD5D334">
      <w:pPr>
        <w:spacing w:line="288" w:lineRule="auto"/>
        <w:ind w:firstLine="480" w:firstLineChars="200"/>
        <w:jc w:val="both"/>
        <w:rPr>
          <w:rFonts w:ascii="宋体" w:hAnsi="宋体" w:cs="宋体"/>
          <w:sz w:val="24"/>
          <w:szCs w:val="24"/>
        </w:rPr>
      </w:pPr>
      <w:r>
        <w:rPr>
          <w:rFonts w:hint="eastAsia" w:ascii="宋体" w:hAnsi="宋体" w:cs="宋体"/>
          <w:sz w:val="24"/>
          <w:szCs w:val="24"/>
        </w:rPr>
        <w:t>9.1投标文件及供应商和招标机构就投标交换的文件和来往信件，以中文书写（专有名词除外）；</w:t>
      </w:r>
    </w:p>
    <w:p w14:paraId="6E725769">
      <w:pPr>
        <w:spacing w:line="288" w:lineRule="auto"/>
        <w:ind w:firstLine="480" w:firstLineChars="200"/>
        <w:jc w:val="both"/>
        <w:rPr>
          <w:rFonts w:ascii="宋体" w:hAnsi="宋体" w:cs="宋体"/>
          <w:sz w:val="24"/>
          <w:szCs w:val="24"/>
        </w:rPr>
      </w:pPr>
      <w:r>
        <w:rPr>
          <w:rFonts w:hint="eastAsia" w:ascii="宋体" w:hAnsi="宋体" w:cs="宋体"/>
          <w:sz w:val="24"/>
          <w:szCs w:val="24"/>
        </w:rPr>
        <w:t>9.2除在招标文件的“技术要求”中另有规定外， 计量单位应使用中华人民共和国法定计量单位（国际单位制和国家选定的其他计量单位）。</w:t>
      </w:r>
    </w:p>
    <w:p w14:paraId="76084826">
      <w:pPr>
        <w:pStyle w:val="5"/>
        <w:spacing w:before="0" w:after="0" w:line="288" w:lineRule="auto"/>
        <w:rPr>
          <w:rFonts w:ascii="宋体" w:hAnsi="宋体" w:cs="宋体"/>
          <w:sz w:val="24"/>
          <w:szCs w:val="24"/>
        </w:rPr>
      </w:pPr>
      <w:r>
        <w:rPr>
          <w:rFonts w:hint="eastAsia" w:ascii="宋体" w:hAnsi="宋体" w:cs="宋体"/>
          <w:sz w:val="24"/>
          <w:szCs w:val="24"/>
        </w:rPr>
        <w:t>10．投标文件的组成</w:t>
      </w:r>
      <w:bookmarkEnd w:id="25"/>
    </w:p>
    <w:p w14:paraId="660899B5">
      <w:pPr>
        <w:spacing w:line="288" w:lineRule="auto"/>
        <w:ind w:left="567"/>
        <w:jc w:val="both"/>
        <w:rPr>
          <w:rFonts w:ascii="宋体" w:hAnsi="宋体" w:cs="宋体"/>
          <w:sz w:val="24"/>
          <w:szCs w:val="24"/>
        </w:rPr>
      </w:pPr>
      <w:r>
        <w:rPr>
          <w:rFonts w:hint="eastAsia" w:ascii="宋体" w:hAnsi="宋体" w:cs="宋体"/>
          <w:sz w:val="24"/>
          <w:szCs w:val="24"/>
        </w:rPr>
        <w:t>详见第六部分：投标文件格式。</w:t>
      </w:r>
    </w:p>
    <w:p w14:paraId="46977B69">
      <w:pPr>
        <w:pStyle w:val="5"/>
        <w:spacing w:before="0" w:after="0" w:line="288" w:lineRule="auto"/>
        <w:rPr>
          <w:rFonts w:ascii="宋体" w:hAnsi="宋体" w:cs="宋体"/>
          <w:sz w:val="24"/>
          <w:szCs w:val="24"/>
        </w:rPr>
      </w:pPr>
      <w:bookmarkStart w:id="32" w:name="_Toc98580403"/>
      <w:r>
        <w:rPr>
          <w:rFonts w:hint="eastAsia" w:ascii="宋体" w:hAnsi="宋体" w:cs="宋体"/>
          <w:sz w:val="24"/>
          <w:szCs w:val="24"/>
        </w:rPr>
        <w:t>11.投标文件内容填写说明</w:t>
      </w:r>
      <w:bookmarkEnd w:id="32"/>
    </w:p>
    <w:p w14:paraId="21F4A75B">
      <w:pPr>
        <w:spacing w:line="288" w:lineRule="auto"/>
        <w:ind w:left="1"/>
        <w:jc w:val="both"/>
        <w:rPr>
          <w:rFonts w:ascii="宋体" w:hAnsi="宋体" w:cs="宋体"/>
          <w:sz w:val="24"/>
          <w:szCs w:val="24"/>
        </w:rPr>
      </w:pPr>
      <w:r>
        <w:rPr>
          <w:rFonts w:hint="eastAsia" w:ascii="宋体" w:hAnsi="宋体" w:cs="宋体"/>
          <w:sz w:val="24"/>
          <w:szCs w:val="24"/>
        </w:rPr>
        <w:t>11.1供应商应严格按招标文件要求的内容逐项填写编制投标文件，有规定格式的按规定格式填写，无规定格式的由供应商自拟</w:t>
      </w:r>
      <w:r>
        <w:rPr>
          <w:rFonts w:hint="eastAsia" w:ascii="宋体" w:hAnsi="宋体" w:cs="宋体"/>
          <w:b/>
          <w:sz w:val="24"/>
          <w:szCs w:val="24"/>
        </w:rPr>
        <w:t>。</w:t>
      </w:r>
    </w:p>
    <w:p w14:paraId="4F4C64C3">
      <w:pPr>
        <w:spacing w:line="288" w:lineRule="auto"/>
        <w:jc w:val="both"/>
        <w:rPr>
          <w:rFonts w:ascii="宋体" w:hAnsi="宋体" w:cs="宋体"/>
          <w:sz w:val="24"/>
          <w:szCs w:val="24"/>
        </w:rPr>
      </w:pPr>
      <w:r>
        <w:rPr>
          <w:rFonts w:hint="eastAsia" w:ascii="宋体" w:hAnsi="宋体" w:cs="宋体"/>
          <w:sz w:val="24"/>
          <w:szCs w:val="24"/>
        </w:rPr>
        <w:t>11.2开标一览表为在开标仪式上唱标的内容，要求按格式填写、统一规范，不得自行增减内容。投标文件不得漏项或虚报，否则将可能导致其投标被拒绝。</w:t>
      </w:r>
    </w:p>
    <w:p w14:paraId="0DBF9DEB">
      <w:pPr>
        <w:spacing w:line="288" w:lineRule="auto"/>
        <w:ind w:left="-14"/>
        <w:jc w:val="both"/>
        <w:rPr>
          <w:rFonts w:ascii="宋体" w:hAnsi="宋体" w:cs="宋体"/>
          <w:sz w:val="24"/>
          <w:szCs w:val="24"/>
        </w:rPr>
      </w:pPr>
      <w:r>
        <w:rPr>
          <w:rFonts w:hint="eastAsia" w:ascii="宋体" w:hAnsi="宋体" w:cs="宋体"/>
          <w:sz w:val="24"/>
          <w:szCs w:val="24"/>
        </w:rPr>
        <w:t>11.3 供应商应保证其所提供文件的真实性，并应对招标文件的实质性要求作出完全响应，否则其投标可能被拒绝。</w:t>
      </w:r>
    </w:p>
    <w:p w14:paraId="0FF91C19">
      <w:pPr>
        <w:spacing w:line="288" w:lineRule="auto"/>
        <w:ind w:left="1"/>
        <w:jc w:val="both"/>
        <w:rPr>
          <w:rFonts w:ascii="宋体" w:hAnsi="宋体" w:cs="宋体"/>
          <w:sz w:val="24"/>
          <w:szCs w:val="24"/>
        </w:rPr>
      </w:pPr>
      <w:r>
        <w:rPr>
          <w:rFonts w:hint="eastAsia" w:ascii="宋体" w:hAnsi="宋体" w:cs="宋体"/>
          <w:sz w:val="24"/>
          <w:szCs w:val="24"/>
        </w:rPr>
        <w:t>11.4供应商视需要自行编制技术文件的补充附件。规格幅面应与正文一致，附于正文之后，与正文页码</w:t>
      </w:r>
      <w:r>
        <w:rPr>
          <w:rFonts w:hint="eastAsia" w:ascii="宋体" w:hAnsi="宋体" w:cs="宋体"/>
          <w:b/>
          <w:sz w:val="24"/>
          <w:szCs w:val="24"/>
        </w:rPr>
        <w:t>统一</w:t>
      </w:r>
      <w:r>
        <w:rPr>
          <w:rFonts w:hint="eastAsia" w:ascii="宋体" w:hAnsi="宋体" w:cs="宋体"/>
          <w:b/>
          <w:sz w:val="24"/>
          <w:szCs w:val="24"/>
          <w:lang w:val="en-US" w:eastAsia="zh-CN"/>
        </w:rPr>
        <w:t>目录</w:t>
      </w:r>
      <w:r>
        <w:rPr>
          <w:rFonts w:hint="eastAsia" w:ascii="宋体" w:hAnsi="宋体" w:cs="宋体"/>
          <w:b/>
          <w:sz w:val="24"/>
          <w:szCs w:val="24"/>
        </w:rPr>
        <w:t>编码</w:t>
      </w:r>
      <w:r>
        <w:rPr>
          <w:rFonts w:hint="eastAsia" w:ascii="宋体" w:hAnsi="宋体" w:cs="宋体"/>
          <w:sz w:val="24"/>
          <w:szCs w:val="24"/>
        </w:rPr>
        <w:t>。</w:t>
      </w:r>
    </w:p>
    <w:p w14:paraId="1C4FD8D6">
      <w:pPr>
        <w:pStyle w:val="5"/>
        <w:spacing w:before="0" w:after="0" w:line="288" w:lineRule="auto"/>
        <w:rPr>
          <w:rFonts w:ascii="宋体" w:hAnsi="宋体" w:cs="宋体"/>
          <w:sz w:val="24"/>
          <w:szCs w:val="24"/>
        </w:rPr>
      </w:pPr>
      <w:bookmarkStart w:id="33" w:name="_Toc98580404"/>
      <w:r>
        <w:rPr>
          <w:rFonts w:hint="eastAsia" w:ascii="宋体" w:hAnsi="宋体" w:cs="宋体"/>
          <w:sz w:val="24"/>
          <w:szCs w:val="24"/>
        </w:rPr>
        <w:t>12.投标报价</w:t>
      </w:r>
      <w:bookmarkEnd w:id="33"/>
    </w:p>
    <w:p w14:paraId="03E2B32F">
      <w:pPr>
        <w:spacing w:line="288" w:lineRule="auto"/>
        <w:jc w:val="both"/>
        <w:rPr>
          <w:rFonts w:ascii="宋体" w:hAnsi="宋体" w:cs="宋体"/>
          <w:sz w:val="24"/>
          <w:szCs w:val="24"/>
        </w:rPr>
      </w:pPr>
      <w:r>
        <w:rPr>
          <w:rFonts w:hint="eastAsia" w:ascii="宋体" w:hAnsi="宋体" w:cs="宋体"/>
          <w:sz w:val="24"/>
          <w:szCs w:val="24"/>
        </w:rPr>
        <w:t>12.1 所有投标均以人民币报价；</w:t>
      </w:r>
    </w:p>
    <w:p w14:paraId="6AE116F4">
      <w:pPr>
        <w:spacing w:line="288" w:lineRule="auto"/>
        <w:ind w:left="1"/>
        <w:jc w:val="both"/>
        <w:rPr>
          <w:rFonts w:ascii="宋体" w:hAnsi="宋体" w:cs="宋体"/>
          <w:sz w:val="24"/>
          <w:szCs w:val="24"/>
        </w:rPr>
      </w:pPr>
      <w:r>
        <w:rPr>
          <w:rFonts w:hint="eastAsia" w:ascii="宋体" w:hAnsi="宋体" w:cs="宋体"/>
          <w:sz w:val="24"/>
          <w:szCs w:val="24"/>
        </w:rPr>
        <w:t>12.2供应商应在填写分项报价表时注明各项单价、总价。如果单价与总价有出入，以单价为准。招标机构不接受有任何选择的报价；报价须有法人代表或授权代表签署。</w:t>
      </w:r>
    </w:p>
    <w:p w14:paraId="40090560">
      <w:pPr>
        <w:spacing w:line="288" w:lineRule="auto"/>
        <w:jc w:val="both"/>
        <w:rPr>
          <w:rFonts w:ascii="宋体" w:hAnsi="宋体" w:cs="宋体"/>
          <w:sz w:val="24"/>
          <w:szCs w:val="24"/>
        </w:rPr>
      </w:pPr>
      <w:r>
        <w:rPr>
          <w:rFonts w:hint="eastAsia" w:ascii="宋体" w:hAnsi="宋体" w:cs="宋体"/>
          <w:sz w:val="24"/>
          <w:szCs w:val="24"/>
        </w:rPr>
        <w:t>12.3供应商应按上述12.1-12.3条款要求填写投标报价，以供评标委员会比较评价。</w:t>
      </w:r>
    </w:p>
    <w:p w14:paraId="10007747">
      <w:pPr>
        <w:spacing w:line="288" w:lineRule="auto"/>
        <w:jc w:val="both"/>
        <w:rPr>
          <w:rFonts w:ascii="宋体" w:hAnsi="宋体" w:cs="宋体"/>
          <w:sz w:val="24"/>
          <w:szCs w:val="24"/>
        </w:rPr>
      </w:pPr>
      <w:r>
        <w:rPr>
          <w:rFonts w:hint="eastAsia" w:ascii="宋体" w:hAnsi="宋体" w:cs="宋体"/>
          <w:sz w:val="24"/>
          <w:szCs w:val="24"/>
        </w:rPr>
        <w:t>12.5供应商因承包本项目需支付的一切费用如：制作、拼装、检验、税金、运费、安装费、保险费、调试验收等费用均由供应商承担，并包含在所报的单价或总额价内。</w:t>
      </w:r>
    </w:p>
    <w:p w14:paraId="7045EDB9">
      <w:pPr>
        <w:spacing w:line="288" w:lineRule="auto"/>
        <w:rPr>
          <w:rFonts w:ascii="宋体" w:hAnsi="宋体" w:cs="宋体"/>
          <w:b/>
          <w:sz w:val="24"/>
          <w:szCs w:val="24"/>
        </w:rPr>
      </w:pPr>
      <w:bookmarkStart w:id="34" w:name="_Toc98580405"/>
      <w:r>
        <w:rPr>
          <w:rFonts w:hint="eastAsia" w:ascii="宋体" w:hAnsi="宋体" w:cs="宋体"/>
          <w:b/>
          <w:sz w:val="24"/>
          <w:szCs w:val="24"/>
        </w:rPr>
        <w:t>13.投标保证金</w:t>
      </w:r>
      <w:bookmarkEnd w:id="34"/>
    </w:p>
    <w:p w14:paraId="2FE3F00B">
      <w:pPr>
        <w:spacing w:line="288" w:lineRule="auto"/>
        <w:rPr>
          <w:rFonts w:ascii="宋体" w:hAnsi="宋体" w:cs="宋体"/>
          <w:sz w:val="24"/>
          <w:szCs w:val="24"/>
        </w:rPr>
      </w:pPr>
      <w:r>
        <w:rPr>
          <w:rFonts w:hint="eastAsia" w:ascii="宋体" w:hAnsi="宋体" w:cs="宋体"/>
          <w:sz w:val="24"/>
          <w:szCs w:val="24"/>
        </w:rPr>
        <w:t>13.1投标保证金的形式：</w:t>
      </w:r>
      <w:r>
        <w:rPr>
          <w:rFonts w:hint="eastAsia" w:ascii="宋体" w:hAnsi="宋体" w:cs="宋体"/>
          <w:bCs/>
          <w:kern w:val="15"/>
          <w:sz w:val="24"/>
          <w:szCs w:val="24"/>
        </w:rPr>
        <w:t>见</w:t>
      </w:r>
      <w:r>
        <w:rPr>
          <w:rFonts w:hint="eastAsia" w:ascii="宋体" w:hAnsi="宋体" w:cs="宋体"/>
          <w:sz w:val="24"/>
          <w:szCs w:val="24"/>
        </w:rPr>
        <w:t>供应商须知前附表第13项。</w:t>
      </w:r>
    </w:p>
    <w:p w14:paraId="5B6BBD04">
      <w:pPr>
        <w:spacing w:line="288" w:lineRule="auto"/>
        <w:rPr>
          <w:rFonts w:ascii="宋体" w:hAnsi="宋体" w:cs="宋体"/>
          <w:bCs/>
          <w:kern w:val="15"/>
          <w:sz w:val="24"/>
          <w:szCs w:val="24"/>
        </w:rPr>
      </w:pPr>
      <w:r>
        <w:rPr>
          <w:rFonts w:hint="eastAsia" w:ascii="宋体" w:hAnsi="宋体" w:cs="宋体"/>
          <w:bCs/>
          <w:kern w:val="15"/>
          <w:sz w:val="24"/>
          <w:szCs w:val="24"/>
        </w:rPr>
        <w:t>13.2投标保证金的金额：见</w:t>
      </w:r>
      <w:r>
        <w:rPr>
          <w:rFonts w:hint="eastAsia" w:ascii="宋体" w:hAnsi="宋体" w:cs="宋体"/>
          <w:sz w:val="24"/>
          <w:szCs w:val="24"/>
        </w:rPr>
        <w:t>供应商须知前附表第13项</w:t>
      </w:r>
      <w:r>
        <w:rPr>
          <w:rFonts w:hint="eastAsia" w:ascii="宋体" w:hAnsi="宋体" w:cs="宋体"/>
          <w:bCs/>
          <w:kern w:val="15"/>
          <w:sz w:val="24"/>
          <w:szCs w:val="24"/>
        </w:rPr>
        <w:t xml:space="preserve">； </w:t>
      </w:r>
    </w:p>
    <w:p w14:paraId="5A647037">
      <w:pPr>
        <w:spacing w:line="288" w:lineRule="auto"/>
        <w:rPr>
          <w:rFonts w:ascii="宋体" w:hAnsi="宋体" w:cs="宋体"/>
          <w:bCs/>
          <w:kern w:val="15"/>
          <w:sz w:val="24"/>
          <w:szCs w:val="24"/>
        </w:rPr>
      </w:pPr>
      <w:r>
        <w:rPr>
          <w:rFonts w:hint="eastAsia" w:ascii="宋体" w:hAnsi="宋体" w:cs="宋体"/>
          <w:bCs/>
          <w:kern w:val="15"/>
          <w:sz w:val="24"/>
          <w:szCs w:val="24"/>
        </w:rPr>
        <w:t>13.3递交方式：见</w:t>
      </w:r>
      <w:r>
        <w:rPr>
          <w:rFonts w:hint="eastAsia" w:ascii="宋体" w:hAnsi="宋体" w:cs="宋体"/>
          <w:sz w:val="24"/>
          <w:szCs w:val="24"/>
        </w:rPr>
        <w:t>供应商须知前附表第13项</w:t>
      </w:r>
      <w:r>
        <w:rPr>
          <w:rFonts w:hint="eastAsia" w:ascii="宋体" w:hAnsi="宋体" w:cs="宋体"/>
          <w:bCs/>
          <w:kern w:val="15"/>
          <w:sz w:val="24"/>
          <w:szCs w:val="24"/>
        </w:rPr>
        <w:t>；</w:t>
      </w:r>
    </w:p>
    <w:p w14:paraId="20976F18">
      <w:pPr>
        <w:spacing w:line="288" w:lineRule="auto"/>
        <w:rPr>
          <w:rFonts w:ascii="宋体" w:hAnsi="宋体" w:cs="宋体"/>
          <w:sz w:val="24"/>
          <w:szCs w:val="24"/>
        </w:rPr>
      </w:pPr>
      <w:r>
        <w:rPr>
          <w:rFonts w:hint="eastAsia" w:ascii="宋体" w:hAnsi="宋体" w:cs="宋体"/>
          <w:sz w:val="24"/>
          <w:szCs w:val="24"/>
        </w:rPr>
        <w:t>13.4投标保证金用于保护本次招标免受因供应商不履行投标承诺及合同等行为而引起的风险；</w:t>
      </w:r>
    </w:p>
    <w:p w14:paraId="0B5A414A">
      <w:pPr>
        <w:spacing w:line="288" w:lineRule="auto"/>
        <w:jc w:val="both"/>
        <w:rPr>
          <w:rFonts w:ascii="宋体" w:hAnsi="宋体" w:cs="宋体"/>
          <w:sz w:val="24"/>
          <w:szCs w:val="24"/>
        </w:rPr>
      </w:pPr>
      <w:r>
        <w:rPr>
          <w:rFonts w:hint="eastAsia" w:ascii="宋体" w:hAnsi="宋体" w:cs="宋体"/>
          <w:sz w:val="24"/>
          <w:szCs w:val="24"/>
        </w:rPr>
        <w:t>13.5未按13.1和13.2条款要求提交投标保证金的投标将被视为投标无效；</w:t>
      </w:r>
    </w:p>
    <w:p w14:paraId="1F6646F4">
      <w:pPr>
        <w:spacing w:line="288" w:lineRule="auto"/>
        <w:jc w:val="both"/>
        <w:rPr>
          <w:rFonts w:ascii="宋体" w:hAnsi="宋体" w:cs="宋体"/>
          <w:sz w:val="24"/>
          <w:szCs w:val="24"/>
        </w:rPr>
      </w:pPr>
      <w:r>
        <w:rPr>
          <w:rFonts w:hint="eastAsia" w:ascii="宋体" w:hAnsi="宋体" w:cs="宋体"/>
          <w:sz w:val="24"/>
          <w:szCs w:val="24"/>
        </w:rPr>
        <w:t>13.6未中标供应商的投标保证金将在中标通知书发出之日暨中标结果公告公布之日起5个工作日内，及时联系采购人或采购代理机构办理无息退还投标保证金手续因供应商自身原因导致无法及时退还的，采购人或采购代理机构将不承担资金占用费。；</w:t>
      </w:r>
    </w:p>
    <w:p w14:paraId="59AE7BE4">
      <w:pPr>
        <w:spacing w:line="288" w:lineRule="auto"/>
        <w:jc w:val="both"/>
        <w:rPr>
          <w:rFonts w:ascii="宋体" w:hAnsi="宋体" w:cs="宋体"/>
          <w:sz w:val="24"/>
          <w:szCs w:val="24"/>
        </w:rPr>
      </w:pPr>
      <w:r>
        <w:rPr>
          <w:rFonts w:hint="eastAsia" w:ascii="宋体" w:hAnsi="宋体" w:cs="宋体"/>
          <w:sz w:val="24"/>
          <w:szCs w:val="24"/>
        </w:rPr>
        <w:t>13.7中标人应在与采购人签订合同之日起5个工作日内及时联系采购代理机构办理投标保证金无息退还手续；</w:t>
      </w:r>
    </w:p>
    <w:p w14:paraId="34B00A28">
      <w:pPr>
        <w:spacing w:line="288" w:lineRule="auto"/>
        <w:jc w:val="both"/>
        <w:rPr>
          <w:rFonts w:ascii="宋体" w:hAnsi="宋体" w:cs="宋体"/>
          <w:sz w:val="24"/>
          <w:szCs w:val="24"/>
        </w:rPr>
      </w:pPr>
      <w:r>
        <w:rPr>
          <w:rFonts w:hint="eastAsia" w:ascii="宋体" w:hAnsi="宋体" w:cs="宋体"/>
          <w:sz w:val="24"/>
          <w:szCs w:val="24"/>
        </w:rPr>
        <w:t>13.8 发生下列情况之一，投标保证金将被没收：</w:t>
      </w:r>
    </w:p>
    <w:p w14:paraId="1C6771E9">
      <w:pPr>
        <w:spacing w:line="288" w:lineRule="auto"/>
        <w:ind w:firstLine="480" w:firstLineChars="200"/>
        <w:jc w:val="both"/>
        <w:rPr>
          <w:rFonts w:ascii="宋体" w:hAnsi="宋体" w:cs="宋体"/>
          <w:sz w:val="24"/>
          <w:szCs w:val="24"/>
        </w:rPr>
      </w:pPr>
      <w:r>
        <w:rPr>
          <w:rFonts w:hint="eastAsia" w:ascii="宋体" w:hAnsi="宋体" w:cs="宋体"/>
          <w:sz w:val="24"/>
          <w:szCs w:val="24"/>
        </w:rPr>
        <w:t>（1）开标后在投标有效期间，供应商撤回其投标文件；</w:t>
      </w:r>
    </w:p>
    <w:p w14:paraId="7A2E38B5">
      <w:pPr>
        <w:spacing w:line="288" w:lineRule="auto"/>
        <w:ind w:firstLine="480" w:firstLineChars="200"/>
        <w:jc w:val="both"/>
        <w:rPr>
          <w:rFonts w:ascii="宋体" w:hAnsi="宋体" w:cs="宋体"/>
          <w:sz w:val="24"/>
          <w:szCs w:val="24"/>
        </w:rPr>
      </w:pPr>
      <w:r>
        <w:rPr>
          <w:rFonts w:hint="eastAsia" w:ascii="宋体" w:hAnsi="宋体" w:cs="宋体"/>
          <w:sz w:val="24"/>
          <w:szCs w:val="24"/>
        </w:rPr>
        <w:t>（2）中标人不按本须知第26条规定签约；</w:t>
      </w:r>
    </w:p>
    <w:p w14:paraId="2FD67D01">
      <w:pPr>
        <w:spacing w:line="288" w:lineRule="auto"/>
        <w:ind w:firstLine="480" w:firstLineChars="200"/>
        <w:jc w:val="both"/>
        <w:rPr>
          <w:rFonts w:ascii="宋体" w:hAnsi="宋体" w:cs="宋体"/>
          <w:sz w:val="24"/>
          <w:szCs w:val="24"/>
        </w:rPr>
      </w:pPr>
      <w:r>
        <w:rPr>
          <w:rFonts w:hint="eastAsia" w:ascii="宋体" w:hAnsi="宋体" w:cs="宋体"/>
          <w:sz w:val="24"/>
          <w:szCs w:val="24"/>
        </w:rPr>
        <w:t>（3）中标人不按本须知第28条规定缴付中标服务费。</w:t>
      </w:r>
    </w:p>
    <w:p w14:paraId="6DBB6DA2">
      <w:pPr>
        <w:pStyle w:val="5"/>
        <w:spacing w:before="0" w:after="0" w:line="288" w:lineRule="auto"/>
        <w:rPr>
          <w:rFonts w:ascii="宋体" w:hAnsi="宋体" w:cs="宋体"/>
          <w:sz w:val="24"/>
          <w:szCs w:val="24"/>
        </w:rPr>
      </w:pPr>
      <w:bookmarkStart w:id="35" w:name="_Toc98580406"/>
      <w:r>
        <w:rPr>
          <w:rFonts w:hint="eastAsia" w:ascii="宋体" w:hAnsi="宋体" w:cs="宋体"/>
          <w:sz w:val="24"/>
          <w:szCs w:val="24"/>
        </w:rPr>
        <w:t>14.投标有效期</w:t>
      </w:r>
      <w:bookmarkEnd w:id="35"/>
    </w:p>
    <w:p w14:paraId="311AF239">
      <w:pPr>
        <w:spacing w:line="288" w:lineRule="auto"/>
        <w:jc w:val="both"/>
        <w:rPr>
          <w:rFonts w:ascii="宋体" w:hAnsi="宋体" w:cs="宋体"/>
          <w:sz w:val="24"/>
          <w:szCs w:val="24"/>
        </w:rPr>
      </w:pPr>
      <w:r>
        <w:rPr>
          <w:rFonts w:hint="eastAsia" w:ascii="宋体" w:hAnsi="宋体" w:cs="宋体"/>
          <w:sz w:val="24"/>
          <w:szCs w:val="24"/>
        </w:rPr>
        <w:t>14.1从开标之日起，投标有效期为90天。不能满足投标有效期的投标，将被拒绝；</w:t>
      </w:r>
    </w:p>
    <w:p w14:paraId="566BAB40">
      <w:pPr>
        <w:spacing w:line="288" w:lineRule="auto"/>
        <w:ind w:left="530" w:hanging="530" w:hangingChars="221"/>
        <w:jc w:val="both"/>
        <w:rPr>
          <w:rFonts w:ascii="宋体" w:hAnsi="宋体" w:cs="宋体"/>
          <w:sz w:val="24"/>
          <w:szCs w:val="24"/>
        </w:rPr>
      </w:pPr>
      <w:r>
        <w:rPr>
          <w:rFonts w:hint="eastAsia" w:ascii="宋体" w:hAnsi="宋体" w:cs="宋体"/>
          <w:sz w:val="24"/>
          <w:szCs w:val="24"/>
        </w:rPr>
        <w:t>14.2特殊情况下，招标机构可于投标有效期满之前要求供应商延长投标有效期，这种要求和答复都应以书面、传真的形式进行。供应商可以拒绝接受延期要求。同意延长有效期的供应商不能修改投标文件。</w:t>
      </w:r>
    </w:p>
    <w:p w14:paraId="6603684F">
      <w:pPr>
        <w:pStyle w:val="5"/>
        <w:spacing w:before="0" w:after="0" w:line="288" w:lineRule="auto"/>
        <w:rPr>
          <w:rFonts w:ascii="宋体" w:hAnsi="宋体" w:cs="宋体"/>
          <w:sz w:val="24"/>
          <w:szCs w:val="24"/>
        </w:rPr>
      </w:pPr>
      <w:bookmarkStart w:id="36" w:name="_Toc98580407"/>
      <w:r>
        <w:rPr>
          <w:rFonts w:hint="eastAsia" w:ascii="宋体" w:hAnsi="宋体" w:cs="宋体"/>
          <w:sz w:val="24"/>
          <w:szCs w:val="24"/>
        </w:rPr>
        <w:t>15.投标文件的签署及规定</w:t>
      </w:r>
      <w:bookmarkEnd w:id="36"/>
      <w:r>
        <w:rPr>
          <w:rFonts w:hint="eastAsia" w:ascii="宋体" w:hAnsi="宋体" w:cs="宋体"/>
          <w:sz w:val="24"/>
          <w:szCs w:val="24"/>
          <w:lang w:eastAsia="zh-CN"/>
        </w:rPr>
        <w:t>（采用电子招标的，以政采云平台以及采购文件要求为准）</w:t>
      </w:r>
    </w:p>
    <w:p w14:paraId="4ECC6743">
      <w:pPr>
        <w:spacing w:line="288" w:lineRule="auto"/>
        <w:rPr>
          <w:rFonts w:ascii="宋体" w:hAnsi="宋体" w:cs="宋体"/>
          <w:sz w:val="24"/>
          <w:szCs w:val="24"/>
        </w:rPr>
      </w:pPr>
      <w:r>
        <w:rPr>
          <w:rFonts w:hint="eastAsia" w:ascii="宋体" w:hAnsi="宋体" w:cs="宋体"/>
          <w:sz w:val="24"/>
          <w:szCs w:val="24"/>
        </w:rPr>
        <w:t>15.1 组成投标文件的各项资料均应遵守本须知第10条中所规定的内容。</w:t>
      </w:r>
    </w:p>
    <w:p w14:paraId="4E2F403B">
      <w:pPr>
        <w:spacing w:line="288" w:lineRule="auto"/>
        <w:rPr>
          <w:rFonts w:ascii="宋体" w:hAnsi="宋体" w:cs="宋体"/>
          <w:sz w:val="24"/>
          <w:szCs w:val="24"/>
        </w:rPr>
      </w:pPr>
      <w:r>
        <w:rPr>
          <w:rFonts w:hint="eastAsia" w:ascii="宋体" w:hAnsi="宋体" w:cs="宋体"/>
          <w:sz w:val="24"/>
          <w:szCs w:val="24"/>
        </w:rPr>
        <w:t>15.2 供应商应填写单位全称，同时加盖印章。</w:t>
      </w:r>
    </w:p>
    <w:p w14:paraId="3A6AB1DC">
      <w:pPr>
        <w:spacing w:line="288" w:lineRule="auto"/>
        <w:rPr>
          <w:rFonts w:ascii="宋体" w:hAnsi="宋体" w:cs="宋体"/>
          <w:sz w:val="24"/>
          <w:szCs w:val="24"/>
        </w:rPr>
      </w:pPr>
      <w:r>
        <w:rPr>
          <w:rFonts w:hint="eastAsia" w:ascii="宋体" w:hAnsi="宋体" w:cs="宋体"/>
          <w:sz w:val="24"/>
          <w:szCs w:val="24"/>
        </w:rPr>
        <w:t>15.3 投标文件必须由法人代表或法人授权代表签署。</w:t>
      </w:r>
    </w:p>
    <w:p w14:paraId="7143ECCD">
      <w:pPr>
        <w:spacing w:line="288" w:lineRule="auto"/>
        <w:rPr>
          <w:rFonts w:ascii="宋体" w:hAnsi="宋体" w:cs="宋体"/>
          <w:sz w:val="24"/>
          <w:szCs w:val="24"/>
        </w:rPr>
      </w:pPr>
      <w:r>
        <w:rPr>
          <w:rFonts w:hint="eastAsia" w:ascii="宋体" w:hAnsi="宋体" w:cs="宋体"/>
          <w:sz w:val="24"/>
          <w:szCs w:val="24"/>
        </w:rPr>
        <w:t>15.4 投标文件文件</w:t>
      </w:r>
      <w:r>
        <w:rPr>
          <w:rFonts w:hint="eastAsia" w:ascii="宋体" w:hAnsi="宋体" w:cs="宋体"/>
          <w:sz w:val="24"/>
          <w:szCs w:val="24"/>
          <w:u w:val="single"/>
        </w:rPr>
        <w:t>正本一份和副本四份</w:t>
      </w:r>
      <w:r>
        <w:rPr>
          <w:rFonts w:hint="eastAsia" w:ascii="宋体" w:hAnsi="宋体" w:cs="宋体"/>
          <w:sz w:val="24"/>
          <w:szCs w:val="24"/>
        </w:rPr>
        <w:t>，如果正本与副本不符，以正本为准</w:t>
      </w:r>
      <w:r>
        <w:rPr>
          <w:rFonts w:hint="eastAsia" w:ascii="宋体" w:hAnsi="宋体" w:cs="宋体"/>
          <w:sz w:val="24"/>
          <w:szCs w:val="24"/>
          <w:lang w:val="zh-CN"/>
        </w:rPr>
        <w:t>（副本可以是正本的复印件，但应骑页加盖投标人公章）</w:t>
      </w:r>
      <w:r>
        <w:rPr>
          <w:rFonts w:hint="eastAsia" w:ascii="宋体" w:hAnsi="宋体" w:cs="宋体"/>
          <w:sz w:val="24"/>
          <w:szCs w:val="24"/>
        </w:rPr>
        <w:t>，电子版二份（U盘形式）。</w:t>
      </w:r>
    </w:p>
    <w:p w14:paraId="748354EE">
      <w:pPr>
        <w:spacing w:line="288" w:lineRule="auto"/>
        <w:rPr>
          <w:rFonts w:ascii="宋体" w:hAnsi="宋体" w:cs="宋体"/>
          <w:sz w:val="24"/>
          <w:szCs w:val="24"/>
        </w:rPr>
      </w:pPr>
      <w:r>
        <w:rPr>
          <w:rFonts w:hint="eastAsia" w:ascii="宋体" w:hAnsi="宋体" w:cs="宋体"/>
          <w:sz w:val="24"/>
          <w:szCs w:val="24"/>
        </w:rPr>
        <w:t>15.5 投标文件的正本必须用不退色的墨水填写或打印，注明“正本”字样。</w:t>
      </w:r>
    </w:p>
    <w:p w14:paraId="73D9C8F7">
      <w:pPr>
        <w:spacing w:line="288" w:lineRule="auto"/>
        <w:rPr>
          <w:rFonts w:ascii="宋体" w:hAnsi="宋体" w:cs="宋体"/>
          <w:sz w:val="24"/>
          <w:szCs w:val="24"/>
        </w:rPr>
      </w:pPr>
      <w:r>
        <w:rPr>
          <w:rFonts w:hint="eastAsia" w:ascii="宋体" w:hAnsi="宋体" w:cs="宋体"/>
          <w:sz w:val="24"/>
          <w:szCs w:val="24"/>
        </w:rPr>
        <w:t>15.6 投标文件不得涂改和增删，如有修改错漏处，必须由同一签署人签字或盖章。</w:t>
      </w:r>
    </w:p>
    <w:p w14:paraId="4356916F">
      <w:pPr>
        <w:spacing w:line="288" w:lineRule="auto"/>
        <w:jc w:val="both"/>
        <w:rPr>
          <w:rFonts w:ascii="宋体" w:hAnsi="宋体" w:cs="宋体"/>
          <w:sz w:val="24"/>
          <w:szCs w:val="24"/>
        </w:rPr>
      </w:pPr>
      <w:r>
        <w:rPr>
          <w:rFonts w:hint="eastAsia" w:ascii="宋体" w:hAnsi="宋体" w:cs="宋体"/>
          <w:sz w:val="24"/>
          <w:szCs w:val="24"/>
        </w:rPr>
        <w:t>15.7 投标文件因字迹潦草或表达不清所引起的后果由供应商负责。</w:t>
      </w:r>
    </w:p>
    <w:p w14:paraId="1C980B63">
      <w:pPr>
        <w:spacing w:line="288" w:lineRule="auto"/>
        <w:jc w:val="both"/>
        <w:rPr>
          <w:rFonts w:ascii="宋体" w:hAnsi="宋体" w:cs="宋体"/>
          <w:sz w:val="24"/>
          <w:szCs w:val="24"/>
        </w:rPr>
      </w:pPr>
      <w:r>
        <w:rPr>
          <w:rFonts w:hint="eastAsia" w:ascii="宋体" w:hAnsi="宋体" w:cs="宋体"/>
          <w:sz w:val="24"/>
          <w:szCs w:val="24"/>
        </w:rPr>
        <w:t>15.8招标机构概不接受以电话、传真形式的投标。</w:t>
      </w:r>
    </w:p>
    <w:p w14:paraId="6139C49C">
      <w:pPr>
        <w:pStyle w:val="5"/>
        <w:spacing w:before="0" w:after="0" w:line="288" w:lineRule="auto"/>
        <w:jc w:val="center"/>
        <w:rPr>
          <w:rFonts w:ascii="宋体" w:hAnsi="宋体" w:eastAsia="宋体" w:cs="宋体"/>
          <w:sz w:val="24"/>
          <w:szCs w:val="24"/>
        </w:rPr>
      </w:pPr>
      <w:bookmarkStart w:id="37" w:name="_Toc98580408"/>
      <w:r>
        <w:rPr>
          <w:rFonts w:hint="eastAsia" w:ascii="宋体" w:hAnsi="宋体" w:eastAsia="宋体" w:cs="宋体"/>
          <w:sz w:val="24"/>
          <w:szCs w:val="24"/>
        </w:rPr>
        <w:t>D投标文件的递交</w:t>
      </w:r>
      <w:bookmarkEnd w:id="37"/>
    </w:p>
    <w:p w14:paraId="5519FC5C">
      <w:pPr>
        <w:pStyle w:val="5"/>
        <w:spacing w:before="0" w:after="0" w:line="288" w:lineRule="auto"/>
        <w:rPr>
          <w:rFonts w:ascii="宋体" w:hAnsi="宋体" w:cs="宋体"/>
          <w:sz w:val="24"/>
          <w:szCs w:val="24"/>
        </w:rPr>
      </w:pPr>
      <w:bookmarkStart w:id="38" w:name="_Toc98580409"/>
      <w:r>
        <w:rPr>
          <w:rFonts w:hint="eastAsia" w:ascii="宋体" w:hAnsi="宋体" w:cs="宋体"/>
          <w:sz w:val="24"/>
          <w:szCs w:val="24"/>
        </w:rPr>
        <w:t>16.投标文件的密封和标记</w:t>
      </w:r>
      <w:bookmarkEnd w:id="38"/>
      <w:r>
        <w:rPr>
          <w:rFonts w:hint="eastAsia" w:ascii="宋体" w:hAnsi="宋体" w:cs="宋体"/>
          <w:sz w:val="24"/>
          <w:szCs w:val="24"/>
          <w:lang w:eastAsia="zh-CN"/>
        </w:rPr>
        <w:t>（采用电子招标的，以政采云平台以及采购文件要求为准）</w:t>
      </w:r>
    </w:p>
    <w:p w14:paraId="5B539027">
      <w:pPr>
        <w:spacing w:line="288" w:lineRule="auto"/>
        <w:jc w:val="both"/>
        <w:rPr>
          <w:rFonts w:ascii="宋体" w:hAnsi="宋体" w:cs="宋体"/>
          <w:sz w:val="24"/>
          <w:szCs w:val="24"/>
        </w:rPr>
      </w:pPr>
      <w:r>
        <w:rPr>
          <w:rFonts w:hint="eastAsia" w:ascii="宋体" w:hAnsi="宋体" w:cs="宋体"/>
          <w:sz w:val="24"/>
          <w:szCs w:val="24"/>
        </w:rPr>
        <w:t>16.1供应商应将投标文件正本和副本分别用信封密封，并标明招标编号、投标项目名称、供应商名称及正本或副本等。封口骑缝处应加盖公章；投标文件电子版应单独密封。</w:t>
      </w:r>
    </w:p>
    <w:p w14:paraId="4CD788A5">
      <w:pPr>
        <w:spacing w:line="288" w:lineRule="auto"/>
        <w:jc w:val="both"/>
        <w:rPr>
          <w:rFonts w:ascii="宋体" w:hAnsi="宋体" w:cs="宋体"/>
          <w:sz w:val="24"/>
          <w:szCs w:val="24"/>
        </w:rPr>
      </w:pPr>
      <w:r>
        <w:rPr>
          <w:rFonts w:hint="eastAsia" w:ascii="宋体" w:hAnsi="宋体" w:cs="宋体"/>
          <w:sz w:val="24"/>
          <w:szCs w:val="24"/>
        </w:rPr>
        <w:t>16.2为了方便开标唱标，供应商应将开标一览表单独密封，并在信封上标明“开标一览表”字样。</w:t>
      </w:r>
    </w:p>
    <w:p w14:paraId="1FAEB01D">
      <w:pPr>
        <w:spacing w:line="288" w:lineRule="auto"/>
        <w:jc w:val="both"/>
        <w:rPr>
          <w:rFonts w:ascii="宋体" w:hAnsi="宋体" w:cs="宋体"/>
          <w:sz w:val="24"/>
          <w:szCs w:val="24"/>
        </w:rPr>
      </w:pPr>
      <w:r>
        <w:rPr>
          <w:rFonts w:hint="eastAsia" w:ascii="宋体" w:hAnsi="宋体" w:cs="宋体"/>
          <w:sz w:val="24"/>
          <w:szCs w:val="24"/>
        </w:rPr>
        <w:t>16.3每一密封信封上注明“</w:t>
      </w:r>
      <w:r>
        <w:rPr>
          <w:rFonts w:hint="eastAsia" w:ascii="宋体" w:hAnsi="宋体" w:cs="宋体"/>
          <w:sz w:val="24"/>
          <w:szCs w:val="24"/>
          <w:u w:val="single"/>
        </w:rPr>
        <w:t>于   年   月  日   时之前不准启封</w:t>
      </w:r>
      <w:r>
        <w:rPr>
          <w:rFonts w:hint="eastAsia" w:ascii="宋体" w:hAnsi="宋体" w:cs="宋体"/>
          <w:sz w:val="24"/>
          <w:szCs w:val="24"/>
        </w:rPr>
        <w:t>”的字样；</w:t>
      </w:r>
    </w:p>
    <w:p w14:paraId="57CD98EC">
      <w:pPr>
        <w:spacing w:line="288" w:lineRule="auto"/>
        <w:ind w:left="530" w:hanging="530" w:hangingChars="221"/>
        <w:jc w:val="both"/>
        <w:rPr>
          <w:rFonts w:ascii="宋体" w:hAnsi="宋体" w:cs="宋体"/>
          <w:sz w:val="24"/>
          <w:szCs w:val="24"/>
        </w:rPr>
      </w:pPr>
      <w:r>
        <w:rPr>
          <w:rFonts w:hint="eastAsia" w:ascii="宋体" w:hAnsi="宋体" w:cs="宋体"/>
          <w:sz w:val="24"/>
          <w:szCs w:val="24"/>
        </w:rPr>
        <w:t>16.4如投标文件由专人送交，供应商应将投标文件按16.1-16.3中的规定进行密封和标记后，按投标邀请注明的投标地址送至招标机构；</w:t>
      </w:r>
    </w:p>
    <w:p w14:paraId="4F7B671D">
      <w:pPr>
        <w:spacing w:line="288" w:lineRule="auto"/>
        <w:jc w:val="both"/>
        <w:rPr>
          <w:rFonts w:ascii="宋体" w:hAnsi="宋体" w:cs="宋体"/>
          <w:sz w:val="24"/>
          <w:szCs w:val="24"/>
        </w:rPr>
      </w:pPr>
      <w:r>
        <w:rPr>
          <w:rFonts w:hint="eastAsia" w:ascii="宋体" w:hAnsi="宋体" w:cs="宋体"/>
          <w:sz w:val="24"/>
          <w:szCs w:val="24"/>
        </w:rPr>
        <w:t>16.5如果投标文件通过邮寄递交,供应商应将投标文件用内外两层信封密封:</w:t>
      </w:r>
    </w:p>
    <w:p w14:paraId="1CAAEB1A">
      <w:pPr>
        <w:spacing w:line="288" w:lineRule="auto"/>
        <w:ind w:left="851" w:hanging="284"/>
        <w:jc w:val="both"/>
        <w:rPr>
          <w:rFonts w:ascii="宋体" w:hAnsi="宋体" w:cs="宋体"/>
          <w:sz w:val="24"/>
          <w:szCs w:val="24"/>
        </w:rPr>
      </w:pPr>
      <w:r>
        <w:rPr>
          <w:rFonts w:hint="eastAsia" w:ascii="宋体" w:hAnsi="宋体" w:cs="宋体"/>
          <w:sz w:val="24"/>
          <w:szCs w:val="24"/>
        </w:rPr>
        <w:t>1) 内层信封的封装与标记同16.1-16.3规定；</w:t>
      </w:r>
    </w:p>
    <w:p w14:paraId="0FA61736">
      <w:pPr>
        <w:spacing w:line="288" w:lineRule="auto"/>
        <w:ind w:left="851" w:hanging="284"/>
        <w:jc w:val="both"/>
        <w:rPr>
          <w:rFonts w:ascii="宋体" w:hAnsi="宋体" w:cs="宋体"/>
          <w:sz w:val="24"/>
          <w:szCs w:val="24"/>
        </w:rPr>
      </w:pPr>
      <w:r>
        <w:rPr>
          <w:rFonts w:hint="eastAsia" w:ascii="宋体" w:hAnsi="宋体" w:cs="宋体"/>
          <w:sz w:val="24"/>
          <w:szCs w:val="24"/>
        </w:rPr>
        <w:t>2) 外层信封装入16.1及16.2所述全部内封资料,并注明招标编号、投标项目名称、招标机构名称、地址。同时应写明供应商的名称、地址，以便将迟交的投标文件原封退还。</w:t>
      </w:r>
    </w:p>
    <w:p w14:paraId="1384D9C9">
      <w:pPr>
        <w:spacing w:line="288" w:lineRule="auto"/>
        <w:jc w:val="both"/>
        <w:rPr>
          <w:rFonts w:ascii="宋体" w:hAnsi="宋体" w:cs="宋体"/>
          <w:sz w:val="24"/>
          <w:szCs w:val="24"/>
        </w:rPr>
      </w:pPr>
      <w:r>
        <w:rPr>
          <w:rFonts w:hint="eastAsia" w:ascii="宋体" w:hAnsi="宋体" w:cs="宋体"/>
          <w:sz w:val="24"/>
          <w:szCs w:val="24"/>
        </w:rPr>
        <w:t>16.6招标机构对投标文件的误投或未投标前提前拆封概不负责。</w:t>
      </w:r>
    </w:p>
    <w:p w14:paraId="2559F0BC">
      <w:pPr>
        <w:pStyle w:val="5"/>
        <w:spacing w:before="0" w:after="0" w:line="288" w:lineRule="auto"/>
        <w:rPr>
          <w:rFonts w:ascii="宋体" w:hAnsi="宋体" w:cs="宋体"/>
          <w:sz w:val="24"/>
          <w:szCs w:val="24"/>
        </w:rPr>
      </w:pPr>
      <w:bookmarkStart w:id="39" w:name="_Toc98580410"/>
      <w:r>
        <w:rPr>
          <w:rFonts w:hint="eastAsia" w:ascii="宋体" w:hAnsi="宋体" w:cs="宋体"/>
          <w:sz w:val="24"/>
          <w:szCs w:val="24"/>
        </w:rPr>
        <w:t>17.递交投标文件的截止时间</w:t>
      </w:r>
      <w:bookmarkEnd w:id="39"/>
    </w:p>
    <w:p w14:paraId="4571EE86">
      <w:pPr>
        <w:spacing w:line="288" w:lineRule="auto"/>
        <w:ind w:left="516" w:hanging="516" w:hangingChars="215"/>
        <w:jc w:val="both"/>
        <w:rPr>
          <w:rFonts w:ascii="宋体" w:hAnsi="宋体" w:cs="宋体"/>
          <w:sz w:val="24"/>
          <w:szCs w:val="24"/>
        </w:rPr>
      </w:pPr>
      <w:r>
        <w:rPr>
          <w:rFonts w:hint="eastAsia" w:ascii="宋体" w:hAnsi="宋体" w:cs="宋体"/>
          <w:sz w:val="24"/>
          <w:szCs w:val="24"/>
        </w:rPr>
        <w:t>17.1所有投标文件不论是通过专人或邮寄递交，都必须按照招标机构在投标邀请中规定的投标截止时间之前送至投标地点。</w:t>
      </w:r>
    </w:p>
    <w:p w14:paraId="4FA3ABBC">
      <w:pPr>
        <w:spacing w:line="288" w:lineRule="auto"/>
        <w:ind w:left="504" w:hanging="504" w:hangingChars="210"/>
        <w:rPr>
          <w:rFonts w:ascii="宋体" w:hAnsi="宋体" w:cs="宋体"/>
          <w:sz w:val="24"/>
          <w:szCs w:val="24"/>
        </w:rPr>
      </w:pPr>
      <w:r>
        <w:rPr>
          <w:rFonts w:hint="eastAsia" w:ascii="宋体" w:hAnsi="宋体" w:cs="宋体"/>
          <w:sz w:val="24"/>
          <w:szCs w:val="24"/>
        </w:rPr>
        <w:t>17.2 招标机构推迟投标截止时间时，在</w:t>
      </w:r>
      <w:r>
        <w:rPr>
          <w:rFonts w:hint="eastAsia" w:ascii="宋体" w:hAnsi="宋体" w:cs="宋体"/>
          <w:sz w:val="24"/>
          <w:szCs w:val="24"/>
          <w:lang w:eastAsia="zh-CN"/>
        </w:rPr>
        <w:t>“政采云”平台</w:t>
      </w:r>
      <w:r>
        <w:rPr>
          <w:rFonts w:hint="eastAsia" w:ascii="宋体" w:hAnsi="宋体" w:cs="宋体"/>
          <w:sz w:val="24"/>
          <w:szCs w:val="24"/>
        </w:rPr>
        <w:t>上发布推迟信息。在这种情况下，招标机构和供应商的权利和义务将受到新的截止期的约束。</w:t>
      </w:r>
    </w:p>
    <w:p w14:paraId="582A829F">
      <w:pPr>
        <w:spacing w:line="288" w:lineRule="auto"/>
        <w:rPr>
          <w:rFonts w:ascii="宋体" w:hAnsi="宋体" w:cs="宋体"/>
          <w:sz w:val="24"/>
          <w:szCs w:val="24"/>
        </w:rPr>
      </w:pPr>
      <w:r>
        <w:rPr>
          <w:rFonts w:hint="eastAsia" w:ascii="宋体" w:hAnsi="宋体" w:cs="宋体"/>
          <w:sz w:val="24"/>
          <w:szCs w:val="24"/>
        </w:rPr>
        <w:t>17.3 招标机构对投标文件在邮寄过程中的遗失或损坏不负责任。</w:t>
      </w:r>
    </w:p>
    <w:p w14:paraId="67360FDD">
      <w:pPr>
        <w:spacing w:line="288" w:lineRule="auto"/>
        <w:rPr>
          <w:rFonts w:ascii="宋体" w:hAnsi="宋体" w:cs="宋体"/>
          <w:sz w:val="24"/>
          <w:szCs w:val="24"/>
        </w:rPr>
      </w:pPr>
      <w:r>
        <w:rPr>
          <w:rFonts w:hint="eastAsia" w:ascii="宋体" w:hAnsi="宋体" w:cs="宋体"/>
          <w:sz w:val="24"/>
          <w:szCs w:val="24"/>
        </w:rPr>
        <w:t>17.4 在投标截止时间以后送达的投标文件，招标机构拒绝接收。</w:t>
      </w:r>
    </w:p>
    <w:p w14:paraId="60A9CD33">
      <w:pPr>
        <w:spacing w:line="288" w:lineRule="auto"/>
        <w:ind w:left="516" w:hanging="516" w:hangingChars="215"/>
        <w:jc w:val="both"/>
        <w:rPr>
          <w:rFonts w:ascii="宋体" w:hAnsi="宋体" w:cs="宋体"/>
          <w:sz w:val="24"/>
          <w:szCs w:val="24"/>
        </w:rPr>
      </w:pPr>
      <w:r>
        <w:rPr>
          <w:rFonts w:hint="eastAsia" w:ascii="宋体" w:hAnsi="宋体" w:cs="宋体"/>
          <w:sz w:val="24"/>
          <w:szCs w:val="24"/>
        </w:rPr>
        <w:t>17.5本项目招标过程中，需法人代表或法人授权代表出面完成的，须出具法人代表身份证明或法人授权委托书原件及身份证原件，如不出具拒绝受理。</w:t>
      </w:r>
    </w:p>
    <w:p w14:paraId="475660FD">
      <w:pPr>
        <w:spacing w:line="288" w:lineRule="auto"/>
        <w:rPr>
          <w:rFonts w:ascii="宋体" w:hAnsi="宋体" w:cs="宋体"/>
          <w:b/>
          <w:bCs/>
          <w:sz w:val="24"/>
          <w:szCs w:val="24"/>
        </w:rPr>
      </w:pPr>
      <w:r>
        <w:rPr>
          <w:rFonts w:hint="eastAsia" w:ascii="宋体" w:hAnsi="宋体" w:cs="宋体"/>
          <w:b/>
          <w:bCs/>
          <w:sz w:val="24"/>
          <w:szCs w:val="24"/>
        </w:rPr>
        <w:t>18.投标文件修改和撤消</w:t>
      </w:r>
    </w:p>
    <w:p w14:paraId="3AEB1994">
      <w:pPr>
        <w:spacing w:line="288" w:lineRule="auto"/>
        <w:ind w:left="588" w:hanging="588" w:hangingChars="245"/>
        <w:rPr>
          <w:rFonts w:ascii="宋体" w:hAnsi="宋体" w:cs="宋体"/>
          <w:sz w:val="24"/>
          <w:szCs w:val="24"/>
        </w:rPr>
      </w:pPr>
      <w:r>
        <w:rPr>
          <w:rFonts w:hint="eastAsia" w:ascii="宋体" w:hAnsi="宋体" w:cs="宋体"/>
          <w:sz w:val="24"/>
          <w:szCs w:val="24"/>
        </w:rPr>
        <w:t>18.1 投标以后，如果供应商提出书面修改和撤标要求，在投标截止时间前送达招标机构者，招标机构可以予以接受。但不退还投标文件。</w:t>
      </w:r>
    </w:p>
    <w:p w14:paraId="375E6E34">
      <w:pPr>
        <w:spacing w:line="288" w:lineRule="auto"/>
        <w:ind w:left="530" w:hanging="530" w:hangingChars="221"/>
        <w:rPr>
          <w:rFonts w:ascii="宋体" w:hAnsi="宋体" w:cs="宋体"/>
          <w:sz w:val="24"/>
          <w:szCs w:val="24"/>
        </w:rPr>
      </w:pPr>
      <w:r>
        <w:rPr>
          <w:rFonts w:hint="eastAsia" w:ascii="宋体" w:hAnsi="宋体" w:cs="宋体"/>
          <w:sz w:val="24"/>
          <w:szCs w:val="24"/>
        </w:rPr>
        <w:t>18.2 供应商修改投标文件的书面材料，须密封送达招标机构，同时应在封套上标明“修改投标文件(并注明招标编号)”和“开标时启封”字样。</w:t>
      </w:r>
    </w:p>
    <w:p w14:paraId="1130AA8B">
      <w:pPr>
        <w:spacing w:line="288" w:lineRule="auto"/>
        <w:ind w:left="516" w:hanging="516" w:hangingChars="215"/>
        <w:rPr>
          <w:rFonts w:ascii="宋体" w:hAnsi="宋体" w:cs="宋体"/>
          <w:sz w:val="24"/>
          <w:szCs w:val="24"/>
        </w:rPr>
      </w:pPr>
      <w:r>
        <w:rPr>
          <w:rFonts w:hint="eastAsia" w:ascii="宋体" w:hAnsi="宋体" w:cs="宋体"/>
          <w:sz w:val="24"/>
          <w:szCs w:val="24"/>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569FED76">
      <w:pPr>
        <w:spacing w:line="288" w:lineRule="auto"/>
        <w:jc w:val="both"/>
        <w:rPr>
          <w:rFonts w:ascii="宋体" w:hAnsi="宋体" w:cs="宋体"/>
          <w:sz w:val="24"/>
          <w:szCs w:val="24"/>
        </w:rPr>
      </w:pPr>
      <w:r>
        <w:rPr>
          <w:rFonts w:hint="eastAsia" w:ascii="宋体" w:hAnsi="宋体" w:cs="宋体"/>
          <w:sz w:val="24"/>
          <w:szCs w:val="24"/>
        </w:rPr>
        <w:t>18.4投标截止时间以后不得修改投标文件；</w:t>
      </w:r>
    </w:p>
    <w:p w14:paraId="41A0575F">
      <w:pPr>
        <w:spacing w:line="288" w:lineRule="auto"/>
        <w:jc w:val="both"/>
        <w:rPr>
          <w:rFonts w:ascii="宋体" w:hAnsi="宋体" w:cs="宋体"/>
          <w:sz w:val="24"/>
          <w:szCs w:val="24"/>
        </w:rPr>
      </w:pPr>
      <w:r>
        <w:rPr>
          <w:rFonts w:hint="eastAsia" w:ascii="宋体" w:hAnsi="宋体" w:cs="宋体"/>
          <w:sz w:val="24"/>
          <w:szCs w:val="24"/>
        </w:rPr>
        <w:t>18.5开标后供应商不得撤回投标。</w:t>
      </w:r>
    </w:p>
    <w:p w14:paraId="2F3E4F79">
      <w:pPr>
        <w:pStyle w:val="4"/>
        <w:spacing w:before="0" w:after="0" w:line="288" w:lineRule="auto"/>
        <w:jc w:val="center"/>
        <w:rPr>
          <w:rFonts w:ascii="宋体" w:hAnsi="宋体" w:eastAsia="宋体" w:cs="宋体"/>
          <w:sz w:val="24"/>
          <w:szCs w:val="24"/>
        </w:rPr>
      </w:pPr>
      <w:bookmarkStart w:id="40" w:name="_Toc98580411"/>
      <w:r>
        <w:rPr>
          <w:rFonts w:hint="eastAsia" w:ascii="宋体" w:hAnsi="宋体" w:eastAsia="宋体" w:cs="宋体"/>
          <w:sz w:val="24"/>
          <w:szCs w:val="24"/>
        </w:rPr>
        <w:t>E开标及评标</w:t>
      </w:r>
      <w:bookmarkEnd w:id="40"/>
    </w:p>
    <w:p w14:paraId="40B6F39D">
      <w:pPr>
        <w:pStyle w:val="5"/>
        <w:spacing w:before="0" w:after="0" w:line="288" w:lineRule="auto"/>
        <w:rPr>
          <w:rFonts w:ascii="宋体" w:hAnsi="宋体" w:cs="宋体"/>
          <w:sz w:val="24"/>
          <w:szCs w:val="24"/>
        </w:rPr>
      </w:pPr>
      <w:bookmarkStart w:id="41" w:name="_Toc98580412"/>
      <w:r>
        <w:rPr>
          <w:rFonts w:hint="eastAsia" w:ascii="宋体" w:hAnsi="宋体" w:cs="宋体"/>
          <w:sz w:val="24"/>
          <w:szCs w:val="24"/>
        </w:rPr>
        <w:t>19.开标</w:t>
      </w:r>
      <w:bookmarkEnd w:id="41"/>
    </w:p>
    <w:p w14:paraId="4D1FF1F6">
      <w:pPr>
        <w:spacing w:line="288" w:lineRule="auto"/>
        <w:ind w:left="545" w:hanging="544" w:hangingChars="227"/>
        <w:rPr>
          <w:rFonts w:ascii="宋体" w:hAnsi="宋体" w:cs="宋体"/>
          <w:sz w:val="24"/>
          <w:szCs w:val="24"/>
        </w:rPr>
      </w:pPr>
      <w:r>
        <w:rPr>
          <w:rFonts w:hint="eastAsia" w:ascii="宋体" w:hAnsi="宋体" w:cs="宋体"/>
          <w:sz w:val="24"/>
          <w:szCs w:val="24"/>
        </w:rPr>
        <w:t>19.1 采购代理机构按招标文件规定的时间、地点主持公开开标。开标仪式由采购代理机构主持，采购人代表及有关工作人员参加。</w:t>
      </w:r>
    </w:p>
    <w:p w14:paraId="5193980F">
      <w:pPr>
        <w:spacing w:line="288" w:lineRule="auto"/>
        <w:rPr>
          <w:rFonts w:ascii="宋体" w:hAnsi="宋体" w:cs="宋体"/>
          <w:sz w:val="24"/>
          <w:szCs w:val="24"/>
        </w:rPr>
      </w:pPr>
      <w:r>
        <w:rPr>
          <w:rFonts w:hint="eastAsia" w:ascii="宋体" w:hAnsi="宋体" w:cs="宋体"/>
          <w:sz w:val="24"/>
          <w:szCs w:val="24"/>
        </w:rPr>
        <w:t>19.2 供应商派代表参加开标仪式。</w:t>
      </w:r>
    </w:p>
    <w:p w14:paraId="47B9E1D8">
      <w:pPr>
        <w:spacing w:line="288" w:lineRule="auto"/>
        <w:rPr>
          <w:rFonts w:ascii="宋体" w:hAnsi="宋体" w:cs="宋体"/>
          <w:sz w:val="24"/>
          <w:szCs w:val="24"/>
        </w:rPr>
      </w:pPr>
      <w:r>
        <w:rPr>
          <w:rFonts w:hint="eastAsia" w:ascii="宋体" w:hAnsi="宋体" w:cs="宋体"/>
          <w:sz w:val="24"/>
          <w:szCs w:val="24"/>
        </w:rPr>
        <w:t>19.3 开标时由供应商查验投标文件密封情况，确认无误后拆封唱标。</w:t>
      </w:r>
    </w:p>
    <w:p w14:paraId="49673AC7">
      <w:pPr>
        <w:spacing w:line="288" w:lineRule="auto"/>
        <w:ind w:left="530" w:hanging="530" w:hangingChars="221"/>
        <w:rPr>
          <w:rFonts w:ascii="宋体" w:hAnsi="宋体" w:cs="宋体"/>
          <w:sz w:val="24"/>
          <w:szCs w:val="24"/>
        </w:rPr>
      </w:pPr>
      <w:r>
        <w:rPr>
          <w:rFonts w:hint="eastAsia" w:ascii="宋体" w:hAnsi="宋体" w:cs="宋体"/>
          <w:sz w:val="24"/>
          <w:szCs w:val="24"/>
        </w:rPr>
        <w:t>19.4 采购代理机构在开标仪式上，将公开唱出所有供应商的“开标一览表”内容及投标声明，以及采购机构认为合适的其它内容并记录。</w:t>
      </w:r>
    </w:p>
    <w:p w14:paraId="59563BD9">
      <w:pPr>
        <w:spacing w:line="288" w:lineRule="auto"/>
        <w:ind w:left="530" w:hanging="530" w:hangingChars="221"/>
        <w:rPr>
          <w:rFonts w:ascii="宋体" w:hAnsi="宋体" w:cs="宋体"/>
          <w:sz w:val="24"/>
          <w:szCs w:val="24"/>
        </w:rPr>
      </w:pPr>
      <w:r>
        <w:rPr>
          <w:rFonts w:hint="eastAsia" w:ascii="宋体" w:hAnsi="宋体" w:cs="宋体"/>
          <w:sz w:val="24"/>
          <w:szCs w:val="24"/>
        </w:rPr>
        <w:t>19.5开标前，投标文件有下列情况之一的供应商不予受理：</w:t>
      </w:r>
    </w:p>
    <w:p w14:paraId="0199231B">
      <w:pPr>
        <w:spacing w:line="288" w:lineRule="auto"/>
        <w:ind w:left="530" w:hanging="530" w:hangingChars="221"/>
        <w:rPr>
          <w:rFonts w:ascii="宋体" w:hAnsi="宋体" w:cs="宋体"/>
          <w:sz w:val="24"/>
          <w:szCs w:val="24"/>
        </w:rPr>
      </w:pPr>
      <w:r>
        <w:rPr>
          <w:rFonts w:hint="eastAsia" w:ascii="宋体" w:hAnsi="宋体" w:cs="宋体"/>
          <w:sz w:val="24"/>
          <w:szCs w:val="24"/>
        </w:rPr>
        <w:t>19.5.1逾期送达或未送达指定地点的；</w:t>
      </w:r>
    </w:p>
    <w:p w14:paraId="539F41B6">
      <w:pPr>
        <w:spacing w:line="288" w:lineRule="auto"/>
        <w:ind w:left="530" w:hanging="530" w:hangingChars="221"/>
        <w:rPr>
          <w:rFonts w:ascii="宋体" w:hAnsi="宋体" w:cs="宋体"/>
          <w:sz w:val="24"/>
          <w:szCs w:val="24"/>
        </w:rPr>
      </w:pPr>
      <w:r>
        <w:rPr>
          <w:rFonts w:hint="eastAsia" w:ascii="宋体" w:hAnsi="宋体" w:cs="宋体"/>
          <w:sz w:val="24"/>
          <w:szCs w:val="24"/>
        </w:rPr>
        <w:t>19.5.2未按招标文件要求密封的。</w:t>
      </w:r>
    </w:p>
    <w:p w14:paraId="27B93F09">
      <w:pPr>
        <w:spacing w:line="288" w:lineRule="auto"/>
        <w:ind w:left="530" w:hanging="530" w:hangingChars="221"/>
        <w:rPr>
          <w:rFonts w:ascii="宋体" w:hAnsi="宋体" w:cs="宋体"/>
          <w:sz w:val="24"/>
          <w:szCs w:val="24"/>
        </w:rPr>
      </w:pPr>
      <w:r>
        <w:rPr>
          <w:rFonts w:hint="eastAsia" w:ascii="宋体" w:hAnsi="宋体" w:cs="宋体"/>
          <w:sz w:val="24"/>
          <w:szCs w:val="24"/>
        </w:rPr>
        <w:t>19.6开标后,直到宣布授予中标单位合同为止,凡属于审查、澄清、评价和比较投标的所有质料,有关授予合同的信息,都不应该向投标无关的其他人泄露。</w:t>
      </w:r>
    </w:p>
    <w:p w14:paraId="3B0F77C6">
      <w:pPr>
        <w:pStyle w:val="5"/>
        <w:spacing w:before="0" w:after="0" w:line="288" w:lineRule="auto"/>
        <w:rPr>
          <w:rFonts w:ascii="宋体" w:hAnsi="宋体" w:cs="宋体"/>
          <w:sz w:val="24"/>
          <w:szCs w:val="24"/>
        </w:rPr>
      </w:pPr>
      <w:bookmarkStart w:id="42" w:name="_Toc98580413"/>
      <w:r>
        <w:rPr>
          <w:rFonts w:hint="eastAsia" w:ascii="宋体" w:hAnsi="宋体" w:cs="宋体"/>
          <w:sz w:val="24"/>
          <w:szCs w:val="24"/>
        </w:rPr>
        <w:t>20.对投标文件的初审</w:t>
      </w:r>
      <w:bookmarkEnd w:id="42"/>
    </w:p>
    <w:p w14:paraId="0D91F0A5">
      <w:pPr>
        <w:spacing w:line="288" w:lineRule="auto"/>
        <w:ind w:left="1"/>
        <w:rPr>
          <w:rFonts w:ascii="宋体" w:hAnsi="宋体" w:cs="宋体"/>
          <w:sz w:val="24"/>
          <w:szCs w:val="24"/>
        </w:rPr>
      </w:pPr>
      <w:r>
        <w:rPr>
          <w:rFonts w:hint="eastAsia" w:ascii="宋体" w:hAnsi="宋体" w:cs="宋体"/>
          <w:sz w:val="24"/>
          <w:szCs w:val="24"/>
        </w:rPr>
        <w:t xml:space="preserve">20.1 采购人根据招标项目特点组建评标委员会，采购人代表和技术经济及其他有关方面的专家组成。 </w:t>
      </w:r>
    </w:p>
    <w:p w14:paraId="3912DFC2">
      <w:pPr>
        <w:spacing w:line="288" w:lineRule="auto"/>
        <w:ind w:firstLine="480" w:firstLineChars="200"/>
        <w:rPr>
          <w:rFonts w:ascii="宋体" w:hAnsi="宋体" w:cs="宋体"/>
          <w:sz w:val="24"/>
          <w:szCs w:val="24"/>
          <w:lang w:val="zh-CN"/>
        </w:rPr>
      </w:pPr>
      <w:r>
        <w:rPr>
          <w:rFonts w:hint="eastAsia" w:ascii="宋体" w:hAnsi="宋体" w:cs="宋体"/>
          <w:sz w:val="24"/>
          <w:szCs w:val="24"/>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14:paraId="29AEEA8F">
      <w:pPr>
        <w:spacing w:line="288" w:lineRule="auto"/>
        <w:ind w:firstLine="480" w:firstLineChars="200"/>
        <w:rPr>
          <w:rFonts w:ascii="宋体" w:hAnsi="宋体" w:cs="宋体"/>
          <w:sz w:val="24"/>
          <w:szCs w:val="24"/>
          <w:lang w:val="zh-CN"/>
        </w:rPr>
      </w:pPr>
      <w:r>
        <w:rPr>
          <w:rFonts w:hint="eastAsia" w:ascii="宋体" w:hAnsi="宋体" w:cs="宋体"/>
          <w:sz w:val="24"/>
          <w:szCs w:val="24"/>
          <w:lang w:val="zh-CN"/>
        </w:rPr>
        <w:t>对于资格审查合格的投标人，评标委员会将审查其投标文件商务和技术部分是否对招标文件规定的事项、格式、条款和技术规格等要求都做出了实质性响应。实质性响应的投标是指与招标文件规定的事项、条款、条件和技术规格相符，没有重大偏离和保留。没有实质性响应招标文件要求的投标将被拒绝。</w:t>
      </w:r>
    </w:p>
    <w:p w14:paraId="0AA655F2">
      <w:pPr>
        <w:spacing w:line="288" w:lineRule="auto"/>
        <w:rPr>
          <w:rFonts w:ascii="宋体" w:hAnsi="宋体" w:cs="宋体"/>
          <w:sz w:val="24"/>
          <w:szCs w:val="24"/>
        </w:rPr>
      </w:pPr>
      <w:r>
        <w:rPr>
          <w:rFonts w:hint="eastAsia" w:ascii="宋体" w:hAnsi="宋体" w:cs="宋体"/>
          <w:sz w:val="24"/>
          <w:szCs w:val="24"/>
        </w:rPr>
        <w:t>20.2 初审中，对价格的计算错误按下述原则修正：</w:t>
      </w:r>
    </w:p>
    <w:p w14:paraId="6283EB88">
      <w:pPr>
        <w:spacing w:line="288" w:lineRule="auto"/>
        <w:ind w:firstLine="480" w:firstLineChars="200"/>
        <w:rPr>
          <w:rFonts w:ascii="宋体" w:hAnsi="宋体" w:cs="宋体"/>
          <w:sz w:val="24"/>
          <w:szCs w:val="24"/>
        </w:rPr>
      </w:pPr>
      <w:r>
        <w:rPr>
          <w:rFonts w:hint="eastAsia" w:ascii="宋体" w:hAnsi="宋体" w:cs="宋体"/>
          <w:sz w:val="24"/>
          <w:szCs w:val="24"/>
        </w:rPr>
        <w:t>(1) 如果单价乘数量不等于总价，应以单价为准修正总价。</w:t>
      </w:r>
    </w:p>
    <w:p w14:paraId="28F49F0B">
      <w:pPr>
        <w:spacing w:line="288" w:lineRule="auto"/>
        <w:ind w:firstLine="480" w:firstLineChars="200"/>
        <w:rPr>
          <w:rFonts w:ascii="宋体" w:hAnsi="宋体" w:cs="宋体"/>
          <w:sz w:val="24"/>
          <w:szCs w:val="24"/>
        </w:rPr>
      </w:pPr>
      <w:r>
        <w:rPr>
          <w:rFonts w:hint="eastAsia" w:ascii="宋体" w:hAnsi="宋体" w:cs="宋体"/>
          <w:sz w:val="24"/>
          <w:szCs w:val="24"/>
        </w:rPr>
        <w:t>(2) 如果以文字表示的数据与数字表示的有差别，应以文字为准修正数字。</w:t>
      </w:r>
    </w:p>
    <w:p w14:paraId="312ADCD0">
      <w:pPr>
        <w:spacing w:line="288" w:lineRule="auto"/>
        <w:ind w:firstLine="480" w:firstLineChars="200"/>
        <w:rPr>
          <w:rFonts w:ascii="宋体" w:hAnsi="宋体" w:cs="宋体"/>
          <w:sz w:val="24"/>
          <w:szCs w:val="24"/>
        </w:rPr>
      </w:pPr>
      <w:r>
        <w:rPr>
          <w:rFonts w:hint="eastAsia" w:ascii="宋体" w:hAnsi="宋体" w:cs="宋体"/>
          <w:sz w:val="24"/>
          <w:szCs w:val="24"/>
        </w:rPr>
        <w:t>(3) 供应商不同意以上修正，则其投标将被拒绝。</w:t>
      </w:r>
    </w:p>
    <w:p w14:paraId="7086318D">
      <w:pPr>
        <w:spacing w:line="288" w:lineRule="auto"/>
        <w:rPr>
          <w:rFonts w:ascii="宋体" w:hAnsi="宋体" w:cs="宋体"/>
          <w:sz w:val="24"/>
          <w:szCs w:val="24"/>
        </w:rPr>
      </w:pPr>
      <w:r>
        <w:rPr>
          <w:rFonts w:hint="eastAsia" w:ascii="宋体" w:hAnsi="宋体" w:cs="宋体"/>
          <w:sz w:val="24"/>
          <w:szCs w:val="24"/>
        </w:rPr>
        <w:t>20.3 与招标文件有重大偏离的投标文件将被视为具有非实质响应性的投标文件而被拒绝。</w:t>
      </w:r>
    </w:p>
    <w:p w14:paraId="0B5540BB">
      <w:pPr>
        <w:spacing w:line="288" w:lineRule="auto"/>
        <w:rPr>
          <w:rFonts w:ascii="宋体" w:hAnsi="宋体" w:cs="宋体"/>
          <w:sz w:val="24"/>
          <w:szCs w:val="24"/>
        </w:rPr>
      </w:pPr>
      <w:r>
        <w:rPr>
          <w:rFonts w:hint="eastAsia" w:ascii="宋体" w:hAnsi="宋体" w:cs="宋体"/>
          <w:sz w:val="24"/>
          <w:szCs w:val="24"/>
        </w:rPr>
        <w:t xml:space="preserve">    重大偏离系指投标项目的供货范围、质量、数量及交货期明显不能满足招标文件的要求，或限制了采购人的权力和供应商的义务的规定，而纠正这些偏离将影响到其它提交实质性响应投标的供应商的公平竞争地位。这些偏离不允许在开标后修正。但招标机构将允许修改投标中不构成重大偏离的、微小的、非正规的、不一致或不规则的地方。评委会对投标文件的判定，只依据投标内容本身，不依据开标后的任何外来证明。</w:t>
      </w:r>
    </w:p>
    <w:p w14:paraId="1155E58D">
      <w:pPr>
        <w:spacing w:line="288" w:lineRule="auto"/>
        <w:rPr>
          <w:rFonts w:ascii="宋体" w:hAnsi="宋体" w:cs="宋体"/>
          <w:b/>
          <w:sz w:val="24"/>
          <w:szCs w:val="24"/>
        </w:rPr>
      </w:pPr>
      <w:r>
        <w:rPr>
          <w:rFonts w:hint="eastAsia" w:ascii="宋体" w:hAnsi="宋体" w:cs="宋体"/>
          <w:sz w:val="24"/>
          <w:szCs w:val="24"/>
        </w:rPr>
        <w:t>20.4 投标有下列情况之一者，</w:t>
      </w:r>
      <w:r>
        <w:rPr>
          <w:rFonts w:hint="eastAsia" w:ascii="宋体" w:hAnsi="宋体" w:cs="宋体"/>
          <w:b/>
          <w:sz w:val="24"/>
          <w:szCs w:val="24"/>
        </w:rPr>
        <w:t>将被视为非实质性响应的投标而被拒绝：</w:t>
      </w:r>
    </w:p>
    <w:p w14:paraId="4632821F">
      <w:pPr>
        <w:numPr>
          <w:ilvl w:val="0"/>
          <w:numId w:val="1"/>
        </w:numPr>
        <w:tabs>
          <w:tab w:val="left" w:pos="686"/>
          <w:tab w:val="clear" w:pos="1080"/>
        </w:tabs>
        <w:spacing w:line="288" w:lineRule="auto"/>
        <w:ind w:left="480" w:hanging="480" w:hangingChars="200"/>
        <w:rPr>
          <w:rFonts w:ascii="宋体" w:hAnsi="宋体" w:cs="宋体"/>
          <w:sz w:val="24"/>
          <w:szCs w:val="24"/>
        </w:rPr>
      </w:pPr>
      <w:r>
        <w:rPr>
          <w:rFonts w:hint="eastAsia" w:ascii="宋体" w:hAnsi="宋体" w:cs="宋体"/>
          <w:sz w:val="24"/>
          <w:szCs w:val="24"/>
        </w:rPr>
        <w:t>资格条件及证明文件不符合招标文件要求的；</w:t>
      </w:r>
    </w:p>
    <w:p w14:paraId="193BE499">
      <w:pPr>
        <w:numPr>
          <w:ilvl w:val="0"/>
          <w:numId w:val="1"/>
        </w:numPr>
        <w:tabs>
          <w:tab w:val="left" w:pos="686"/>
          <w:tab w:val="clear" w:pos="1080"/>
        </w:tabs>
        <w:spacing w:line="288" w:lineRule="auto"/>
        <w:ind w:left="0" w:firstLine="0"/>
        <w:rPr>
          <w:rFonts w:ascii="宋体" w:hAnsi="宋体" w:cs="宋体"/>
          <w:sz w:val="24"/>
          <w:szCs w:val="24"/>
        </w:rPr>
      </w:pPr>
      <w:r>
        <w:rPr>
          <w:rFonts w:hint="eastAsia" w:ascii="宋体" w:hAnsi="宋体" w:cs="宋体"/>
          <w:sz w:val="24"/>
          <w:szCs w:val="24"/>
        </w:rPr>
        <w:t>投标文件无公章或无法定代表人签字，或签字人无法定代表人有效授权书的，或未按要求签字、盖公章的；</w:t>
      </w:r>
    </w:p>
    <w:p w14:paraId="10D3C4AF">
      <w:pPr>
        <w:numPr>
          <w:ilvl w:val="0"/>
          <w:numId w:val="1"/>
        </w:numPr>
        <w:tabs>
          <w:tab w:val="left" w:pos="700"/>
          <w:tab w:val="clear" w:pos="1080"/>
        </w:tabs>
        <w:spacing w:line="288" w:lineRule="auto"/>
        <w:ind w:left="480" w:hanging="480" w:hangingChars="200"/>
        <w:rPr>
          <w:rFonts w:ascii="宋体" w:hAnsi="宋体" w:cs="宋体"/>
          <w:sz w:val="24"/>
          <w:szCs w:val="24"/>
        </w:rPr>
      </w:pPr>
      <w:r>
        <w:rPr>
          <w:rFonts w:hint="eastAsia" w:ascii="宋体" w:hAnsi="宋体" w:cs="宋体"/>
          <w:sz w:val="24"/>
          <w:szCs w:val="24"/>
        </w:rPr>
        <w:t>不能满足投标有效期的；</w:t>
      </w:r>
    </w:p>
    <w:p w14:paraId="4C8307A4">
      <w:pPr>
        <w:numPr>
          <w:ilvl w:val="0"/>
          <w:numId w:val="1"/>
        </w:numPr>
        <w:tabs>
          <w:tab w:val="left" w:pos="700"/>
          <w:tab w:val="clear" w:pos="1080"/>
        </w:tabs>
        <w:spacing w:line="288" w:lineRule="auto"/>
        <w:ind w:left="480" w:hanging="480" w:hangingChars="200"/>
        <w:rPr>
          <w:rFonts w:ascii="宋体" w:hAnsi="宋体" w:cs="宋体"/>
          <w:sz w:val="24"/>
          <w:szCs w:val="24"/>
        </w:rPr>
      </w:pPr>
      <w:r>
        <w:rPr>
          <w:rFonts w:hint="eastAsia" w:ascii="宋体" w:hAnsi="宋体" w:cs="宋体"/>
          <w:sz w:val="24"/>
          <w:szCs w:val="24"/>
        </w:rPr>
        <w:t>投标明显不符合技术规格、技术标准的要求；</w:t>
      </w:r>
    </w:p>
    <w:p w14:paraId="66ED291D">
      <w:pPr>
        <w:numPr>
          <w:ilvl w:val="0"/>
          <w:numId w:val="1"/>
        </w:numPr>
        <w:tabs>
          <w:tab w:val="left" w:pos="714"/>
          <w:tab w:val="clear" w:pos="1080"/>
        </w:tabs>
        <w:spacing w:line="288" w:lineRule="auto"/>
        <w:ind w:left="480" w:hanging="480" w:hangingChars="200"/>
        <w:rPr>
          <w:rFonts w:ascii="宋体" w:hAnsi="宋体" w:cs="宋体"/>
          <w:sz w:val="24"/>
          <w:szCs w:val="24"/>
        </w:rPr>
      </w:pPr>
      <w:r>
        <w:rPr>
          <w:rFonts w:hint="eastAsia" w:ascii="宋体" w:hAnsi="宋体" w:cs="宋体"/>
          <w:sz w:val="24"/>
          <w:szCs w:val="24"/>
        </w:rPr>
        <w:t>投标文件附有买方不能接受的条件；</w:t>
      </w:r>
    </w:p>
    <w:p w14:paraId="43F2800B">
      <w:pPr>
        <w:numPr>
          <w:ilvl w:val="0"/>
          <w:numId w:val="1"/>
        </w:numPr>
        <w:tabs>
          <w:tab w:val="left" w:pos="714"/>
          <w:tab w:val="clear" w:pos="1080"/>
        </w:tabs>
        <w:spacing w:line="288" w:lineRule="auto"/>
        <w:ind w:left="480" w:hanging="480" w:hangingChars="200"/>
        <w:rPr>
          <w:rFonts w:ascii="宋体" w:hAnsi="宋体" w:cs="宋体"/>
          <w:sz w:val="24"/>
          <w:szCs w:val="24"/>
        </w:rPr>
      </w:pPr>
      <w:r>
        <w:rPr>
          <w:rFonts w:hint="eastAsia" w:ascii="宋体" w:hAnsi="宋体" w:cs="宋体"/>
          <w:sz w:val="24"/>
          <w:szCs w:val="24"/>
        </w:rPr>
        <w:t>投标报价超过</w:t>
      </w:r>
      <w:r>
        <w:rPr>
          <w:rFonts w:hint="eastAsia" w:ascii="宋体" w:hAnsi="宋体" w:cs="宋体"/>
          <w:bCs/>
          <w:sz w:val="24"/>
          <w:szCs w:val="24"/>
          <w:lang w:val="zh-CN"/>
        </w:rPr>
        <w:t>预算金额</w:t>
      </w:r>
      <w:r>
        <w:rPr>
          <w:rFonts w:hint="eastAsia" w:ascii="宋体" w:hAnsi="宋体" w:cs="宋体"/>
          <w:sz w:val="24"/>
          <w:szCs w:val="24"/>
        </w:rPr>
        <w:t>的；</w:t>
      </w:r>
    </w:p>
    <w:p w14:paraId="1C5A5A0C">
      <w:pPr>
        <w:numPr>
          <w:ilvl w:val="0"/>
          <w:numId w:val="1"/>
        </w:numPr>
        <w:tabs>
          <w:tab w:val="left" w:pos="714"/>
          <w:tab w:val="clear" w:pos="1080"/>
        </w:tabs>
        <w:spacing w:line="288" w:lineRule="auto"/>
        <w:ind w:left="480" w:hanging="480" w:hangingChars="200"/>
        <w:rPr>
          <w:rFonts w:ascii="宋体" w:hAnsi="宋体" w:cs="宋体"/>
          <w:sz w:val="24"/>
          <w:szCs w:val="24"/>
        </w:rPr>
      </w:pPr>
      <w:r>
        <w:rPr>
          <w:rFonts w:hint="eastAsia" w:ascii="宋体" w:hAnsi="宋体" w:cs="宋体"/>
          <w:sz w:val="24"/>
          <w:szCs w:val="24"/>
        </w:rPr>
        <w:t>未响应招标文件规定的其它实质性条款。</w:t>
      </w:r>
    </w:p>
    <w:p w14:paraId="6478289D">
      <w:pPr>
        <w:pStyle w:val="5"/>
        <w:spacing w:before="0" w:after="0" w:line="288" w:lineRule="auto"/>
        <w:rPr>
          <w:rFonts w:ascii="宋体" w:hAnsi="宋体" w:cs="宋体"/>
          <w:sz w:val="24"/>
          <w:szCs w:val="24"/>
        </w:rPr>
      </w:pPr>
      <w:bookmarkStart w:id="43" w:name="_Toc98580414"/>
      <w:r>
        <w:rPr>
          <w:rFonts w:hint="eastAsia" w:ascii="宋体" w:hAnsi="宋体" w:cs="宋体"/>
          <w:sz w:val="24"/>
          <w:szCs w:val="24"/>
        </w:rPr>
        <w:t>21.投标的澄清</w:t>
      </w:r>
      <w:bookmarkEnd w:id="43"/>
    </w:p>
    <w:p w14:paraId="233450BB">
      <w:pPr>
        <w:spacing w:line="288" w:lineRule="auto"/>
        <w:rPr>
          <w:rFonts w:ascii="宋体" w:hAnsi="宋体" w:cs="宋体"/>
          <w:sz w:val="24"/>
          <w:szCs w:val="24"/>
        </w:rPr>
      </w:pPr>
      <w:r>
        <w:rPr>
          <w:rFonts w:hint="eastAsia" w:ascii="宋体" w:hAnsi="宋体" w:cs="宋体"/>
          <w:sz w:val="24"/>
          <w:szCs w:val="24"/>
        </w:rPr>
        <w:t>21.1 招标机构有权就投标文件中含混之处向供应商提出询问或澄清要求，或要求其补充某些材料。供应商必须按照招标机构通知的时间、地点派技术和商务人员进行答疑和澄清。</w:t>
      </w:r>
    </w:p>
    <w:p w14:paraId="7C59CEBB">
      <w:pPr>
        <w:spacing w:line="288" w:lineRule="auto"/>
        <w:rPr>
          <w:rFonts w:ascii="宋体" w:hAnsi="宋体" w:cs="宋体"/>
          <w:sz w:val="24"/>
          <w:szCs w:val="24"/>
        </w:rPr>
      </w:pPr>
      <w:r>
        <w:rPr>
          <w:rFonts w:hint="eastAsia" w:ascii="宋体" w:hAnsi="宋体" w:cs="宋体"/>
          <w:sz w:val="24"/>
          <w:szCs w:val="24"/>
        </w:rPr>
        <w:t>21.2 必要时招标机构可要求供应商就澄清的问题作书面回答，该书面回答应有投标全权代表的签章，并将作为投标内容的一部分。</w:t>
      </w:r>
    </w:p>
    <w:p w14:paraId="362665D5">
      <w:pPr>
        <w:spacing w:line="288" w:lineRule="auto"/>
        <w:rPr>
          <w:rFonts w:ascii="宋体" w:hAnsi="宋体" w:cs="宋体"/>
          <w:sz w:val="24"/>
          <w:szCs w:val="24"/>
        </w:rPr>
      </w:pPr>
      <w:r>
        <w:rPr>
          <w:rFonts w:hint="eastAsia" w:ascii="宋体" w:hAnsi="宋体" w:cs="宋体"/>
          <w:sz w:val="24"/>
          <w:szCs w:val="24"/>
        </w:rPr>
        <w:t>21.3 供应商对投标文件的澄清不得改变投标价格及实质内容。</w:t>
      </w:r>
    </w:p>
    <w:p w14:paraId="0BCD0CCE">
      <w:pPr>
        <w:pStyle w:val="5"/>
        <w:spacing w:before="0" w:after="0" w:line="288" w:lineRule="auto"/>
        <w:rPr>
          <w:rFonts w:ascii="宋体" w:hAnsi="宋体" w:cs="宋体"/>
          <w:sz w:val="24"/>
          <w:szCs w:val="24"/>
        </w:rPr>
      </w:pPr>
      <w:bookmarkStart w:id="44" w:name="_Toc98580415"/>
      <w:bookmarkStart w:id="45" w:name="_Toc98580416"/>
      <w:r>
        <w:rPr>
          <w:rFonts w:hint="eastAsia" w:ascii="宋体" w:hAnsi="宋体" w:cs="宋体"/>
          <w:sz w:val="24"/>
          <w:szCs w:val="24"/>
        </w:rPr>
        <w:t>22.评标</w:t>
      </w:r>
      <w:bookmarkEnd w:id="44"/>
    </w:p>
    <w:p w14:paraId="7A22DC09">
      <w:pPr>
        <w:autoSpaceDE w:val="0"/>
        <w:autoSpaceDN w:val="0"/>
        <w:spacing w:line="288" w:lineRule="auto"/>
        <w:textAlignment w:val="bottom"/>
        <w:rPr>
          <w:rFonts w:ascii="宋体" w:hAnsi="宋体" w:cs="宋体"/>
          <w:bCs/>
          <w:sz w:val="24"/>
          <w:szCs w:val="24"/>
        </w:rPr>
      </w:pPr>
      <w:r>
        <w:rPr>
          <w:rFonts w:hint="eastAsia" w:ascii="宋体" w:hAnsi="宋体" w:cs="宋体"/>
          <w:bCs/>
          <w:sz w:val="24"/>
          <w:szCs w:val="24"/>
        </w:rPr>
        <w:t>22.1 原则：对所有供应商的投标评估，都采用相同的程序和标准。</w:t>
      </w:r>
    </w:p>
    <w:p w14:paraId="2F79B199">
      <w:pPr>
        <w:autoSpaceDE w:val="0"/>
        <w:autoSpaceDN w:val="0"/>
        <w:spacing w:line="288" w:lineRule="auto"/>
        <w:textAlignment w:val="bottom"/>
        <w:rPr>
          <w:rFonts w:ascii="宋体" w:hAnsi="宋体" w:cs="宋体"/>
          <w:bCs/>
          <w:sz w:val="24"/>
          <w:szCs w:val="24"/>
        </w:rPr>
      </w:pPr>
      <w:r>
        <w:rPr>
          <w:rFonts w:hint="eastAsia" w:ascii="宋体" w:hAnsi="宋体" w:cs="宋体"/>
          <w:sz w:val="24"/>
          <w:szCs w:val="24"/>
        </w:rPr>
        <w:t>22.2 标准：评标严格按照招标文件的要求和条件进行。</w:t>
      </w:r>
    </w:p>
    <w:p w14:paraId="37D7372D">
      <w:pPr>
        <w:pStyle w:val="5"/>
        <w:spacing w:before="0" w:after="0" w:line="288" w:lineRule="auto"/>
        <w:rPr>
          <w:rFonts w:ascii="宋体" w:hAnsi="宋体" w:cs="宋体"/>
          <w:sz w:val="24"/>
          <w:szCs w:val="24"/>
        </w:rPr>
      </w:pPr>
      <w:r>
        <w:rPr>
          <w:rFonts w:hint="eastAsia" w:ascii="宋体" w:hAnsi="宋体" w:cs="宋体"/>
          <w:sz w:val="24"/>
          <w:szCs w:val="24"/>
        </w:rPr>
        <w:t>23.评标过程保密</w:t>
      </w:r>
      <w:bookmarkEnd w:id="45"/>
    </w:p>
    <w:p w14:paraId="54253364">
      <w:pPr>
        <w:spacing w:line="288" w:lineRule="auto"/>
        <w:ind w:left="516" w:hanging="516" w:hangingChars="215"/>
        <w:jc w:val="both"/>
        <w:rPr>
          <w:rFonts w:ascii="宋体" w:hAnsi="宋体" w:cs="宋体"/>
          <w:sz w:val="24"/>
          <w:szCs w:val="24"/>
        </w:rPr>
      </w:pPr>
      <w:r>
        <w:rPr>
          <w:rFonts w:hint="eastAsia" w:ascii="宋体" w:hAnsi="宋体" w:cs="宋体"/>
          <w:sz w:val="24"/>
          <w:szCs w:val="24"/>
        </w:rPr>
        <w:t>23.1有关投标文件的审查、澄清、评估和比较以及有关授予合同意向的一切情况均不得透露给任一供应商或与上述评标工作无关的人员；</w:t>
      </w:r>
    </w:p>
    <w:p w14:paraId="21E2F3B9">
      <w:pPr>
        <w:spacing w:line="288" w:lineRule="auto"/>
        <w:ind w:left="516" w:hanging="516" w:hangingChars="215"/>
        <w:rPr>
          <w:rFonts w:ascii="宋体" w:hAnsi="宋体" w:cs="宋体"/>
          <w:b/>
          <w:sz w:val="24"/>
          <w:szCs w:val="24"/>
        </w:rPr>
      </w:pPr>
      <w:r>
        <w:rPr>
          <w:rFonts w:hint="eastAsia" w:ascii="宋体" w:hAnsi="宋体" w:cs="宋体"/>
          <w:sz w:val="24"/>
          <w:szCs w:val="24"/>
        </w:rPr>
        <w:t>23.2在评标期间，供应商企图影响招标方的任何活动，将导致投标被拒绝，并承担相应的法律责任。</w:t>
      </w:r>
    </w:p>
    <w:p w14:paraId="32A4C9E1">
      <w:pPr>
        <w:spacing w:line="288" w:lineRule="auto"/>
        <w:jc w:val="center"/>
        <w:rPr>
          <w:rFonts w:ascii="宋体" w:hAnsi="宋体" w:cs="宋体"/>
          <w:b/>
          <w:sz w:val="24"/>
          <w:szCs w:val="24"/>
        </w:rPr>
      </w:pPr>
      <w:r>
        <w:rPr>
          <w:rFonts w:hint="eastAsia" w:ascii="宋体" w:hAnsi="宋体" w:cs="宋体"/>
          <w:b/>
          <w:sz w:val="24"/>
          <w:szCs w:val="24"/>
        </w:rPr>
        <w:t>F  确定中标</w:t>
      </w:r>
    </w:p>
    <w:p w14:paraId="038FE7AF">
      <w:pPr>
        <w:pStyle w:val="5"/>
        <w:spacing w:before="0" w:after="0" w:line="288" w:lineRule="auto"/>
        <w:rPr>
          <w:rFonts w:ascii="宋体" w:hAnsi="宋体" w:cs="宋体"/>
          <w:sz w:val="24"/>
          <w:szCs w:val="24"/>
        </w:rPr>
      </w:pPr>
      <w:bookmarkStart w:id="46" w:name="_Toc98580417"/>
      <w:r>
        <w:rPr>
          <w:rFonts w:hint="eastAsia" w:ascii="宋体" w:hAnsi="宋体" w:cs="宋体"/>
          <w:sz w:val="24"/>
          <w:szCs w:val="24"/>
        </w:rPr>
        <w:t>24.最终审查</w:t>
      </w:r>
      <w:bookmarkEnd w:id="46"/>
    </w:p>
    <w:p w14:paraId="0C45D56D">
      <w:pPr>
        <w:spacing w:line="288" w:lineRule="auto"/>
        <w:ind w:left="572" w:leftChars="14" w:hanging="544" w:hangingChars="227"/>
        <w:jc w:val="both"/>
        <w:rPr>
          <w:rFonts w:ascii="宋体" w:hAnsi="宋体" w:cs="宋体"/>
          <w:sz w:val="24"/>
          <w:szCs w:val="24"/>
        </w:rPr>
      </w:pPr>
      <w:r>
        <w:rPr>
          <w:rFonts w:hint="eastAsia" w:ascii="宋体" w:hAnsi="宋体" w:cs="宋体"/>
          <w:sz w:val="24"/>
          <w:szCs w:val="24"/>
        </w:rPr>
        <w:t xml:space="preserve">24.1评标委员会按照招标文件确定的评标标准和方法，对投标文件进行评审，并提出书面评标报告，确定中标人。最终审查的对象是招标项目的合格的供应商。 </w:t>
      </w:r>
    </w:p>
    <w:p w14:paraId="7F02542C">
      <w:pPr>
        <w:spacing w:line="288" w:lineRule="auto"/>
        <w:ind w:left="545" w:hanging="544" w:hangingChars="227"/>
        <w:rPr>
          <w:rFonts w:ascii="宋体" w:hAnsi="宋体" w:cs="宋体"/>
          <w:sz w:val="24"/>
          <w:szCs w:val="24"/>
        </w:rPr>
      </w:pPr>
      <w:r>
        <w:rPr>
          <w:rFonts w:hint="eastAsia" w:ascii="宋体" w:hAnsi="宋体" w:cs="宋体"/>
          <w:sz w:val="24"/>
          <w:szCs w:val="24"/>
        </w:rPr>
        <w:t xml:space="preserve">24.2 最终审查的内容是对合格的供应商的产品进行产品性能、技术状况、生产条件、产品质量、财务状况、资格、信誉以及采购人认为有必要了解的其他问题作进一步的审查。  </w:t>
      </w:r>
    </w:p>
    <w:p w14:paraId="468F2D5F">
      <w:pPr>
        <w:spacing w:line="288" w:lineRule="auto"/>
        <w:ind w:left="545" w:hanging="544" w:hangingChars="227"/>
        <w:jc w:val="both"/>
        <w:rPr>
          <w:rFonts w:ascii="宋体" w:hAnsi="宋体" w:cs="宋体"/>
          <w:sz w:val="24"/>
          <w:szCs w:val="24"/>
        </w:rPr>
      </w:pPr>
      <w:r>
        <w:rPr>
          <w:rFonts w:hint="eastAsia" w:ascii="宋体" w:hAnsi="宋体" w:cs="宋体"/>
          <w:sz w:val="24"/>
          <w:szCs w:val="24"/>
        </w:rPr>
        <w:t>24.3 接受最终审查的合格的供应商，必须如实回答和受理采购人的询问或考查，并提供所需的有关资料。</w:t>
      </w:r>
    </w:p>
    <w:p w14:paraId="662C23FF">
      <w:pPr>
        <w:spacing w:line="288" w:lineRule="auto"/>
        <w:jc w:val="both"/>
        <w:rPr>
          <w:rFonts w:ascii="宋体" w:hAnsi="宋体" w:cs="宋体"/>
          <w:sz w:val="24"/>
          <w:szCs w:val="24"/>
        </w:rPr>
      </w:pPr>
      <w:r>
        <w:rPr>
          <w:rFonts w:hint="eastAsia" w:ascii="宋体" w:hAnsi="宋体" w:cs="宋体"/>
          <w:sz w:val="24"/>
          <w:szCs w:val="24"/>
        </w:rPr>
        <w:t>24.4评标委员会从合格的供应商中评出中标人，并写出完整的评标报告。</w:t>
      </w:r>
    </w:p>
    <w:p w14:paraId="400426D0">
      <w:pPr>
        <w:pStyle w:val="5"/>
        <w:spacing w:before="0" w:after="0" w:line="288" w:lineRule="auto"/>
        <w:rPr>
          <w:rFonts w:ascii="宋体" w:hAnsi="宋体" w:cs="宋体"/>
          <w:sz w:val="24"/>
          <w:szCs w:val="24"/>
        </w:rPr>
      </w:pPr>
      <w:bookmarkStart w:id="47" w:name="_Toc98580418"/>
      <w:r>
        <w:rPr>
          <w:rFonts w:hint="eastAsia" w:ascii="宋体" w:hAnsi="宋体" w:cs="宋体"/>
          <w:sz w:val="24"/>
          <w:szCs w:val="24"/>
        </w:rPr>
        <w:t>25.中标通知</w:t>
      </w:r>
      <w:bookmarkEnd w:id="47"/>
    </w:p>
    <w:p w14:paraId="0DBAD0D2">
      <w:pPr>
        <w:pStyle w:val="6"/>
        <w:spacing w:line="288" w:lineRule="auto"/>
        <w:ind w:left="530" w:hanging="530" w:hangingChars="221"/>
        <w:rPr>
          <w:rFonts w:ascii="宋体" w:hAnsi="宋体" w:cs="宋体"/>
          <w:sz w:val="24"/>
          <w:szCs w:val="24"/>
        </w:rPr>
      </w:pPr>
      <w:r>
        <w:rPr>
          <w:rFonts w:hint="eastAsia" w:ascii="宋体" w:hAnsi="宋体" w:cs="宋体"/>
          <w:sz w:val="24"/>
          <w:szCs w:val="24"/>
        </w:rPr>
        <w:t>25.1在投标有效期内，采购机构以书面形式通知所选定的中标人。通知也可以以传真的形式发出，但需要随以书面形式最终确认。</w:t>
      </w:r>
    </w:p>
    <w:p w14:paraId="2A683C57">
      <w:pPr>
        <w:pStyle w:val="6"/>
        <w:spacing w:line="288" w:lineRule="auto"/>
        <w:ind w:left="545" w:hanging="544" w:hangingChars="227"/>
        <w:rPr>
          <w:rFonts w:ascii="宋体" w:hAnsi="宋体" w:cs="宋体"/>
          <w:sz w:val="24"/>
          <w:szCs w:val="24"/>
        </w:rPr>
      </w:pPr>
      <w:r>
        <w:rPr>
          <w:rFonts w:hint="eastAsia" w:ascii="宋体" w:hAnsi="宋体" w:cs="宋体"/>
          <w:sz w:val="24"/>
          <w:szCs w:val="24"/>
        </w:rPr>
        <w:t>25.2当中标人按第26条规定与买方签定合同后，采购人将向其他供应商发出招标结果通知，并在5个工作日内退还投标保证金。采购人对未中标的供应商不作落标原因的解释。</w:t>
      </w:r>
    </w:p>
    <w:p w14:paraId="26A4FA20">
      <w:pPr>
        <w:pStyle w:val="6"/>
        <w:spacing w:line="288" w:lineRule="auto"/>
        <w:ind w:firstLine="0"/>
        <w:rPr>
          <w:rFonts w:ascii="宋体" w:hAnsi="宋体" w:cs="宋体"/>
          <w:b/>
          <w:sz w:val="24"/>
          <w:szCs w:val="24"/>
        </w:rPr>
      </w:pPr>
      <w:r>
        <w:rPr>
          <w:rFonts w:hint="eastAsia" w:ascii="宋体" w:hAnsi="宋体" w:cs="宋体"/>
          <w:b/>
          <w:sz w:val="24"/>
          <w:szCs w:val="24"/>
        </w:rPr>
        <w:t>26.签定合同</w:t>
      </w:r>
    </w:p>
    <w:p w14:paraId="6B2A4EAD">
      <w:pPr>
        <w:pStyle w:val="6"/>
        <w:spacing w:line="288" w:lineRule="auto"/>
        <w:ind w:firstLine="480" w:firstLineChars="200"/>
        <w:rPr>
          <w:rFonts w:ascii="宋体" w:hAnsi="宋体" w:cs="宋体"/>
          <w:sz w:val="24"/>
          <w:szCs w:val="24"/>
        </w:rPr>
      </w:pPr>
      <w:r>
        <w:rPr>
          <w:rFonts w:hint="eastAsia" w:ascii="宋体" w:hAnsi="宋体" w:cs="宋体"/>
          <w:sz w:val="24"/>
          <w:szCs w:val="24"/>
        </w:rPr>
        <w:t>中标人应按中标通知书中规定的时间、地点与买方签定合同，否则按开标后撤回投标处理。</w:t>
      </w:r>
    </w:p>
    <w:p w14:paraId="0A896A1D">
      <w:pPr>
        <w:pStyle w:val="6"/>
        <w:spacing w:line="288" w:lineRule="auto"/>
        <w:ind w:firstLine="480" w:firstLineChars="200"/>
        <w:rPr>
          <w:rFonts w:ascii="宋体" w:hAnsi="宋体" w:cs="宋体"/>
          <w:sz w:val="24"/>
          <w:szCs w:val="24"/>
        </w:rPr>
      </w:pPr>
      <w:r>
        <w:rPr>
          <w:rFonts w:hint="eastAsia" w:ascii="宋体" w:hAnsi="宋体" w:cs="宋体"/>
          <w:sz w:val="24"/>
          <w:szCs w:val="24"/>
        </w:rPr>
        <w:t>供货合同采用工商管理部门制定的标准格式合同。招标文件、中标人的投标文件及评标过程中有关澄清文件均应作为合同组成部分。</w:t>
      </w:r>
    </w:p>
    <w:p w14:paraId="6583430C">
      <w:pPr>
        <w:spacing w:line="288" w:lineRule="auto"/>
        <w:rPr>
          <w:rFonts w:ascii="宋体" w:hAnsi="宋体" w:cs="宋体"/>
          <w:b/>
          <w:sz w:val="24"/>
          <w:szCs w:val="24"/>
        </w:rPr>
      </w:pPr>
      <w:r>
        <w:rPr>
          <w:rFonts w:hint="eastAsia" w:ascii="宋体" w:hAnsi="宋体" w:cs="宋体"/>
          <w:b/>
          <w:sz w:val="24"/>
          <w:szCs w:val="24"/>
        </w:rPr>
        <w:t>27.数量变更</w:t>
      </w:r>
    </w:p>
    <w:p w14:paraId="1EB7BCF1">
      <w:pPr>
        <w:spacing w:line="288" w:lineRule="auto"/>
        <w:ind w:firstLine="480" w:firstLineChars="200"/>
        <w:rPr>
          <w:rFonts w:ascii="宋体" w:hAnsi="宋体" w:cs="宋体"/>
          <w:sz w:val="24"/>
          <w:szCs w:val="24"/>
        </w:rPr>
      </w:pPr>
      <w:r>
        <w:rPr>
          <w:rFonts w:hint="eastAsia" w:ascii="宋体" w:hAnsi="宋体" w:cs="宋体"/>
          <w:sz w:val="24"/>
          <w:szCs w:val="24"/>
        </w:rPr>
        <w:t>采购人有权根据项目实际需要部分变更数量和服务的内容。</w:t>
      </w:r>
    </w:p>
    <w:p w14:paraId="3D3B31A4">
      <w:pPr>
        <w:rPr>
          <w:rFonts w:ascii="宋体" w:hAnsi="宋体" w:cs="宋体"/>
        </w:rPr>
      </w:pPr>
      <w:bookmarkStart w:id="48" w:name="_Toc98580422"/>
      <w:bookmarkStart w:id="49" w:name="_Toc24696155"/>
    </w:p>
    <w:p w14:paraId="6F9DD9F4">
      <w:pPr>
        <w:pStyle w:val="3"/>
        <w:spacing w:before="0" w:after="0" w:line="360" w:lineRule="auto"/>
        <w:jc w:val="center"/>
        <w:rPr>
          <w:rFonts w:ascii="宋体" w:hAnsi="宋体" w:cs="宋体"/>
          <w:sz w:val="30"/>
          <w:szCs w:val="30"/>
        </w:rPr>
      </w:pPr>
      <w:bookmarkStart w:id="50" w:name="_Toc32763"/>
      <w:r>
        <w:rPr>
          <w:rFonts w:hint="eastAsia" w:ascii="宋体" w:hAnsi="宋体" w:cs="宋体"/>
        </w:rPr>
        <w:t>第三部分  评标办法</w:t>
      </w:r>
      <w:bookmarkEnd w:id="50"/>
    </w:p>
    <w:p w14:paraId="2019CB28">
      <w:pPr>
        <w:spacing w:line="440" w:lineRule="exact"/>
        <w:ind w:firstLine="480" w:firstLineChars="200"/>
        <w:rPr>
          <w:rFonts w:ascii="宋体" w:hAnsi="宋体" w:cs="宋体"/>
          <w:sz w:val="24"/>
          <w:szCs w:val="24"/>
        </w:rPr>
      </w:pPr>
      <w:r>
        <w:rPr>
          <w:rFonts w:hint="eastAsia" w:ascii="宋体" w:hAnsi="宋体" w:cs="宋体"/>
          <w:sz w:val="24"/>
          <w:szCs w:val="24"/>
        </w:rPr>
        <w:t>按照国家相关部门的规定，遵循公开、公平、公正和诚实信用的原则，结合本招标项目的实际情况，制定本招标项目评标办法。</w:t>
      </w:r>
    </w:p>
    <w:p w14:paraId="04F1B10E">
      <w:pPr>
        <w:spacing w:line="440" w:lineRule="exact"/>
        <w:jc w:val="center"/>
        <w:rPr>
          <w:rFonts w:ascii="宋体" w:hAnsi="宋体" w:cs="宋体"/>
          <w:b/>
          <w:sz w:val="28"/>
          <w:szCs w:val="28"/>
        </w:rPr>
      </w:pPr>
      <w:r>
        <w:rPr>
          <w:rFonts w:hint="eastAsia" w:ascii="宋体" w:hAnsi="宋体" w:cs="宋体"/>
          <w:b/>
          <w:sz w:val="28"/>
          <w:szCs w:val="28"/>
        </w:rPr>
        <w:t>一、评标程序</w:t>
      </w:r>
    </w:p>
    <w:p w14:paraId="5B124629">
      <w:pPr>
        <w:spacing w:line="440" w:lineRule="exact"/>
        <w:rPr>
          <w:rFonts w:ascii="宋体" w:hAnsi="宋体" w:cs="宋体"/>
          <w:b/>
          <w:bCs/>
          <w:sz w:val="24"/>
          <w:szCs w:val="24"/>
        </w:rPr>
      </w:pPr>
      <w:r>
        <w:rPr>
          <w:rFonts w:hint="eastAsia" w:ascii="宋体" w:hAnsi="宋体" w:cs="宋体"/>
          <w:b/>
          <w:bCs/>
          <w:sz w:val="24"/>
          <w:szCs w:val="24"/>
        </w:rPr>
        <w:t>（一）组成评标委员会</w:t>
      </w:r>
    </w:p>
    <w:p w14:paraId="5F625750">
      <w:pPr>
        <w:spacing w:line="440" w:lineRule="exact"/>
        <w:ind w:firstLine="480" w:firstLineChars="200"/>
        <w:rPr>
          <w:rFonts w:ascii="宋体" w:hAnsi="宋体" w:cs="宋体"/>
          <w:sz w:val="24"/>
          <w:szCs w:val="24"/>
          <w:highlight w:val="none"/>
        </w:rPr>
      </w:pPr>
      <w:r>
        <w:rPr>
          <w:rFonts w:hint="eastAsia" w:ascii="宋体" w:hAnsi="宋体" w:cs="宋体"/>
          <w:sz w:val="24"/>
          <w:szCs w:val="24"/>
        </w:rPr>
        <w:t>按照国家有关部委及省、市的相关规定，从专家</w:t>
      </w:r>
      <w:r>
        <w:rPr>
          <w:rFonts w:hint="eastAsia" w:ascii="宋体" w:hAnsi="宋体" w:cs="宋体"/>
          <w:sz w:val="24"/>
          <w:szCs w:val="24"/>
          <w:highlight w:val="none"/>
        </w:rPr>
        <w:t>库中随机抽取技术、经济等方面的专家4人，采购人代表1人，共5人组成评标委员会（以下简称“评委会”）。为保证评标工作的顺利进行，推荐一名评委担任评委会主任，负责评标全面工作。</w:t>
      </w:r>
    </w:p>
    <w:p w14:paraId="6650CD64">
      <w:pPr>
        <w:pStyle w:val="89"/>
        <w:spacing w:line="440" w:lineRule="exact"/>
        <w:rPr>
          <w:rFonts w:ascii="宋体" w:hAnsi="宋体" w:eastAsia="宋体" w:cs="宋体"/>
          <w:b/>
          <w:bCs/>
          <w:sz w:val="24"/>
          <w:szCs w:val="24"/>
        </w:rPr>
      </w:pPr>
      <w:r>
        <w:rPr>
          <w:rFonts w:hint="eastAsia" w:ascii="宋体" w:hAnsi="宋体" w:eastAsia="宋体" w:cs="宋体"/>
          <w:b/>
          <w:bCs/>
          <w:sz w:val="24"/>
          <w:szCs w:val="24"/>
        </w:rPr>
        <w:t>（二）评审方法：</w:t>
      </w:r>
      <w:r>
        <w:rPr>
          <w:rFonts w:hint="eastAsia" w:ascii="宋体" w:hAnsi="宋体" w:eastAsia="宋体" w:cs="宋体"/>
          <w:b/>
          <w:bCs/>
          <w:sz w:val="24"/>
          <w:szCs w:val="24"/>
          <w:lang w:val="zh-CN"/>
        </w:rPr>
        <w:t>最低评标价法</w:t>
      </w:r>
    </w:p>
    <w:p w14:paraId="01237FF5">
      <w:pPr>
        <w:spacing w:line="440" w:lineRule="exact"/>
        <w:ind w:firstLine="480" w:firstLineChars="200"/>
        <w:rPr>
          <w:rFonts w:ascii="宋体" w:hAnsi="宋体" w:cs="宋体"/>
          <w:sz w:val="24"/>
          <w:szCs w:val="24"/>
        </w:rPr>
      </w:pPr>
      <w:r>
        <w:rPr>
          <w:rFonts w:hint="eastAsia" w:ascii="宋体" w:hAnsi="宋体" w:cs="宋体"/>
          <w:sz w:val="24"/>
          <w:szCs w:val="24"/>
          <w:lang w:val="zh-CN"/>
        </w:rPr>
        <w:t>本项目采用最低评标价法评标，评标委员会将按下述标准评定中标人：按投标报价由低到高顺序排列，投标报价相同的并列（中标候选人并列的，由评标委员会按照招标文件规定的方式确定中标人；招标文件未规定的，采取随机抽取的方式确定）。投标文件满足招标文件全部实质性要求且投标报价最低的投标人为排名第一的中标候选人。</w:t>
      </w:r>
    </w:p>
    <w:p w14:paraId="28BDFD63">
      <w:pPr>
        <w:pStyle w:val="89"/>
        <w:spacing w:line="440" w:lineRule="exact"/>
        <w:rPr>
          <w:rFonts w:ascii="宋体" w:hAnsi="宋体" w:eastAsia="宋体" w:cs="宋体"/>
          <w:b/>
          <w:bCs/>
          <w:sz w:val="24"/>
          <w:szCs w:val="24"/>
        </w:rPr>
      </w:pPr>
      <w:r>
        <w:rPr>
          <w:rFonts w:hint="eastAsia" w:ascii="宋体" w:hAnsi="宋体" w:eastAsia="宋体" w:cs="宋体"/>
          <w:b/>
          <w:bCs/>
          <w:sz w:val="24"/>
          <w:szCs w:val="24"/>
        </w:rPr>
        <w:t>（三）评标工作</w:t>
      </w:r>
    </w:p>
    <w:p w14:paraId="709AED75">
      <w:pPr>
        <w:spacing w:line="440" w:lineRule="exact"/>
        <w:ind w:firstLine="480" w:firstLineChars="200"/>
        <w:rPr>
          <w:rFonts w:ascii="宋体" w:hAnsi="宋体" w:cs="宋体"/>
          <w:sz w:val="24"/>
          <w:szCs w:val="24"/>
        </w:rPr>
      </w:pPr>
      <w:r>
        <w:rPr>
          <w:rFonts w:hint="eastAsia" w:ascii="宋体" w:hAnsi="宋体" w:cs="宋体"/>
          <w:sz w:val="24"/>
          <w:szCs w:val="24"/>
        </w:rPr>
        <w:t>评标本着客观公正、公平竞争、择优推荐、规范合法的原则进行。</w:t>
      </w:r>
    </w:p>
    <w:p w14:paraId="769736A8">
      <w:pPr>
        <w:spacing w:line="440" w:lineRule="exact"/>
        <w:ind w:firstLine="480" w:firstLineChars="200"/>
        <w:rPr>
          <w:rFonts w:ascii="宋体" w:hAnsi="宋体" w:cs="宋体"/>
          <w:sz w:val="24"/>
          <w:szCs w:val="24"/>
        </w:rPr>
      </w:pPr>
      <w:r>
        <w:rPr>
          <w:rFonts w:hint="eastAsia" w:ascii="宋体" w:hAnsi="宋体" w:cs="宋体"/>
          <w:sz w:val="24"/>
          <w:szCs w:val="24"/>
        </w:rPr>
        <w:t>1.资格审查。采购人或代理机构对各供应商的资格进行审查。资格审查合格的供应商方可进入符合性审查。</w:t>
      </w:r>
      <w:r>
        <w:rPr>
          <w:rFonts w:hint="eastAsia" w:ascii="宋体" w:hAnsi="宋体" w:cs="宋体"/>
          <w:sz w:val="24"/>
        </w:rPr>
        <w:t>不具备招标文件中规定的资格要求的，投标无效。合格供应商不足3家的，不得评标。</w:t>
      </w:r>
    </w:p>
    <w:p w14:paraId="490EF671">
      <w:pPr>
        <w:spacing w:line="440" w:lineRule="exact"/>
        <w:ind w:firstLine="480" w:firstLineChars="200"/>
        <w:rPr>
          <w:rFonts w:ascii="宋体" w:hAnsi="宋体" w:cs="宋体"/>
          <w:sz w:val="24"/>
          <w:szCs w:val="24"/>
        </w:rPr>
      </w:pPr>
      <w:r>
        <w:rPr>
          <w:rFonts w:hint="eastAsia" w:ascii="宋体" w:hAnsi="宋体" w:cs="宋体"/>
          <w:sz w:val="24"/>
          <w:szCs w:val="24"/>
        </w:rPr>
        <w:t>2.符合性审查。评委会对供应商的投标文件进行符合性审查。</w:t>
      </w:r>
      <w:r>
        <w:rPr>
          <w:rFonts w:hint="eastAsia" w:ascii="宋体" w:hAnsi="宋体" w:cs="宋体"/>
          <w:sz w:val="24"/>
        </w:rPr>
        <w:t>有一项不符合的，投标无效。</w:t>
      </w:r>
    </w:p>
    <w:p w14:paraId="74BCE2B9">
      <w:pPr>
        <w:spacing w:line="440" w:lineRule="exact"/>
        <w:ind w:firstLine="480" w:firstLineChars="200"/>
        <w:rPr>
          <w:rFonts w:ascii="宋体" w:hAnsi="宋体" w:cs="宋体"/>
          <w:sz w:val="24"/>
        </w:rPr>
      </w:pPr>
      <w:r>
        <w:rPr>
          <w:rFonts w:hint="eastAsia" w:ascii="宋体" w:hAnsi="宋体" w:cs="宋体"/>
          <w:sz w:val="24"/>
        </w:rPr>
        <w:t>2.1</w:t>
      </w:r>
      <w:r>
        <w:rPr>
          <w:rFonts w:hint="eastAsia" w:ascii="宋体" w:hAnsi="宋体" w:cs="宋体"/>
          <w:bCs/>
          <w:sz w:val="24"/>
        </w:rPr>
        <w:t>政府采购应当采购本国货物。按照财政部《政府采购进口产品管理办法》规定确需采购进口产品的，实行审核管理。经审核允许采购进口产品的，不得排斥符合要求的本国产品。在</w:t>
      </w:r>
      <w:r>
        <w:rPr>
          <w:rFonts w:hint="eastAsia" w:ascii="宋体" w:hAnsi="宋体" w:cs="宋体"/>
          <w:sz w:val="24"/>
        </w:rPr>
        <w:t>招标文件</w:t>
      </w:r>
      <w:r>
        <w:rPr>
          <w:rFonts w:hint="eastAsia" w:ascii="宋体" w:hAnsi="宋体" w:cs="宋体"/>
          <w:bCs/>
          <w:sz w:val="24"/>
        </w:rPr>
        <w:t>中未标明采购进口产品的，均为采购本国产品。供应商必须投标本国产品，投标进口产品的，投标无效。进口产品是指通过中国海关报关验放进入中国境内且产自关境外的产品。</w:t>
      </w:r>
    </w:p>
    <w:p w14:paraId="7DC0C7BD">
      <w:pPr>
        <w:spacing w:line="440" w:lineRule="exact"/>
        <w:ind w:firstLine="480" w:firstLineChars="200"/>
        <w:rPr>
          <w:rFonts w:ascii="宋体" w:hAnsi="宋体" w:cs="宋体"/>
          <w:sz w:val="24"/>
          <w:lang w:val="zh-CN"/>
        </w:rPr>
      </w:pPr>
      <w:r>
        <w:rPr>
          <w:rFonts w:hint="eastAsia" w:ascii="宋体" w:hAnsi="宋体" w:cs="宋体"/>
          <w:sz w:val="24"/>
        </w:rPr>
        <w:t>2.2</w:t>
      </w:r>
      <w:r>
        <w:rPr>
          <w:rFonts w:hint="eastAsia" w:ascii="宋体" w:hAnsi="宋体" w:cs="宋体"/>
          <w:sz w:val="24"/>
          <w:lang w:val="zh-CN"/>
        </w:rPr>
        <w:t>多家投标人提供的核心产品品牌相同的，按一下规定处理。</w:t>
      </w:r>
    </w:p>
    <w:p w14:paraId="30A5A6C5">
      <w:pPr>
        <w:spacing w:line="440" w:lineRule="exact"/>
        <w:ind w:firstLine="480" w:firstLineChars="200"/>
        <w:rPr>
          <w:rFonts w:ascii="宋体" w:hAnsi="宋体" w:cs="宋体"/>
          <w:sz w:val="24"/>
          <w:szCs w:val="24"/>
        </w:rPr>
      </w:pPr>
      <w:r>
        <w:rPr>
          <w:rFonts w:hint="eastAsia" w:ascii="宋体" w:hAnsi="宋体" w:cs="宋体"/>
          <w:sz w:val="24"/>
          <w:lang w:val="zh-CN"/>
        </w:rPr>
        <w:t>提供相同品牌产品的不同投标人参加同一合同项下投标的，按一家投标人计算，以其中通过资格审查、符合性审查且报价最低的参加投标。</w:t>
      </w:r>
    </w:p>
    <w:p w14:paraId="4FCF6286">
      <w:pPr>
        <w:spacing w:line="440" w:lineRule="exact"/>
        <w:rPr>
          <w:rFonts w:ascii="宋体" w:hAnsi="宋体" w:cs="宋体"/>
          <w:b/>
          <w:sz w:val="24"/>
          <w:szCs w:val="24"/>
        </w:rPr>
      </w:pPr>
      <w:r>
        <w:rPr>
          <w:rFonts w:hint="eastAsia" w:ascii="宋体" w:hAnsi="宋体" w:cs="宋体"/>
          <w:b/>
          <w:sz w:val="24"/>
          <w:szCs w:val="24"/>
        </w:rPr>
        <w:t>（四）询标（必要时）</w:t>
      </w:r>
    </w:p>
    <w:p w14:paraId="6AF5D4E1">
      <w:pPr>
        <w:spacing w:line="440" w:lineRule="exact"/>
        <w:ind w:firstLine="480" w:firstLineChars="200"/>
        <w:rPr>
          <w:rFonts w:ascii="宋体" w:hAnsi="宋体" w:cs="宋体"/>
          <w:sz w:val="24"/>
          <w:szCs w:val="24"/>
        </w:rPr>
      </w:pPr>
      <w:r>
        <w:rPr>
          <w:rFonts w:hint="eastAsia" w:ascii="宋体" w:hAnsi="宋体" w:cs="宋体"/>
          <w:sz w:val="24"/>
          <w:szCs w:val="24"/>
        </w:rPr>
        <w:t>评标委员会对投标文件需要澄清的问题，采用集体询标方式进行。</w:t>
      </w:r>
    </w:p>
    <w:p w14:paraId="7F52B8EC">
      <w:pPr>
        <w:spacing w:line="440" w:lineRule="exact"/>
        <w:rPr>
          <w:rFonts w:ascii="宋体" w:hAnsi="宋体" w:cs="宋体"/>
          <w:b/>
          <w:bCs/>
          <w:sz w:val="24"/>
          <w:szCs w:val="24"/>
        </w:rPr>
      </w:pPr>
      <w:r>
        <w:rPr>
          <w:rFonts w:hint="eastAsia" w:ascii="宋体" w:hAnsi="宋体" w:cs="宋体"/>
          <w:b/>
          <w:bCs/>
          <w:sz w:val="24"/>
          <w:szCs w:val="24"/>
        </w:rPr>
        <w:t>（五）推荐中标候选人</w:t>
      </w:r>
    </w:p>
    <w:p w14:paraId="258D9A97">
      <w:pPr>
        <w:spacing w:line="440" w:lineRule="exact"/>
        <w:ind w:firstLine="480" w:firstLineChars="200"/>
        <w:rPr>
          <w:rFonts w:ascii="宋体" w:hAnsi="宋体" w:cs="宋体"/>
          <w:sz w:val="24"/>
        </w:rPr>
      </w:pPr>
      <w:r>
        <w:rPr>
          <w:rFonts w:hint="eastAsia" w:ascii="宋体" w:hAnsi="宋体" w:cs="宋体"/>
          <w:sz w:val="24"/>
        </w:rPr>
        <w:t>5.1</w:t>
      </w:r>
      <w:r>
        <w:rPr>
          <w:rFonts w:hint="eastAsia" w:ascii="宋体" w:hAnsi="宋体" w:cs="宋体"/>
          <w:sz w:val="24"/>
          <w:lang w:val="zh-CN"/>
        </w:rPr>
        <w:t>评标委员会将按下述标准评定中标人：按投标报价由低到高顺序排列，投标报价相同的并列（中标候选人并列的，由评标委员会按照招标文件规定的方式确定中标人；招标文件未规定的，采取随机抽取的方式确定）。投标文件满足招标文件全部实质性要求且投标报价最低的投标人为排名第一的中标候选人。</w:t>
      </w:r>
    </w:p>
    <w:p w14:paraId="714FA9A9">
      <w:pPr>
        <w:spacing w:line="440" w:lineRule="exact"/>
        <w:ind w:firstLine="480" w:firstLineChars="200"/>
        <w:rPr>
          <w:rFonts w:ascii="宋体" w:hAnsi="宋体" w:cs="宋体"/>
        </w:rPr>
      </w:pPr>
      <w:r>
        <w:rPr>
          <w:rFonts w:hint="eastAsia" w:ascii="宋体" w:hAnsi="宋体" w:cs="宋体"/>
          <w:sz w:val="24"/>
        </w:rPr>
        <w:t>5.2评标委员会成员对需要共同认定的事项存在争议的，应当按照少数服从多数的原则作出结论。持不同意见的评标委员会成员应当在评标报告上签署不同意见及理由，否则视为同意评标报告。</w:t>
      </w:r>
    </w:p>
    <w:p w14:paraId="7C062F82">
      <w:pPr>
        <w:rPr>
          <w:rFonts w:ascii="宋体" w:hAnsi="宋体" w:cs="宋体"/>
          <w:b/>
          <w:sz w:val="28"/>
          <w:szCs w:val="28"/>
        </w:rPr>
      </w:pPr>
      <w:r>
        <w:rPr>
          <w:rFonts w:hint="eastAsia" w:ascii="宋体" w:hAnsi="宋体" w:cs="宋体"/>
          <w:b/>
          <w:sz w:val="28"/>
          <w:szCs w:val="28"/>
        </w:rPr>
        <w:br w:type="page"/>
      </w:r>
    </w:p>
    <w:p w14:paraId="6F3C72D8">
      <w:pPr>
        <w:spacing w:line="440" w:lineRule="exact"/>
        <w:jc w:val="center"/>
        <w:rPr>
          <w:rFonts w:ascii="宋体" w:hAnsi="宋体" w:cs="宋体"/>
          <w:b/>
          <w:sz w:val="28"/>
          <w:szCs w:val="28"/>
        </w:rPr>
      </w:pPr>
      <w:r>
        <w:rPr>
          <w:rFonts w:hint="eastAsia" w:ascii="宋体" w:hAnsi="宋体" w:cs="宋体"/>
          <w:b/>
          <w:sz w:val="28"/>
          <w:szCs w:val="28"/>
        </w:rPr>
        <w:t>二、评标办法和标准</w:t>
      </w:r>
    </w:p>
    <w:p w14:paraId="0569DD9D">
      <w:pPr>
        <w:spacing w:line="440" w:lineRule="exact"/>
        <w:jc w:val="both"/>
        <w:rPr>
          <w:rFonts w:ascii="宋体" w:hAnsi="宋体" w:cs="宋体"/>
          <w:b/>
          <w:sz w:val="24"/>
          <w:szCs w:val="24"/>
        </w:rPr>
      </w:pPr>
      <w:r>
        <w:rPr>
          <w:rFonts w:hint="eastAsia" w:ascii="宋体" w:hAnsi="宋体" w:cs="宋体"/>
          <w:b/>
          <w:sz w:val="24"/>
          <w:szCs w:val="24"/>
        </w:rPr>
        <w:t>（一）资格审查</w:t>
      </w:r>
    </w:p>
    <w:tbl>
      <w:tblPr>
        <w:tblStyle w:val="4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508"/>
        <w:gridCol w:w="7401"/>
      </w:tblGrid>
      <w:tr w14:paraId="422D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5" w:type="pct"/>
            <w:vMerge w:val="restart"/>
            <w:vAlign w:val="center"/>
          </w:tcPr>
          <w:p w14:paraId="6681F0EF">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序号</w:t>
            </w:r>
          </w:p>
        </w:tc>
        <w:tc>
          <w:tcPr>
            <w:tcW w:w="798" w:type="pct"/>
            <w:vMerge w:val="restart"/>
            <w:vAlign w:val="center"/>
          </w:tcPr>
          <w:p w14:paraId="61CC65E3">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评审因素</w:t>
            </w:r>
          </w:p>
        </w:tc>
        <w:tc>
          <w:tcPr>
            <w:tcW w:w="3916" w:type="pct"/>
            <w:vMerge w:val="restart"/>
            <w:vAlign w:val="center"/>
          </w:tcPr>
          <w:p w14:paraId="2FD89561">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评审标准</w:t>
            </w:r>
          </w:p>
        </w:tc>
      </w:tr>
      <w:tr w14:paraId="2C0A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5" w:type="pct"/>
            <w:vMerge w:val="continue"/>
            <w:vAlign w:val="center"/>
          </w:tcPr>
          <w:p w14:paraId="04BBFE47">
            <w:pPr>
              <w:autoSpaceDE w:val="0"/>
              <w:autoSpaceDN w:val="0"/>
              <w:adjustRightInd w:val="0"/>
              <w:spacing w:line="288" w:lineRule="auto"/>
              <w:jc w:val="center"/>
              <w:rPr>
                <w:rFonts w:ascii="宋体" w:hAnsi="宋体" w:cs="宋体"/>
                <w:sz w:val="24"/>
                <w:szCs w:val="24"/>
                <w:lang w:val="zh-CN"/>
              </w:rPr>
            </w:pPr>
          </w:p>
        </w:tc>
        <w:tc>
          <w:tcPr>
            <w:tcW w:w="798" w:type="pct"/>
            <w:vMerge w:val="continue"/>
            <w:vAlign w:val="center"/>
          </w:tcPr>
          <w:p w14:paraId="0B8C52B1">
            <w:pPr>
              <w:autoSpaceDE w:val="0"/>
              <w:autoSpaceDN w:val="0"/>
              <w:adjustRightInd w:val="0"/>
              <w:spacing w:line="288" w:lineRule="auto"/>
              <w:jc w:val="center"/>
              <w:rPr>
                <w:rFonts w:ascii="宋体" w:hAnsi="宋体" w:cs="宋体"/>
                <w:sz w:val="24"/>
                <w:szCs w:val="24"/>
                <w:lang w:val="zh-CN"/>
              </w:rPr>
            </w:pPr>
          </w:p>
        </w:tc>
        <w:tc>
          <w:tcPr>
            <w:tcW w:w="3916" w:type="pct"/>
            <w:vMerge w:val="continue"/>
            <w:vAlign w:val="center"/>
          </w:tcPr>
          <w:p w14:paraId="428AE61D">
            <w:pPr>
              <w:autoSpaceDE w:val="0"/>
              <w:autoSpaceDN w:val="0"/>
              <w:adjustRightInd w:val="0"/>
              <w:spacing w:line="288" w:lineRule="auto"/>
              <w:jc w:val="center"/>
              <w:rPr>
                <w:rFonts w:ascii="宋体" w:hAnsi="宋体" w:cs="宋体"/>
                <w:sz w:val="24"/>
                <w:szCs w:val="24"/>
                <w:lang w:val="zh-CN"/>
              </w:rPr>
            </w:pPr>
          </w:p>
        </w:tc>
      </w:tr>
      <w:tr w14:paraId="22A8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vAlign w:val="center"/>
          </w:tcPr>
          <w:p w14:paraId="0978C49B">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1</w:t>
            </w:r>
          </w:p>
        </w:tc>
        <w:tc>
          <w:tcPr>
            <w:tcW w:w="798" w:type="pct"/>
            <w:vAlign w:val="center"/>
          </w:tcPr>
          <w:p w14:paraId="300BCD81">
            <w:pPr>
              <w:spacing w:line="288" w:lineRule="auto"/>
              <w:jc w:val="center"/>
              <w:rPr>
                <w:rFonts w:ascii="宋体" w:hAnsi="宋体" w:cs="宋体"/>
                <w:sz w:val="24"/>
                <w:szCs w:val="24"/>
              </w:rPr>
            </w:pPr>
            <w:r>
              <w:rPr>
                <w:rFonts w:hint="eastAsia" w:ascii="宋体" w:hAnsi="宋体" w:cs="宋体"/>
                <w:sz w:val="24"/>
                <w:szCs w:val="24"/>
              </w:rPr>
              <w:t>营业执照</w:t>
            </w:r>
          </w:p>
        </w:tc>
        <w:tc>
          <w:tcPr>
            <w:tcW w:w="3916" w:type="pct"/>
            <w:vAlign w:val="center"/>
          </w:tcPr>
          <w:p w14:paraId="4053CE90">
            <w:pPr>
              <w:jc w:val="both"/>
              <w:rPr>
                <w:rFonts w:ascii="宋体" w:hAnsi="宋体" w:cs="宋体"/>
                <w:sz w:val="24"/>
                <w:szCs w:val="24"/>
                <w:lang w:val="zh-CN"/>
              </w:rPr>
            </w:pPr>
            <w:r>
              <w:rPr>
                <w:rFonts w:hint="eastAsia" w:ascii="宋体" w:hAnsi="宋体" w:cs="宋体"/>
                <w:sz w:val="24"/>
                <w:szCs w:val="24"/>
                <w:lang w:val="zh-CN"/>
              </w:rPr>
              <w:t>供应商须是具有独立法人资格的企业或其他组织，具有有效营业执照。</w:t>
            </w:r>
          </w:p>
          <w:p w14:paraId="747EE039">
            <w:pPr>
              <w:jc w:val="both"/>
              <w:rPr>
                <w:rFonts w:ascii="宋体" w:hAnsi="宋体" w:cs="宋体"/>
                <w:sz w:val="24"/>
                <w:szCs w:val="24"/>
              </w:rPr>
            </w:pPr>
            <w:r>
              <w:rPr>
                <w:rFonts w:hint="eastAsia" w:ascii="宋体" w:hAnsi="宋体" w:cs="宋体"/>
                <w:b/>
                <w:bCs/>
                <w:sz w:val="24"/>
                <w:szCs w:val="24"/>
                <w:lang w:val="zh-CN"/>
              </w:rPr>
              <w:t>投标文件内附营业执照复印件加盖公章。</w:t>
            </w:r>
          </w:p>
        </w:tc>
      </w:tr>
      <w:tr w14:paraId="21D4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vAlign w:val="center"/>
          </w:tcPr>
          <w:p w14:paraId="45679A78">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2</w:t>
            </w:r>
          </w:p>
        </w:tc>
        <w:tc>
          <w:tcPr>
            <w:tcW w:w="798" w:type="pct"/>
            <w:vAlign w:val="center"/>
          </w:tcPr>
          <w:p w14:paraId="687B95AD">
            <w:pPr>
              <w:spacing w:line="288" w:lineRule="auto"/>
              <w:jc w:val="center"/>
              <w:rPr>
                <w:rFonts w:ascii="宋体" w:hAnsi="宋体" w:cs="宋体"/>
                <w:sz w:val="24"/>
                <w:szCs w:val="24"/>
              </w:rPr>
            </w:pPr>
            <w:r>
              <w:rPr>
                <w:rFonts w:hint="eastAsia" w:ascii="宋体" w:hAnsi="宋体" w:cs="宋体"/>
                <w:sz w:val="24"/>
                <w:szCs w:val="24"/>
              </w:rPr>
              <w:t>财务状况</w:t>
            </w:r>
          </w:p>
        </w:tc>
        <w:tc>
          <w:tcPr>
            <w:tcW w:w="3916" w:type="pct"/>
            <w:vAlign w:val="center"/>
          </w:tcPr>
          <w:p w14:paraId="7B9A7142">
            <w:pPr>
              <w:jc w:val="both"/>
              <w:rPr>
                <w:rFonts w:ascii="宋体" w:hAnsi="宋体" w:cs="宋体"/>
                <w:sz w:val="24"/>
                <w:szCs w:val="24"/>
              </w:rPr>
            </w:pPr>
            <w:r>
              <w:rPr>
                <w:rFonts w:hint="eastAsia" w:ascii="宋体" w:hAnsi="宋体" w:cs="宋体"/>
                <w:sz w:val="24"/>
                <w:szCs w:val="24"/>
              </w:rPr>
              <w:t>财务状况良好，具有健全的财务会计制度。</w:t>
            </w:r>
            <w:r>
              <w:rPr>
                <w:rFonts w:hint="eastAsia" w:ascii="宋体" w:hAnsi="宋体" w:cs="宋体"/>
                <w:b/>
                <w:bCs/>
                <w:sz w:val="24"/>
                <w:szCs w:val="24"/>
                <w:lang w:val="zh-CN"/>
              </w:rPr>
              <w:t>投标文件内附（202</w:t>
            </w:r>
            <w:r>
              <w:rPr>
                <w:rFonts w:hint="eastAsia" w:ascii="宋体" w:hAnsi="宋体" w:cs="宋体"/>
                <w:b/>
                <w:bCs/>
                <w:sz w:val="24"/>
                <w:szCs w:val="24"/>
                <w:lang w:val="en-US" w:eastAsia="zh-CN"/>
              </w:rPr>
              <w:t>3</w:t>
            </w:r>
            <w:r>
              <w:rPr>
                <w:rFonts w:hint="eastAsia" w:ascii="宋体" w:hAnsi="宋体" w:cs="宋体"/>
                <w:b/>
                <w:bCs/>
                <w:sz w:val="24"/>
                <w:szCs w:val="24"/>
                <w:lang w:val="zh-CN"/>
              </w:rPr>
              <w:t>年）经会计师事务所或审计机构审计的财务审计报告（2023年以后新成立的公司无审计报告的</w:t>
            </w:r>
            <w:r>
              <w:rPr>
                <w:rFonts w:hint="eastAsia" w:ascii="宋体" w:hAnsi="宋体" w:cs="宋体"/>
                <w:b/>
                <w:bCs/>
                <w:sz w:val="24"/>
                <w:szCs w:val="24"/>
              </w:rPr>
              <w:t>，提供由法定代表人或授权代表签字或盖章并加盖公章财务状况良好承诺书）</w:t>
            </w:r>
            <w:r>
              <w:rPr>
                <w:rFonts w:hint="eastAsia" w:ascii="宋体" w:hAnsi="宋体" w:cs="宋体"/>
                <w:b/>
                <w:bCs/>
                <w:sz w:val="24"/>
                <w:szCs w:val="24"/>
                <w:lang w:val="zh-CN"/>
              </w:rPr>
              <w:t>复印件加盖公章。</w:t>
            </w:r>
          </w:p>
        </w:tc>
      </w:tr>
      <w:tr w14:paraId="0162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85" w:type="pct"/>
            <w:vAlign w:val="center"/>
          </w:tcPr>
          <w:p w14:paraId="7D84117D">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3</w:t>
            </w:r>
          </w:p>
        </w:tc>
        <w:tc>
          <w:tcPr>
            <w:tcW w:w="798" w:type="pct"/>
            <w:vAlign w:val="center"/>
          </w:tcPr>
          <w:p w14:paraId="6C782175">
            <w:pPr>
              <w:spacing w:line="288" w:lineRule="auto"/>
              <w:jc w:val="center"/>
              <w:rPr>
                <w:rFonts w:ascii="宋体" w:hAnsi="宋体" w:cs="宋体"/>
                <w:sz w:val="24"/>
                <w:szCs w:val="24"/>
              </w:rPr>
            </w:pPr>
            <w:r>
              <w:rPr>
                <w:rFonts w:hint="eastAsia" w:ascii="宋体" w:hAnsi="宋体" w:cs="宋体"/>
                <w:sz w:val="24"/>
                <w:szCs w:val="24"/>
              </w:rPr>
              <w:t>履约能力</w:t>
            </w:r>
          </w:p>
        </w:tc>
        <w:tc>
          <w:tcPr>
            <w:tcW w:w="3916" w:type="pct"/>
            <w:vAlign w:val="center"/>
          </w:tcPr>
          <w:p w14:paraId="69849345">
            <w:pPr>
              <w:jc w:val="both"/>
              <w:rPr>
                <w:rFonts w:ascii="宋体" w:hAnsi="宋体" w:cs="宋体"/>
                <w:sz w:val="24"/>
                <w:szCs w:val="24"/>
              </w:rPr>
            </w:pPr>
            <w:r>
              <w:rPr>
                <w:rFonts w:hint="eastAsia" w:ascii="宋体" w:hAnsi="宋体" w:cs="宋体"/>
                <w:sz w:val="24"/>
                <w:szCs w:val="24"/>
              </w:rPr>
              <w:t>具有履行合同所必需的设备和专业技术能力。</w:t>
            </w:r>
          </w:p>
          <w:p w14:paraId="6D66306B">
            <w:pPr>
              <w:jc w:val="both"/>
              <w:rPr>
                <w:rFonts w:ascii="宋体" w:hAnsi="宋体" w:cs="宋体"/>
                <w:sz w:val="24"/>
                <w:szCs w:val="24"/>
              </w:rPr>
            </w:pPr>
            <w:r>
              <w:rPr>
                <w:rFonts w:hint="eastAsia" w:ascii="宋体" w:hAnsi="宋体" w:cs="宋体"/>
                <w:b/>
                <w:bCs/>
                <w:sz w:val="24"/>
                <w:szCs w:val="24"/>
                <w:lang w:val="zh-CN"/>
              </w:rPr>
              <w:t>投标文件内附由法定代表人或授权代表签字或盖章并加盖公章的承诺书。</w:t>
            </w:r>
          </w:p>
        </w:tc>
      </w:tr>
      <w:tr w14:paraId="2FD5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vAlign w:val="center"/>
          </w:tcPr>
          <w:p w14:paraId="4F595A84">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4</w:t>
            </w:r>
          </w:p>
        </w:tc>
        <w:tc>
          <w:tcPr>
            <w:tcW w:w="798" w:type="pct"/>
            <w:vAlign w:val="center"/>
          </w:tcPr>
          <w:p w14:paraId="40AF2399">
            <w:pPr>
              <w:spacing w:line="288" w:lineRule="auto"/>
              <w:jc w:val="center"/>
              <w:rPr>
                <w:rFonts w:ascii="宋体" w:hAnsi="宋体" w:cs="宋体"/>
                <w:sz w:val="24"/>
                <w:szCs w:val="24"/>
              </w:rPr>
            </w:pPr>
            <w:r>
              <w:rPr>
                <w:rFonts w:hint="eastAsia" w:ascii="宋体" w:hAnsi="宋体" w:cs="宋体"/>
                <w:sz w:val="24"/>
                <w:szCs w:val="24"/>
              </w:rPr>
              <w:t>纳税及社保</w:t>
            </w:r>
          </w:p>
        </w:tc>
        <w:tc>
          <w:tcPr>
            <w:tcW w:w="3916" w:type="pct"/>
            <w:vAlign w:val="center"/>
          </w:tcPr>
          <w:p w14:paraId="1DD53ABA">
            <w:pPr>
              <w:jc w:val="both"/>
              <w:rPr>
                <w:rFonts w:ascii="宋体" w:hAnsi="宋体" w:cs="宋体"/>
                <w:sz w:val="24"/>
                <w:szCs w:val="24"/>
              </w:rPr>
            </w:pPr>
            <w:r>
              <w:rPr>
                <w:rFonts w:hint="eastAsia" w:ascii="宋体" w:hAnsi="宋体" w:cs="宋体"/>
                <w:sz w:val="24"/>
                <w:szCs w:val="24"/>
              </w:rPr>
              <w:t>具有依法缴纳税收和社会保障金的良好记录。</w:t>
            </w:r>
          </w:p>
          <w:p w14:paraId="50858650">
            <w:pPr>
              <w:jc w:val="both"/>
              <w:rPr>
                <w:rFonts w:ascii="宋体" w:hAnsi="宋体" w:cs="宋体"/>
                <w:sz w:val="24"/>
                <w:szCs w:val="24"/>
              </w:rPr>
            </w:pPr>
            <w:r>
              <w:rPr>
                <w:rFonts w:hint="eastAsia" w:ascii="宋体" w:hAnsi="宋体" w:cs="宋体"/>
                <w:b/>
                <w:bCs/>
                <w:sz w:val="24"/>
                <w:szCs w:val="24"/>
                <w:lang w:val="zh-CN"/>
              </w:rPr>
              <w:t>投标文件内附</w:t>
            </w:r>
            <w:r>
              <w:rPr>
                <w:rFonts w:hint="eastAsia" w:ascii="宋体" w:hAnsi="宋体" w:cs="宋体"/>
                <w:b/>
                <w:bCs/>
                <w:sz w:val="24"/>
                <w:szCs w:val="24"/>
              </w:rPr>
              <w:t>202</w:t>
            </w:r>
            <w:r>
              <w:rPr>
                <w:rFonts w:hint="eastAsia" w:ascii="宋体" w:hAnsi="宋体" w:cs="宋体"/>
                <w:b/>
                <w:bCs/>
                <w:sz w:val="24"/>
                <w:szCs w:val="24"/>
                <w:lang w:val="en-US" w:eastAsia="zh-CN"/>
              </w:rPr>
              <w:t>4</w:t>
            </w:r>
            <w:r>
              <w:rPr>
                <w:rFonts w:hint="eastAsia" w:ascii="宋体" w:hAnsi="宋体" w:cs="宋体"/>
                <w:b/>
                <w:bCs/>
                <w:sz w:val="24"/>
                <w:szCs w:val="24"/>
                <w:lang w:val="zh-CN"/>
              </w:rPr>
              <w:t>年至今任意一个月纳税证明及社会保障资金缴纳证明复印件加盖公章（依法免税的，应提供其依法免税证明）。</w:t>
            </w:r>
          </w:p>
        </w:tc>
      </w:tr>
      <w:tr w14:paraId="46FA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 w:type="pct"/>
            <w:vAlign w:val="center"/>
          </w:tcPr>
          <w:p w14:paraId="508D049E">
            <w:pPr>
              <w:autoSpaceDE w:val="0"/>
              <w:autoSpaceDN w:val="0"/>
              <w:adjustRightInd w:val="0"/>
              <w:spacing w:line="288"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798" w:type="pct"/>
            <w:vAlign w:val="center"/>
          </w:tcPr>
          <w:p w14:paraId="10EB383A">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rPr>
              <w:t>信誉要求</w:t>
            </w:r>
          </w:p>
        </w:tc>
        <w:tc>
          <w:tcPr>
            <w:tcW w:w="3916" w:type="pct"/>
            <w:vAlign w:val="center"/>
          </w:tcPr>
          <w:p w14:paraId="062A8C5C">
            <w:pPr>
              <w:adjustRightInd w:val="0"/>
              <w:spacing w:line="288" w:lineRule="auto"/>
              <w:rPr>
                <w:rFonts w:ascii="宋体" w:hAnsi="宋体" w:cs="宋体"/>
                <w:sz w:val="24"/>
                <w:szCs w:val="24"/>
              </w:rPr>
            </w:pPr>
            <w:r>
              <w:rPr>
                <w:rFonts w:hint="eastAsia" w:ascii="宋体" w:hAnsi="宋体" w:cs="宋体"/>
                <w:sz w:val="24"/>
                <w:szCs w:val="24"/>
              </w:rPr>
              <w:t>1.拒绝列入政府取消投标资格记录期间的企业或个人投标；</w:t>
            </w:r>
          </w:p>
          <w:p w14:paraId="48B62B25">
            <w:pPr>
              <w:adjustRightInd w:val="0"/>
              <w:spacing w:line="288" w:lineRule="auto"/>
              <w:rPr>
                <w:rFonts w:ascii="宋体" w:hAnsi="宋体" w:cs="宋体"/>
                <w:sz w:val="24"/>
                <w:szCs w:val="24"/>
              </w:rPr>
            </w:pPr>
            <w:r>
              <w:rPr>
                <w:rFonts w:hint="eastAsia" w:ascii="宋体" w:hAnsi="宋体" w:cs="宋体"/>
                <w:sz w:val="24"/>
                <w:szCs w:val="24"/>
              </w:rPr>
              <w:t>2.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ascii="宋体" w:hAnsi="宋体" w:cs="宋体"/>
                <w:sz w:val="24"/>
                <w:szCs w:val="24"/>
                <w:lang w:eastAsia="zh-CN"/>
              </w:rPr>
              <w:t>在2022年至今供应商和其法定代表人在“中国裁判文书网”</w:t>
            </w:r>
            <w:r>
              <w:rPr>
                <w:rFonts w:hint="eastAsia" w:ascii="宋体" w:hAnsi="宋体" w:cs="宋体"/>
                <w:sz w:val="24"/>
                <w:szCs w:val="24"/>
              </w:rPr>
              <w:t>(wenshu.court.gov.cn)上无行贿犯罪行为；</w:t>
            </w:r>
          </w:p>
          <w:p w14:paraId="2B145010">
            <w:pPr>
              <w:adjustRightInd w:val="0"/>
              <w:spacing w:line="288" w:lineRule="auto"/>
              <w:rPr>
                <w:rFonts w:ascii="宋体" w:hAnsi="宋体" w:cs="宋体"/>
                <w:sz w:val="24"/>
                <w:szCs w:val="24"/>
              </w:rPr>
            </w:pPr>
            <w:r>
              <w:rPr>
                <w:rFonts w:hint="eastAsia" w:ascii="宋体" w:hAnsi="宋体" w:cs="宋体"/>
                <w:sz w:val="24"/>
                <w:szCs w:val="24"/>
              </w:rPr>
              <w:t>3.与采购人存在利害关系可能影响招标公正性的法人、其他组织或者个人，不得参加本项目投标；单位负责人为同一人或者存在直接控股、管理关系的不同供应商，不得参加同一合同项下的政府采购活动；</w:t>
            </w:r>
          </w:p>
          <w:p w14:paraId="155431FA">
            <w:pPr>
              <w:adjustRightInd w:val="0"/>
              <w:spacing w:line="288" w:lineRule="auto"/>
              <w:rPr>
                <w:rFonts w:ascii="宋体" w:hAnsi="宋体" w:cs="宋体"/>
                <w:sz w:val="24"/>
                <w:szCs w:val="24"/>
              </w:rPr>
            </w:pPr>
            <w:r>
              <w:rPr>
                <w:rFonts w:hint="eastAsia" w:ascii="宋体" w:hAnsi="宋体" w:cs="宋体"/>
                <w:sz w:val="24"/>
                <w:szCs w:val="24"/>
              </w:rPr>
              <w:t>4.参加政府采购活动前三年内，在经营活动中没有重大违法记录。</w:t>
            </w:r>
          </w:p>
          <w:p w14:paraId="1C4A4C4D">
            <w:pPr>
              <w:adjustRightInd w:val="0"/>
              <w:spacing w:line="288" w:lineRule="auto"/>
              <w:jc w:val="both"/>
              <w:rPr>
                <w:rFonts w:ascii="宋体" w:hAnsi="宋体" w:cs="宋体"/>
                <w:sz w:val="24"/>
                <w:szCs w:val="24"/>
              </w:rPr>
            </w:pPr>
            <w:r>
              <w:rPr>
                <w:rFonts w:hint="eastAsia" w:ascii="宋体" w:hAnsi="宋体" w:cs="宋体"/>
                <w:b/>
                <w:bCs/>
                <w:sz w:val="24"/>
                <w:szCs w:val="24"/>
              </w:rPr>
              <w:t>投标文件内附由法定代表人或授权代表签字或盖章并加盖公章的承诺书。</w:t>
            </w:r>
          </w:p>
        </w:tc>
      </w:tr>
    </w:tbl>
    <w:p w14:paraId="0407A518">
      <w:r>
        <w:rPr>
          <w:rFonts w:hint="eastAsia" w:ascii="宋体" w:hAnsi="宋体" w:cs="宋体"/>
          <w:b/>
          <w:bCs/>
          <w:color w:val="000000"/>
          <w:sz w:val="24"/>
          <w:szCs w:val="24"/>
          <w:lang w:bidi="ar"/>
        </w:rPr>
        <w:t>注：上述表中任何一项不合格，审查结论为“不合格”，不进入符合性审查。</w:t>
      </w:r>
    </w:p>
    <w:p w14:paraId="260FBB17">
      <w:pPr>
        <w:rPr>
          <w:rFonts w:ascii="宋体" w:hAnsi="宋体" w:cs="宋体"/>
          <w:b/>
          <w:sz w:val="21"/>
          <w:szCs w:val="21"/>
        </w:rPr>
      </w:pPr>
      <w:r>
        <w:rPr>
          <w:rFonts w:hint="eastAsia" w:ascii="宋体" w:hAnsi="宋体" w:cs="宋体"/>
          <w:b/>
          <w:sz w:val="21"/>
          <w:szCs w:val="21"/>
        </w:rPr>
        <w:br w:type="page"/>
      </w:r>
    </w:p>
    <w:p w14:paraId="584381B9">
      <w:pPr>
        <w:spacing w:line="440" w:lineRule="exact"/>
        <w:jc w:val="both"/>
        <w:rPr>
          <w:rFonts w:ascii="宋体" w:hAnsi="宋体" w:cs="宋体"/>
          <w:b/>
          <w:sz w:val="24"/>
          <w:szCs w:val="24"/>
        </w:rPr>
      </w:pPr>
      <w:r>
        <w:rPr>
          <w:rFonts w:hint="eastAsia" w:ascii="宋体" w:hAnsi="宋体" w:cs="宋体"/>
          <w:b/>
          <w:sz w:val="24"/>
          <w:szCs w:val="24"/>
        </w:rPr>
        <w:t>（二）符合性审查</w:t>
      </w:r>
    </w:p>
    <w:tbl>
      <w:tblPr>
        <w:tblStyle w:val="4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8660"/>
      </w:tblGrid>
      <w:tr w14:paraId="0F20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17" w:type="pct"/>
            <w:vMerge w:val="restart"/>
            <w:vAlign w:val="center"/>
          </w:tcPr>
          <w:p w14:paraId="104A81D2">
            <w:pPr>
              <w:autoSpaceDE w:val="0"/>
              <w:autoSpaceDN w:val="0"/>
              <w:adjustRightInd w:val="0"/>
              <w:spacing w:line="288" w:lineRule="auto"/>
              <w:jc w:val="center"/>
              <w:rPr>
                <w:rFonts w:ascii="宋体" w:hAnsi="宋体" w:cs="宋体"/>
                <w:bCs/>
                <w:sz w:val="24"/>
                <w:szCs w:val="24"/>
                <w:lang w:val="zh-CN"/>
              </w:rPr>
            </w:pPr>
            <w:r>
              <w:rPr>
                <w:rFonts w:hint="eastAsia" w:ascii="宋体" w:hAnsi="宋体" w:cs="宋体"/>
                <w:bCs/>
                <w:sz w:val="24"/>
                <w:szCs w:val="24"/>
                <w:lang w:val="zh-CN"/>
              </w:rPr>
              <w:t>序号</w:t>
            </w:r>
          </w:p>
        </w:tc>
        <w:tc>
          <w:tcPr>
            <w:tcW w:w="4582" w:type="pct"/>
            <w:vMerge w:val="restart"/>
            <w:vAlign w:val="center"/>
          </w:tcPr>
          <w:p w14:paraId="1A642BF6">
            <w:pPr>
              <w:autoSpaceDE w:val="0"/>
              <w:autoSpaceDN w:val="0"/>
              <w:adjustRightInd w:val="0"/>
              <w:spacing w:line="288" w:lineRule="auto"/>
              <w:jc w:val="center"/>
              <w:rPr>
                <w:rFonts w:ascii="宋体" w:hAnsi="宋体" w:cs="宋体"/>
                <w:bCs/>
                <w:sz w:val="24"/>
                <w:szCs w:val="24"/>
                <w:lang w:val="zh-CN"/>
              </w:rPr>
            </w:pPr>
            <w:r>
              <w:rPr>
                <w:rFonts w:hint="eastAsia" w:ascii="宋体" w:hAnsi="宋体" w:cs="宋体"/>
                <w:bCs/>
                <w:sz w:val="24"/>
                <w:szCs w:val="24"/>
                <w:lang w:val="zh-CN"/>
              </w:rPr>
              <w:t>评审内容</w:t>
            </w:r>
          </w:p>
        </w:tc>
      </w:tr>
      <w:tr w14:paraId="6480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17" w:type="pct"/>
            <w:vMerge w:val="continue"/>
            <w:vAlign w:val="center"/>
          </w:tcPr>
          <w:p w14:paraId="51064058">
            <w:pPr>
              <w:autoSpaceDE w:val="0"/>
              <w:autoSpaceDN w:val="0"/>
              <w:adjustRightInd w:val="0"/>
              <w:spacing w:line="288" w:lineRule="auto"/>
              <w:jc w:val="center"/>
              <w:rPr>
                <w:rFonts w:ascii="宋体" w:hAnsi="宋体" w:cs="宋体"/>
                <w:bCs/>
                <w:sz w:val="24"/>
                <w:szCs w:val="24"/>
                <w:lang w:val="zh-CN"/>
              </w:rPr>
            </w:pPr>
          </w:p>
        </w:tc>
        <w:tc>
          <w:tcPr>
            <w:tcW w:w="4582" w:type="pct"/>
            <w:vMerge w:val="continue"/>
            <w:vAlign w:val="center"/>
          </w:tcPr>
          <w:p w14:paraId="4DB81A1D">
            <w:pPr>
              <w:autoSpaceDE w:val="0"/>
              <w:autoSpaceDN w:val="0"/>
              <w:adjustRightInd w:val="0"/>
              <w:spacing w:line="288" w:lineRule="auto"/>
              <w:jc w:val="center"/>
              <w:rPr>
                <w:rFonts w:ascii="宋体" w:hAnsi="宋体" w:cs="宋体"/>
                <w:bCs/>
                <w:sz w:val="24"/>
                <w:szCs w:val="24"/>
                <w:lang w:val="zh-CN"/>
              </w:rPr>
            </w:pPr>
          </w:p>
        </w:tc>
      </w:tr>
      <w:tr w14:paraId="4EB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17" w:type="pct"/>
            <w:vAlign w:val="center"/>
          </w:tcPr>
          <w:p w14:paraId="63A7E435">
            <w:pPr>
              <w:autoSpaceDE w:val="0"/>
              <w:autoSpaceDN w:val="0"/>
              <w:adjustRightInd w:val="0"/>
              <w:spacing w:line="288" w:lineRule="auto"/>
              <w:jc w:val="center"/>
              <w:rPr>
                <w:rFonts w:ascii="宋体" w:hAnsi="宋体" w:cs="宋体"/>
                <w:bCs/>
                <w:sz w:val="24"/>
                <w:szCs w:val="24"/>
              </w:rPr>
            </w:pPr>
            <w:r>
              <w:rPr>
                <w:rFonts w:hint="eastAsia" w:ascii="宋体" w:hAnsi="宋体" w:cs="宋体"/>
                <w:bCs/>
                <w:sz w:val="24"/>
                <w:szCs w:val="24"/>
              </w:rPr>
              <w:t>1</w:t>
            </w:r>
          </w:p>
        </w:tc>
        <w:tc>
          <w:tcPr>
            <w:tcW w:w="4582" w:type="pct"/>
            <w:shd w:val="clear"/>
            <w:vAlign w:val="center"/>
          </w:tcPr>
          <w:p w14:paraId="496600A1">
            <w:pPr>
              <w:autoSpaceDE w:val="0"/>
              <w:autoSpaceDN w:val="0"/>
              <w:adjustRightInd w:val="0"/>
              <w:spacing w:line="288" w:lineRule="auto"/>
              <w:jc w:val="both"/>
              <w:rPr>
                <w:rFonts w:ascii="宋体" w:hAnsi="宋体" w:eastAsia="宋体" w:cs="宋体"/>
                <w:bCs/>
                <w:sz w:val="24"/>
                <w:szCs w:val="24"/>
                <w:lang w:val="zh-CN" w:eastAsia="zh-CN" w:bidi="ar-SA"/>
              </w:rPr>
            </w:pPr>
            <w:r>
              <w:rPr>
                <w:rFonts w:hint="eastAsia" w:ascii="宋体" w:hAnsi="宋体" w:cs="宋体"/>
                <w:bCs/>
                <w:sz w:val="24"/>
                <w:szCs w:val="24"/>
                <w:lang w:val="zh-CN"/>
              </w:rPr>
              <w:t>投标函</w:t>
            </w:r>
            <w:r>
              <w:rPr>
                <w:rFonts w:hint="eastAsia" w:ascii="宋体" w:hAnsi="宋体" w:cs="宋体"/>
                <w:bCs/>
                <w:sz w:val="24"/>
                <w:szCs w:val="24"/>
                <w:lang w:val="en-US" w:eastAsia="zh-CN"/>
              </w:rPr>
              <w:t>及开标一览表</w:t>
            </w:r>
            <w:r>
              <w:rPr>
                <w:rFonts w:hint="eastAsia" w:ascii="宋体" w:hAnsi="宋体" w:cs="宋体"/>
                <w:bCs/>
                <w:sz w:val="24"/>
                <w:szCs w:val="24"/>
                <w:lang w:val="zh-CN"/>
              </w:rPr>
              <w:t>符合招标文件要求，</w:t>
            </w:r>
            <w:r>
              <w:rPr>
                <w:rFonts w:hint="eastAsia" w:ascii="宋体" w:hAnsi="宋体" w:cs="宋体"/>
                <w:bCs/>
                <w:sz w:val="24"/>
                <w:szCs w:val="24"/>
                <w:lang w:val="en-US" w:eastAsia="zh-CN"/>
              </w:rPr>
              <w:t>且</w:t>
            </w:r>
            <w:r>
              <w:rPr>
                <w:rFonts w:hint="eastAsia" w:ascii="宋体" w:hAnsi="宋体" w:cs="宋体"/>
                <w:bCs/>
                <w:snapToGrid w:val="0"/>
                <w:sz w:val="24"/>
                <w:szCs w:val="24"/>
              </w:rPr>
              <w:t>投标有效期满足招标文件要求</w:t>
            </w:r>
          </w:p>
        </w:tc>
      </w:tr>
      <w:tr w14:paraId="1C00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17" w:type="pct"/>
            <w:vAlign w:val="center"/>
          </w:tcPr>
          <w:p w14:paraId="542950BF">
            <w:pPr>
              <w:autoSpaceDE w:val="0"/>
              <w:autoSpaceDN w:val="0"/>
              <w:adjustRightInd w:val="0"/>
              <w:spacing w:line="288" w:lineRule="auto"/>
              <w:jc w:val="center"/>
              <w:rPr>
                <w:rFonts w:ascii="宋体" w:hAnsi="宋体" w:cs="宋体"/>
                <w:bCs/>
                <w:sz w:val="24"/>
                <w:szCs w:val="24"/>
              </w:rPr>
            </w:pPr>
            <w:r>
              <w:rPr>
                <w:rFonts w:hint="eastAsia" w:ascii="宋体" w:hAnsi="宋体" w:cs="宋体"/>
                <w:bCs/>
                <w:sz w:val="24"/>
                <w:szCs w:val="24"/>
              </w:rPr>
              <w:t>2</w:t>
            </w:r>
          </w:p>
        </w:tc>
        <w:tc>
          <w:tcPr>
            <w:tcW w:w="4582" w:type="pct"/>
            <w:shd w:val="clear" w:color="auto" w:fill="auto"/>
            <w:vAlign w:val="center"/>
          </w:tcPr>
          <w:p w14:paraId="147CF888">
            <w:pPr>
              <w:widowControl w:val="0"/>
              <w:adjustRightInd w:val="0"/>
              <w:snapToGrid w:val="0"/>
              <w:spacing w:line="288" w:lineRule="auto"/>
              <w:jc w:val="both"/>
              <w:textAlignment w:val="baseline"/>
              <w:rPr>
                <w:rFonts w:ascii="宋体" w:hAnsi="宋体" w:eastAsia="宋体" w:cs="宋体"/>
                <w:bCs/>
                <w:snapToGrid w:val="0"/>
                <w:sz w:val="24"/>
                <w:szCs w:val="24"/>
                <w:lang w:val="zh-CN" w:eastAsia="zh-CN" w:bidi="ar-SA"/>
              </w:rPr>
            </w:pPr>
            <w:r>
              <w:rPr>
                <w:rFonts w:hint="eastAsia" w:ascii="宋体" w:hAnsi="宋体" w:cs="宋体"/>
                <w:bCs/>
                <w:snapToGrid w:val="0"/>
                <w:sz w:val="24"/>
                <w:szCs w:val="24"/>
              </w:rPr>
              <w:t>供应商报一个有效报价</w:t>
            </w:r>
            <w:r>
              <w:rPr>
                <w:rFonts w:hint="eastAsia" w:ascii="宋体" w:hAnsi="宋体" w:cs="宋体"/>
                <w:bCs/>
                <w:snapToGrid w:val="0"/>
                <w:sz w:val="24"/>
                <w:szCs w:val="24"/>
                <w:lang w:eastAsia="zh-CN"/>
              </w:rPr>
              <w:t>，</w:t>
            </w:r>
            <w:r>
              <w:rPr>
                <w:rFonts w:hint="eastAsia" w:ascii="宋体" w:hAnsi="宋体" w:cs="宋体"/>
                <w:bCs/>
                <w:snapToGrid w:val="0"/>
                <w:sz w:val="24"/>
                <w:szCs w:val="24"/>
              </w:rPr>
              <w:t>报价不超过</w:t>
            </w:r>
            <w:r>
              <w:rPr>
                <w:rFonts w:hint="eastAsia" w:ascii="宋体" w:hAnsi="宋体" w:cs="宋体"/>
                <w:bCs/>
                <w:sz w:val="24"/>
                <w:szCs w:val="24"/>
                <w:lang w:val="zh-CN"/>
              </w:rPr>
              <w:t>预算金额</w:t>
            </w:r>
          </w:p>
        </w:tc>
      </w:tr>
      <w:tr w14:paraId="37C5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7BE57EF2">
            <w:pPr>
              <w:widowControl w:val="0"/>
              <w:adjustRightInd w:val="0"/>
              <w:snapToGrid w:val="0"/>
              <w:spacing w:line="288" w:lineRule="auto"/>
              <w:jc w:val="center"/>
              <w:textAlignment w:val="baseline"/>
              <w:rPr>
                <w:rFonts w:ascii="宋体" w:hAnsi="宋体" w:cs="宋体"/>
                <w:bCs/>
                <w:snapToGrid w:val="0"/>
                <w:sz w:val="24"/>
                <w:szCs w:val="24"/>
              </w:rPr>
            </w:pPr>
            <w:r>
              <w:rPr>
                <w:rFonts w:hint="eastAsia" w:ascii="宋体" w:hAnsi="宋体" w:cs="宋体"/>
                <w:bCs/>
                <w:snapToGrid w:val="0"/>
                <w:sz w:val="24"/>
                <w:szCs w:val="24"/>
              </w:rPr>
              <w:t>3</w:t>
            </w:r>
          </w:p>
        </w:tc>
        <w:tc>
          <w:tcPr>
            <w:tcW w:w="4582" w:type="pct"/>
            <w:shd w:val="clear" w:color="auto" w:fill="auto"/>
            <w:vAlign w:val="center"/>
          </w:tcPr>
          <w:p w14:paraId="4BDF5EDA">
            <w:pPr>
              <w:widowControl w:val="0"/>
              <w:adjustRightInd w:val="0"/>
              <w:snapToGrid w:val="0"/>
              <w:spacing w:line="288" w:lineRule="auto"/>
              <w:jc w:val="both"/>
              <w:textAlignment w:val="baseline"/>
              <w:rPr>
                <w:rFonts w:hint="eastAsia" w:ascii="宋体" w:hAnsi="宋体" w:eastAsia="宋体" w:cs="宋体"/>
                <w:bCs/>
                <w:snapToGrid w:val="0"/>
                <w:sz w:val="24"/>
                <w:szCs w:val="24"/>
                <w:lang w:val="en-US" w:eastAsia="zh-CN" w:bidi="ar-SA"/>
              </w:rPr>
            </w:pPr>
            <w:r>
              <w:rPr>
                <w:rFonts w:hint="eastAsia" w:ascii="宋体" w:hAnsi="宋体" w:cs="宋体"/>
                <w:bCs/>
                <w:snapToGrid w:val="0"/>
                <w:sz w:val="24"/>
                <w:szCs w:val="24"/>
              </w:rPr>
              <w:t>供应商名称与企业法人营业执照名称一致</w:t>
            </w:r>
          </w:p>
        </w:tc>
      </w:tr>
      <w:tr w14:paraId="4CB4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25EFD2F6">
            <w:pPr>
              <w:widowControl w:val="0"/>
              <w:adjustRightInd w:val="0"/>
              <w:snapToGrid w:val="0"/>
              <w:spacing w:line="288" w:lineRule="auto"/>
              <w:jc w:val="center"/>
              <w:textAlignment w:val="baseline"/>
              <w:rPr>
                <w:rFonts w:ascii="宋体" w:hAnsi="宋体" w:cs="宋体"/>
                <w:bCs/>
                <w:snapToGrid w:val="0"/>
                <w:sz w:val="24"/>
                <w:szCs w:val="24"/>
              </w:rPr>
            </w:pPr>
            <w:r>
              <w:rPr>
                <w:rFonts w:hint="eastAsia" w:ascii="宋体" w:hAnsi="宋体" w:cs="宋体"/>
                <w:bCs/>
                <w:snapToGrid w:val="0"/>
                <w:sz w:val="24"/>
                <w:szCs w:val="24"/>
              </w:rPr>
              <w:t>4</w:t>
            </w:r>
          </w:p>
        </w:tc>
        <w:tc>
          <w:tcPr>
            <w:tcW w:w="4582" w:type="pct"/>
            <w:shd w:val="clear" w:color="auto" w:fill="auto"/>
            <w:vAlign w:val="center"/>
          </w:tcPr>
          <w:p w14:paraId="66B30505">
            <w:pPr>
              <w:widowControl w:val="0"/>
              <w:adjustRightInd w:val="0"/>
              <w:snapToGrid w:val="0"/>
              <w:spacing w:line="288" w:lineRule="auto"/>
              <w:jc w:val="both"/>
              <w:textAlignment w:val="baseline"/>
              <w:rPr>
                <w:rFonts w:ascii="宋体" w:hAnsi="宋体" w:eastAsia="宋体" w:cs="宋体"/>
                <w:bCs/>
                <w:snapToGrid w:val="0"/>
                <w:sz w:val="24"/>
                <w:szCs w:val="24"/>
                <w:lang w:val="en-US" w:eastAsia="zh-CN" w:bidi="ar-SA"/>
              </w:rPr>
            </w:pPr>
            <w:r>
              <w:rPr>
                <w:rFonts w:hint="eastAsia" w:ascii="宋体" w:hAnsi="宋体" w:cs="宋体"/>
                <w:bCs/>
                <w:snapToGrid w:val="0"/>
                <w:sz w:val="24"/>
                <w:szCs w:val="24"/>
              </w:rPr>
              <w:t>投标文件的签署及填写符合招标文件的要求</w:t>
            </w:r>
          </w:p>
        </w:tc>
      </w:tr>
      <w:tr w14:paraId="6E3B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70E1CAE5">
            <w:pPr>
              <w:widowControl w:val="0"/>
              <w:adjustRightInd w:val="0"/>
              <w:snapToGrid w:val="0"/>
              <w:spacing w:line="288" w:lineRule="auto"/>
              <w:jc w:val="center"/>
              <w:textAlignment w:val="baseline"/>
              <w:rPr>
                <w:rFonts w:ascii="宋体" w:hAnsi="宋体" w:cs="宋体"/>
                <w:bCs/>
                <w:snapToGrid w:val="0"/>
                <w:sz w:val="24"/>
                <w:szCs w:val="24"/>
              </w:rPr>
            </w:pPr>
            <w:r>
              <w:rPr>
                <w:rFonts w:hint="eastAsia" w:ascii="宋体" w:hAnsi="宋体" w:cs="宋体"/>
                <w:bCs/>
                <w:snapToGrid w:val="0"/>
                <w:sz w:val="24"/>
                <w:szCs w:val="24"/>
              </w:rPr>
              <w:t>5</w:t>
            </w:r>
          </w:p>
        </w:tc>
        <w:tc>
          <w:tcPr>
            <w:tcW w:w="4582" w:type="pct"/>
            <w:shd w:val="clear" w:color="auto" w:fill="auto"/>
            <w:vAlign w:val="center"/>
          </w:tcPr>
          <w:p w14:paraId="7859E16B">
            <w:pPr>
              <w:widowControl w:val="0"/>
              <w:adjustRightInd w:val="0"/>
              <w:snapToGrid w:val="0"/>
              <w:spacing w:line="288" w:lineRule="auto"/>
              <w:jc w:val="both"/>
              <w:textAlignment w:val="baseline"/>
              <w:rPr>
                <w:rFonts w:ascii="宋体" w:hAnsi="宋体" w:eastAsia="宋体" w:cs="宋体"/>
                <w:bCs/>
                <w:snapToGrid w:val="0"/>
                <w:sz w:val="24"/>
                <w:szCs w:val="24"/>
                <w:lang w:val="en-US" w:eastAsia="zh-CN" w:bidi="ar-SA"/>
              </w:rPr>
            </w:pPr>
            <w:r>
              <w:rPr>
                <w:rFonts w:hint="eastAsia" w:ascii="宋体" w:hAnsi="宋体" w:cs="宋体"/>
                <w:bCs/>
                <w:snapToGrid w:val="0"/>
                <w:sz w:val="24"/>
                <w:szCs w:val="24"/>
              </w:rPr>
              <w:t>合同履行期限（供货期）满足招标文件要求</w:t>
            </w:r>
          </w:p>
        </w:tc>
      </w:tr>
      <w:tr w14:paraId="1692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3BB41429">
            <w:pPr>
              <w:widowControl w:val="0"/>
              <w:adjustRightInd w:val="0"/>
              <w:snapToGrid w:val="0"/>
              <w:spacing w:line="288" w:lineRule="auto"/>
              <w:jc w:val="center"/>
              <w:textAlignment w:val="baseline"/>
              <w:rPr>
                <w:rFonts w:ascii="宋体" w:hAnsi="宋体" w:cs="宋体"/>
                <w:bCs/>
                <w:snapToGrid w:val="0"/>
                <w:sz w:val="24"/>
                <w:szCs w:val="24"/>
              </w:rPr>
            </w:pPr>
            <w:r>
              <w:rPr>
                <w:rFonts w:hint="eastAsia" w:ascii="宋体" w:hAnsi="宋体" w:cs="宋体"/>
                <w:bCs/>
                <w:snapToGrid w:val="0"/>
                <w:sz w:val="24"/>
                <w:szCs w:val="24"/>
              </w:rPr>
              <w:t>6</w:t>
            </w:r>
          </w:p>
        </w:tc>
        <w:tc>
          <w:tcPr>
            <w:tcW w:w="4582" w:type="pct"/>
            <w:tcBorders>
              <w:bottom w:val="single" w:color="auto" w:sz="4" w:space="0"/>
            </w:tcBorders>
            <w:shd w:val="clear" w:color="auto" w:fill="auto"/>
            <w:vAlign w:val="center"/>
          </w:tcPr>
          <w:p w14:paraId="1D860242">
            <w:pPr>
              <w:widowControl w:val="0"/>
              <w:adjustRightInd w:val="0"/>
              <w:snapToGrid w:val="0"/>
              <w:spacing w:line="288" w:lineRule="auto"/>
              <w:jc w:val="both"/>
              <w:textAlignment w:val="baseline"/>
              <w:rPr>
                <w:rFonts w:hint="default" w:ascii="宋体" w:hAnsi="宋体" w:eastAsia="宋体" w:cs="宋体"/>
                <w:bCs/>
                <w:snapToGrid w:val="0"/>
                <w:sz w:val="24"/>
                <w:szCs w:val="24"/>
                <w:lang w:val="en-US" w:eastAsia="zh-CN" w:bidi="ar-SA"/>
              </w:rPr>
            </w:pPr>
            <w:r>
              <w:rPr>
                <w:rFonts w:hint="eastAsia" w:ascii="宋体" w:hAnsi="宋体" w:cs="宋体"/>
                <w:bCs/>
                <w:snapToGrid w:val="0"/>
                <w:sz w:val="24"/>
                <w:szCs w:val="24"/>
              </w:rPr>
              <w:t>响应招标文件规定的全部实质性条款</w:t>
            </w:r>
          </w:p>
        </w:tc>
      </w:tr>
      <w:tr w14:paraId="44B4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tcBorders>
              <w:bottom w:val="single" w:color="auto" w:sz="4" w:space="0"/>
            </w:tcBorders>
            <w:vAlign w:val="center"/>
          </w:tcPr>
          <w:p w14:paraId="762F661A">
            <w:pPr>
              <w:widowControl w:val="0"/>
              <w:adjustRightInd w:val="0"/>
              <w:snapToGrid w:val="0"/>
              <w:spacing w:line="288" w:lineRule="auto"/>
              <w:jc w:val="center"/>
              <w:textAlignment w:val="baseline"/>
              <w:rPr>
                <w:rFonts w:ascii="宋体" w:hAnsi="宋体" w:cs="宋体"/>
                <w:bCs/>
                <w:snapToGrid w:val="0"/>
                <w:sz w:val="24"/>
                <w:szCs w:val="24"/>
              </w:rPr>
            </w:pPr>
            <w:r>
              <w:rPr>
                <w:rFonts w:hint="eastAsia" w:ascii="宋体" w:hAnsi="宋体" w:cs="宋体"/>
                <w:bCs/>
                <w:snapToGrid w:val="0"/>
                <w:sz w:val="24"/>
                <w:szCs w:val="24"/>
              </w:rPr>
              <w:t>7</w:t>
            </w:r>
          </w:p>
        </w:tc>
        <w:tc>
          <w:tcPr>
            <w:tcW w:w="4582" w:type="pct"/>
            <w:tcBorders>
              <w:bottom w:val="single" w:color="auto" w:sz="4" w:space="0"/>
            </w:tcBorders>
            <w:shd w:val="clear" w:color="auto" w:fill="auto"/>
            <w:vAlign w:val="center"/>
          </w:tcPr>
          <w:p w14:paraId="76164D5F">
            <w:pPr>
              <w:widowControl w:val="0"/>
              <w:adjustRightInd w:val="0"/>
              <w:snapToGrid w:val="0"/>
              <w:spacing w:line="288" w:lineRule="auto"/>
              <w:jc w:val="both"/>
              <w:textAlignment w:val="baseline"/>
              <w:rPr>
                <w:rFonts w:hint="default" w:ascii="宋体" w:hAnsi="宋体" w:eastAsia="宋体" w:cs="宋体"/>
                <w:bCs/>
                <w:snapToGrid w:val="0"/>
                <w:sz w:val="24"/>
                <w:szCs w:val="24"/>
                <w:lang w:val="en-US" w:eastAsia="zh-CN" w:bidi="ar-SA"/>
              </w:rPr>
            </w:pPr>
            <w:r>
              <w:rPr>
                <w:rFonts w:hint="eastAsia" w:ascii="宋体" w:hAnsi="宋体" w:cs="宋体"/>
                <w:bCs/>
                <w:snapToGrid w:val="0"/>
                <w:sz w:val="24"/>
                <w:szCs w:val="24"/>
                <w:lang w:val="zh-CN"/>
              </w:rPr>
              <w:t>按要求提交售后服务承诺书</w:t>
            </w:r>
          </w:p>
        </w:tc>
      </w:tr>
      <w:tr w14:paraId="664F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4327335F">
            <w:pPr>
              <w:widowControl w:val="0"/>
              <w:adjustRightInd w:val="0"/>
              <w:snapToGrid w:val="0"/>
              <w:spacing w:line="288" w:lineRule="auto"/>
              <w:jc w:val="center"/>
              <w:textAlignment w:val="baseline"/>
              <w:rPr>
                <w:rFonts w:ascii="宋体" w:hAnsi="宋体" w:cs="宋体"/>
                <w:bCs/>
                <w:snapToGrid w:val="0"/>
                <w:sz w:val="24"/>
                <w:szCs w:val="24"/>
              </w:rPr>
            </w:pPr>
            <w:r>
              <w:rPr>
                <w:rFonts w:hint="eastAsia" w:ascii="宋体" w:hAnsi="宋体" w:cs="宋体"/>
                <w:bCs/>
                <w:snapToGrid w:val="0"/>
                <w:sz w:val="24"/>
                <w:szCs w:val="24"/>
              </w:rPr>
              <w:t>8</w:t>
            </w:r>
          </w:p>
        </w:tc>
        <w:tc>
          <w:tcPr>
            <w:tcW w:w="4582" w:type="pct"/>
            <w:shd w:val="clear" w:color="auto" w:fill="auto"/>
            <w:vAlign w:val="center"/>
          </w:tcPr>
          <w:p w14:paraId="51CDC11F">
            <w:pPr>
              <w:widowControl w:val="0"/>
              <w:adjustRightInd w:val="0"/>
              <w:snapToGrid w:val="0"/>
              <w:spacing w:line="288" w:lineRule="auto"/>
              <w:jc w:val="both"/>
              <w:textAlignment w:val="baseline"/>
              <w:rPr>
                <w:rFonts w:hint="default" w:ascii="宋体" w:hAnsi="宋体" w:eastAsia="宋体" w:cs="宋体"/>
                <w:bCs/>
                <w:snapToGrid w:val="0"/>
                <w:sz w:val="24"/>
                <w:szCs w:val="24"/>
                <w:lang w:val="en-US" w:eastAsia="zh-CN" w:bidi="ar-SA"/>
              </w:rPr>
            </w:pPr>
            <w:r>
              <w:rPr>
                <w:rFonts w:hint="eastAsia" w:ascii="宋体" w:hAnsi="宋体" w:cs="宋体"/>
                <w:bCs/>
                <w:snapToGrid w:val="0"/>
                <w:sz w:val="24"/>
                <w:szCs w:val="24"/>
              </w:rPr>
              <w:t>投标文件符合技术规格、技术标准的要求，无负偏离，</w:t>
            </w:r>
            <w:r>
              <w:rPr>
                <w:rFonts w:hint="eastAsia" w:ascii="宋体" w:hAnsi="宋体" w:cs="宋体"/>
                <w:bCs/>
                <w:snapToGrid w:val="0"/>
                <w:sz w:val="24"/>
                <w:szCs w:val="24"/>
                <w:lang w:val="en-US" w:eastAsia="zh-CN"/>
              </w:rPr>
              <w:t>提供符合要求的证明材料</w:t>
            </w:r>
          </w:p>
        </w:tc>
      </w:tr>
      <w:tr w14:paraId="780F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shd w:val="clear"/>
            <w:vAlign w:val="center"/>
          </w:tcPr>
          <w:p w14:paraId="5B084D63">
            <w:pPr>
              <w:widowControl w:val="0"/>
              <w:adjustRightInd w:val="0"/>
              <w:snapToGrid w:val="0"/>
              <w:spacing w:line="288" w:lineRule="auto"/>
              <w:jc w:val="center"/>
              <w:textAlignment w:val="baseline"/>
              <w:rPr>
                <w:rFonts w:hint="eastAsia" w:ascii="宋体" w:hAnsi="宋体" w:eastAsia="宋体" w:cs="宋体"/>
                <w:bCs/>
                <w:snapToGrid w:val="0"/>
                <w:sz w:val="24"/>
                <w:szCs w:val="24"/>
                <w:lang w:val="en-US" w:eastAsia="zh-CN" w:bidi="ar-SA"/>
              </w:rPr>
            </w:pPr>
            <w:r>
              <w:rPr>
                <w:rFonts w:hint="eastAsia" w:ascii="宋体" w:hAnsi="宋体" w:cs="宋体"/>
                <w:bCs/>
                <w:snapToGrid w:val="0"/>
                <w:sz w:val="24"/>
                <w:szCs w:val="24"/>
              </w:rPr>
              <w:t>9</w:t>
            </w:r>
          </w:p>
        </w:tc>
        <w:tc>
          <w:tcPr>
            <w:tcW w:w="4582" w:type="pct"/>
            <w:shd w:val="clear" w:color="auto" w:fill="auto"/>
            <w:vAlign w:val="center"/>
          </w:tcPr>
          <w:p w14:paraId="1F30B0C7">
            <w:pPr>
              <w:widowControl w:val="0"/>
              <w:adjustRightInd w:val="0"/>
              <w:snapToGrid w:val="0"/>
              <w:spacing w:line="288" w:lineRule="auto"/>
              <w:jc w:val="both"/>
              <w:textAlignment w:val="baseline"/>
              <w:rPr>
                <w:rFonts w:hint="eastAsia" w:ascii="宋体" w:hAnsi="宋体" w:eastAsia="宋体" w:cs="宋体"/>
                <w:bCs/>
                <w:snapToGrid w:val="0"/>
                <w:sz w:val="24"/>
                <w:szCs w:val="24"/>
                <w:lang w:val="zh-CN" w:eastAsia="zh-CN" w:bidi="ar-SA"/>
              </w:rPr>
            </w:pPr>
            <w:r>
              <w:rPr>
                <w:rFonts w:hint="eastAsia" w:ascii="宋体" w:hAnsi="宋体" w:cs="宋体"/>
                <w:bCs/>
                <w:snapToGrid w:val="0"/>
                <w:sz w:val="24"/>
                <w:szCs w:val="24"/>
              </w:rPr>
              <w:t>提供科学、合理、可行的实施方案</w:t>
            </w:r>
          </w:p>
        </w:tc>
      </w:tr>
      <w:tr w14:paraId="648D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shd w:val="clear"/>
            <w:vAlign w:val="center"/>
          </w:tcPr>
          <w:p w14:paraId="2074F5B3">
            <w:pPr>
              <w:widowControl w:val="0"/>
              <w:adjustRightInd w:val="0"/>
              <w:snapToGrid w:val="0"/>
              <w:spacing w:line="288" w:lineRule="auto"/>
              <w:jc w:val="center"/>
              <w:textAlignment w:val="baseline"/>
              <w:rPr>
                <w:rFonts w:ascii="宋体" w:hAnsi="宋体" w:eastAsia="宋体" w:cs="宋体"/>
                <w:bCs/>
                <w:snapToGrid w:val="0"/>
                <w:sz w:val="24"/>
                <w:szCs w:val="24"/>
                <w:lang w:val="en-US" w:eastAsia="zh-CN" w:bidi="ar-SA"/>
              </w:rPr>
            </w:pPr>
            <w:r>
              <w:rPr>
                <w:rFonts w:hint="eastAsia" w:ascii="宋体" w:hAnsi="宋体" w:cs="宋体"/>
                <w:bCs/>
                <w:snapToGrid w:val="0"/>
                <w:sz w:val="24"/>
                <w:szCs w:val="24"/>
              </w:rPr>
              <w:t>10</w:t>
            </w:r>
          </w:p>
        </w:tc>
        <w:tc>
          <w:tcPr>
            <w:tcW w:w="4582" w:type="pct"/>
            <w:shd w:val="clear" w:color="auto" w:fill="auto"/>
            <w:vAlign w:val="center"/>
          </w:tcPr>
          <w:p w14:paraId="7F6F445E">
            <w:pPr>
              <w:widowControl w:val="0"/>
              <w:adjustRightInd w:val="0"/>
              <w:snapToGrid w:val="0"/>
              <w:spacing w:line="288" w:lineRule="auto"/>
              <w:jc w:val="both"/>
              <w:textAlignment w:val="baseline"/>
              <w:rPr>
                <w:rFonts w:hint="default" w:ascii="宋体" w:hAnsi="宋体" w:eastAsia="宋体" w:cs="宋体"/>
                <w:bCs/>
                <w:snapToGrid w:val="0"/>
                <w:sz w:val="24"/>
                <w:szCs w:val="24"/>
                <w:lang w:val="en-US" w:eastAsia="zh-CN" w:bidi="ar-SA"/>
              </w:rPr>
            </w:pPr>
            <w:r>
              <w:rPr>
                <w:rFonts w:hint="eastAsia" w:ascii="宋体" w:hAnsi="宋体" w:cs="宋体"/>
                <w:bCs/>
                <w:snapToGrid w:val="0"/>
                <w:sz w:val="24"/>
                <w:szCs w:val="24"/>
              </w:rPr>
              <w:t>招标文件规定的其他内容</w:t>
            </w:r>
          </w:p>
        </w:tc>
      </w:tr>
    </w:tbl>
    <w:p w14:paraId="1357634B">
      <w:pPr>
        <w:spacing w:line="400" w:lineRule="exact"/>
        <w:rPr>
          <w:rFonts w:ascii="宋体" w:hAnsi="宋体" w:cs="宋体"/>
          <w:b/>
          <w:sz w:val="24"/>
          <w:szCs w:val="24"/>
        </w:rPr>
      </w:pPr>
      <w:r>
        <w:rPr>
          <w:rFonts w:hint="eastAsia" w:ascii="宋体" w:hAnsi="宋体" w:cs="宋体"/>
          <w:b/>
          <w:sz w:val="24"/>
          <w:szCs w:val="24"/>
        </w:rPr>
        <w:t xml:space="preserve">                </w:t>
      </w:r>
    </w:p>
    <w:p w14:paraId="07CB430E">
      <w:r>
        <w:rPr>
          <w:rFonts w:hint="eastAsia" w:ascii="宋体" w:hAnsi="宋体" w:cs="宋体"/>
          <w:b/>
          <w:bCs/>
          <w:color w:val="000000"/>
          <w:sz w:val="24"/>
          <w:szCs w:val="24"/>
          <w:lang w:bidi="ar"/>
        </w:rPr>
        <w:t>注：上述表中任何一项不合格，审查结论为“不合格”，不进入价格比较。</w:t>
      </w:r>
    </w:p>
    <w:p w14:paraId="78B433FF">
      <w:pPr>
        <w:spacing w:line="400" w:lineRule="exact"/>
        <w:jc w:val="both"/>
        <w:rPr>
          <w:rFonts w:ascii="宋体" w:hAnsi="宋体" w:cs="宋体"/>
        </w:rPr>
      </w:pPr>
      <w:r>
        <w:rPr>
          <w:rFonts w:hint="eastAsia" w:ascii="宋体" w:hAnsi="宋体" w:cs="宋体"/>
        </w:rPr>
        <w:br w:type="page"/>
      </w:r>
    </w:p>
    <w:p w14:paraId="371C0CC2">
      <w:pPr>
        <w:spacing w:line="360" w:lineRule="auto"/>
        <w:jc w:val="center"/>
        <w:rPr>
          <w:rFonts w:ascii="宋体" w:hAnsi="宋体" w:cs="宋体"/>
          <w:b/>
          <w:sz w:val="28"/>
          <w:szCs w:val="28"/>
        </w:rPr>
      </w:pPr>
      <w:r>
        <w:rPr>
          <w:rFonts w:hint="eastAsia" w:ascii="宋体" w:hAnsi="宋体" w:cs="宋体"/>
          <w:b/>
          <w:sz w:val="28"/>
          <w:szCs w:val="28"/>
        </w:rPr>
        <w:t>三、政府采购政策</w:t>
      </w:r>
    </w:p>
    <w:p w14:paraId="6D6931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sz w:val="24"/>
          <w:szCs w:val="24"/>
        </w:rPr>
      </w:pPr>
      <w:r>
        <w:rPr>
          <w:rFonts w:hint="eastAsia" w:ascii="宋体" w:hAnsi="宋体" w:cs="宋体"/>
          <w:sz w:val="24"/>
          <w:szCs w:val="24"/>
        </w:rPr>
        <w:t>1.根据《政府采购促进中小企业发展管理办法》（财库〔2020〕46号文件）、《财政部关于进一步加大政府采购支持中小企业力度的通知》（财库〔2022〕19号）文件的规定，</w:t>
      </w:r>
      <w:r>
        <w:rPr>
          <w:rFonts w:hint="eastAsia" w:ascii="宋体" w:hAnsi="宋体" w:cs="宋体"/>
          <w:b/>
          <w:bCs/>
          <w:sz w:val="24"/>
          <w:szCs w:val="24"/>
        </w:rPr>
        <w:t>本项目为非专门面向中小企业的项目，对于小型或微型企业（含监狱企业、残疾人福利性单位）参与本项目投标的，给予10%的价格扣除。（注：小型或微型企业需提供中小企业声明函，价格扣除后作为评标价格</w:t>
      </w:r>
      <w:r>
        <w:rPr>
          <w:rFonts w:hint="eastAsia" w:ascii="宋体" w:hAnsi="宋体" w:cs="宋体"/>
          <w:b/>
          <w:bCs/>
          <w:sz w:val="24"/>
          <w:szCs w:val="24"/>
          <w:lang w:eastAsia="zh-CN"/>
        </w:rPr>
        <w:t>，</w:t>
      </w:r>
      <w:r>
        <w:rPr>
          <w:rFonts w:hint="eastAsia" w:ascii="宋体" w:hAnsi="宋体" w:cs="宋体"/>
          <w:b/>
          <w:bCs/>
          <w:sz w:val="24"/>
          <w:szCs w:val="24"/>
          <w:lang w:val="zh-CN"/>
        </w:rPr>
        <w:t>专门面向中小企业采购的项目或者采购包，不再执行价格评审优惠的扶持政策。</w:t>
      </w:r>
      <w:r>
        <w:rPr>
          <w:rFonts w:hint="eastAsia" w:ascii="宋体" w:hAnsi="宋体" w:cs="宋体"/>
          <w:b/>
          <w:bCs/>
          <w:sz w:val="24"/>
          <w:szCs w:val="24"/>
        </w:rPr>
        <w:t>）</w:t>
      </w:r>
    </w:p>
    <w:p w14:paraId="76A2AD2B">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 xml:space="preserve">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02205479">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4790A110">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66CAAFE3">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 xml:space="preserve">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0664A525">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C048305">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5.投标产品同时列入上述多个清单的，将上述规定的价格扣除比例叠加后计算价格扣除。</w:t>
      </w:r>
    </w:p>
    <w:p w14:paraId="3EE3B6FB">
      <w:pPr>
        <w:autoSpaceDE w:val="0"/>
        <w:autoSpaceDN w:val="0"/>
        <w:adjustRightInd w:val="0"/>
        <w:spacing w:line="360" w:lineRule="auto"/>
        <w:ind w:firstLine="480" w:firstLineChars="200"/>
        <w:rPr>
          <w:rFonts w:ascii="宋体" w:hAnsi="宋体" w:cs="宋体"/>
          <w:b/>
          <w:sz w:val="24"/>
          <w:szCs w:val="24"/>
        </w:rPr>
      </w:pPr>
      <w:r>
        <w:rPr>
          <w:rFonts w:hint="eastAsia" w:ascii="宋体" w:hAnsi="宋体" w:cs="宋体"/>
          <w:sz w:val="24"/>
          <w:szCs w:val="24"/>
        </w:rPr>
        <w:br w:type="page"/>
      </w:r>
    </w:p>
    <w:p w14:paraId="415871B2">
      <w:pPr>
        <w:rPr>
          <w:rFonts w:ascii="宋体" w:hAnsi="宋体" w:cs="宋体"/>
        </w:rPr>
      </w:pPr>
    </w:p>
    <w:p w14:paraId="6D7BA0A7">
      <w:pPr>
        <w:pStyle w:val="3"/>
        <w:numPr>
          <w:ilvl w:val="0"/>
          <w:numId w:val="2"/>
        </w:numPr>
        <w:spacing w:before="0" w:after="0" w:line="360" w:lineRule="auto"/>
        <w:jc w:val="center"/>
        <w:rPr>
          <w:rFonts w:ascii="宋体" w:hAnsi="宋体" w:cs="宋体"/>
          <w:sz w:val="36"/>
          <w:szCs w:val="36"/>
        </w:rPr>
      </w:pPr>
      <w:r>
        <w:rPr>
          <w:rFonts w:hint="eastAsia" w:ascii="宋体" w:hAnsi="宋体" w:cs="宋体"/>
          <w:sz w:val="36"/>
          <w:szCs w:val="36"/>
        </w:rPr>
        <w:t xml:space="preserve"> </w:t>
      </w:r>
      <w:bookmarkStart w:id="51" w:name="_Toc11835"/>
      <w:r>
        <w:rPr>
          <w:rFonts w:hint="eastAsia" w:ascii="宋体" w:hAnsi="宋体" w:cs="宋体"/>
          <w:sz w:val="36"/>
          <w:szCs w:val="36"/>
        </w:rPr>
        <w:t>采购需求</w:t>
      </w:r>
      <w:bookmarkEnd w:id="51"/>
      <w:bookmarkStart w:id="52" w:name="_第五部分__"/>
      <w:bookmarkEnd w:id="52"/>
    </w:p>
    <w:p w14:paraId="43A75AB4">
      <w:pPr>
        <w:autoSpaceDE w:val="0"/>
        <w:autoSpaceDN w:val="0"/>
        <w:adjustRightInd w:val="0"/>
        <w:spacing w:line="360" w:lineRule="auto"/>
        <w:rPr>
          <w:rFonts w:hint="eastAsia" w:ascii="宋体" w:hAnsi="宋体" w:cs="宋体"/>
          <w:b/>
          <w:sz w:val="24"/>
          <w:szCs w:val="24"/>
          <w:lang w:val="zh-CN"/>
        </w:rPr>
      </w:pPr>
      <w:bookmarkStart w:id="53" w:name="_Toc20708"/>
      <w:r>
        <w:rPr>
          <w:rFonts w:hint="eastAsia" w:ascii="宋体" w:hAnsi="宋体" w:cs="宋体"/>
          <w:b/>
          <w:sz w:val="24"/>
          <w:szCs w:val="24"/>
          <w:lang w:val="zh-CN"/>
        </w:rPr>
        <w:t>采购名称：</w:t>
      </w:r>
      <w:r>
        <w:rPr>
          <w:rFonts w:hint="eastAsia" w:ascii="宋体" w:hAnsi="宋体" w:cs="宋体"/>
          <w:b/>
          <w:sz w:val="24"/>
          <w:szCs w:val="24"/>
          <w:lang w:val="en-US" w:eastAsia="zh-CN"/>
        </w:rPr>
        <w:t>长春工业大学高质量发展-学科建设-智能网联汽车科研创新平台建设项目</w:t>
      </w:r>
    </w:p>
    <w:p w14:paraId="73E087F6">
      <w:pPr>
        <w:autoSpaceDE w:val="0"/>
        <w:autoSpaceDN w:val="0"/>
        <w:adjustRightInd w:val="0"/>
        <w:spacing w:line="360" w:lineRule="auto"/>
        <w:rPr>
          <w:rFonts w:hint="eastAsia" w:ascii="宋体" w:hAnsi="宋体" w:cs="宋体"/>
          <w:b/>
          <w:sz w:val="24"/>
          <w:szCs w:val="24"/>
          <w:lang w:val="zh-CN"/>
        </w:rPr>
      </w:pPr>
      <w:r>
        <w:rPr>
          <w:rFonts w:hint="eastAsia" w:ascii="宋体" w:hAnsi="宋体" w:cs="宋体"/>
          <w:b/>
          <w:sz w:val="24"/>
          <w:szCs w:val="24"/>
          <w:lang w:val="zh-CN"/>
        </w:rPr>
        <w:t>采购预算：</w:t>
      </w:r>
      <w:r>
        <w:rPr>
          <w:rFonts w:hint="eastAsia" w:ascii="宋体" w:hAnsi="宋体" w:cs="宋体"/>
          <w:b/>
          <w:sz w:val="24"/>
          <w:szCs w:val="24"/>
          <w:u w:val="single"/>
          <w:lang w:val="zh-CN"/>
        </w:rPr>
        <w:t xml:space="preserve"> </w:t>
      </w:r>
      <w:r>
        <w:rPr>
          <w:rFonts w:hint="eastAsia" w:ascii="宋体" w:hAnsi="宋体" w:cs="宋体"/>
          <w:b/>
          <w:sz w:val="24"/>
          <w:szCs w:val="24"/>
          <w:u w:val="single"/>
          <w:lang w:val="en-US" w:eastAsia="zh-CN"/>
        </w:rPr>
        <w:t>393</w:t>
      </w:r>
      <w:r>
        <w:rPr>
          <w:rFonts w:hint="eastAsia" w:ascii="宋体" w:hAnsi="宋体" w:cs="宋体"/>
          <w:b/>
          <w:sz w:val="24"/>
          <w:szCs w:val="24"/>
          <w:u w:val="single"/>
          <w:lang w:val="zh-CN"/>
        </w:rPr>
        <w:t xml:space="preserve"> </w:t>
      </w:r>
      <w:r>
        <w:rPr>
          <w:rFonts w:hint="eastAsia" w:ascii="宋体" w:hAnsi="宋体" w:cs="宋体"/>
          <w:b/>
          <w:sz w:val="24"/>
          <w:szCs w:val="24"/>
          <w:lang w:val="zh-CN"/>
        </w:rPr>
        <w:t>万元，采购人不接受超出采购预算的投标报价。</w:t>
      </w:r>
    </w:p>
    <w:tbl>
      <w:tblPr>
        <w:tblStyle w:val="44"/>
        <w:tblW w:w="89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708"/>
        <w:gridCol w:w="1162"/>
        <w:gridCol w:w="5642"/>
        <w:gridCol w:w="709"/>
        <w:gridCol w:w="709"/>
      </w:tblGrid>
      <w:tr w14:paraId="3E62B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227C2D8C">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1162" w:type="dxa"/>
            <w:tcBorders>
              <w:tl2br w:val="nil"/>
              <w:tr2bl w:val="nil"/>
            </w:tcBorders>
            <w:noWrap w:val="0"/>
            <w:vAlign w:val="center"/>
          </w:tcPr>
          <w:p w14:paraId="0AD5942D">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货物名称</w:t>
            </w:r>
          </w:p>
        </w:tc>
        <w:tc>
          <w:tcPr>
            <w:tcW w:w="5642" w:type="dxa"/>
            <w:tcBorders>
              <w:tl2br w:val="nil"/>
              <w:tr2bl w:val="nil"/>
            </w:tcBorders>
            <w:noWrap w:val="0"/>
            <w:vAlign w:val="center"/>
          </w:tcPr>
          <w:p w14:paraId="5E9D5634">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主要功能配置及技术指标要求</w:t>
            </w:r>
          </w:p>
        </w:tc>
        <w:tc>
          <w:tcPr>
            <w:tcW w:w="709" w:type="dxa"/>
            <w:tcBorders>
              <w:tl2br w:val="nil"/>
              <w:tr2bl w:val="nil"/>
            </w:tcBorders>
            <w:noWrap w:val="0"/>
            <w:vAlign w:val="center"/>
          </w:tcPr>
          <w:p w14:paraId="0FB6186C">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数量</w:t>
            </w:r>
          </w:p>
        </w:tc>
        <w:tc>
          <w:tcPr>
            <w:tcW w:w="709" w:type="dxa"/>
            <w:tcBorders>
              <w:tl2br w:val="nil"/>
              <w:tr2bl w:val="nil"/>
            </w:tcBorders>
            <w:noWrap w:val="0"/>
            <w:vAlign w:val="center"/>
          </w:tcPr>
          <w:p w14:paraId="4D2B7A56">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数量单位</w:t>
            </w:r>
          </w:p>
        </w:tc>
      </w:tr>
      <w:tr w14:paraId="2A806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62D1C958">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w:t>
            </w:r>
          </w:p>
        </w:tc>
        <w:tc>
          <w:tcPr>
            <w:tcW w:w="1162" w:type="dxa"/>
            <w:tcBorders>
              <w:tl2br w:val="nil"/>
              <w:tr2bl w:val="nil"/>
            </w:tcBorders>
            <w:noWrap w:val="0"/>
            <w:vAlign w:val="center"/>
          </w:tcPr>
          <w:p w14:paraId="0C11F96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智能网联线控底盘实验平台</w:t>
            </w:r>
          </w:p>
        </w:tc>
        <w:tc>
          <w:tcPr>
            <w:tcW w:w="5642" w:type="dxa"/>
            <w:tcBorders>
              <w:tl2br w:val="nil"/>
              <w:tr2bl w:val="nil"/>
            </w:tcBorders>
            <w:noWrap w:val="0"/>
            <w:vAlign w:val="center"/>
          </w:tcPr>
          <w:p w14:paraId="11237947">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1、采用平台式结构，转向装置模拟实车状态放置。试验台采用模块化设计，各模块位置均可调节，以适用不同型号转向系统的测试。</w:t>
            </w:r>
          </w:p>
          <w:p w14:paraId="69FBD52D">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2、台面布置采用模块化结构，分别由基础台架、机械管柱安装组件、HCU支架、真空助力器支撑组件、后刹组件、前刹组件、旋转夹具、旋转加载模组等组成。</w:t>
            </w:r>
          </w:p>
          <w:p w14:paraId="7A7A06E8">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基础平台采用底部焊接框架，确保强度的同时减少重量，上部采用Q235钢板整体加工而成，加工钢板上下表面确保平板的平行度，表面镀铬处理，具有优秀的防锈能力，底部使用机床调整垫铁，保证平台处于水平状态，四周封有工业铝型材，防止制动液的留出，提升美观性。台面固定汽车座椅，整体升高降低行程50mm，前后总行程140mm。</w:t>
            </w:r>
          </w:p>
          <w:p w14:paraId="25CD9A24">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旋转加载部分主要由伺服电机、减速机、联轴器、摆臂、转轴、焊接支架等组成，焊接支架采用焊接方式，焊后整体加工，确保强度与精度，电机与转轴连接使用联轴器，起到保护电机作用，摆臂长度200mm，旋转角度±60°，满足各种转向器的全行程加载，旋转加载模组可以对应不同车型的各种实车安装状态，可实现更加接近实车状态下的试验。。</w:t>
            </w:r>
          </w:p>
          <w:p w14:paraId="57EC1AD2">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5、旋转夹具为固定转向器的夹具，其具有非常强的角度调节能力，可达±30°，同时通过更换旋转块即可兼容不同样机，实现样机的实车状态安装。样机的安装采用实车安装方式，被试件拆装方便。</w:t>
            </w:r>
          </w:p>
          <w:p w14:paraId="6D9CCE93">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制动系统其包含后刹组件、前刹组件、HCU支架、真空助力器支撑组件等。前刹后刹组件使用钢板加工而成，确保强度要求，同时参考实车的布局方式布置在台架上，管路布局参考实车状态，保证油压上升的速度，管路中设置阀座，用于压力传感器的安装，模拟真实状态。真空助力器后接ESP的液压调节单元，调节单元连接负载，制动油管压力达到20Mpa。</w:t>
            </w:r>
          </w:p>
          <w:p w14:paraId="4F9909A3">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7、提供配电系统，用于伺服控制器及电气元器件的安装与接线。配电系统安装在电气控制柜中，线缆布置在线槽中，采用强弱电分开机制，避免强电对弱电的干扰。</w:t>
            </w:r>
          </w:p>
          <w:p w14:paraId="60F37C84">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sz w:val="24"/>
                <w:szCs w:val="24"/>
                <w:highlight w:val="none"/>
                <w:lang w:val="en-US" w:eastAsia="zh-CN"/>
              </w:rPr>
              <w:t>8、试验台操作者经常接触部位采用24V直流供电，操作者无需担心操作过程中有触电危险，操作更加安全方便。</w:t>
            </w:r>
          </w:p>
        </w:tc>
        <w:tc>
          <w:tcPr>
            <w:tcW w:w="709" w:type="dxa"/>
            <w:tcBorders>
              <w:tl2br w:val="nil"/>
              <w:tr2bl w:val="nil"/>
            </w:tcBorders>
            <w:noWrap w:val="0"/>
            <w:vAlign w:val="center"/>
          </w:tcPr>
          <w:p w14:paraId="13D17E7E">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7C1F6450">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套</w:t>
            </w:r>
          </w:p>
        </w:tc>
      </w:tr>
      <w:tr w14:paraId="0763F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065ECE7C">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w:t>
            </w:r>
          </w:p>
        </w:tc>
        <w:tc>
          <w:tcPr>
            <w:tcW w:w="1162" w:type="dxa"/>
            <w:tcBorders>
              <w:tl2br w:val="nil"/>
              <w:tr2bl w:val="nil"/>
            </w:tcBorders>
            <w:noWrap w:val="0"/>
            <w:vAlign w:val="center"/>
          </w:tcPr>
          <w:p w14:paraId="6A79163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智能网联整车研发平台</w:t>
            </w:r>
          </w:p>
        </w:tc>
        <w:tc>
          <w:tcPr>
            <w:tcW w:w="5642" w:type="dxa"/>
            <w:tcBorders>
              <w:tl2br w:val="nil"/>
              <w:tr2bl w:val="nil"/>
            </w:tcBorders>
            <w:noWrap w:val="0"/>
            <w:vAlign w:val="center"/>
          </w:tcPr>
          <w:p w14:paraId="43AEA38D">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1、控制接口要求：1 CAN通道，在后备箱预留一路自动驾驶控制系统的CAN通信接口。</w:t>
            </w:r>
          </w:p>
          <w:p w14:paraId="443F39A2">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2、线控转向要求：</w:t>
            </w:r>
          </w:p>
          <w:p w14:paraId="189908EA">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（1）转向角度控制：</w:t>
            </w:r>
          </w:p>
          <w:p w14:paraId="5574A823">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使能：总线控制转向系统从人工驾驶状态切换到自动驾驶状态的标志位。</w:t>
            </w:r>
          </w:p>
          <w:p w14:paraId="6A1D36F4">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目标方向盘转角：最大转动角度范围：-470°至+470°（可调）；最大角度误差：[0,10°]：&lt;0.5°；(10°,θMAX]：≤1°；0.2Hz正弦波控制：响应延迟&lt;50ms；周期10s的方波控制：响应延迟&lt;50ms；信号分辨率：0.1deg。</w:t>
            </w:r>
          </w:p>
          <w:p w14:paraId="03DEDFBD">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目标方向盘转速：转动速率：0~500deg/s ，信号分辨率：1deg/s。</w:t>
            </w:r>
          </w:p>
          <w:p w14:paraId="69D4637F">
            <w:pPr>
              <w:keepNext w:val="0"/>
              <w:keepLines w:val="0"/>
              <w:pageBreakBefore w:val="0"/>
              <w:numPr>
                <w:ilvl w:val="0"/>
                <w:numId w:val="0"/>
              </w:numPr>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（2）人工接管：</w:t>
            </w:r>
          </w:p>
          <w:p w14:paraId="7AEC3314">
            <w:pPr>
              <w:keepNext w:val="0"/>
              <w:keepLines w:val="0"/>
              <w:pageBreakBefore w:val="0"/>
              <w:numPr>
                <w:ilvl w:val="0"/>
                <w:numId w:val="0"/>
              </w:numPr>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方向盘扭矩门限：驾驶员施加≥3Nm的扭矩并持续一段时间后，系统切换至人工驾驶模式；退出自动驾驶模式后，需具备转向使能上升沿触发功能，以便再次进入自动驾驶模式。</w:t>
            </w:r>
          </w:p>
          <w:p w14:paraId="5E3EA01A">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3、线控驱动要求：</w:t>
            </w:r>
          </w:p>
          <w:p w14:paraId="0239B17F">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（1）驱动控制：</w:t>
            </w:r>
          </w:p>
          <w:p w14:paraId="1D72D008">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使能：总线控制驱动系统从人工驾驶状态切换到自动驾驶状态的标志位。</w:t>
            </w:r>
          </w:p>
          <w:p w14:paraId="2354DCBF">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油门踏板位置范围：0%~100%，响应延迟：＜50ms，信号分辨率：1%。</w:t>
            </w:r>
          </w:p>
          <w:p w14:paraId="1DD530B4">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车辆纵向加速度范围：0~3m/s²，线性可调，响应延迟：＜50ms，信号分辨率：0.1m/s2。</w:t>
            </w:r>
          </w:p>
          <w:p w14:paraId="3E171665">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（2）人工接管：</w:t>
            </w:r>
          </w:p>
          <w:p w14:paraId="5CE0AAAB">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加速踏板指令覆盖：当驾驶员驱动加速踏板，踏板请求可以覆盖总线控制指令请求。</w:t>
            </w:r>
          </w:p>
          <w:p w14:paraId="1E01CF70">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4、线控制动要求：</w:t>
            </w:r>
          </w:p>
          <w:p w14:paraId="70259880">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（1）制动控制：</w:t>
            </w:r>
          </w:p>
          <w:p w14:paraId="0A7DA2C2">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使能：总线控制制动系统从人工驾驶状态切换到自动驾驶状态的标志位。</w:t>
            </w:r>
          </w:p>
          <w:p w14:paraId="33521448">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制动踏板位置范围：0%~100%，响应延迟＜50ms，信号分辨率：0.1%。</w:t>
            </w:r>
          </w:p>
          <w:p w14:paraId="0147FA4A">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制动减速度范围：0~ -5m/s²，线性可调，响应延迟＜50ms，最大执行时间＜700ms，信号分辨率：0.1m/s2。</w:t>
            </w:r>
          </w:p>
          <w:p w14:paraId="330577C4">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（2）人工接管：</w:t>
            </w:r>
          </w:p>
          <w:p w14:paraId="1328EF69">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当驾驶员施加控制（如踩踏制动踏板）时，系统自动退出线控自动驾驶模式并切换至人工驾驶模式；具备退出后通过触发机制重新进入自动驾驶的能力。</w:t>
            </w:r>
          </w:p>
          <w:p w14:paraId="7E752ACF">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5、线控档位要求：</w:t>
            </w:r>
          </w:p>
          <w:p w14:paraId="6209F17B">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支持R/N/D档位切换，具备从人工驾驶状态切换至自动驾驶状态的标志位功能。</w:t>
            </w:r>
          </w:p>
          <w:p w14:paraId="5F9A46A6">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6、线控灯光要求：</w:t>
            </w:r>
          </w:p>
          <w:p w14:paraId="771BB211">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转向灯与危险报警闪光灯控制功能，响应时间短，满足道路使用安全性要求。</w:t>
            </w:r>
          </w:p>
          <w:p w14:paraId="25A7783B">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7、故障与安全退出：</w:t>
            </w:r>
          </w:p>
          <w:p w14:paraId="795AEBED">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当整车发生故障时，系统能完全退出至人工驾驶模式，确保行车安全。提供手动退出功能，通过操作实现从所有子系统的自动驾驶状态切换至人工驾驶模式。</w:t>
            </w:r>
          </w:p>
          <w:p w14:paraId="0C2BCFCE">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8、智能驾驶功能要求：</w:t>
            </w:r>
          </w:p>
          <w:p w14:paraId="0DD0FFA9">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功能模块：自动路径跟踪、遇障碍物主动刹车与避障、自动转向、紧急制动、人工接管等功能；支持毫米波雷达监测、激光雷达建图及融合定位，适应复杂驾驶环境。</w:t>
            </w:r>
          </w:p>
          <w:p w14:paraId="1E878AAE">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9、导航与定位要求：</w:t>
            </w:r>
          </w:p>
          <w:p w14:paraId="2821AB0B">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采用组合导航系统（GNSS/IMU）与高精地图融合方式，定位精度达到厘米级，满足智能驾驶场景需求。</w:t>
            </w:r>
          </w:p>
          <w:p w14:paraId="4C70D80A">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10、开放协议要求：</w:t>
            </w:r>
          </w:p>
          <w:p w14:paraId="4F31DF11">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平台具备开放性，支持CAN网络通讯及智能驾驶算法开源，可实现二次开发及功能扩展。</w:t>
            </w:r>
          </w:p>
          <w:p w14:paraId="6D91C021">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11、安全性能要求：</w:t>
            </w:r>
          </w:p>
          <w:p w14:paraId="256C9E78">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配备防撞梁、缓冲胶圈及快速急停开关等多重防护措施。确保实验操作安全，适合教学及科研用途。</w:t>
            </w:r>
          </w:p>
        </w:tc>
        <w:tc>
          <w:tcPr>
            <w:tcW w:w="709" w:type="dxa"/>
            <w:tcBorders>
              <w:tl2br w:val="nil"/>
              <w:tr2bl w:val="nil"/>
            </w:tcBorders>
            <w:noWrap w:val="0"/>
            <w:vAlign w:val="center"/>
          </w:tcPr>
          <w:p w14:paraId="448B88B7">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4530C268">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套</w:t>
            </w:r>
          </w:p>
        </w:tc>
      </w:tr>
      <w:tr w14:paraId="2288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5DB3B81F">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p>
        </w:tc>
        <w:tc>
          <w:tcPr>
            <w:tcW w:w="1162" w:type="dxa"/>
            <w:tcBorders>
              <w:tl2br w:val="nil"/>
              <w:tr2bl w:val="nil"/>
            </w:tcBorders>
            <w:noWrap w:val="0"/>
            <w:vAlign w:val="center"/>
          </w:tcPr>
          <w:p w14:paraId="46C11893">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AI无人驾驶工作站</w:t>
            </w:r>
          </w:p>
        </w:tc>
        <w:tc>
          <w:tcPr>
            <w:tcW w:w="5642" w:type="dxa"/>
            <w:tcBorders>
              <w:tl2br w:val="nil"/>
              <w:tr2bl w:val="nil"/>
            </w:tcBorders>
            <w:noWrap w:val="0"/>
            <w:vAlign w:val="center"/>
          </w:tcPr>
          <w:p w14:paraId="01B26BDF">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1.高性能工作站配置不低于酷睿i7处理器 、 32GB 内存、 显示器尺寸不小于27英寸。</w:t>
            </w:r>
          </w:p>
          <w:p w14:paraId="239F24AB">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2.路由器协议至少包括TCP/IP，RIP-1，RIP-2，DHCP；传输速率不低于1900Mbps；须内置防火墙。</w:t>
            </w:r>
          </w:p>
          <w:p w14:paraId="65BA4132">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3.路由器处理器不低于1GHz双核；内存不低于256 MB RAM。</w:t>
            </w:r>
          </w:p>
          <w:p w14:paraId="14ACA9A7">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4.具备MATLAB/Simulink, Python, TensorFlow和ROS等多种语言开发环境，能实现MATLAB/Simulink、Python、ROS多软件环境的实时交互融合。</w:t>
            </w:r>
          </w:p>
          <w:p w14:paraId="42309BBD">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控制策略在MATLAB/Simulink环境下进行设计和实时控制实现。采用Host－Target模式，控制器开发在装有MATLAB/Simulink的Host主机实现，控制器搭建完成后直接在Simulink下进行编译，实现无线通讯协议下载到嵌入式控制器（target机）实现实时控制通过无线局域网与各智能体进行通讯。</w:t>
            </w:r>
          </w:p>
          <w:p w14:paraId="24CDEC01">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6.带有Simulink通信协议模块，通过模块的设置对话框可以直接选择TCP/IP、UDP、SPI、共享内存、串口、I2C、RS485 各种通信。（投标文件提供对应的功能界面截图证明作为技术支撑材料）</w:t>
            </w:r>
          </w:p>
          <w:p w14:paraId="7867D8D3">
            <w:pPr>
              <w:keepNext w:val="0"/>
              <w:keepLines w:val="0"/>
              <w:pageBreakBefore w:val="0"/>
              <w:kinsoku/>
              <w:wordWrap/>
              <w:overflowPunct/>
              <w:topLinePunct w:val="0"/>
              <w:autoSpaceDE/>
              <w:autoSpaceDN/>
              <w:bidi w:val="0"/>
              <w:adjustRightInd/>
              <w:snapToGrid/>
              <w:spacing w:line="288" w:lineRule="auto"/>
              <w:ind w:left="20" w:leftChars="10" w:right="20" w:rightChars="10"/>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7.支持的Software&amp;API至少包含: Quanser QUARC、TensorFlow、TensorRT、Python™ 2.7 &amp; 3、ROS 2、CUDA®、Simulation and virtual training environments (Gazebo)。</w:t>
            </w:r>
          </w:p>
          <w:p w14:paraId="3710A3B5">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8.可扩展虚拟现实的沉浸式数字孪生环境；须通过增强现实技术实现可视化数字孪生的实景仿真。</w:t>
            </w:r>
          </w:p>
          <w:p w14:paraId="10E0D2CA">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9.遥控手柄数据与MATLAB/Simulink兼容，带有手柄的特有Simulink模块，在Simulink界面可实时获取遥控手柄数据。（投标文件提供对应的功能界面截图证明作为技术支撑材料）</w:t>
            </w:r>
          </w:p>
          <w:p w14:paraId="6F9E9488">
            <w:pPr>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10.鼠标键盘数据与MATLAB/Simulink完全兼容，可在Simulink界面对鼠标键盘数据进行实时获取和应用，带有鼠标键盘的特有Simulink模块。</w:t>
            </w:r>
          </w:p>
        </w:tc>
        <w:tc>
          <w:tcPr>
            <w:tcW w:w="709" w:type="dxa"/>
            <w:tcBorders>
              <w:tl2br w:val="nil"/>
              <w:tr2bl w:val="nil"/>
            </w:tcBorders>
            <w:noWrap w:val="0"/>
            <w:vAlign w:val="center"/>
          </w:tcPr>
          <w:p w14:paraId="56283CA5">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9" w:type="dxa"/>
            <w:tcBorders>
              <w:tl2br w:val="nil"/>
              <w:tr2bl w:val="nil"/>
            </w:tcBorders>
            <w:noWrap w:val="0"/>
            <w:vAlign w:val="center"/>
          </w:tcPr>
          <w:p w14:paraId="5E0622D0">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r>
      <w:tr w14:paraId="188CC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1E4097D3">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w:t>
            </w:r>
          </w:p>
        </w:tc>
        <w:tc>
          <w:tcPr>
            <w:tcW w:w="1162" w:type="dxa"/>
            <w:tcBorders>
              <w:tl2br w:val="nil"/>
              <w:tr2bl w:val="nil"/>
            </w:tcBorders>
            <w:noWrap w:val="0"/>
            <w:vAlign w:val="center"/>
          </w:tcPr>
          <w:p w14:paraId="0F8611BC">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无人驾驶虚拟道路接口平台</w:t>
            </w:r>
          </w:p>
        </w:tc>
        <w:tc>
          <w:tcPr>
            <w:tcW w:w="5642" w:type="dxa"/>
            <w:tcBorders>
              <w:tl2br w:val="nil"/>
              <w:tr2bl w:val="nil"/>
            </w:tcBorders>
            <w:noWrap w:val="0"/>
            <w:vAlign w:val="center"/>
          </w:tcPr>
          <w:p w14:paraId="066620D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1.须能够实现基于无人车提供多功能、可组合的虚拟现实道路环境。</w:t>
            </w:r>
          </w:p>
          <w:p w14:paraId="10DDAAC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2.道路尺寸：单车道宽度不大于25cm;双车道宽度不大于50cm。</w:t>
            </w:r>
          </w:p>
          <w:p w14:paraId="0326C7A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3.可重构道路至少包括8字形、环形等道路情景。道路边界采用白色高识别路线标识，中分线采用黄色高识别性路线标识。</w:t>
            </w:r>
          </w:p>
          <w:p w14:paraId="4BA9BB3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4.须配备三色交通灯，交通灯与MATLAB/Simulink/Python数据实时交互。（投标文件提供对应的功能界面截图证明作为技术支撑材料）</w:t>
            </w:r>
          </w:p>
          <w:p w14:paraId="6001C6B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5.具备的数字孪生工具包提供不低于四种环境的虚拟场景，可通过快捷键实现虚拟场景的视角切换，能自定义场景视角。（投标文件提供对应的功能界面截图证明作为技术支撑材料）</w:t>
            </w:r>
          </w:p>
          <w:p w14:paraId="538FEF6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6.数字孪生场景须能实现无人车巡线视觉的切换。</w:t>
            </w:r>
          </w:p>
          <w:p w14:paraId="401EE92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7.数字孪生场景须能设置屏幕百分比，空间反射度，透明度等参数变更场景视觉效果。虚拟场景可设置雨天、晴天、黑夜和白天。</w:t>
            </w:r>
          </w:p>
          <w:p w14:paraId="0F64645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8.虚拟场景须可设置光照时间，并根据不同光照时间体现场景的阴暗度。自带可设置障碍物至少包括行人、动物、路障等。</w:t>
            </w:r>
          </w:p>
          <w:p w14:paraId="58DC405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9.数字孪生场景可根据需求自行建立直线、虚线、弧线构成场景跑道。</w:t>
            </w:r>
          </w:p>
          <w:p w14:paraId="6511B32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10.孪生虚拟无人车的转向角、转速、激光雷达、图像等虚拟传感器信号在Simulink界面可实时获取，并且实现与物理无人车的传感器信号实时交互耦合。（投标文件提供对应的功能界面截图证明作为技术支撑材料）</w:t>
            </w:r>
          </w:p>
          <w:p w14:paraId="61ADF67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11.孪生无人车可获取物理交通灯信息、实现车路联网等应用。</w:t>
            </w:r>
          </w:p>
        </w:tc>
        <w:tc>
          <w:tcPr>
            <w:tcW w:w="709" w:type="dxa"/>
            <w:tcBorders>
              <w:tl2br w:val="nil"/>
              <w:tr2bl w:val="nil"/>
            </w:tcBorders>
            <w:noWrap w:val="0"/>
            <w:vAlign w:val="center"/>
          </w:tcPr>
          <w:p w14:paraId="1E3B8BDC">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9" w:type="dxa"/>
            <w:tcBorders>
              <w:tl2br w:val="nil"/>
              <w:tr2bl w:val="nil"/>
            </w:tcBorders>
            <w:noWrap w:val="0"/>
            <w:vAlign w:val="center"/>
          </w:tcPr>
          <w:p w14:paraId="571EC67F">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r>
      <w:tr w14:paraId="452B2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477DD9BA">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w:t>
            </w:r>
          </w:p>
        </w:tc>
        <w:tc>
          <w:tcPr>
            <w:tcW w:w="1162" w:type="dxa"/>
            <w:tcBorders>
              <w:tl2br w:val="nil"/>
              <w:tr2bl w:val="nil"/>
            </w:tcBorders>
            <w:noWrap w:val="0"/>
            <w:vAlign w:val="center"/>
          </w:tcPr>
          <w:p w14:paraId="6314093A">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无人驾驶实时控制平台</w:t>
            </w:r>
          </w:p>
        </w:tc>
        <w:tc>
          <w:tcPr>
            <w:tcW w:w="5642" w:type="dxa"/>
            <w:tcBorders>
              <w:tl2br w:val="nil"/>
              <w:tr2bl w:val="nil"/>
            </w:tcBorders>
            <w:noWrap w:val="0"/>
            <w:vAlign w:val="center"/>
          </w:tcPr>
          <w:p w14:paraId="0C2DB65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完全与MATLAB/Simulink兼容，安装实时控制软件后的Simulink界面带有此软件的功能图标，鼠标点击此功能图标可弹出标签页，标签页能对可执行文件类型进行选择，以及程序的编译、部署、运行、停止操作。（投标文件提供对应的功能界面截图证明作为技术支撑材料）</w:t>
            </w:r>
          </w:p>
          <w:p w14:paraId="6353170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2.通过MATLAB主窗口键入和运行帮助文件调出指令，可直接弹出实时控制软件的常用功能示例DEMO。（投标文件提供对应的功能界面截图证明作为技术支撑材料）</w:t>
            </w:r>
          </w:p>
          <w:p w14:paraId="065D892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3.Simulink模块库内包含此实时控制软件的特有模块库，实时控制软件所包含的模块可以通过鼠标右键点击弹出帮助文件，对模块进行使用说明。（投标文件提供对应的功能界面截图证明作为技术支撑材料）</w:t>
            </w:r>
          </w:p>
          <w:p w14:paraId="7980FDF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实时控制软件特有模块库至少包含通信协议模块、CAN通信模块、模拟量读写模块、数字量读写模块、PWM输出模块、编码器读取模块、图像信息获取模块、图像处理模块、数据保存模块、基于硬件时钟数据读取模块、测距传感器读取模块、游戏手柄信号读取模块、程序急停模块，语音信号读取模块。</w:t>
            </w:r>
          </w:p>
          <w:p w14:paraId="3C3DCF9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5.实时控制软件包含的通信协议模块可以通过弹窗直接选择设置TCPIP、UDP、SPI、共享内存、串口、I2C、RS485等多种通信协议。（投标文件提供对应的功能界面截图证明作为技术支撑材料）</w:t>
            </w:r>
          </w:p>
          <w:p w14:paraId="60DFB7D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6.可扩展在MATLAB/Simulink下实现3D数字孪生仿真功能，实现虚实结合的硬件在环控制实验。（投标文件提供对应的功能界面截图证明作为技术支撑材料）</w:t>
            </w:r>
          </w:p>
          <w:p w14:paraId="550D725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7.可以编译多种操作系统兼容的可执行实时代码，支持控制系统的闭环采样频率在WINDOWS环境不低于1kHz，须带有黑匣子数据储存功能。</w:t>
            </w:r>
          </w:p>
          <w:p w14:paraId="6FFC2CC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8.数据采集硬件端口功能做成相应的Simulink模块，在Simulink界面鼠标点击硬件端口模块弹出对话框，通过Simulink对话框直接对硬件端口进行读、写定义和通道指定。</w:t>
            </w:r>
          </w:p>
          <w:p w14:paraId="3486477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9.实时控制软件须包含图像信息获取模块、图像处理模块，须能在Simulink界面直接观察图像并进行图像信息的处理。（投标文件提供对应的功能界面截图证明作为技术支撑材料）</w:t>
            </w:r>
          </w:p>
        </w:tc>
        <w:tc>
          <w:tcPr>
            <w:tcW w:w="709" w:type="dxa"/>
            <w:tcBorders>
              <w:tl2br w:val="nil"/>
              <w:tr2bl w:val="nil"/>
            </w:tcBorders>
            <w:noWrap w:val="0"/>
            <w:vAlign w:val="center"/>
          </w:tcPr>
          <w:p w14:paraId="6468A5DB">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709" w:type="dxa"/>
            <w:tcBorders>
              <w:tl2br w:val="nil"/>
              <w:tr2bl w:val="nil"/>
            </w:tcBorders>
            <w:noWrap w:val="0"/>
            <w:vAlign w:val="center"/>
          </w:tcPr>
          <w:p w14:paraId="13A0C681">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r>
      <w:tr w14:paraId="00597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3C98AAF8">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w:t>
            </w:r>
          </w:p>
        </w:tc>
        <w:tc>
          <w:tcPr>
            <w:tcW w:w="1162" w:type="dxa"/>
            <w:tcBorders>
              <w:tl2br w:val="nil"/>
              <w:tr2bl w:val="nil"/>
            </w:tcBorders>
            <w:noWrap w:val="0"/>
            <w:vAlign w:val="center"/>
          </w:tcPr>
          <w:p w14:paraId="6CF21C3C">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AI无人驾驶车</w:t>
            </w:r>
          </w:p>
        </w:tc>
        <w:tc>
          <w:tcPr>
            <w:tcW w:w="5642" w:type="dxa"/>
            <w:tcBorders>
              <w:tl2br w:val="nil"/>
              <w:tr2bl w:val="nil"/>
            </w:tcBorders>
            <w:noWrap w:val="0"/>
            <w:vAlign w:val="center"/>
          </w:tcPr>
          <w:p w14:paraId="608E233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1.无人驾驶车的图像数据、激光雷达数据、编码器数据与MATLAB/Simulink完全兼容，可在Simulink界面对车辆的传感器信号进行实时获取和应用。（投标文件提供对应的功能界面截图证明作为技术支撑材料）</w:t>
            </w:r>
          </w:p>
          <w:p w14:paraId="47CFF3C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2.车辆尺寸不超过40×20×20cm。</w:t>
            </w:r>
          </w:p>
          <w:p w14:paraId="489A2AE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3.最大车速不小于2.5 m/s。</w:t>
            </w:r>
          </w:p>
          <w:p w14:paraId="4BFB43B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4.设备重量（带电池）不大于2.8KG。</w:t>
            </w:r>
          </w:p>
          <w:p w14:paraId="5FB9CFC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5.激光雷达配置不低于：分辨率16k, 频率5-15Hz, 测量范围0.2-12m。</w:t>
            </w:r>
          </w:p>
          <w:p w14:paraId="1B6113A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6.摄像头配置不低于Intel D435 RGBD Camera：360°2D CSI Cameras。（4个160°FOV 广角镜头，21fps- 120fps）</w:t>
            </w:r>
          </w:p>
          <w:p w14:paraId="3D50C20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7.须带有编码器测量电机转速，编码器数据可以直接MATLAB/Simulink界面实时获取</w:t>
            </w:r>
          </w:p>
          <w:p w14:paraId="613E0AF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8.须带前照灯、制动灯、转向信号灯和倒车灯、双麦克风、扬声器、LCD diagnostic monitoring, 电池电压显示。</w:t>
            </w:r>
          </w:p>
          <w:p w14:paraId="4A5C00D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9.须采用阿克曼转向，并带有底盘悬架弹簧减震功能。</w:t>
            </w:r>
          </w:p>
          <w:p w14:paraId="4A030EF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10.须兼容MATLAB/Simulink、Python、ROS,能实现MATLAB/Simulink、Python、ROS多软件环境的实时交互融合。（投标文件提供对应的功能界面截图证明作为技术支撑材料）</w:t>
            </w:r>
          </w:p>
        </w:tc>
        <w:tc>
          <w:tcPr>
            <w:tcW w:w="709" w:type="dxa"/>
            <w:tcBorders>
              <w:tl2br w:val="nil"/>
              <w:tr2bl w:val="nil"/>
            </w:tcBorders>
            <w:noWrap w:val="0"/>
            <w:vAlign w:val="center"/>
          </w:tcPr>
          <w:p w14:paraId="3263AC51">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709" w:type="dxa"/>
            <w:tcBorders>
              <w:tl2br w:val="nil"/>
              <w:tr2bl w:val="nil"/>
            </w:tcBorders>
            <w:noWrap w:val="0"/>
            <w:vAlign w:val="center"/>
          </w:tcPr>
          <w:p w14:paraId="1BFCFF7E">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r>
      <w:tr w14:paraId="5DED2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0AA8618A">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w:t>
            </w:r>
          </w:p>
        </w:tc>
        <w:tc>
          <w:tcPr>
            <w:tcW w:w="1162" w:type="dxa"/>
            <w:tcBorders>
              <w:tl2br w:val="nil"/>
              <w:tr2bl w:val="nil"/>
            </w:tcBorders>
            <w:noWrap w:val="0"/>
            <w:vAlign w:val="center"/>
          </w:tcPr>
          <w:p w14:paraId="69D4F222">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车载多功能数据采集卡</w:t>
            </w:r>
          </w:p>
        </w:tc>
        <w:tc>
          <w:tcPr>
            <w:tcW w:w="5642" w:type="dxa"/>
            <w:tcBorders>
              <w:tl2br w:val="nil"/>
              <w:tr2bl w:val="nil"/>
            </w:tcBorders>
            <w:noWrap w:val="0"/>
            <w:vAlign w:val="center"/>
          </w:tcPr>
          <w:p w14:paraId="44B7D551">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1.须完全兼容、MATLAB/Simulink、Python和ROS。</w:t>
            </w:r>
          </w:p>
          <w:p w14:paraId="2E484B5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2.处理器配置不低于NVIDIA Jetson Orin AGX ；CPU: 2.2 GHz 8-core ARM Cortex-A78 64-bit；GPU: 930 MHz 1792-CUDA/56-TENSOR cores；NVIDIA Ampere GPU architecture 200 TOPS ；Memory- 32GB 256-bit LPDDR5 @ 204.8 GB/s。（投标文件提供对应的功能界面截图证明作为技术支撑材料）</w:t>
            </w:r>
          </w:p>
          <w:p w14:paraId="5FC89D6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3.IO口至少包括：2个PWM通道、3个可自定义功能按钮、1个高速3.3V SPI、2个 I2C、11个GPIO、1个USB 接口、2个Type-C接口、2个通用3.3V高速串行接口、2个编码器通道、2个单极模拟量输入、2个CAN 总线。（投标文件提供对应的功能界面截图证明作为技术支撑材料）</w:t>
            </w:r>
          </w:p>
          <w:p w14:paraId="7572E60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4.支持的Software&amp;API至少包括: Quanser QUARC、TensorFlow、TensorRT、Python™ 2.7 &amp; 3、ROS 2、CUDA®、Simulation and virtual training environments (Gazebo)。（投标文件提供对应的功能界面截图证明作为技术支撑材料）</w:t>
            </w:r>
          </w:p>
          <w:p w14:paraId="162B836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5.可扩展NVIDIA jetson-inference实现视觉深度神经网络的训练和部署。</w:t>
            </w:r>
          </w:p>
          <w:p w14:paraId="1DBF7C4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6.在Simulink界面实时获取多路摄像头数据，并进行处理分析、储存。</w:t>
            </w:r>
          </w:p>
          <w:p w14:paraId="35443E4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7.各IO口数据须与MATLAB/Simulink完全兼容，可在Simulink界面对各接口直接调用。</w:t>
            </w:r>
          </w:p>
          <w:p w14:paraId="2C7A784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8.须预装Ubuntu系统，可以与无人驾驶工作站进行无线交互，可通过无人驾驶车接口进行控制使用，数据可以通过MATLAB/Simulink进行硬件在环实验。</w:t>
            </w:r>
          </w:p>
          <w:p w14:paraId="3748149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9.三轴加速度计： 精度16-bit,  数据在Simulink界面实时获取。</w:t>
            </w:r>
          </w:p>
          <w:p w14:paraId="57ECA6E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10.三自由度陀螺仪：精度±2000deg/s， 数据在Simulink界面实时获取。</w:t>
            </w:r>
          </w:p>
        </w:tc>
        <w:tc>
          <w:tcPr>
            <w:tcW w:w="709" w:type="dxa"/>
            <w:tcBorders>
              <w:tl2br w:val="nil"/>
              <w:tr2bl w:val="nil"/>
            </w:tcBorders>
            <w:noWrap w:val="0"/>
            <w:vAlign w:val="center"/>
          </w:tcPr>
          <w:p w14:paraId="146BF1EE">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709" w:type="dxa"/>
            <w:tcBorders>
              <w:tl2br w:val="nil"/>
              <w:tr2bl w:val="nil"/>
            </w:tcBorders>
            <w:noWrap w:val="0"/>
            <w:vAlign w:val="center"/>
          </w:tcPr>
          <w:p w14:paraId="00C07074">
            <w:pPr>
              <w:keepNext w:val="0"/>
              <w:keepLines w:val="0"/>
              <w:pageBreakBefore w:val="0"/>
              <w:widowControl/>
              <w:suppressLineNumbers w:val="0"/>
              <w:kinsoku/>
              <w:wordWrap/>
              <w:overflowPunct/>
              <w:topLinePunct w:val="0"/>
              <w:autoSpaceDE/>
              <w:autoSpaceDN/>
              <w:bidi w:val="0"/>
              <w:adjustRightInd/>
              <w:snapToGrid/>
              <w:spacing w:line="288" w:lineRule="auto"/>
              <w:ind w:left="20" w:leftChars="10" w:right="20" w:rightChars="1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r>
      <w:tr w14:paraId="7D689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1C6D1D1D">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w:t>
            </w:r>
          </w:p>
        </w:tc>
        <w:tc>
          <w:tcPr>
            <w:tcW w:w="1162" w:type="dxa"/>
            <w:tcBorders>
              <w:tl2br w:val="nil"/>
              <w:tr2bl w:val="nil"/>
            </w:tcBorders>
            <w:noWrap w:val="0"/>
            <w:vAlign w:val="center"/>
          </w:tcPr>
          <w:p w14:paraId="0C616CC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AGV线控底盘</w:t>
            </w:r>
          </w:p>
        </w:tc>
        <w:tc>
          <w:tcPr>
            <w:tcW w:w="5642" w:type="dxa"/>
            <w:tcBorders>
              <w:tl2br w:val="nil"/>
              <w:tr2bl w:val="nil"/>
            </w:tcBorders>
            <w:noWrap w:val="0"/>
            <w:vAlign w:val="center"/>
          </w:tcPr>
          <w:p w14:paraId="25693DB1">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1）整车要求</w:t>
            </w:r>
          </w:p>
          <w:p w14:paraId="3A634D7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汽车级别：低速车辆</w:t>
            </w:r>
          </w:p>
          <w:p w14:paraId="7AAE503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能源类型：纯电动</w:t>
            </w:r>
          </w:p>
          <w:p w14:paraId="0F8D074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车辆规格：≥1740*1040*436mm</w:t>
            </w:r>
          </w:p>
          <w:p w14:paraId="4B8371F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上装支架：钣金喷塑结构</w:t>
            </w:r>
          </w:p>
          <w:p w14:paraId="43426C4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整车质量：≤200kg，最大承重≥300kg</w:t>
            </w:r>
          </w:p>
          <w:p w14:paraId="7CEDBB1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离地间隙：≥100mm</w:t>
            </w:r>
          </w:p>
          <w:p w14:paraId="2BF574C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最大车速：≥15km/h</w:t>
            </w:r>
          </w:p>
          <w:p w14:paraId="226B53E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续航里程：≥30km</w:t>
            </w:r>
          </w:p>
          <w:p w14:paraId="09EA7831">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爬坡能力：≥30%</w:t>
            </w:r>
          </w:p>
          <w:p w14:paraId="2C406DA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底盘结构：要求采用前后双叉臂</w:t>
            </w:r>
          </w:p>
          <w:p w14:paraId="0CFF65D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2）车架及悬架系统要求</w:t>
            </w:r>
          </w:p>
          <w:p w14:paraId="01200F1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车架形式：要求采用桁架式高强度车架</w:t>
            </w:r>
          </w:p>
          <w:p w14:paraId="56F42D6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悬架形式：要求采用双叉臂独立悬架</w:t>
            </w:r>
          </w:p>
          <w:p w14:paraId="68CCEE0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减震形式：要求采用筒式减震器（弹簧阻尼集成/刚度可调）</w:t>
            </w:r>
          </w:p>
          <w:p w14:paraId="0912BFE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3）线控驱动/制动系统要求</w:t>
            </w:r>
          </w:p>
          <w:p w14:paraId="043A725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驱动方式：要求采用后轮单电机驱动</w:t>
            </w:r>
          </w:p>
          <w:p w14:paraId="5346284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控制方式：要求采用转速 </w:t>
            </w:r>
          </w:p>
          <w:p w14:paraId="6F8D476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额定功率：≥2kW </w:t>
            </w:r>
          </w:p>
          <w:p w14:paraId="7FF640C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额定电压：≥48V </w:t>
            </w:r>
          </w:p>
          <w:p w14:paraId="4D7C566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额定转速：≥2500 rpm </w:t>
            </w:r>
          </w:p>
          <w:p w14:paraId="47576A6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速度反馈误差：≤±0.1 m/s</w:t>
            </w:r>
          </w:p>
          <w:p w14:paraId="1855B90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制动方式：利用电动液压制动（行车制动）；最大制动压力：≤5Mpa；要求采用电液驻车制动</w:t>
            </w:r>
          </w:p>
          <w:p w14:paraId="39126CE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4）线控转向系统要求</w:t>
            </w:r>
          </w:p>
          <w:p w14:paraId="24BC8E5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转向形式：前桥阿克曼转向</w:t>
            </w:r>
          </w:p>
          <w:p w14:paraId="3826336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左右内轮转角：-22~22°</w:t>
            </w:r>
          </w:p>
          <w:p w14:paraId="076A319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最小转弯半径：≤3.3m</w:t>
            </w:r>
          </w:p>
          <w:p w14:paraId="74596CA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控制方式：位置</w:t>
            </w:r>
          </w:p>
          <w:p w14:paraId="6524D5B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额定功率：≥220W</w:t>
            </w:r>
          </w:p>
          <w:p w14:paraId="1F40115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5）底盘控制系统要求</w:t>
            </w:r>
          </w:p>
          <w:p w14:paraId="4C81F1D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底盘ECU：车规级ECU，需对用户开源，需提供证明材料附于标书内</w:t>
            </w:r>
            <w:r>
              <w:rPr>
                <w:rFonts w:hint="eastAsia" w:ascii="宋体" w:hAnsi="宋体" w:eastAsia="宋体" w:cs="宋体"/>
                <w:b w:val="0"/>
                <w:bCs w:val="0"/>
                <w:sz w:val="24"/>
                <w:szCs w:val="24"/>
                <w:highlight w:val="none"/>
                <w:lang w:eastAsia="zh-CN"/>
              </w:rPr>
              <w:t>。</w:t>
            </w:r>
          </w:p>
          <w:p w14:paraId="14D844B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通讯方式：CAN通讯</w:t>
            </w:r>
          </w:p>
          <w:p w14:paraId="47CF074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开发环境：C语言</w:t>
            </w:r>
          </w:p>
          <w:p w14:paraId="14095A6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主处理器：车规级处理器</w:t>
            </w:r>
          </w:p>
          <w:p w14:paraId="3EAA43D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CAN 通道：≥2 路</w:t>
            </w:r>
          </w:p>
          <w:p w14:paraId="3D7F7C5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要求提供车规级通信协议及DBC文件</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需提供证明材料附于标书内</w:t>
            </w:r>
            <w:r>
              <w:rPr>
                <w:rFonts w:hint="eastAsia" w:ascii="宋体" w:hAnsi="宋体" w:eastAsia="宋体" w:cs="宋体"/>
                <w:b w:val="0"/>
                <w:bCs w:val="0"/>
                <w:sz w:val="24"/>
                <w:szCs w:val="24"/>
                <w:highlight w:val="none"/>
                <w:lang w:eastAsia="zh-CN"/>
              </w:rPr>
              <w:t>。</w:t>
            </w:r>
          </w:p>
          <w:p w14:paraId="61BED97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需支持遥控器人工接管</w:t>
            </w:r>
          </w:p>
          <w:p w14:paraId="7B341CB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6）动力电池系统</w:t>
            </w:r>
          </w:p>
          <w:p w14:paraId="3C515BE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形式：车规级磷酸铁锂动力电池</w:t>
            </w:r>
          </w:p>
          <w:p w14:paraId="7F7A063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额定电压：≥48V</w:t>
            </w:r>
          </w:p>
          <w:p w14:paraId="6907B03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额定电流：≥50A</w:t>
            </w:r>
          </w:p>
          <w:p w14:paraId="6C26154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电量：≥3.8kWh</w:t>
            </w:r>
          </w:p>
          <w:p w14:paraId="34249E2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电池箱防水等级：IP67</w:t>
            </w:r>
          </w:p>
          <w:p w14:paraId="6BFE977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BMS系统:需具备过充、过放、短接、高温等保护</w:t>
            </w:r>
          </w:p>
          <w:p w14:paraId="3C38B11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通讯接口:支持CAN总线方式</w:t>
            </w:r>
          </w:p>
          <w:p w14:paraId="60B9642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可读取电池主要参数:包含且不少于剩余电量、实时电流、当前电压、当前温度等</w:t>
            </w:r>
          </w:p>
          <w:p w14:paraId="056CCFD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7）其他</w:t>
            </w:r>
          </w:p>
          <w:p w14:paraId="4F3D93F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安全性：具备车身急停（急停开关与触边条）和远程急停开关，能够紧急制动</w:t>
            </w:r>
          </w:p>
          <w:p w14:paraId="22BBAA3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供电接口：≥12V/1个（500W）；</w:t>
            </w:r>
          </w:p>
          <w:p w14:paraId="620B720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8）线控底盘要求为成熟产品，需提供不少于三种同规格线控底盘上装定制案例附于标书内</w:t>
            </w:r>
            <w:r>
              <w:rPr>
                <w:rFonts w:hint="eastAsia" w:ascii="宋体" w:hAnsi="宋体" w:eastAsia="宋体" w:cs="宋体"/>
                <w:b w:val="0"/>
                <w:bCs w:val="0"/>
                <w:sz w:val="24"/>
                <w:szCs w:val="24"/>
                <w:highlight w:val="none"/>
                <w:lang w:eastAsia="zh-CN"/>
              </w:rPr>
              <w:t>。</w:t>
            </w:r>
          </w:p>
        </w:tc>
        <w:tc>
          <w:tcPr>
            <w:tcW w:w="709" w:type="dxa"/>
            <w:tcBorders>
              <w:tl2br w:val="nil"/>
              <w:tr2bl w:val="nil"/>
            </w:tcBorders>
            <w:noWrap w:val="0"/>
            <w:vAlign w:val="center"/>
          </w:tcPr>
          <w:p w14:paraId="69666899">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2</w:t>
            </w:r>
          </w:p>
        </w:tc>
        <w:tc>
          <w:tcPr>
            <w:tcW w:w="709" w:type="dxa"/>
            <w:tcBorders>
              <w:tl2br w:val="nil"/>
              <w:tr2bl w:val="nil"/>
            </w:tcBorders>
            <w:noWrap w:val="0"/>
            <w:vAlign w:val="center"/>
          </w:tcPr>
          <w:p w14:paraId="1D470D45">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套</w:t>
            </w:r>
          </w:p>
        </w:tc>
      </w:tr>
      <w:tr w14:paraId="51318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36F5AED2">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9</w:t>
            </w:r>
          </w:p>
        </w:tc>
        <w:tc>
          <w:tcPr>
            <w:tcW w:w="1162" w:type="dxa"/>
            <w:tcBorders>
              <w:tl2br w:val="nil"/>
              <w:tr2bl w:val="nil"/>
            </w:tcBorders>
            <w:noWrap w:val="0"/>
            <w:vAlign w:val="center"/>
          </w:tcPr>
          <w:p w14:paraId="7FCBDF2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电机控制系统开发与测试实验台</w:t>
            </w:r>
          </w:p>
        </w:tc>
        <w:tc>
          <w:tcPr>
            <w:tcW w:w="5642" w:type="dxa"/>
            <w:tcBorders>
              <w:tl2br w:val="nil"/>
              <w:tr2bl w:val="nil"/>
            </w:tcBorders>
            <w:noWrap w:val="0"/>
            <w:vAlign w:val="center"/>
          </w:tcPr>
          <w:p w14:paraId="505EE20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1.产品需求概述</w:t>
            </w:r>
          </w:p>
          <w:p w14:paraId="44F0167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电机控制系统开发与测试实验台要求是一款能进行新能源汽车电机标定及性能测试的专用实验设备，需包括电机模块、电机扭矩传感器模块、数据采集模块、功率分析模块、开源电机驱动器模块等，要求实验台可用于电机控制器基本操作及功能学习、电机性能测试、电机控制参数优化、电机控制算法验证等，支持深入研究永磁同步电机FOC控制硬件原理、算法代码、开源FOC算法验证。</w:t>
            </w:r>
          </w:p>
          <w:p w14:paraId="40AFD0D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2.产品组成要求</w:t>
            </w:r>
          </w:p>
          <w:p w14:paraId="699624A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（1）传感器和执行器需包括：伺服电机，电流传感器、正交编码器、旋变变压器、温度传感器等；</w:t>
            </w:r>
          </w:p>
          <w:p w14:paraId="2BE82CE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（2）被测电机：要求采用永磁同步电机，额定电压≥24V，额定功率≥100W；</w:t>
            </w:r>
          </w:p>
          <w:p w14:paraId="6EFD700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（3）要求开源控制单元（DSP单片机）：可控制永磁同步电机运行，并支持制动能量回收；</w:t>
            </w:r>
          </w:p>
          <w:p w14:paraId="6E9A73E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（4）要求采用DSP芯片核心板；</w:t>
            </w:r>
          </w:p>
          <w:p w14:paraId="1BBA093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（5）要求上位机可显示传感器值、执行器状态、控制器状态、故障诊断状态；</w:t>
            </w:r>
          </w:p>
          <w:p w14:paraId="08B16E2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（6）配备独立的供电设备，支持独立使用；</w:t>
            </w:r>
          </w:p>
          <w:p w14:paraId="0B4AA97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（7）微型测功机要求使用伺服电机，额定电压≥220V，额定功率≥400W。</w:t>
            </w:r>
          </w:p>
          <w:p w14:paraId="7EEC573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3.功能要求</w:t>
            </w:r>
          </w:p>
          <w:p w14:paraId="7593254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（1）要求对逆变器电桥进行开源；</w:t>
            </w:r>
          </w:p>
          <w:p w14:paraId="324014C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设备需具备车辆模型模式加载功能，可模拟滚动阻力、加速阻力、坡度阻力和空气阻力，从而可结合车辆参数测试模拟车辆的各项性能参数，输入车辆行驶环境，进行最大爬坡度、最高车速、综合能耗等测试，完成车辆动力学模型实验。需提供证明材料附于标书内</w:t>
            </w:r>
            <w:r>
              <w:rPr>
                <w:rFonts w:hint="eastAsia" w:ascii="宋体" w:hAnsi="宋体" w:eastAsia="宋体" w:cs="宋体"/>
                <w:b w:val="0"/>
                <w:bCs w:val="0"/>
                <w:sz w:val="24"/>
                <w:szCs w:val="24"/>
                <w:highlight w:val="none"/>
                <w:lang w:eastAsia="zh-CN"/>
              </w:rPr>
              <w:t>。</w:t>
            </w:r>
          </w:p>
          <w:p w14:paraId="4E5F1A91">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（3）需根据转速与扭矩的关系绘制电机外特性曲线；</w:t>
            </w:r>
          </w:p>
          <w:p w14:paraId="29FCB72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（4）要求采用C代码编程，需支持标定电流环、转速环、扭矩环的PID参数，支持对SVPWM测试、支持直轴、交轴电压环控制电机转动、支持直轴、交轴电流双闭环控制、支持扭矩闭环控制、支持转速闭环控制。</w:t>
            </w:r>
          </w:p>
          <w:p w14:paraId="768CD38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（5）需支持电机控制芯片DSP的学习-目前电机控制芯片的主流产品；</w:t>
            </w:r>
          </w:p>
          <w:p w14:paraId="55C25CC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6）要求上位机支持查看消耗的电量、电机输出的机械功；支持运行时直轴、交轴电流、三相电流、直轴电压、交轴电压、电机电气角度、扭矩、转速等曲线展示。支持实验数据一键保存。需提供证明材料附于标书内</w:t>
            </w:r>
            <w:r>
              <w:rPr>
                <w:rFonts w:hint="eastAsia" w:ascii="宋体" w:hAnsi="宋体" w:eastAsia="宋体" w:cs="宋体"/>
                <w:b w:val="0"/>
                <w:bCs w:val="0"/>
                <w:sz w:val="24"/>
                <w:szCs w:val="24"/>
                <w:highlight w:val="none"/>
                <w:lang w:eastAsia="zh-CN"/>
              </w:rPr>
              <w:t>。</w:t>
            </w:r>
          </w:p>
          <w:p w14:paraId="12B12F0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（7）设备采用开源电机控制器，支持用户二次开发</w:t>
            </w:r>
          </w:p>
          <w:p w14:paraId="7CD6DBC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4.配备实验指导书，需提供至少包含以下实验项目的相关教学资源(实验指导书或视频资料)</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并将</w:t>
            </w:r>
            <w:r>
              <w:rPr>
                <w:rFonts w:hint="eastAsia" w:ascii="宋体" w:hAnsi="宋体" w:eastAsia="宋体" w:cs="宋体"/>
                <w:b w:val="0"/>
                <w:bCs w:val="0"/>
                <w:sz w:val="24"/>
                <w:szCs w:val="24"/>
                <w:highlight w:val="none"/>
                <w:lang w:val="en-US" w:eastAsia="zh-CN"/>
              </w:rPr>
              <w:t>投标人</w:t>
            </w:r>
            <w:r>
              <w:rPr>
                <w:rFonts w:hint="eastAsia" w:ascii="宋体" w:hAnsi="宋体" w:eastAsia="宋体" w:cs="宋体"/>
                <w:b w:val="0"/>
                <w:bCs w:val="0"/>
                <w:sz w:val="24"/>
                <w:szCs w:val="24"/>
                <w:highlight w:val="none"/>
              </w:rPr>
              <w:t>盖章的相关证明附于标书内。实验项目如下:</w:t>
            </w:r>
          </w:p>
          <w:p w14:paraId="770A807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电机三相电流采集实验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三相逆变电桥原理实验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电机负载测试实验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电机转速特性测试实验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电机扭矩特性测试实验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电机MAP特性测试实验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最高车速测试实验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最大爬坡度测试实验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百公里加速测试实验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旋变零点标定实验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交轴和直轴电流PID标定实验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转速PID标定实验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扭矩PID标定实验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相电流标定实验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母线电压标定实验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母线电流标定实验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永磁同步电机矢量控制（FOC）实验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FOC-SVPWM控制仿真实验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FOC-Clarke变换仿真实验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FOC-Park变换仿真实验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FOC-Park逆变换过程仿真实验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开环电机驱动位置测试实验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开环电机驱动电压测试实验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电机控制开发环境搭建实验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CAN数据解析实验</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DBC文件的制作实验</w:t>
            </w:r>
            <w:r>
              <w:rPr>
                <w:rFonts w:hint="eastAsia" w:ascii="宋体" w:hAnsi="宋体" w:eastAsia="宋体" w:cs="宋体"/>
                <w:b w:val="0"/>
                <w:bCs w:val="0"/>
                <w:sz w:val="24"/>
                <w:szCs w:val="24"/>
                <w:highlight w:val="none"/>
                <w:lang w:eastAsia="zh-CN"/>
              </w:rPr>
              <w:t>。</w:t>
            </w:r>
          </w:p>
          <w:p w14:paraId="1932786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5.技术参数要求</w:t>
            </w:r>
          </w:p>
          <w:p w14:paraId="6BFA45F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（1）被测永磁同步电机，额定电压≥24V，额定功率≥100W，额定转速≥3000RPM，≥4对极，带有ABZ相编码器；</w:t>
            </w:r>
          </w:p>
          <w:p w14:paraId="69EF5FD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（2）测功机：额定电压≥220V，额定功率≥400W，额定转速≥3000RPM，最大转速≥5000 RPM增量式编码器,额定扭矩≥-1.27Nm~+1.27Nm,最大扭矩≥-3Nm~+3Nm。</w:t>
            </w:r>
          </w:p>
          <w:p w14:paraId="682017B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（3）扭矩传感器：扭矩量程≥-5～5NM，精度：0.2%FS，采样速率≥1000次/秒，工作温度范围≥-20~80℃；</w:t>
            </w:r>
          </w:p>
          <w:p w14:paraId="70D1FA1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（4）西门子变频器：驱动电源：AC200-240V,最大输出功率≥400W,要求可支持300%过载能力，支持多种控制模式，≥1KW大功率刹车电阻；</w:t>
            </w:r>
          </w:p>
          <w:p w14:paraId="74BB12A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（5）要求采用独立高精度三相交直流电量计：0-20A交直流电流采集，0-400V电压采集AC/DC，精度等级：0.5%FS, 频率响应:0Hz-1KHz, 工作温度： -20℃～+70℃；</w:t>
            </w:r>
          </w:p>
          <w:p w14:paraId="6A656CA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（6）要求采用开源电机驱动器：要求采用车规级芯片，主频≥150MHz，利用光耦和隔离放大器进行控制电源与确定电源信号隔离，双MOS驱动，支持最高驱动电压50V，电流20A；</w:t>
            </w:r>
          </w:p>
          <w:p w14:paraId="5055D69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（7）上位机：要求采用一体式工控机，且不低于i5-11代高性能CPU，≥16G内存，≥256G存储空间，两个≥15.6寸高清工业显示屏幕， </w:t>
            </w:r>
          </w:p>
          <w:p w14:paraId="1AE533D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（8）为保证上位机的实时处理，配置运行于Windows下的正版实时操作系统插件，实时操作系统为经过厂家授权的正版软件。参数要求如下：</w:t>
            </w:r>
          </w:p>
          <w:p w14:paraId="2EA7BCB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①配备运行于Windows下的实时操作系统，要求具备硬实时性能，且不影响Windows下的其他软件运行；</w:t>
            </w:r>
          </w:p>
          <w:p w14:paraId="200D67F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②硬件支持支持PCI、PCIe和PCMCIA卡（不限定，可优于），USB设备，串行COM接口（UART），并可运行在实时操作系统下；</w:t>
            </w:r>
          </w:p>
          <w:p w14:paraId="4DEBCA1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③要求支持汽车总线通讯，提供Flexray、CAN/CAN-FD和LIN通讯驱动；</w:t>
            </w:r>
          </w:p>
          <w:p w14:paraId="310D798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④要求包含工业设备自动化总线驱动程序，包括EtherCAT、CAN/CANopen和Profibus，最高可支持10Gbit/s的网络通信；</w:t>
            </w:r>
          </w:p>
          <w:p w14:paraId="5A7D43A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⑤EtherCAT模块要求通信周期不高于50μs，并提供开发辅助软件如Master Monitor for EtherCAT，要求支持分步时钟DC以及工厂自动化协议EAP；</w:t>
            </w:r>
          </w:p>
          <w:p w14:paraId="6596595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⑥可在Windows下实时数据采集，支持不少于255个下位机设备连网，且可对应不低于255个响应优先级；</w:t>
            </w:r>
          </w:p>
          <w:p w14:paraId="5195892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⑦为保证后期的功能扩展，系统自带的机器视觉模块要求具备图像采集接口支持GigE Vision和USB 3 Vision，要求支持机器视觉库至少包括OpenCV和Halcon，要求实时视觉性能达到2ms的处理能力；</w:t>
            </w:r>
          </w:p>
          <w:p w14:paraId="5027C91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⑧要求在windows下同时实现机器视觉和高速实时以太网通讯，从而保证系统在实时视觉和数据通讯的同步精度，即机器视觉模块要求和采集控制模块能够一体化运行（无需外扩机器视觉系统和数据采集系统），从而保证视觉识别和动作执行的实时性；</w:t>
            </w:r>
          </w:p>
          <w:p w14:paraId="762AE01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⑨提供配置工具以及动态链接库，用户能够在标准PC硬件上采用Windows下的通用编程平台进行应用程序编程，至少支持C/C ++、Delphi和LabView语言（需要生成本地代码，并在实时系统上运行，可以支持二次开发功能，保证用户能够进行功能升级）；</w:t>
            </w:r>
          </w:p>
          <w:p w14:paraId="20BE91A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⑩要求自带丰富的功能接口和应用例程，缩短二次开发时间；</w:t>
            </w:r>
          </w:p>
          <w:p w14:paraId="35B2630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⑪为保证数据安全，需采用加密狗进行保护。</w:t>
            </w:r>
          </w:p>
          <w:p w14:paraId="61F0779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（9）设备使用说明书</w:t>
            </w:r>
          </w:p>
          <w:p w14:paraId="23AA0D9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需配备PDF版使用说明及纸质版使用说明书，涵盖设备的组成部分介绍、设备的使用方法及操作步骤等；需提供证明材料附于标书内。</w:t>
            </w:r>
          </w:p>
        </w:tc>
        <w:tc>
          <w:tcPr>
            <w:tcW w:w="709" w:type="dxa"/>
            <w:tcBorders>
              <w:tl2br w:val="nil"/>
              <w:tr2bl w:val="nil"/>
            </w:tcBorders>
            <w:noWrap w:val="0"/>
            <w:vAlign w:val="center"/>
          </w:tcPr>
          <w:p w14:paraId="2961073E">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2</w:t>
            </w:r>
          </w:p>
        </w:tc>
        <w:tc>
          <w:tcPr>
            <w:tcW w:w="709" w:type="dxa"/>
            <w:tcBorders>
              <w:tl2br w:val="nil"/>
              <w:tr2bl w:val="nil"/>
            </w:tcBorders>
            <w:noWrap w:val="0"/>
            <w:vAlign w:val="center"/>
          </w:tcPr>
          <w:p w14:paraId="0CE6C46A">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套</w:t>
            </w:r>
          </w:p>
        </w:tc>
      </w:tr>
      <w:tr w14:paraId="16BF2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1BE26028">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10</w:t>
            </w:r>
          </w:p>
        </w:tc>
        <w:tc>
          <w:tcPr>
            <w:tcW w:w="1162" w:type="dxa"/>
            <w:tcBorders>
              <w:tl2br w:val="nil"/>
              <w:tr2bl w:val="nil"/>
            </w:tcBorders>
            <w:noWrap w:val="0"/>
            <w:vAlign w:val="center"/>
          </w:tcPr>
          <w:p w14:paraId="19A81FB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多功能测试系统</w:t>
            </w:r>
          </w:p>
        </w:tc>
        <w:tc>
          <w:tcPr>
            <w:tcW w:w="5642" w:type="dxa"/>
            <w:tcBorders>
              <w:tl2br w:val="nil"/>
              <w:tr2bl w:val="nil"/>
            </w:tcBorders>
            <w:noWrap w:val="0"/>
            <w:vAlign w:val="center"/>
          </w:tcPr>
          <w:p w14:paraId="2E72957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可以完成的测试：1）驾驶员行为特性研究和人机共驾系统开发，2）ESC系统控制算法逻辑验证和快速标定，3）ESC故障保护算法开发与测试验证，4）HDC/HHC/AVH等算法开发与测试验证，5）线控转向算法测试与验证。</w:t>
            </w:r>
          </w:p>
        </w:tc>
        <w:tc>
          <w:tcPr>
            <w:tcW w:w="709" w:type="dxa"/>
            <w:tcBorders>
              <w:tl2br w:val="nil"/>
              <w:tr2bl w:val="nil"/>
            </w:tcBorders>
            <w:noWrap w:val="0"/>
            <w:vAlign w:val="center"/>
          </w:tcPr>
          <w:p w14:paraId="6A20C13A">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0FF1826C">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套</w:t>
            </w:r>
          </w:p>
        </w:tc>
      </w:tr>
      <w:tr w14:paraId="2E554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1574CE3A">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w:t>
            </w:r>
          </w:p>
        </w:tc>
        <w:tc>
          <w:tcPr>
            <w:tcW w:w="1162" w:type="dxa"/>
            <w:tcBorders>
              <w:tl2br w:val="nil"/>
              <w:tr2bl w:val="nil"/>
            </w:tcBorders>
            <w:noWrap w:val="0"/>
            <w:vAlign w:val="center"/>
          </w:tcPr>
          <w:p w14:paraId="6BF1538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无人测试平台控制套件</w:t>
            </w:r>
          </w:p>
        </w:tc>
        <w:tc>
          <w:tcPr>
            <w:tcW w:w="5642" w:type="dxa"/>
            <w:tcBorders>
              <w:tl2br w:val="nil"/>
              <w:tr2bl w:val="nil"/>
            </w:tcBorders>
            <w:noWrap w:val="0"/>
            <w:vAlign w:val="center"/>
          </w:tcPr>
          <w:p w14:paraId="26F5937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可以完成的功能：1）ACC/AEB/LKA等高级辅助驾驶系统（ADAS）等驾驶算法的开发与研究，2）自动驾驶上层算法开发与测试，3）多场景自动驾驶/ADAS测试验证，4）多传感器信号融合算法研究。</w:t>
            </w:r>
          </w:p>
        </w:tc>
        <w:tc>
          <w:tcPr>
            <w:tcW w:w="709" w:type="dxa"/>
            <w:tcBorders>
              <w:tl2br w:val="nil"/>
              <w:tr2bl w:val="nil"/>
            </w:tcBorders>
            <w:noWrap w:val="0"/>
            <w:vAlign w:val="center"/>
          </w:tcPr>
          <w:p w14:paraId="71F026E6">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5973197B">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套</w:t>
            </w:r>
          </w:p>
        </w:tc>
      </w:tr>
      <w:tr w14:paraId="6516B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16534833">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12</w:t>
            </w:r>
          </w:p>
        </w:tc>
        <w:tc>
          <w:tcPr>
            <w:tcW w:w="1162" w:type="dxa"/>
            <w:tcBorders>
              <w:tl2br w:val="nil"/>
              <w:tr2bl w:val="nil"/>
            </w:tcBorders>
            <w:noWrap w:val="0"/>
            <w:vAlign w:val="center"/>
          </w:tcPr>
          <w:p w14:paraId="10CA333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开源多电机实时驱控加载系统</w:t>
            </w:r>
          </w:p>
        </w:tc>
        <w:tc>
          <w:tcPr>
            <w:tcW w:w="5642" w:type="dxa"/>
            <w:tcBorders>
              <w:tl2br w:val="nil"/>
              <w:tr2bl w:val="nil"/>
            </w:tcBorders>
            <w:noWrap w:val="0"/>
            <w:vAlign w:val="center"/>
          </w:tcPr>
          <w:p w14:paraId="549C006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齿条力不小于1500N·m，加载采用多伺服电机加减速机方式，转向阻力矩实时加载，根据实际道路与拖拉机车辆模型实时计算转向阻力矩，并用伺服电机跟踪转向阻力矩，转矩跟踪误差小于3%，算法开源。</w:t>
            </w:r>
          </w:p>
        </w:tc>
        <w:tc>
          <w:tcPr>
            <w:tcW w:w="709" w:type="dxa"/>
            <w:tcBorders>
              <w:tl2br w:val="nil"/>
              <w:tr2bl w:val="nil"/>
            </w:tcBorders>
            <w:noWrap w:val="0"/>
            <w:vAlign w:val="center"/>
          </w:tcPr>
          <w:p w14:paraId="24B988BC">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76CE6B8F">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套</w:t>
            </w:r>
          </w:p>
        </w:tc>
      </w:tr>
      <w:tr w14:paraId="78332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279DF571">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13</w:t>
            </w:r>
          </w:p>
        </w:tc>
        <w:tc>
          <w:tcPr>
            <w:tcW w:w="1162" w:type="dxa"/>
            <w:tcBorders>
              <w:tl2br w:val="nil"/>
              <w:tr2bl w:val="nil"/>
            </w:tcBorders>
            <w:noWrap w:val="0"/>
            <w:vAlign w:val="center"/>
          </w:tcPr>
          <w:p w14:paraId="1670BF3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车机协同测试系统</w:t>
            </w:r>
          </w:p>
        </w:tc>
        <w:tc>
          <w:tcPr>
            <w:tcW w:w="5642" w:type="dxa"/>
            <w:tcBorders>
              <w:tl2br w:val="nil"/>
              <w:tr2bl w:val="nil"/>
            </w:tcBorders>
            <w:noWrap w:val="0"/>
            <w:vAlign w:val="center"/>
          </w:tcPr>
          <w:p w14:paraId="27D71DB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1、基于滚动时域、MPC控制、增益调度鲁棒控制的自动跟踪及人机共驾控制算法，算法开放。</w:t>
            </w:r>
          </w:p>
          <w:p w14:paraId="1ADDA15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线控制动系统用于精确执行自动驾驶控制器发出的制动指令，实现整车减速度或制动压力的主动控制，建立基于ESC主动增压系统的线控制动系统，可实时监测制动系统压力，可采集主缸压力信号和轮缸压力信号，测量范围达到20Mpa，精度1%，采样频率1KHz；提供ESC电机开度控制接口、常闭阀开关控制接口和常开阀开度控制接口；</w:t>
            </w:r>
          </w:p>
          <w:p w14:paraId="0BDC006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3、可提供各个制动压力主动控制接口，压力控制精度±0.4MPa，压力响应时间300ms，压力控制范围0-15MPa；主动转向接口，控制范围±720°，控制精度为1°；ESC电机电磁阀开关控制接口；</w:t>
            </w:r>
          </w:p>
          <w:p w14:paraId="61FA17F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4、硬件软件接口可拓展，支持二次开发。</w:t>
            </w:r>
          </w:p>
        </w:tc>
        <w:tc>
          <w:tcPr>
            <w:tcW w:w="709" w:type="dxa"/>
            <w:tcBorders>
              <w:tl2br w:val="nil"/>
              <w:tr2bl w:val="nil"/>
            </w:tcBorders>
            <w:noWrap w:val="0"/>
            <w:vAlign w:val="center"/>
          </w:tcPr>
          <w:p w14:paraId="1A1A6067">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206811B8">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套</w:t>
            </w:r>
          </w:p>
        </w:tc>
      </w:tr>
      <w:tr w14:paraId="2332A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20B43D0D">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14</w:t>
            </w:r>
          </w:p>
        </w:tc>
        <w:tc>
          <w:tcPr>
            <w:tcW w:w="1162" w:type="dxa"/>
            <w:tcBorders>
              <w:tl2br w:val="nil"/>
              <w:tr2bl w:val="nil"/>
            </w:tcBorders>
            <w:noWrap w:val="0"/>
            <w:vAlign w:val="center"/>
          </w:tcPr>
          <w:p w14:paraId="7534B1C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智驾仿真系统-大规模测试系统</w:t>
            </w:r>
          </w:p>
        </w:tc>
        <w:tc>
          <w:tcPr>
            <w:tcW w:w="5642" w:type="dxa"/>
            <w:tcBorders>
              <w:tl2br w:val="nil"/>
              <w:tr2bl w:val="nil"/>
            </w:tcBorders>
            <w:noWrap w:val="0"/>
            <w:vAlign w:val="center"/>
          </w:tcPr>
          <w:p w14:paraId="430DE45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1.提供传感器模型、测试车辆动力学模型、高精地图以及测试场景等仿真模块，支持数百级的仿真测试任务并发；</w:t>
            </w:r>
          </w:p>
          <w:p w14:paraId="15F4672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2.多种测试车辆类型，包括轿车、SUV、MPV、大巴、VAN、卡车等，可定义其车辆参数、物理属性、动力学属性等；</w:t>
            </w:r>
          </w:p>
          <w:p w14:paraId="06FB877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3.支持不少于1000个机动车的仿真模拟，提供不少于20种交通参与者行为模型；</w:t>
            </w:r>
          </w:p>
          <w:p w14:paraId="4E9A46A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4.提供多种非机动车与行人模型，包括成人、儿童、老人、自行车、电瓶车等，可自定义行驶路径、行为模式、运动状态等参数，实现复杂的交通博弈行为；</w:t>
            </w:r>
          </w:p>
          <w:p w14:paraId="6CB4A911">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5.提供驾驶员在环仿真功能，支持不少于10台驾驶模拟器接入，可实时控制场景中的交通参与者与测试车辆进行交互，在实时博弈的过程中制造更多挑战性场景；</w:t>
            </w:r>
          </w:p>
          <w:p w14:paraId="17A4D74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6.提供仿真过程中测试车辆、交通参与者的位置、速度、加速度、朝向角、停车次数等日志数据；</w:t>
            </w:r>
          </w:p>
          <w:p w14:paraId="33927A8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7.提供详细的测试评估报告，从安全性、合规性、舒适性、通畅性等维度对仿真结果进行评估；</w:t>
            </w:r>
          </w:p>
          <w:p w14:paraId="3A4E6E5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8.支持不同天气/光线的环境渲染，包括雨、雪、雾、夜间、黄昏、白天等常见环境；</w:t>
            </w:r>
          </w:p>
          <w:p w14:paraId="6C7F6AE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9.支持多视角回放渲染，包括主视角、俯视角、驾驶员视角、自由视角，可同时渲染传感器感知状态以及测试车辆的路径信息和相关驾驶指标；</w:t>
            </w:r>
          </w:p>
          <w:p w14:paraId="3E6B4D4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10.提供联合仿真接口，支持HTTP、GPRC的协议对接，支持C++、Python、Java、Go等主流开发语言的集成，完成联合仿真。</w:t>
            </w:r>
          </w:p>
        </w:tc>
        <w:tc>
          <w:tcPr>
            <w:tcW w:w="709" w:type="dxa"/>
            <w:tcBorders>
              <w:tl2br w:val="nil"/>
              <w:tr2bl w:val="nil"/>
            </w:tcBorders>
            <w:noWrap w:val="0"/>
            <w:vAlign w:val="center"/>
          </w:tcPr>
          <w:p w14:paraId="3802D794">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3700B300">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套</w:t>
            </w:r>
          </w:p>
        </w:tc>
      </w:tr>
      <w:tr w14:paraId="260DC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1E7743D6">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15</w:t>
            </w:r>
          </w:p>
        </w:tc>
        <w:tc>
          <w:tcPr>
            <w:tcW w:w="1162" w:type="dxa"/>
            <w:tcBorders>
              <w:tl2br w:val="nil"/>
              <w:tr2bl w:val="nil"/>
            </w:tcBorders>
            <w:noWrap w:val="0"/>
            <w:vAlign w:val="center"/>
          </w:tcPr>
          <w:p w14:paraId="1BA561A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智驾仿真系统-地图编辑器</w:t>
            </w:r>
          </w:p>
        </w:tc>
        <w:tc>
          <w:tcPr>
            <w:tcW w:w="5642" w:type="dxa"/>
            <w:tcBorders>
              <w:tl2br w:val="nil"/>
              <w:tr2bl w:val="nil"/>
            </w:tcBorders>
            <w:noWrap w:val="0"/>
            <w:vAlign w:val="center"/>
          </w:tcPr>
          <w:p w14:paraId="414CA43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1.支持OpenDRIVE、Apolo OpenDRIVE、Sumo、TrafficMap格式的地图导入、解析，实现地图的快速构建；</w:t>
            </w:r>
          </w:p>
          <w:p w14:paraId="7DE07AE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2.通用路型编辑：可绘制任意形状缓和曲线的线形，实现对真实道路路型模拟；</w:t>
            </w:r>
          </w:p>
          <w:p w14:paraId="767A144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3.道路拓扑编辑：支持增加/减少车道、编辑车道、合并车道、修改路口通行关系等功能；</w:t>
            </w:r>
          </w:p>
          <w:p w14:paraId="3B17E47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4.复杂道路结构编辑：包括路口信控周期、绿信比、相位相序、信控规则、匝道汇入汇出、渠化右转路等结构。</w:t>
            </w:r>
          </w:p>
        </w:tc>
        <w:tc>
          <w:tcPr>
            <w:tcW w:w="709" w:type="dxa"/>
            <w:tcBorders>
              <w:tl2br w:val="nil"/>
              <w:tr2bl w:val="nil"/>
            </w:tcBorders>
            <w:noWrap w:val="0"/>
            <w:vAlign w:val="center"/>
          </w:tcPr>
          <w:p w14:paraId="52BDCB22">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17CBBE28">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套</w:t>
            </w:r>
          </w:p>
        </w:tc>
      </w:tr>
      <w:tr w14:paraId="33B53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2EF60AE6">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16</w:t>
            </w:r>
          </w:p>
        </w:tc>
        <w:tc>
          <w:tcPr>
            <w:tcW w:w="1162" w:type="dxa"/>
            <w:tcBorders>
              <w:tl2br w:val="nil"/>
              <w:tr2bl w:val="nil"/>
            </w:tcBorders>
            <w:noWrap w:val="0"/>
            <w:vAlign w:val="center"/>
          </w:tcPr>
          <w:p w14:paraId="1EF3C36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智驾仿真系统-场景编辑器</w:t>
            </w:r>
          </w:p>
        </w:tc>
        <w:tc>
          <w:tcPr>
            <w:tcW w:w="5642" w:type="dxa"/>
            <w:tcBorders>
              <w:tl2br w:val="nil"/>
              <w:tr2bl w:val="nil"/>
            </w:tcBorders>
            <w:noWrap w:val="0"/>
            <w:vAlign w:val="center"/>
          </w:tcPr>
          <w:p w14:paraId="3C3274C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1.支持OpenSCENARIO、TrafficScenario格式的场景数据导入、解析，实现虚拟场景的快速构建；</w:t>
            </w:r>
          </w:p>
          <w:p w14:paraId="7CAB377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2.交通参与者自主行为模型：可定义交通参与者的初始密度、类型比例、驾驶风格等参数，每个交通参与者可根据外部道路环境变化自主生成交通行为；</w:t>
            </w:r>
          </w:p>
          <w:p w14:paraId="442BDBB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3.环境车辆行为自定义：人工设定环境车辆的车型、初始状态、行驶路线、与环境的交互方式等；</w:t>
            </w:r>
          </w:p>
          <w:p w14:paraId="6971451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4.场景事件定义：交通参与者之间的交互行为，包含距离保持、相对速度、超车、换道等行为事件。</w:t>
            </w:r>
          </w:p>
        </w:tc>
        <w:tc>
          <w:tcPr>
            <w:tcW w:w="709" w:type="dxa"/>
            <w:tcBorders>
              <w:tl2br w:val="nil"/>
              <w:tr2bl w:val="nil"/>
            </w:tcBorders>
            <w:noWrap w:val="0"/>
            <w:vAlign w:val="center"/>
          </w:tcPr>
          <w:p w14:paraId="7105DAD1">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2F343AFD">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套</w:t>
            </w:r>
          </w:p>
        </w:tc>
      </w:tr>
      <w:tr w14:paraId="78A55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21E99024">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17</w:t>
            </w:r>
          </w:p>
        </w:tc>
        <w:tc>
          <w:tcPr>
            <w:tcW w:w="1162" w:type="dxa"/>
            <w:tcBorders>
              <w:tl2br w:val="nil"/>
              <w:tr2bl w:val="nil"/>
            </w:tcBorders>
            <w:noWrap w:val="0"/>
            <w:vAlign w:val="center"/>
          </w:tcPr>
          <w:p w14:paraId="1904A6A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实习仿真系统控制器</w:t>
            </w:r>
          </w:p>
        </w:tc>
        <w:tc>
          <w:tcPr>
            <w:tcW w:w="5642" w:type="dxa"/>
            <w:tcBorders>
              <w:tl2br w:val="nil"/>
              <w:tr2bl w:val="nil"/>
            </w:tcBorders>
            <w:noWrap w:val="0"/>
            <w:vAlign w:val="center"/>
          </w:tcPr>
          <w:p w14:paraId="58C04CA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实时仿真系统控制器可嵌入CarSim专业车辆仿真软件，四核Intel i7，系统带宽为8 GB/s；插槽带宽为4 GB/s，4GB,DDR3 RAM，2个千兆以太网端口、2个USB 3.0端口、ExpressCard及其他外设，用于Real-Time模块,LabVIEW RT；32路模拟输入通道；16位分辨率，±10 V，4路模拟输出，2.86 MS/s，16位分辨率，±10V，48条数字I/O线(其中32条为10 MHz硬件定时线)。</w:t>
            </w:r>
          </w:p>
        </w:tc>
        <w:tc>
          <w:tcPr>
            <w:tcW w:w="709" w:type="dxa"/>
            <w:tcBorders>
              <w:tl2br w:val="nil"/>
              <w:tr2bl w:val="nil"/>
            </w:tcBorders>
            <w:noWrap w:val="0"/>
            <w:vAlign w:val="center"/>
          </w:tcPr>
          <w:p w14:paraId="6E9682AE">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6E3D780E">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个</w:t>
            </w:r>
          </w:p>
        </w:tc>
      </w:tr>
      <w:tr w14:paraId="38BD1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2BA5465B">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18</w:t>
            </w:r>
          </w:p>
        </w:tc>
        <w:tc>
          <w:tcPr>
            <w:tcW w:w="1162" w:type="dxa"/>
            <w:tcBorders>
              <w:tl2br w:val="nil"/>
              <w:tr2bl w:val="nil"/>
            </w:tcBorders>
            <w:noWrap w:val="0"/>
            <w:vAlign w:val="center"/>
          </w:tcPr>
          <w:p w14:paraId="0CDFED0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控制器机箱</w:t>
            </w:r>
          </w:p>
        </w:tc>
        <w:tc>
          <w:tcPr>
            <w:tcW w:w="5642" w:type="dxa"/>
            <w:tcBorders>
              <w:tl2br w:val="nil"/>
              <w:tr2bl w:val="nil"/>
            </w:tcBorders>
            <w:noWrap w:val="0"/>
            <w:vAlign w:val="center"/>
          </w:tcPr>
          <w:p w14:paraId="6C49A78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4个混合插槽，2个PXI Express插槽，1个PXI Express系统定时插槽，高性能-每插槽2 GB/s的专用带宽和8GB/s的系统带宽，提供牢固的便携式显示器与键盘、坚固的便携箱和其它附件，兼容PXI、PXI Express、CompactPCI和CompactPCI Express模块。</w:t>
            </w:r>
          </w:p>
        </w:tc>
        <w:tc>
          <w:tcPr>
            <w:tcW w:w="709" w:type="dxa"/>
            <w:tcBorders>
              <w:tl2br w:val="nil"/>
              <w:tr2bl w:val="nil"/>
            </w:tcBorders>
            <w:noWrap w:val="0"/>
            <w:vAlign w:val="center"/>
          </w:tcPr>
          <w:p w14:paraId="1C43DE09">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5187BAC0">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个</w:t>
            </w:r>
          </w:p>
        </w:tc>
      </w:tr>
      <w:tr w14:paraId="341F7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32868148">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19</w:t>
            </w:r>
          </w:p>
        </w:tc>
        <w:tc>
          <w:tcPr>
            <w:tcW w:w="1162" w:type="dxa"/>
            <w:tcBorders>
              <w:tl2br w:val="nil"/>
              <w:tr2bl w:val="nil"/>
            </w:tcBorders>
            <w:noWrap w:val="0"/>
            <w:vAlign w:val="center"/>
          </w:tcPr>
          <w:p w14:paraId="6E81239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实习仿真系统CAN卡</w:t>
            </w:r>
          </w:p>
        </w:tc>
        <w:tc>
          <w:tcPr>
            <w:tcW w:w="5642" w:type="dxa"/>
            <w:tcBorders>
              <w:tl2br w:val="nil"/>
              <w:tr2bl w:val="nil"/>
            </w:tcBorders>
            <w:noWrap w:val="0"/>
            <w:vAlign w:val="center"/>
          </w:tcPr>
          <w:p w14:paraId="730CF70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事件计数、周期/频率、编码器定位、脉冲宽度测量、脉冲生成，8个32位计数器/计时器和40条双向数字I/O线，配接线盒以及屏蔽线；双端口高速CAN接口(2 Mbit/s)，配有板载TJA1041收发器，NI-XNET驱动配接线盒以及屏蔽线。</w:t>
            </w:r>
          </w:p>
        </w:tc>
        <w:tc>
          <w:tcPr>
            <w:tcW w:w="709" w:type="dxa"/>
            <w:tcBorders>
              <w:tl2br w:val="nil"/>
              <w:tr2bl w:val="nil"/>
            </w:tcBorders>
            <w:noWrap w:val="0"/>
            <w:vAlign w:val="center"/>
          </w:tcPr>
          <w:p w14:paraId="0750A053">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156FEEAD">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个</w:t>
            </w:r>
          </w:p>
        </w:tc>
      </w:tr>
      <w:tr w14:paraId="5A181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50CD1A71">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20</w:t>
            </w:r>
          </w:p>
        </w:tc>
        <w:tc>
          <w:tcPr>
            <w:tcW w:w="1162" w:type="dxa"/>
            <w:tcBorders>
              <w:tl2br w:val="nil"/>
              <w:tr2bl w:val="nil"/>
            </w:tcBorders>
            <w:noWrap w:val="0"/>
            <w:vAlign w:val="center"/>
          </w:tcPr>
          <w:p w14:paraId="7B0C6E9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实时仿真系统</w:t>
            </w:r>
          </w:p>
        </w:tc>
        <w:tc>
          <w:tcPr>
            <w:tcW w:w="5642" w:type="dxa"/>
            <w:tcBorders>
              <w:tl2br w:val="nil"/>
              <w:tr2bl w:val="nil"/>
            </w:tcBorders>
            <w:noWrap w:val="0"/>
            <w:vAlign w:val="center"/>
          </w:tcPr>
          <w:p w14:paraId="3939A44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可集成场景模型，可输出图像原始信号，支持场景模型搭建，包括环境模型、道路使用者和天气阳光等，可提供不同参数配置的传感器模块，主要包括不同精度的单双目摄像头、毫米波雷达、激光雷达、车道线传感器，多视角界面显示（前、后、俯、侧视等），道路模型可搭建3D开环及闭环道路。用户可以根据需求，采用直线、曲线、回旋曲线等简单元素单间不同的道路。特定的车道路段可进行进一步的定义障碍物、附着系数、侧风和其他赛道条件，交通环境模型适用于驾驶员辅助系统的功能开发，交通环境模型可以方便快捷的实现测试场景的配置，包括移动的物体和静止的物体。</w:t>
            </w:r>
          </w:p>
        </w:tc>
        <w:tc>
          <w:tcPr>
            <w:tcW w:w="709" w:type="dxa"/>
            <w:tcBorders>
              <w:tl2br w:val="nil"/>
              <w:tr2bl w:val="nil"/>
            </w:tcBorders>
            <w:noWrap w:val="0"/>
            <w:vAlign w:val="center"/>
          </w:tcPr>
          <w:p w14:paraId="38104572">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1A569A07">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套</w:t>
            </w:r>
          </w:p>
        </w:tc>
      </w:tr>
      <w:tr w14:paraId="189C7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50EF725D">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21</w:t>
            </w:r>
          </w:p>
        </w:tc>
        <w:tc>
          <w:tcPr>
            <w:tcW w:w="1162" w:type="dxa"/>
            <w:tcBorders>
              <w:tl2br w:val="nil"/>
              <w:tr2bl w:val="nil"/>
            </w:tcBorders>
            <w:noWrap w:val="0"/>
            <w:vAlign w:val="center"/>
          </w:tcPr>
          <w:p w14:paraId="420E895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高性能工控系统</w:t>
            </w:r>
          </w:p>
        </w:tc>
        <w:tc>
          <w:tcPr>
            <w:tcW w:w="5642" w:type="dxa"/>
            <w:tcBorders>
              <w:tl2br w:val="nil"/>
              <w:tr2bl w:val="nil"/>
            </w:tcBorders>
            <w:noWrap w:val="0"/>
            <w:vAlign w:val="center"/>
          </w:tcPr>
          <w:p w14:paraId="5DB800C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DAQ (32 AI, 48 DIO, 4 AO)，32路模拟输入通道；16位分辨率，±10 V，4路模拟输出，2.86 MS/s，16位分辨率，±10V，48条数字I/O线(其中32条为10 MHz硬件定时线)，4路32位计数器/定时器, 针对PWM、编码器、频率、事件计数，使用NI-STC3技术的模拟与数字触发和高级定时，配接线盒以及屏蔽线。</w:t>
            </w:r>
          </w:p>
        </w:tc>
        <w:tc>
          <w:tcPr>
            <w:tcW w:w="709" w:type="dxa"/>
            <w:tcBorders>
              <w:tl2br w:val="nil"/>
              <w:tr2bl w:val="nil"/>
            </w:tcBorders>
            <w:noWrap w:val="0"/>
            <w:vAlign w:val="center"/>
          </w:tcPr>
          <w:p w14:paraId="4EB14FD0">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03DDA28F">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套</w:t>
            </w:r>
          </w:p>
        </w:tc>
      </w:tr>
      <w:tr w14:paraId="17BE6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2ED0FAFD">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22</w:t>
            </w:r>
          </w:p>
        </w:tc>
        <w:tc>
          <w:tcPr>
            <w:tcW w:w="1162" w:type="dxa"/>
            <w:tcBorders>
              <w:tl2br w:val="nil"/>
              <w:tr2bl w:val="nil"/>
            </w:tcBorders>
            <w:noWrap w:val="0"/>
            <w:vAlign w:val="center"/>
          </w:tcPr>
          <w:p w14:paraId="557D7F1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高精度力感反馈驾驶模拟器</w:t>
            </w:r>
          </w:p>
        </w:tc>
        <w:tc>
          <w:tcPr>
            <w:tcW w:w="5642" w:type="dxa"/>
            <w:tcBorders>
              <w:tl2br w:val="nil"/>
              <w:tr2bl w:val="nil"/>
            </w:tcBorders>
            <w:noWrap w:val="0"/>
            <w:vAlign w:val="center"/>
          </w:tcPr>
          <w:p w14:paraId="53C4A9C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1、具备实车原转向硬件系统，方向盘转角控制误差小于1°，转角控制范围为±720°，转角传感器的测量范围为±750°，转角传感器精度为0.1°；</w:t>
            </w:r>
          </w:p>
          <w:p w14:paraId="28FC4A3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2、在助力控制基础上实现力矩环、转角环控制，利用力矩环实现车辆人机共驾研究，方向盘手力矩可实时采集，判断人的介入程度。</w:t>
            </w:r>
          </w:p>
          <w:p w14:paraId="6FB31C5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3、可设置交通场景，实现自动转向、自动跟踪驾驶，实现人机共驾自动驾驶，HIL控制实现转角环控制与人机共驾切换控制。</w:t>
            </w:r>
          </w:p>
        </w:tc>
        <w:tc>
          <w:tcPr>
            <w:tcW w:w="709" w:type="dxa"/>
            <w:tcBorders>
              <w:tl2br w:val="nil"/>
              <w:tr2bl w:val="nil"/>
            </w:tcBorders>
            <w:noWrap w:val="0"/>
            <w:vAlign w:val="center"/>
          </w:tcPr>
          <w:p w14:paraId="2F325668">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62CF42C9">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套</w:t>
            </w:r>
          </w:p>
        </w:tc>
      </w:tr>
      <w:tr w14:paraId="19314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455082D8">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23</w:t>
            </w:r>
          </w:p>
        </w:tc>
        <w:tc>
          <w:tcPr>
            <w:tcW w:w="1162" w:type="dxa"/>
            <w:tcBorders>
              <w:tl2br w:val="nil"/>
              <w:tr2bl w:val="nil"/>
            </w:tcBorders>
            <w:noWrap w:val="0"/>
            <w:vAlign w:val="center"/>
          </w:tcPr>
          <w:p w14:paraId="52B6319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智能交互平板</w:t>
            </w:r>
          </w:p>
        </w:tc>
        <w:tc>
          <w:tcPr>
            <w:tcW w:w="5642" w:type="dxa"/>
            <w:tcBorders>
              <w:tl2br w:val="nil"/>
              <w:tr2bl w:val="nil"/>
            </w:tcBorders>
            <w:noWrap w:val="0"/>
            <w:vAlign w:val="center"/>
          </w:tcPr>
          <w:p w14:paraId="5C9942D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1.智能交互平板显示尺寸≧86英寸，分辨率：3840*2160 ，采用红外触控技术，在双系统下均支持40点同时触控</w:t>
            </w:r>
            <w:r>
              <w:rPr>
                <w:rFonts w:hint="eastAsia" w:ascii="宋体" w:hAnsi="宋体" w:eastAsia="宋体" w:cs="宋体"/>
                <w:b w:val="0"/>
                <w:bCs w:val="0"/>
                <w:sz w:val="24"/>
                <w:szCs w:val="24"/>
                <w:highlight w:val="none"/>
                <w:lang w:eastAsia="zh-CN"/>
              </w:rPr>
              <w:t>。</w:t>
            </w:r>
          </w:p>
          <w:p w14:paraId="6871F8A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2.智能交互平板表面玻璃应采用高强度钢化玻璃，玻璃厚度≤3.2mm，硬度可达莫氏7级，高于石墨1-9H硬度</w:t>
            </w:r>
            <w:r>
              <w:rPr>
                <w:rFonts w:hint="eastAsia" w:ascii="宋体" w:hAnsi="宋体" w:eastAsia="宋体" w:cs="宋体"/>
                <w:b w:val="0"/>
                <w:bCs w:val="0"/>
                <w:sz w:val="24"/>
                <w:szCs w:val="24"/>
                <w:highlight w:val="none"/>
                <w:lang w:eastAsia="zh-CN"/>
              </w:rPr>
              <w:t>。</w:t>
            </w:r>
          </w:p>
          <w:p w14:paraId="7A210ED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3.智能交互平板采用全贴合设计，光影偏差为0。</w:t>
            </w:r>
          </w:p>
          <w:p w14:paraId="3D5EBDE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4.智能交互平板双侧边框宽度≤17mm，提升视觉效果及教学沉浸感。</w:t>
            </w:r>
          </w:p>
          <w:p w14:paraId="766D82A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5.智能交互平板前面板至少具备1路HDMI接口（非转接），2路USB3.0接口，1路USB Type-c接口</w:t>
            </w:r>
            <w:r>
              <w:rPr>
                <w:rFonts w:hint="eastAsia" w:ascii="宋体" w:hAnsi="宋体" w:eastAsia="宋体" w:cs="宋体"/>
                <w:b w:val="0"/>
                <w:bCs w:val="0"/>
                <w:sz w:val="24"/>
                <w:szCs w:val="24"/>
                <w:highlight w:val="none"/>
                <w:lang w:eastAsia="zh-CN"/>
              </w:rPr>
              <w:t>。</w:t>
            </w:r>
          </w:p>
          <w:p w14:paraId="7941189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6.智能交互平板后置标配VGA输入≥1路，HDMI输入≥1路（需提供CMA或CNAS认证检测机构出具的检测报告并加盖公章）。</w:t>
            </w:r>
          </w:p>
          <w:p w14:paraId="285973E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7.智能交互平板具有通屏笔槽结构，可放置书写笔、粉笔、水性笔等。</w:t>
            </w:r>
          </w:p>
          <w:p w14:paraId="014DD15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8.智能交互平板前置中文按键≥7个，可实现音量加减、窗口关闭、触控开关等功能，且按键均具备两种及以上明确的功能（需提供CMA或CNAS认证检测机构出具的检测报告并加盖公章）。</w:t>
            </w:r>
          </w:p>
          <w:p w14:paraId="6AAA89F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9.智能交互平板内置Wi-Fi6无线网卡，在Android和Windows系统下，可实现Wi-Fi无线上网连接、AP无线热点发射，在Android和Windows系统下支持无线设备同时连接数量≥30个。</w:t>
            </w:r>
          </w:p>
          <w:p w14:paraId="7D0DFDA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10.整机内置蓝牙Bluetooth 5.4模块，支持连接外部蓝牙音箱播放音频。</w:t>
            </w:r>
          </w:p>
          <w:p w14:paraId="6F9BBC1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11.无需打开智能交互平板背板，前置接口面板和前置按键面板支持单独前拆（需提供CMA或CNAS认证检测机构出具的检测报告并加盖公章）。</w:t>
            </w:r>
          </w:p>
          <w:p w14:paraId="279FF62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12.前置U盘接口需采用隐藏式设计，具有翻转式防护盖板，盖板高度≥4cm。为方便不同厚度U盘接入，开合角度≥100°（需提供CMA或CNAS认证检测机构出具的检测报告并加盖公章）。</w:t>
            </w:r>
          </w:p>
          <w:p w14:paraId="0AEE35A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13.智能交互平板具备前置电脑还原按键，为避免误碰按键采用针孔式设计，并配有中文标识（需提供CMA或CNAS认证检测机构出具的检测报告并加盖公章）。</w:t>
            </w:r>
          </w:p>
          <w:p w14:paraId="0B21B06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14.采用针孔阵列发声设计，智能交互平板下边框具有4个发声单元，总功率≥40W, 扬声器在100%音量下，1米处声压级≥90dB，10米处声压级≥80dB；谐振频率不高于260Hz。（需提供CMA或CNAS认证检测机构出具的检测报告并加盖公章）</w:t>
            </w:r>
          </w:p>
          <w:p w14:paraId="68C2654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15.智能交互平板具备≥12核芯片驱动， Android 系统版本≥14.0，内存≥2G，存储≥8G。（需提供CMA或CNAS认证检测机构出具的检测报告并加盖公章）</w:t>
            </w:r>
          </w:p>
          <w:p w14:paraId="4F306301">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16.内置一体化超高清5K摄像头，单颗摄像头有效像素≥1900W，可输出最大分辨率5104*3864的图片与视频，支持搭配AI软件实现自动点名点数功能。（需提供CMA或CNAS认证检测机构出具的检测报告并加盖公章）</w:t>
            </w:r>
          </w:p>
          <w:p w14:paraId="5E69E07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17.智能交互平板左右两侧可提供与教学应用密切相关的快捷键，数量各不少于15个，并支持自定义设置：时间，显示模式，单侧显示、双侧同时显示，该快捷键至少具有关闭窗口、展台、桌面、多屏互动等教学常用按键。</w:t>
            </w:r>
          </w:p>
          <w:p w14:paraId="78E9CBB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18.智能交互平板具有悬浮菜单，两指可快速移动悬浮菜单至按压位置，悬浮菜单可进行自定义分组，可添加AI互动软件等不少于30个应用。</w:t>
            </w:r>
          </w:p>
          <w:p w14:paraId="61E6995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19.智能交互平板触摸支持动态压力模拟，支持无任何电子功能的普通书写笔，在交互平板上书写或点压时，整机能感应压力变化，书写或点压过程笔迹呈现不同粗细。</w:t>
            </w:r>
          </w:p>
          <w:p w14:paraId="0F675B3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20.安卓白板软件具备面积识别功能，通过接触交互设备的面积大小实现智能擦除、粗细笔迹书写。</w:t>
            </w:r>
          </w:p>
          <w:p w14:paraId="1C29FAF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21.智能交互平板采用硬件低蓝光背光技术，在源头减少有害蓝光波段能量，蓝光占比（有害蓝光415～455nm能量综合）/（整体蓝光400～500能量综合）＜50%。</w:t>
            </w:r>
          </w:p>
          <w:p w14:paraId="5F56E6D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22.智能交互平板全通道支持纸质护眼模式，可实现画面纹理的实时调整；支持纸质纹理：素描纸、宣纸、水彩纸；支持透明度调节与色温调节；显示画面各像素点灰度不规则，减少背景干扰。</w:t>
            </w:r>
          </w:p>
          <w:p w14:paraId="3731A09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23.通过五指抓取屏幕任意位置可调出多任务处理窗口，并对正在运行的应用进行浏览、快速切换或结束进程。</w:t>
            </w:r>
          </w:p>
          <w:p w14:paraId="6E7ADB0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24.具备ECO光感模块，在关闭推拉黑板，可自动进入黑屏节能模式，并可自主选择时间间隔。</w:t>
            </w:r>
          </w:p>
          <w:p w14:paraId="4CD967D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25.智能交互平板背光系统支持DC调光方式，多级亮度调节。</w:t>
            </w:r>
          </w:p>
          <w:p w14:paraId="5BAF8DD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26.在任意信号源下，从屏幕下方任意位置向上滑动，可调用快捷设置菜单；无需切换系统，可快速调节Windows 和Android 的设置，并支持拖拽到屏幕任意位置。</w:t>
            </w:r>
          </w:p>
          <w:p w14:paraId="0002D37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27.智能交互平板采用OPS-C 标准的80pin针口设计（需提供CMA或CNAS认证检测机构出具的检测报告并加盖公章）。</w:t>
            </w:r>
          </w:p>
          <w:p w14:paraId="6A7C3A9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28.智能交互平板</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亮度均匀性≥70%，闪烁等级≤-30db（60Hz）（需提供CMA或CNAS认证检测机构出具的检测报告并加盖公章）。</w:t>
            </w:r>
          </w:p>
          <w:p w14:paraId="6E8114F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内置电脑</w:t>
            </w:r>
            <w:r>
              <w:rPr>
                <w:rFonts w:hint="eastAsia" w:ascii="宋体" w:hAnsi="宋体" w:eastAsia="宋体" w:cs="宋体"/>
                <w:b w:val="0"/>
                <w:bCs w:val="0"/>
                <w:sz w:val="24"/>
                <w:szCs w:val="24"/>
                <w:highlight w:val="none"/>
                <w:lang w:eastAsia="zh-CN"/>
              </w:rPr>
              <w:t>：</w:t>
            </w:r>
          </w:p>
          <w:p w14:paraId="7B912C6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80pin Intel通用标准接口,即插即用，易于维护；尺寸长度≥220mm，厚度≤30mm</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CPU采用Intel I7处理器；内存：≥8G DDR4；硬盘：≥256G SSD固态硬盘；接口：整机非外扩展具备5个USB接口；具有独立非外扩展的视频输出接口：≥1路HDMI等</w:t>
            </w:r>
            <w:r>
              <w:rPr>
                <w:rFonts w:hint="eastAsia" w:ascii="宋体" w:hAnsi="宋体" w:eastAsia="宋体" w:cs="宋体"/>
                <w:b w:val="0"/>
                <w:bCs w:val="0"/>
                <w:sz w:val="24"/>
                <w:szCs w:val="24"/>
                <w:highlight w:val="none"/>
                <w:lang w:eastAsia="zh-CN"/>
              </w:rPr>
              <w:t>。</w:t>
            </w:r>
          </w:p>
          <w:p w14:paraId="57E0E78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无线传屏器：</w:t>
            </w:r>
          </w:p>
          <w:p w14:paraId="6EABC25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接收端无需外接硬件接收器，插入USB投屏器即可传屏；单USB接口设计，无需额外供电线及其他端口；支持安卓与Windows10双系统操作；支持接收端与发送端处于同一无线局域网状态下自动获取网络信息；支持企业级路由器，并且接收端与发送端处于同一网段状态下，自动获取网络信息，完成配对；5.8 G wifi传输信道；静态播放最低传输延迟小于120ms；支持1080P分辨率音视频镜像传屏；一键抢占式传屏，多个发送端轻松切换；支持触摸框或者鼠标触摸回传，windows支持多点；在配置额外工业级路由器的情况下，可以配置多达16个USB发射端；反向触控回传，可以直接在大触摸屏上修改office文档的内容并保存；USB按钮插入接收端USB口，会自动检测版本是否匹配，不匹配会自动升级USB按钮。</w:t>
            </w:r>
          </w:p>
          <w:p w14:paraId="6A1029C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移动支架：</w:t>
            </w:r>
          </w:p>
          <w:p w14:paraId="0F56B92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材料：优质冷轧钢板，精工冲压+焊接；表面处理：黑砂纹（防锈烤漆）；屏幕尺寸: ≥86''专用；自由旋转：360°；加厚龙骨厚实耐用，底部力学承载，保证支撑的稳定、安全。</w:t>
            </w:r>
          </w:p>
        </w:tc>
        <w:tc>
          <w:tcPr>
            <w:tcW w:w="709" w:type="dxa"/>
            <w:tcBorders>
              <w:tl2br w:val="nil"/>
              <w:tr2bl w:val="nil"/>
            </w:tcBorders>
            <w:noWrap w:val="0"/>
            <w:vAlign w:val="center"/>
          </w:tcPr>
          <w:p w14:paraId="4D588ADE">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4265B3F5">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套</w:t>
            </w:r>
          </w:p>
        </w:tc>
      </w:tr>
      <w:tr w14:paraId="4DE63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6F0684E7">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24</w:t>
            </w:r>
          </w:p>
        </w:tc>
        <w:tc>
          <w:tcPr>
            <w:tcW w:w="1162" w:type="dxa"/>
            <w:tcBorders>
              <w:tl2br w:val="nil"/>
              <w:tr2bl w:val="nil"/>
            </w:tcBorders>
            <w:noWrap w:val="0"/>
            <w:vAlign w:val="center"/>
          </w:tcPr>
          <w:p w14:paraId="6724AD5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无人数采平台1</w:t>
            </w:r>
          </w:p>
        </w:tc>
        <w:tc>
          <w:tcPr>
            <w:tcW w:w="5642" w:type="dxa"/>
            <w:tcBorders>
              <w:tl2br w:val="nil"/>
              <w:tr2bl w:val="nil"/>
            </w:tcBorders>
            <w:noWrap w:val="0"/>
            <w:vAlign w:val="center"/>
          </w:tcPr>
          <w:p w14:paraId="0C175F3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飞行器：起飞重量：≤958g；上升速度：≤8米/秒；下降速度：≤6米/秒；水平飞行速度：≤21米/秒；起飞海拔高度：≤6000米；飞行时间：≤43分；悬停时间：≤37分；续航里程：≤28公里；抗风速度：≤12米/秒；可倾斜角度：≤35°；卫星导航系统：GPS+Galileo+BeiDou；悬停精度：垂直±0.1米、水平±0.3米；机载内存：8GB。</w:t>
            </w:r>
          </w:p>
          <w:p w14:paraId="42FAA60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影像传感器：哈苏相机：4/3 CMOS，有效像素2000万；中长焦相机：1/1.3英寸CMOS，有效像素4800万；长焦相机：1/2 英寸CMOS，有效像素1200万。</w:t>
            </w:r>
          </w:p>
          <w:p w14:paraId="470C516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镜头：哈苏相机：视角(FOV)：84，等效焦距：24mm，光圈：f/2.8至f/11，对焦点：1米至无穷远；中长焦相机：视角(FOV)：35，等效焦距：70mm，光圈：f/2.8，对焦点：3米至无穷远；长焦相机：视角(FOV)：15，等效焦距：166mm，光圈：f/3.4，对焦点：3米至无穷远。</w:t>
            </w:r>
          </w:p>
          <w:p w14:paraId="29BCFBD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ISO范围：视频：普通、慢动作：100至6400(普通色彩)、400至1600(D-L09)、100至1600(D-LogM)、100至1600(HLG)，夜景：800至12800(普通色彩)；照片：100至6400。</w:t>
            </w:r>
          </w:p>
          <w:p w14:paraId="2590D39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快门速度：哈苏相机：8秒至 1/8000秒，中长焦相机：2秒至 1/8000秒，长焦相机：2秒至 1/8000秒。</w:t>
            </w:r>
          </w:p>
          <w:p w14:paraId="73833F7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云台：稳定系统：三轴机械云台(俯仰、横滚、偏航)；结构设计范围：俯仰：-140°至 50°、横滚：-50°至 50°、偏航：-23°至 23°；可控转动范围：俯仰：-90°至35°、偏航：-5°至5°；最大控制转速(俯仰)：100°/秒；角度抖动量：无风悬停：±0.001°、普通挡：±0.003°、运动挡：+0.005°。</w:t>
            </w:r>
          </w:p>
          <w:p w14:paraId="3A3231E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感知系统：全向双目视觉系统，辅以机身底部红外传感器。</w:t>
            </w:r>
          </w:p>
          <w:p w14:paraId="46AB7A8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图传：O3+，实时图传质量：1080p/30fps，1080p/60fps；工作频段：2.400 GHz至2.4835 GHz、5.725 GHz 至5.850 GHz。</w:t>
            </w:r>
          </w:p>
          <w:p w14:paraId="0272FEC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电池：容量5000毫安时、重量335.5 克、标称电压15.4伏、</w:t>
            </w:r>
          </w:p>
          <w:p w14:paraId="0A044DB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充电限制电压17.6伏、电池类型Li-ion 4S、能量77 瓦时。</w:t>
            </w:r>
          </w:p>
          <w:p w14:paraId="1AD7BE6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充电器：65W便携充电器，100-240VAC、50Hz-60Hz、2A。</w:t>
            </w:r>
          </w:p>
          <w:p w14:paraId="2A928B1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遥控器：有效距离15公里（FCC）、蓝牙4.2、屏幕：1920*1080、5.5英寸、60fps、700尼特、10点触控、续航时间4小时。</w:t>
            </w:r>
          </w:p>
          <w:p w14:paraId="279676C1">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配置要求：飞行器×1、遥控器×1、智能飞行电池×1、降噪螺旋桨×3对、65W便携充电器×1、USB3.0 Type-C 数据线× 1、收纳保护罩×1、备用摇杆×1对。</w:t>
            </w:r>
          </w:p>
        </w:tc>
        <w:tc>
          <w:tcPr>
            <w:tcW w:w="709" w:type="dxa"/>
            <w:tcBorders>
              <w:tl2br w:val="nil"/>
              <w:tr2bl w:val="nil"/>
            </w:tcBorders>
            <w:noWrap w:val="0"/>
            <w:vAlign w:val="center"/>
          </w:tcPr>
          <w:p w14:paraId="38C613BF">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5AE652F1">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套</w:t>
            </w:r>
          </w:p>
        </w:tc>
      </w:tr>
      <w:tr w14:paraId="3CBB5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2F02D262">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25</w:t>
            </w:r>
          </w:p>
        </w:tc>
        <w:tc>
          <w:tcPr>
            <w:tcW w:w="1162" w:type="dxa"/>
            <w:tcBorders>
              <w:tl2br w:val="nil"/>
              <w:tr2bl w:val="nil"/>
            </w:tcBorders>
            <w:noWrap w:val="0"/>
            <w:vAlign w:val="center"/>
          </w:tcPr>
          <w:p w14:paraId="0F3D097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无人数采平台2</w:t>
            </w:r>
          </w:p>
        </w:tc>
        <w:tc>
          <w:tcPr>
            <w:tcW w:w="5642" w:type="dxa"/>
            <w:tcBorders>
              <w:tl2br w:val="nil"/>
              <w:tr2bl w:val="nil"/>
            </w:tcBorders>
            <w:noWrap w:val="0"/>
            <w:vAlign w:val="center"/>
          </w:tcPr>
          <w:p w14:paraId="74271D8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飞行器</w:t>
            </w:r>
            <w:r>
              <w:rPr>
                <w:rFonts w:hint="eastAsia" w:ascii="宋体" w:hAnsi="宋体" w:eastAsia="宋体" w:cs="宋体"/>
                <w:b w:val="0"/>
                <w:bCs w:val="0"/>
                <w:sz w:val="24"/>
                <w:szCs w:val="24"/>
                <w:highlight w:val="none"/>
                <w:lang w:eastAsia="zh-CN"/>
              </w:rPr>
              <w:t>：起飞重量：</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1420克；载重：</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200克；上升速度：</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10米/秒；下降速度：</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8米/秒；</w:t>
            </w:r>
            <w:r>
              <w:rPr>
                <w:rFonts w:hint="eastAsia" w:ascii="宋体" w:hAnsi="宋体" w:eastAsia="宋体" w:cs="宋体"/>
                <w:b w:val="0"/>
                <w:bCs w:val="0"/>
                <w:sz w:val="24"/>
                <w:szCs w:val="24"/>
                <w:highlight w:val="none"/>
                <w:lang w:val="en-US" w:eastAsia="zh-CN"/>
              </w:rPr>
              <w:t>水</w:t>
            </w:r>
            <w:r>
              <w:rPr>
                <w:rFonts w:hint="eastAsia" w:ascii="宋体" w:hAnsi="宋体" w:eastAsia="宋体" w:cs="宋体"/>
                <w:b w:val="0"/>
                <w:bCs w:val="0"/>
                <w:sz w:val="24"/>
                <w:szCs w:val="24"/>
                <w:highlight w:val="none"/>
                <w:lang w:eastAsia="zh-CN"/>
              </w:rPr>
              <w:t>平飞行速度：</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1米/秒；起飞海拔高度：</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6000米；飞行时间：</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49分钟；悬停时间：</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42分钟；续航里程：</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35公里；抗风速度：</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12米/秒；可倾斜角度：</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35°；GNSS：GPS + Galileo + BeiDou + GLONASS；悬停精度：垂直±0.1 米、水平：±0.3米；RTK定位精度：水平1厘米+1ppm、垂直1.5厘米+1ppm。</w:t>
            </w:r>
          </w:p>
          <w:p w14:paraId="15881F2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相机：广角：1/1.3英寸CMOS，有效像素4800万；中长焦：1/1.3英寸CMOS，有效像素4800万；长焦：1/1.5英寸CMOS，有效像素4800万。</w:t>
            </w:r>
          </w:p>
          <w:p w14:paraId="44CF30C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镜头：广角相机：视角：82°、等效焦距：24毫米、光圈：f/1.7、</w:t>
            </w:r>
          </w:p>
          <w:p w14:paraId="22C8A8A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对焦点：1米至无穷远；中长焦相机：视角：35°、等效焦距：70毫米、光圈：f/2.8、对焦点：3米至无穷远；长焦相机：视角：15°、等效焦距：168毫米、光圈：f/2.8、对焦点：3米至无穷远。</w:t>
            </w:r>
          </w:p>
          <w:p w14:paraId="67755D3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ISO范围：普通模式：ISO100至ISO25600；夜景模式：广角：ISO100至ISO409600、中长焦：ISO100至ISO409600、长焦：ISO100至ISO819200。</w:t>
            </w:r>
          </w:p>
          <w:p w14:paraId="6138123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快门速度：2秒至1/8000秒。</w:t>
            </w:r>
          </w:p>
          <w:p w14:paraId="3CE3423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红外补光：FOV：5.7°±0.3°。</w:t>
            </w:r>
          </w:p>
          <w:p w14:paraId="782D4DD1">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激光测距：正入射量程：1800米（1 Hz）@20% 反射率目标、斜入射量程（1:5 斜距）：600米（1 Hz）、盲区：1米；测距精度：1米至3米：系统误差 &lt;0.3 米，随机误差&lt;0.1 米@1σ</w:t>
            </w:r>
          </w:p>
          <w:p w14:paraId="0D7B311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其他距离：±（0.2+0.0015D）。</w:t>
            </w:r>
          </w:p>
          <w:p w14:paraId="6B914D5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热成像相机：热成像传感器：非制冷氧化钒、分辨率：640×512。</w:t>
            </w:r>
          </w:p>
          <w:p w14:paraId="2584A7E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云台：稳定系统：三轴机械云台（俯仰、横滚、平移）；机械限位：俯仰：-140°至113°、横滚：-52°至52°、平移：-65°至65°；软限位：俯仰：-90°至35°、横滚：-47°至 47°；平移：-60°至60°；可控转动范围：俯仰：-90°至35°、平移：不可控；最大控制转速（俯仰）：100°/s；角度抖动量：±0.007°。</w:t>
            </w:r>
          </w:p>
          <w:p w14:paraId="5C48E8F1">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感知系统：全向双目视觉系统，辅以机身底部三维红外传感器。</w:t>
            </w:r>
          </w:p>
          <w:p w14:paraId="182BB30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图传：O4图传行业版，实时图传质量：1080p/30fps；工作频段：2.400GHz至2.4835GHz、5.725GHz至5.850GHz、5.150 GHz 至5.250GHz。</w:t>
            </w:r>
          </w:p>
          <w:p w14:paraId="1E91ECE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电池：容量6741毫安时、标称电压14.76伏、充电限制电压</w:t>
            </w:r>
          </w:p>
          <w:p w14:paraId="0949BB3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17.0伏、电池类型Li-ion 4S、能量99.5 瓦时。</w:t>
            </w:r>
          </w:p>
          <w:p w14:paraId="2A5F2CD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充电器：输入100伏至240伏，50赫兹至60赫兹，2.5 安；最大输出功率100瓦。</w:t>
            </w:r>
          </w:p>
          <w:p w14:paraId="488FDBB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遥控器：图传方案：O4图传行业版；最大信号有效距离：FCC 25公里、CE 12公里、SRRC 12公里、MIC 12公里；蓝牙 5.2；屏幕分辨率：1920×1200；屏幕尺寸：7.02英寸；屏幕帧率：60fps；屏幕亮度：1400尼特；屏幕触控：10点触。</w:t>
            </w:r>
          </w:p>
          <w:p w14:paraId="16BE661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配置要求：主机×1、电池×1、遥控器行业版×1、100W桌面充电器×1、充电管家×1、microSD卡×1、云台保护罩×1、</w:t>
            </w:r>
          </w:p>
          <w:p w14:paraId="222AEDD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增强图传模块×1、桨叶×3、100W充电器AC线×1、USB-C至 USB-C数据线×1、USB-A至USB-C 数据线×1、安全箱×1、安全箱单肩带×1。</w:t>
            </w:r>
          </w:p>
        </w:tc>
        <w:tc>
          <w:tcPr>
            <w:tcW w:w="709" w:type="dxa"/>
            <w:tcBorders>
              <w:tl2br w:val="nil"/>
              <w:tr2bl w:val="nil"/>
            </w:tcBorders>
            <w:noWrap w:val="0"/>
            <w:vAlign w:val="center"/>
          </w:tcPr>
          <w:p w14:paraId="11A04B63">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39988B05">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套</w:t>
            </w:r>
          </w:p>
        </w:tc>
      </w:tr>
      <w:tr w14:paraId="36977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11C55014">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26</w:t>
            </w:r>
          </w:p>
        </w:tc>
        <w:tc>
          <w:tcPr>
            <w:tcW w:w="1162" w:type="dxa"/>
            <w:tcBorders>
              <w:tl2br w:val="nil"/>
              <w:tr2bl w:val="nil"/>
            </w:tcBorders>
            <w:noWrap w:val="0"/>
            <w:vAlign w:val="center"/>
          </w:tcPr>
          <w:p w14:paraId="6FFC3AD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深度学习工作站</w:t>
            </w:r>
          </w:p>
        </w:tc>
        <w:tc>
          <w:tcPr>
            <w:tcW w:w="5642" w:type="dxa"/>
            <w:tcBorders>
              <w:tl2br w:val="nil"/>
              <w:tr2bl w:val="nil"/>
            </w:tcBorders>
            <w:noWrap w:val="0"/>
            <w:vAlign w:val="center"/>
          </w:tcPr>
          <w:p w14:paraId="02690B1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配置要求：</w:t>
            </w:r>
          </w:p>
          <w:p w14:paraId="294725F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处理器</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U9 285K</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内存</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64GB（32GB*2）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DDR5</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硬盘</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2T SSD</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显卡</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NVIDIAGeForceRTX 4090D</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24GB</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网络通信</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无线网卡WiFi6E</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有线网卡</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蓝牙</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前侧接口</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数据接口1*USB 3.2 Gen1+2*USB 2.0+1*USB-C 3.2 Gen2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音频接口1×耳机输出接口/1×麦克风输入接口</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后侧接口</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数据接口2*USB 2.0+4*USB 3.2 Gen1+1*USB 3.2 Gen2+雷电4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视频接口DPx3/HDMI</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音频接口</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网络接口</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操作系统</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Windows 11 家庭中文版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预装软件正版Office家庭和学生版</w:t>
            </w:r>
            <w:r>
              <w:rPr>
                <w:rFonts w:hint="eastAsia" w:ascii="宋体" w:hAnsi="宋体" w:eastAsia="宋体" w:cs="宋体"/>
                <w:b w:val="0"/>
                <w:bCs w:val="0"/>
                <w:sz w:val="24"/>
                <w:szCs w:val="24"/>
                <w:highlight w:val="none"/>
                <w:lang w:eastAsia="zh-CN"/>
              </w:rPr>
              <w:t>；</w:t>
            </w:r>
          </w:p>
          <w:p w14:paraId="115D697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电源</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1200W电源</w:t>
            </w:r>
            <w:r>
              <w:rPr>
                <w:rFonts w:hint="eastAsia" w:ascii="宋体" w:hAnsi="宋体" w:eastAsia="宋体" w:cs="宋体"/>
                <w:b w:val="0"/>
                <w:bCs w:val="0"/>
                <w:sz w:val="24"/>
                <w:szCs w:val="24"/>
                <w:highlight w:val="none"/>
                <w:lang w:eastAsia="zh-CN"/>
              </w:rPr>
              <w:t>。</w:t>
            </w:r>
          </w:p>
          <w:p w14:paraId="6800B20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显示器：27英寸16:9 IPS；分辨率：2560x1440(水平x垂直)；刷新率：原生180HZ；背光：WLED；对比度: 1000:1；底座：-5°~22°前后俯仰，120mm垂直升降，-30°~30°水平旋转，90°垂直旋转；接口：2xHDMI 2.1 TMDS1xDP 1.4。</w:t>
            </w:r>
          </w:p>
          <w:p w14:paraId="3E66AE5B">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桌面云平台（可以为第三方软件）：</w:t>
            </w:r>
          </w:p>
          <w:p w14:paraId="7703B4B0">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支持跨校区分散部署，云服务器可部署在不同的校区，单一IP地址即可访问和管理所有区域，支持多区域切换管理，支持新增区域，便于构建校级云桌面同一管理平台，满足跨校区云桌面建设（投标文件提供功能界面截图并加盖投标人公章）；</w:t>
            </w:r>
          </w:p>
          <w:p w14:paraId="4EA8D04D">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单个平台可交付多种类型桌面，至少包括VDI桌面、VOI桌面、IDV桌面、漫游桌面、个人桌面，满足教学、实训、科研、办公等场景需求（投标文件提供功能截图并加盖投标人公章）；</w:t>
            </w:r>
          </w:p>
          <w:p w14:paraId="00E7CE2A">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系统下发支持分盘下发，可同时下发系统盘和数据盘数据，也可独立分发系统盘数据，满足系统盘更新同时保留数据盘数据的需求，提升系统下发的灵活性（投标文件提供功能截图并加盖投标人公章）；</w:t>
            </w:r>
          </w:p>
          <w:p w14:paraId="487E2D2E">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支持在WEB管理平台上直接对服务器SSD硬盘进行性能测试，不依赖第三方测试工具，可获取SSD硬盘16K随机读、顺序写数值，并给出测试评级结果，便于管理员定位系统故障（投标文件提供功能截图并加盖投标人公章）；</w:t>
            </w:r>
          </w:p>
          <w:p w14:paraId="62AE4690">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支持控制节点HA，配置两台主控时采用主备模式，当主控服务器故障，备控服务器自动完成接管，虚拟桌面零中断，执行HA切换前后，所有终端连接服务器的网络配置无需更改；HA触发的敏感时间可精细化到秒并可配置（投标文件提供功能截图并加盖投标人公章）；</w:t>
            </w:r>
          </w:p>
          <w:p w14:paraId="79E50C79">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平台支持下发windows和linux系统，在为教室分配桌面时，能够手动选择配置好的windows和linux模板，桌面创建支持自动编排终端的计算机名及编号，能够单独设定桌面系统盘/数据盘的还原属性，支持不还原/每次还原/每周还原/每月还原，支持自动更新桌面（投标文件提供功能截图并加盖投标人公章）；</w:t>
            </w:r>
          </w:p>
          <w:p w14:paraId="50052550">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单个终端可同时支持教学桌面和个人桌面两种使用方式，教学桌面开机无需账号直接进入桌面，满足学生上课使用；个人桌面开机须输入账号密码进入桌面，便于个性化实验或教师办公使用；管理台可控制允许终端进入的桌面类型，包括仅使用教学桌面，仅使用个人桌面，混合登录三种方式（投标文件提供功能截图并加盖投标人公章）；</w:t>
            </w:r>
          </w:p>
          <w:p w14:paraId="5459E371">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支持windows系统下的屏幕水印功能，可设置水印显示位置、字体大小、颜色、透明度，可设置显示内容，包括桌面计算机名，终端序号，桌面IP地址，MAC地址，还原方式等信息，进入系统后，桌面右上角可置顶显示设置的信息水印，便于管理员维护时快速查找对应的终端（投标文件提供功能截图并加盖投标人公章）；</w:t>
            </w:r>
          </w:p>
          <w:p w14:paraId="5E8B4DE2">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支持个人桌面镜像分层技术，可直接在管理平台设置分层空间大小，用于存储用户系统盘产生的数据，个人桌面模板统一更新时，可保留个性化教学办公数据（投标文件提供功能截图并加盖投标人公章）；</w:t>
            </w:r>
          </w:p>
          <w:p w14:paraId="42F89930">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支持硬件虚拟化功能，开启后针对硬件识别码的软件可实现软件统一注册，大幅度降低激活软件带来的工作量（投标文件提供功能截图并加盖投标人公章）；</w:t>
            </w:r>
          </w:p>
          <w:p w14:paraId="3F58F6FC">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支持融合模板功能，可基于单个融合模板创建和更新对应的VDI/VOI/IDV桌面，节省多个模板对空间的占用，实现多种不同桌面架构下的教学镜像统一管理（投标文件提供功能截图并加盖投标人公章）；</w:t>
            </w:r>
          </w:p>
          <w:p w14:paraId="4EFAAA31">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支持模板更新点管理，可默认保留不少于三个时间点的更新进度，可对更新点进行合并、删除，减少资源占用（投标文件提供功能截图并加盖投标人公章）；</w:t>
            </w:r>
          </w:p>
          <w:p w14:paraId="0930D74B">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支持模板分享链接，管理员可以将编辑模板的链接分享给需要编辑模板的用户，在浏览器中直接输入链接地址即可对模板进行编辑，支持分享日期、分享链接的失效期设置（投标文件提供功能截图并加盖投标人公章）；</w:t>
            </w:r>
          </w:p>
          <w:p w14:paraId="5F87C7BF">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单个终端可部署多个操作系统，支持在管理平台上设置终端共享数据盘，可任意选定可使用共享盘的操作系统数量，可设置终端共享数据盘的的空间大小，并能设定清除策略，包含不清除/每周清除/每月清除（投标文件提供功能截图并加盖投标人公章）；</w:t>
            </w:r>
          </w:p>
          <w:p w14:paraId="1CEF74A7">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支持消息发布功能，管理员可直接通过web管理平台给终端发送消息，终端无需进入操作系统，在场景选单页面即可接收消息，消息可在屏幕上方滚动显示（投标文件提供功能截图并加盖投标人公章）；</w:t>
            </w:r>
          </w:p>
          <w:p w14:paraId="7F70A63E">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为提升部署效率，教室终端支持按需分配交换机，可设定交换机分组匹配部署，并可生成交换机拓扑图（投标文件提供加盖投标人公章的功能截图）；</w:t>
            </w:r>
          </w:p>
          <w:p w14:paraId="56F6CB09">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支持终端的快速筛选，如在隔位考试的情况下，可通过单双号方式，快速筛选定位所要查看的终端（提供功能截图并加盖投标人公章）；</w:t>
            </w:r>
          </w:p>
          <w:p w14:paraId="5716682C">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可针对不同的功能模块和教室范围进行权限角色的划分，可授权管理员能操作的管理平台功能，权限细分到每一个功能菜单操作；可授权管理员可管理的教室范围（投标文件提供功能截图并加盖投标人公章）；</w:t>
            </w:r>
          </w:p>
          <w:p w14:paraId="481DEB2E">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i w:val="0"/>
                <w:iCs w:val="0"/>
                <w:kern w:val="0"/>
                <w:sz w:val="24"/>
                <w:szCs w:val="24"/>
                <w:highlight w:val="none"/>
                <w:lang w:val="en-US" w:eastAsia="zh-CN"/>
              </w:rPr>
            </w:pPr>
            <w:r>
              <w:rPr>
                <w:rFonts w:hint="eastAsia" w:ascii="宋体" w:hAnsi="宋体" w:eastAsia="宋体" w:cs="宋体"/>
                <w:b w:val="0"/>
                <w:bCs w:val="0"/>
                <w:i w:val="0"/>
                <w:iCs w:val="0"/>
                <w:kern w:val="0"/>
                <w:sz w:val="24"/>
                <w:szCs w:val="24"/>
                <w:highlight w:val="none"/>
                <w:lang w:val="en-US" w:eastAsia="zh-CN"/>
              </w:rPr>
              <w:t>支持在虚拟桌面管理平台上编辑学期课表 (无需依赖第三方软件或脚本)，可设置学期开始和结束时间、每节课起始时间（支持单双周排课），可直接将桌面模板拖拽到课表中，并按课表时间自动启动桌面环境，便于桌面的灵活切换（投标文件提供功能截图并加盖投标人公章）；</w:t>
            </w:r>
          </w:p>
          <w:p w14:paraId="7BE2203B">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为了保证服务器不因拉闸断电导致硬件损坏，能够通过平台设置服务器定时关机策略，能够设定周一至周五，服务器自动关机的时间，能够精确到分钟（投标文件提供功能截图并加盖投标人公章）；</w:t>
            </w:r>
          </w:p>
          <w:p w14:paraId="1D2AEE63">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支持提供虚拟服务器的系统桌面功能，可在管理平台直接选择安装包创建虚拟机，虚拟机运行在服务器中，能够选择虚拟机的CPU/内存/系统盘/数据盘/网络，能够设定虚拟机开机随宿主机启动，可用于搭建考试服务器等应用服务（投标文件提供功能截图并加盖投标人公章）；</w:t>
            </w:r>
          </w:p>
          <w:p w14:paraId="3D26983C">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提供系统操作日志功能，可独立查看管理日志和用户日志（包括操作内容，操作者，操作时间，登录主机IP，操作对象等），便于管理员精确定位操作记录，可设置日志的保留时间，如一个月，一年，永久等，支持对日志文件的备份，包括立即备份和自动备份，可设置自动备份周期、备份时间、备份文件保留数量（投标文件提供功能截图并加盖投标人公章）；</w:t>
            </w:r>
          </w:p>
          <w:p w14:paraId="75C66BCF">
            <w:pPr>
              <w:keepNext w:val="0"/>
              <w:keepLines w:val="0"/>
              <w:pageBreakBefore w:val="0"/>
              <w:kinsoku/>
              <w:wordWrap/>
              <w:overflowPunct/>
              <w:topLinePunct w:val="0"/>
              <w:autoSpaceDE/>
              <w:autoSpaceDN/>
              <w:bidi w:val="0"/>
              <w:adjustRightInd/>
              <w:snapToGrid/>
              <w:spacing w:line="288" w:lineRule="auto"/>
              <w:ind w:left="20" w:leftChars="10" w:right="20" w:rightChars="1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支持保留最少一周内的桌面下发记录，包括下发的终端名称，桌面名称，起止时间，下发状态等信息，便于后期可追溯（投标文件提供功能截图并加盖投标人公章）；</w:t>
            </w:r>
          </w:p>
          <w:p w14:paraId="4561C14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产品底层服务器虚拟化软件需通过中国电子技术标准化研究院的“信息技术 虚拟机管理通用要求”，“信息技术 弹性计算应用接口”测评，提供测试报告复印件或扫描件并加盖投标人公章。</w:t>
            </w:r>
          </w:p>
          <w:p w14:paraId="3A943AB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服务</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三年有限保修及上门</w:t>
            </w:r>
            <w:r>
              <w:rPr>
                <w:rFonts w:hint="eastAsia" w:ascii="宋体" w:hAnsi="宋体" w:eastAsia="宋体" w:cs="宋体"/>
                <w:b w:val="0"/>
                <w:bCs w:val="0"/>
                <w:sz w:val="24"/>
                <w:szCs w:val="24"/>
                <w:highlight w:val="none"/>
                <w:lang w:eastAsia="zh-CN"/>
              </w:rPr>
              <w:t>。</w:t>
            </w:r>
          </w:p>
        </w:tc>
        <w:tc>
          <w:tcPr>
            <w:tcW w:w="709" w:type="dxa"/>
            <w:tcBorders>
              <w:tl2br w:val="nil"/>
              <w:tr2bl w:val="nil"/>
            </w:tcBorders>
            <w:noWrap w:val="0"/>
            <w:vAlign w:val="center"/>
          </w:tcPr>
          <w:p w14:paraId="76400D03">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w:t>
            </w:r>
          </w:p>
        </w:tc>
        <w:tc>
          <w:tcPr>
            <w:tcW w:w="709" w:type="dxa"/>
            <w:tcBorders>
              <w:tl2br w:val="nil"/>
              <w:tr2bl w:val="nil"/>
            </w:tcBorders>
            <w:noWrap w:val="0"/>
            <w:vAlign w:val="center"/>
          </w:tcPr>
          <w:p w14:paraId="50723A1E">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套</w:t>
            </w:r>
          </w:p>
        </w:tc>
      </w:tr>
      <w:tr w14:paraId="23653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24EFAF2D">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27</w:t>
            </w:r>
          </w:p>
        </w:tc>
        <w:tc>
          <w:tcPr>
            <w:tcW w:w="1162" w:type="dxa"/>
            <w:tcBorders>
              <w:tl2br w:val="nil"/>
              <w:tr2bl w:val="nil"/>
            </w:tcBorders>
            <w:noWrap w:val="0"/>
            <w:vAlign w:val="center"/>
          </w:tcPr>
          <w:p w14:paraId="5AAC975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自驱动智能传感集成测试系统</w:t>
            </w:r>
          </w:p>
        </w:tc>
        <w:tc>
          <w:tcPr>
            <w:tcW w:w="5642" w:type="dxa"/>
            <w:tcBorders>
              <w:tl2br w:val="nil"/>
              <w:tr2bl w:val="nil"/>
            </w:tcBorders>
            <w:noWrap w:val="0"/>
            <w:vAlign w:val="center"/>
          </w:tcPr>
          <w:p w14:paraId="5A694B51">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伺服电机：位置控制、速度控制、转矩控制、位置/速度控制、位置/转矩控制、速度/转矩控制、全闭环控制。</w:t>
            </w:r>
          </w:p>
          <w:p w14:paraId="1192398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直线电机</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最大行程</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280 mm；最大力</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255 N；最大速度：3.8 m/s。</w:t>
            </w:r>
          </w:p>
          <w:p w14:paraId="2CE40C5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测微单元：总放大倍数：40x-1000x；转换器：4孔；色差物镜：100x/1.25。</w:t>
            </w:r>
          </w:p>
          <w:p w14:paraId="249C9BE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数据采集卡</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可支持的电源输入</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总线供电；最大单端模拟输入通道数量</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32；模拟输入分辨率</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16 bits；最大采样率</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250kS/s；模拟输出通道数量</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2；总线连接器</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USB 2.0。</w:t>
            </w:r>
          </w:p>
          <w:p w14:paraId="15FE603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振动台</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最大激振力</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500N；最大振幅</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正负12.5mm；最大输入电流</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&lt;30Arms；频率范围 (Hz)</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DC-3K。</w:t>
            </w:r>
          </w:p>
          <w:p w14:paraId="7BFDE94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功率放大器</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额定输出功率</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800VA；额定输出电压</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40Vrms；额定输出电流</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37.5Arms；输入阻抗</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&gt;10KΩ。</w:t>
            </w:r>
          </w:p>
          <w:p w14:paraId="343116F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闭环控制器</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输入通道数</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4；AD分辨率</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24位；采样方式</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并行同步采样；采样速率</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最高128kHz/CH，多档可设置；数据传输接口</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sz w:val="24"/>
                <w:szCs w:val="24"/>
                <w:highlight w:val="none"/>
                <w:lang w:val="en-US" w:eastAsia="zh-CN"/>
              </w:rPr>
              <w:t>USB2.0；信噪比≥100 dB。</w:t>
            </w:r>
          </w:p>
          <w:p w14:paraId="7448B9E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闭环控制软件：专为检定加速度传感器、速度传感器和测振仪的灵敏度，频率响应和幅值线性度。</w:t>
            </w:r>
          </w:p>
          <w:p w14:paraId="207D4A1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加速度传感器</w:t>
            </w:r>
            <w:r>
              <w:rPr>
                <w:rFonts w:hint="eastAsia" w:ascii="宋体" w:hAnsi="宋体" w:eastAsia="宋体" w:cs="宋体"/>
                <w:color w:val="000000"/>
                <w:sz w:val="24"/>
                <w:szCs w:val="24"/>
                <w:highlight w:val="none"/>
                <w:lang w:eastAsia="zh-CN"/>
              </w:rPr>
              <w:t>：灵敏度：</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pC/g；横向灵敏度比：&lt;5%；量程范围：±1000g；频率（±0.5dB）：1-5kHz；安装谐振频率：18KHz。</w:t>
            </w:r>
          </w:p>
          <w:p w14:paraId="03B6E13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力传感器：电压灵敏度（20±5℃）：2.5mV/N；测量范围：2kN；过载能力：120％；线性度：≤1%F·S；迟滞：≤1%F·S；重复性：≤1%F·S；输出阻抗：≤100Ω。</w:t>
            </w:r>
          </w:p>
          <w:p w14:paraId="1980E16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sz w:val="24"/>
                <w:szCs w:val="24"/>
                <w:highlight w:val="none"/>
                <w:lang w:val="en-US" w:eastAsia="zh-CN"/>
              </w:rPr>
              <w:t>电荷放大器：最大输入电荷量：±10 6 Pc；灵敏度：0.01-1000mV/Pc（源电容 1nF 时-40~+60dB）；传感器灵敏度调节：三位十进制按码开关传感器灵敏度调节1-1099Pc/Unit；准确度0.1mV/Unit、1mV/Unit、10mV/Unit、100mV/Unit、1000mV/Unit 五档。</w:t>
            </w:r>
          </w:p>
          <w:p w14:paraId="3F3F770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伺服压铆机：</w:t>
            </w:r>
          </w:p>
          <w:p w14:paraId="3E85154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吨数</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10T</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喉深：520MM</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功率： 7.5KW</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功耗 ：1.0 KW/H(负载）</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工作电压：380V</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行程：180MM</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可以进行数据记录</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速度范围可调节，范围是0到50mm/s</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精度</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0.01mm</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吨位</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0到10T</w:t>
            </w:r>
            <w:r>
              <w:rPr>
                <w:rFonts w:hint="eastAsia" w:ascii="宋体" w:hAnsi="宋体" w:eastAsia="宋体" w:cs="宋体"/>
                <w:b w:val="0"/>
                <w:bCs w:val="0"/>
                <w:sz w:val="24"/>
                <w:szCs w:val="24"/>
                <w:highlight w:val="none"/>
                <w:lang w:eastAsia="zh-CN"/>
              </w:rPr>
              <w:t>。</w:t>
            </w:r>
          </w:p>
          <w:p w14:paraId="0262AA2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数据存储*20：1TB USB3.2 Gen 2 I移动固态硬盘，数据读写速度不小于1050 MB/s和1000 MB/s。</w:t>
            </w:r>
          </w:p>
          <w:p w14:paraId="6678D58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数据存储*20：256GB USB3.2 Gen 1 U盘，数据读写速度不小于50 MB/s和5 MB/s。</w:t>
            </w:r>
          </w:p>
          <w:p w14:paraId="7A33EC0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数据显示终端：75英寸，超高清4K，144Hz刷屏率，2GB+32GB存储，2.4GHz/5GHz双频，立体扬声器2*10W。</w:t>
            </w:r>
          </w:p>
        </w:tc>
        <w:tc>
          <w:tcPr>
            <w:tcW w:w="709" w:type="dxa"/>
            <w:tcBorders>
              <w:tl2br w:val="nil"/>
              <w:tr2bl w:val="nil"/>
            </w:tcBorders>
            <w:noWrap w:val="0"/>
            <w:vAlign w:val="center"/>
          </w:tcPr>
          <w:p w14:paraId="2E51390C">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16F13256">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套</w:t>
            </w:r>
          </w:p>
        </w:tc>
      </w:tr>
      <w:tr w14:paraId="1AEFA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51D7B670">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28</w:t>
            </w:r>
          </w:p>
        </w:tc>
        <w:tc>
          <w:tcPr>
            <w:tcW w:w="1162" w:type="dxa"/>
            <w:tcBorders>
              <w:tl2br w:val="nil"/>
              <w:tr2bl w:val="nil"/>
            </w:tcBorders>
            <w:noWrap w:val="0"/>
            <w:vAlign w:val="center"/>
          </w:tcPr>
          <w:p w14:paraId="30205B7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汽车零件柔性机器人控制开发平台</w:t>
            </w:r>
          </w:p>
        </w:tc>
        <w:tc>
          <w:tcPr>
            <w:tcW w:w="5642" w:type="dxa"/>
            <w:tcBorders>
              <w:tl2br w:val="nil"/>
              <w:tr2bl w:val="nil"/>
            </w:tcBorders>
            <w:noWrap w:val="0"/>
            <w:vAlign w:val="center"/>
          </w:tcPr>
          <w:p w14:paraId="6E5A9CB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一、平台功能</w:t>
            </w:r>
          </w:p>
          <w:p w14:paraId="453E1A3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协作机器人柔性多工位实训与开发平台是以汽车零部件组装生产为原型，集成了先进自动化技术、人工智能、物联网及数字孪生仿真技术的综合性实训系统。</w:t>
            </w:r>
          </w:p>
          <w:p w14:paraId="1EE2CD7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该平台以汽车零件柔性组装为样板进行构建，旨在提供一个高度灵活、可配置的实训环境，以满足实训教学、工业自动化培训及科研开发等多方面的需求。平台的核心是协作机器人，机器人快换系统、仓储单元、柔性视觉组装系统、铆钉安装组装系统等模块，形成了一个完整的自动化流程和模块化教学设计。</w:t>
            </w:r>
          </w:p>
          <w:p w14:paraId="2203AE4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二、协作机械臂</w:t>
            </w:r>
          </w:p>
          <w:p w14:paraId="611F54B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1、机器人类型：六轴协作机器人；</w:t>
            </w:r>
          </w:p>
          <w:p w14:paraId="0327B43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2、机器人臂展：约620mm；</w:t>
            </w:r>
          </w:p>
          <w:p w14:paraId="7BEEAA5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3、机器人负载：3KG负载；</w:t>
            </w:r>
          </w:p>
          <w:p w14:paraId="114B00F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4、本体重量：≤16.5KG；</w:t>
            </w:r>
          </w:p>
          <w:p w14:paraId="219B5E1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5、重复定位精度：≤±0.02mm；</w:t>
            </w:r>
          </w:p>
          <w:p w14:paraId="1F54C1D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6、防护等级：IP54；</w:t>
            </w:r>
          </w:p>
          <w:p w14:paraId="3D6981A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7、噪音：＜65db；</w:t>
            </w:r>
          </w:p>
          <w:p w14:paraId="316A977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8、驱动方式：Ethercat总线结构，全闭环关节力矩反馈，图形化编程，零力示教；</w:t>
            </w:r>
          </w:p>
          <w:p w14:paraId="44C0430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9、仿真功能：配置3D数字孪生仿真软件，支持以下功能：</w:t>
            </w:r>
          </w:p>
          <w:p w14:paraId="57809FC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（1）支持虚拟机器人工厂3D搭建，配置模型库，且支持外部模型导入；</w:t>
            </w:r>
          </w:p>
          <w:p w14:paraId="3962384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（2）支持虚拟示教编程功能；</w:t>
            </w:r>
          </w:p>
          <w:p w14:paraId="16950B7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（3）支持虚实互动3D仿真功能；</w:t>
            </w:r>
          </w:p>
          <w:p w14:paraId="0B32065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（4）支持与PLC、机器视觉、运动控制混合仿真功能</w:t>
            </w:r>
            <w:r>
              <w:rPr>
                <w:rFonts w:hint="eastAsia" w:ascii="宋体" w:hAnsi="宋体" w:eastAsia="宋体" w:cs="宋体"/>
                <w:b w:val="0"/>
                <w:bCs w:val="0"/>
                <w:sz w:val="24"/>
                <w:szCs w:val="24"/>
                <w:highlight w:val="none"/>
                <w:lang w:val="en-US" w:eastAsia="zh-CN"/>
              </w:rPr>
              <w:t>.</w:t>
            </w:r>
          </w:p>
        </w:tc>
        <w:tc>
          <w:tcPr>
            <w:tcW w:w="709" w:type="dxa"/>
            <w:tcBorders>
              <w:tl2br w:val="nil"/>
              <w:tr2bl w:val="nil"/>
            </w:tcBorders>
            <w:noWrap w:val="0"/>
            <w:vAlign w:val="center"/>
          </w:tcPr>
          <w:p w14:paraId="1867928A">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048A2C9F">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套</w:t>
            </w:r>
          </w:p>
        </w:tc>
      </w:tr>
      <w:tr w14:paraId="1210C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56DF1E75">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29</w:t>
            </w:r>
          </w:p>
        </w:tc>
        <w:tc>
          <w:tcPr>
            <w:tcW w:w="1162" w:type="dxa"/>
            <w:tcBorders>
              <w:tl2br w:val="nil"/>
              <w:tr2bl w:val="nil"/>
            </w:tcBorders>
            <w:noWrap w:val="0"/>
            <w:vAlign w:val="center"/>
          </w:tcPr>
          <w:p w14:paraId="2F5EA99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汽车智能化数字孪生开发平台</w:t>
            </w:r>
          </w:p>
        </w:tc>
        <w:tc>
          <w:tcPr>
            <w:tcW w:w="5642" w:type="dxa"/>
            <w:tcBorders>
              <w:tl2br w:val="nil"/>
              <w:tr2bl w:val="nil"/>
            </w:tcBorders>
            <w:noWrap w:val="0"/>
            <w:vAlign w:val="center"/>
          </w:tcPr>
          <w:p w14:paraId="026CBE7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数字孪生仿真平台</w:t>
            </w:r>
          </w:p>
          <w:p w14:paraId="33A4BFD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1、软件功能</w:t>
            </w:r>
          </w:p>
          <w:p w14:paraId="712D62F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基于智能工厂的三维仿真软件平台，具有机械设计、电气设计、数字孪生仿真以及工业互联网集成仿真的综合仿真软件平台；支持多种类型的控制器综合仿真应用，包含PLC、运动控制、机器视觉、工业机器人示教器、以及嵌入式单片机控制器等；</w:t>
            </w:r>
          </w:p>
          <w:p w14:paraId="52A4473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（2）软件具有较好交互性，可设置可设置高、中、低显示画面质量，支持中文、英文切换； </w:t>
            </w:r>
          </w:p>
          <w:p w14:paraId="5102766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（3、数字孪生仿真，能够实现该协作机器人工作站的三维模型搭建、示教编程仿真、PLC控制集成仿真以及电气调试仿真功能</w:t>
            </w:r>
            <w:r>
              <w:rPr>
                <w:rFonts w:hint="eastAsia" w:ascii="宋体" w:hAnsi="宋体" w:eastAsia="宋体" w:cs="宋体"/>
                <w:b w:val="0"/>
                <w:bCs w:val="0"/>
                <w:sz w:val="24"/>
                <w:szCs w:val="24"/>
                <w:highlight w:val="none"/>
                <w:lang w:val="en-US" w:eastAsia="zh-CN"/>
              </w:rPr>
              <w:t>.</w:t>
            </w:r>
          </w:p>
          <w:p w14:paraId="7861E57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2、三维工程设计</w:t>
            </w:r>
          </w:p>
          <w:p w14:paraId="7BE6747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（1）软件配套丰富的工程模型库，支持用户拖拽式建模，包含工业机器人、数控机床、输送带、气动零件库以及工业零件组件库等；</w:t>
            </w:r>
          </w:p>
          <w:p w14:paraId="0D8E68C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（2）具有用户自定义模型库，支持STP、STEP、IGS、IGES、FBX模型导入编辑，支持模型的一键简化功能，支持对模型的尺寸、中心点、材质、模型树修改、用户自定义贴图纹理功能</w:t>
            </w:r>
            <w:r>
              <w:rPr>
                <w:rFonts w:hint="eastAsia" w:ascii="宋体" w:hAnsi="宋体" w:eastAsia="宋体" w:cs="宋体"/>
                <w:b w:val="0"/>
                <w:bCs w:val="0"/>
                <w:sz w:val="24"/>
                <w:szCs w:val="24"/>
                <w:highlight w:val="none"/>
                <w:lang w:val="en-US" w:eastAsia="zh-CN"/>
              </w:rPr>
              <w:t>.</w:t>
            </w:r>
          </w:p>
          <w:p w14:paraId="64E7AD4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3、虚拟电气仿真</w:t>
            </w:r>
          </w:p>
          <w:p w14:paraId="1E3F2F5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电气面板功能：支持自定义添加多控制器仿真，包含PLC、机器人示教器、运动控制、机器视觉、以及嵌入式控制器等，每套控制器均具有独立的电气接口面板，可通过拖拽式配置接线，支持导出接线Excel电气图表；</w:t>
            </w:r>
          </w:p>
          <w:p w14:paraId="1CE71A8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（2）模拟电路仿真：内置虚拟电气画图软件，具有多种电气2D图库（包含PLC、电磁阀、气动阀、变频器、伺服驱动器等），基于虚拟电气接线软件能够与虚拟工厂、控制器构建控制与驱动仿真功能</w:t>
            </w:r>
            <w:r>
              <w:rPr>
                <w:rFonts w:hint="eastAsia" w:ascii="宋体" w:hAnsi="宋体" w:eastAsia="宋体" w:cs="宋体"/>
                <w:b w:val="0"/>
                <w:bCs w:val="0"/>
                <w:sz w:val="24"/>
                <w:szCs w:val="24"/>
                <w:highlight w:val="none"/>
                <w:lang w:eastAsia="zh-CN"/>
              </w:rPr>
              <w:t>。</w:t>
            </w:r>
          </w:p>
          <w:p w14:paraId="4F9B2EE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4、数字孪生仿真</w:t>
            </w:r>
          </w:p>
          <w:p w14:paraId="04C3259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PLC仿真功能：软件支持多品牌PLC虚拟仿真、虚实仿真功能，至少包含西门子PLC、三菱PLC等；工业机器人仿真：软件支持多品牌机器人示教编程，至少支持ABB机器人、埃夫特机器人、KEBA机器人等；机器视觉仿真：支持机器视觉仿真功能，内置单目、双目、调焦等多种视觉控件，能够实现虚拟工厂视觉检测仿真；</w:t>
            </w:r>
          </w:p>
          <w:p w14:paraId="40886F8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（2）虚拟视觉控制器：配置虚拟机器视觉运动控制软件，支持Basic语言及梯形图编程，具有视觉检测以及PLC运动控制功能，软件种内置虚拟HMI组态触摸屏功能，虚拟示波器功能；</w:t>
            </w:r>
          </w:p>
          <w:p w14:paraId="16F56EA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图形化编程：软件内置图形化机器人编程软件，支持Python及Blockly编程，具有急停、手动/自动切换、IO、机器人示教等功能面板、集成SCARA、Delta、六轴串联、四轴码垛多种机器人控制，支持modbus-tcp通讯、MQTT通讯功能；</w:t>
            </w:r>
          </w:p>
          <w:p w14:paraId="563EE0F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嵌入式单片机仿真：软件支持多种型号单片机接入仿真，包含STM32、ESP32以及Arduino等，能够实现单片机IO、模拟量的虚实仿真功能；协作机器人仿真：软件支持协作型六轴机器人仿真，能够实现协作机器人的虚拟示教、虚实互动的仿真功能；</w:t>
            </w:r>
          </w:p>
          <w:p w14:paraId="00774C5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（5）流程图编辑功能：软件内置流程图制作功能，能够通过流程图拖拽式编程完成对虚拟工厂的逻辑控制与动画编辑</w:t>
            </w:r>
            <w:r>
              <w:rPr>
                <w:rFonts w:hint="eastAsia" w:ascii="宋体" w:hAnsi="宋体" w:eastAsia="宋体" w:cs="宋体"/>
                <w:b w:val="0"/>
                <w:bCs w:val="0"/>
                <w:sz w:val="24"/>
                <w:szCs w:val="24"/>
                <w:highlight w:val="none"/>
                <w:lang w:eastAsia="zh-CN"/>
              </w:rPr>
              <w:t>。</w:t>
            </w:r>
          </w:p>
          <w:p w14:paraId="79A4B65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5、三维交互功能</w:t>
            </w:r>
          </w:p>
          <w:p w14:paraId="0D437E4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（1）软件支持PC端多人互动功能，能够实现多人局域网的一主多从模式同场景协作仿真；</w:t>
            </w:r>
          </w:p>
          <w:p w14:paraId="0183DD4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（2）软件支持VR眼镜沉浸式仿真，并提供VR软件APK；</w:t>
            </w:r>
          </w:p>
          <w:p w14:paraId="1801CBB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（3）支持手机APP接入仿真，能够实现APP端三维互动，并支持AR模式的虚实叠加的影像互动交互功能</w:t>
            </w:r>
            <w:r>
              <w:rPr>
                <w:rFonts w:hint="eastAsia" w:ascii="宋体" w:hAnsi="宋体" w:eastAsia="宋体" w:cs="宋体"/>
                <w:b w:val="0"/>
                <w:bCs w:val="0"/>
                <w:sz w:val="24"/>
                <w:szCs w:val="24"/>
                <w:highlight w:val="none"/>
                <w:lang w:eastAsia="zh-CN"/>
              </w:rPr>
              <w:t>。</w:t>
            </w:r>
          </w:p>
          <w:p w14:paraId="415EF17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6、工业互联网仿真</w:t>
            </w:r>
          </w:p>
          <w:p w14:paraId="060D170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（1）提供虚拟边缘计算网关软件，具有能够通过虚拟边缘计算网关进行工业总线的数据采集，支持从虚拟接口、设备、再到变量的自定义添加，支持modbus-tcp、西门子S7协议、TCP、数据库MySQL等通讯；</w:t>
            </w:r>
          </w:p>
          <w:p w14:paraId="7B88839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提供工业互联网低代码编程平台，采用B/S平台，能够实现图形化拖拽图表、数据块、自定义图片、折线图等控件，对机器人工作站的数据看板的设计与仿真；通过工业互联网数据采集能够实现该机器人工作站的数据监控、设备联网、设备状态监控等功能，提供该工业互联网数据集成应用的工程案例；提供软件的二次开发接口，支持用户自定义控制器和扩展虚实仿真功能，支持虚拟机器视觉图像传输，提供Python、C#、labview的API接口及案例工程包</w:t>
            </w:r>
            <w:r>
              <w:rPr>
                <w:rFonts w:hint="eastAsia" w:ascii="宋体" w:hAnsi="宋体" w:eastAsia="宋体" w:cs="宋体"/>
                <w:b w:val="0"/>
                <w:bCs w:val="0"/>
                <w:sz w:val="24"/>
                <w:szCs w:val="24"/>
                <w:highlight w:val="none"/>
                <w:lang w:eastAsia="zh-CN"/>
              </w:rPr>
              <w:t>。</w:t>
            </w:r>
          </w:p>
          <w:p w14:paraId="01911D8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7、虚拟仿真工程与案例库</w:t>
            </w:r>
          </w:p>
          <w:p w14:paraId="4150C0E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（1）PLC自动化编程与仿真应用案例</w:t>
            </w:r>
          </w:p>
          <w:p w14:paraId="0739E541">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a)提供主流品牌的虚拟仿真控制资源包，包含仿真工程、编程环境、以及案例手册；提供PLC与机器视觉的集成仿真资源包，能够实现机械手二维码、形状、OCR文字分拣功能；</w:t>
            </w:r>
          </w:p>
          <w:p w14:paraId="34F010D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b)提供PLC从基础入门、IO控制、PID控制、运动控制以及总线通讯集成、HMI设计的综合仿真资源包，数量≥50个，包含PPT、三维工程、手册、视频指导、源代码工程；</w:t>
            </w:r>
          </w:p>
          <w:p w14:paraId="19103AC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（2）人工智能仿真资源包及应用案例</w:t>
            </w:r>
          </w:p>
          <w:p w14:paraId="50A6584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a)提供基于OpenCV编程的3D仿真资源包，包含基于机器人的形状分类、颜色识别、垃圾分拣、OCR文字识别、五子棋人机对弈、二维码识别的应用案例；</w:t>
            </w:r>
          </w:p>
          <w:p w14:paraId="61667281">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b)提供完整的从理论讲解、源代码说明、工程案例手册指导书；</w:t>
            </w:r>
          </w:p>
          <w:p w14:paraId="3ACE808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（3）工业机器人仿真资源包及应用案例</w:t>
            </w:r>
          </w:p>
          <w:p w14:paraId="022DE4E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提供机器人示教与编程的SCARA机器人、六轴机器人、并联delta机器人、四轴码垛机器人的仿真资源包与案例；提供机器人从基础入门到集成应用的综合仿真资源包，数量≥20个，包含机器人基础编程、机器人喷涂、机器人搬运、机器人喷涂自动化、机器人焊接自动化、机器人码垛自动化以及多机器人集成协作组装的自动化工程案例；提供协作六轴机器人仿真应用案例，包含基础示教、码垛搬运，再到综合工作站（包含机器视觉、输送带、分拣、组装调试功能）集成应用的仿真资源包；</w:t>
            </w:r>
          </w:p>
          <w:p w14:paraId="04A12CB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（4）运动控制集成与控制仿真资源包</w:t>
            </w:r>
          </w:p>
          <w:p w14:paraId="104D62DA">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a)提供一套开放式运行控制器编程软件，支持8路伺服运动控制，集成Basic语言以及梯形图编程，内置组态虚拟触摸屏功能，支持G代码数控加工，提供CAM解析软件；</w:t>
            </w:r>
          </w:p>
          <w:p w14:paraId="5631658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（b)提供基于该运动控制的单轴、双轴、三轴伺服直角坐标机器人的应用与仿真；基于多关节的SCARA机械手编程与搭建的仿真资源包；基于激光雕刻及XYZ机械手上下料的系统集成多轴运动控制仿真资源包；</w:t>
            </w:r>
          </w:p>
          <w:p w14:paraId="745D2065">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（5）机器视觉运动控制集成与仿真资源包</w:t>
            </w:r>
          </w:p>
          <w:p w14:paraId="3AE6968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a)基于视觉运动控制器仿真，提供提供该机器视觉仿真的完整教材、教程资源包，包含指导手册、开发手册、课程仿真资源包，每个课程资源包包含PPT、源码、三维工程场景、视频指导；</w:t>
            </w:r>
          </w:p>
          <w:p w14:paraId="4EC8590C">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b)提供轮廓提取机器手分类、二维码识别分拣、手机液晶划痕检测自动分拣、芯片引脚检测自动化分拣、OCR文字识别自动化分拣的应用案例资源包；</w:t>
            </w:r>
          </w:p>
          <w:p w14:paraId="76ABBDC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（6）智能工厂系统集成应用仿真资源包</w:t>
            </w:r>
          </w:p>
          <w:p w14:paraId="293CD71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a）瓶装装填自动化产线仿真：包含井式送料、物料装填、瓶盖安装、物料运输再到仓储入库的全自动产线仿真资源包，提供完整的从单元实训、集成调试再到人机交互的仿真资源包；采用虚拟边缘计算网关，基于工业互联网系统集成，实现从设备、数据采集、数据解析、数据管理再到数据应用的完整的仿真应用案例，能够通过该系统讲解数字化工厂的各个层级的控制关系以及对于数字化产线集成的实训训练；MES管理应用：提供智能工厂的MES管理系统，具有设备统计、设备监控、订单统计、WMS仓储管理、以及用户管理等功能；配套该数字化产线仿真的在线B/S的仿真功能，具有知识脑图的人机交互界面，基于流程图的导览功能，具有机械安装、单元模块调试、在线评分以及仿真资源下载功能；</w:t>
            </w:r>
          </w:p>
          <w:p w14:paraId="49B40313">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（b）数控产线自动化综合仿真：包含立体仓储、AGV机器人、数控机床加工、机器视觉检测的全自动化产线，提供从基础搭建、装配、调试、PLC编程、机器人控制、边缘计算数据采集再到MES系统集成的仿真资源包</w:t>
            </w:r>
            <w:r>
              <w:rPr>
                <w:rFonts w:hint="eastAsia" w:ascii="宋体" w:hAnsi="宋体" w:eastAsia="宋体" w:cs="宋体"/>
                <w:b w:val="0"/>
                <w:bCs w:val="0"/>
                <w:sz w:val="24"/>
                <w:szCs w:val="24"/>
                <w:highlight w:val="none"/>
                <w:lang w:eastAsia="zh-CN"/>
              </w:rPr>
              <w:t>。</w:t>
            </w:r>
          </w:p>
        </w:tc>
        <w:tc>
          <w:tcPr>
            <w:tcW w:w="709" w:type="dxa"/>
            <w:tcBorders>
              <w:tl2br w:val="nil"/>
              <w:tr2bl w:val="nil"/>
            </w:tcBorders>
            <w:noWrap w:val="0"/>
            <w:vAlign w:val="center"/>
          </w:tcPr>
          <w:p w14:paraId="55C22E88">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25563839">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套</w:t>
            </w:r>
          </w:p>
        </w:tc>
      </w:tr>
      <w:tr w14:paraId="7C816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jc w:val="center"/>
        </w:trPr>
        <w:tc>
          <w:tcPr>
            <w:tcW w:w="708" w:type="dxa"/>
            <w:tcBorders>
              <w:tl2br w:val="nil"/>
              <w:tr2bl w:val="nil"/>
            </w:tcBorders>
            <w:noWrap w:val="0"/>
            <w:vAlign w:val="center"/>
          </w:tcPr>
          <w:p w14:paraId="69A5CA53">
            <w:pPr>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30</w:t>
            </w:r>
          </w:p>
        </w:tc>
        <w:tc>
          <w:tcPr>
            <w:tcW w:w="1162" w:type="dxa"/>
            <w:tcBorders>
              <w:tl2br w:val="nil"/>
              <w:tr2bl w:val="nil"/>
            </w:tcBorders>
            <w:noWrap w:val="0"/>
            <w:vAlign w:val="center"/>
          </w:tcPr>
          <w:p w14:paraId="7AC5E2B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多功能汽车零件组装实验台</w:t>
            </w:r>
          </w:p>
        </w:tc>
        <w:tc>
          <w:tcPr>
            <w:tcW w:w="5642" w:type="dxa"/>
            <w:tcBorders>
              <w:tl2br w:val="nil"/>
              <w:tr2bl w:val="nil"/>
            </w:tcBorders>
            <w:noWrap w:val="0"/>
            <w:vAlign w:val="center"/>
          </w:tcPr>
          <w:p w14:paraId="4410D4C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一</w:t>
            </w:r>
            <w:r>
              <w:rPr>
                <w:rFonts w:hint="eastAsia" w:ascii="宋体" w:hAnsi="宋体" w:eastAsia="宋体" w:cs="宋体"/>
                <w:b w:val="0"/>
                <w:bCs w:val="0"/>
                <w:sz w:val="24"/>
                <w:szCs w:val="24"/>
                <w:highlight w:val="none"/>
              </w:rPr>
              <w:t>、机器人铆钉自动化</w:t>
            </w:r>
          </w:p>
          <w:p w14:paraId="2D57DB4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1、铆钉枪规格：可适应多种规格的铆钉，具有自吸功能</w:t>
            </w:r>
            <w:r>
              <w:rPr>
                <w:rFonts w:hint="eastAsia" w:ascii="宋体" w:hAnsi="宋体" w:eastAsia="宋体" w:cs="宋体"/>
                <w:b w:val="0"/>
                <w:bCs w:val="0"/>
                <w:sz w:val="24"/>
                <w:szCs w:val="24"/>
                <w:highlight w:val="none"/>
                <w:lang w:eastAsia="zh-CN"/>
              </w:rPr>
              <w:t>；</w:t>
            </w:r>
          </w:p>
          <w:p w14:paraId="3FA320F9">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2、自动化程度：高度自动化，从铆钉送料、定位、铆接到质量检测，整个过程几乎无需人工干预</w:t>
            </w:r>
            <w:r>
              <w:rPr>
                <w:rFonts w:hint="eastAsia" w:ascii="宋体" w:hAnsi="宋体" w:eastAsia="宋体" w:cs="宋体"/>
                <w:b w:val="0"/>
                <w:bCs w:val="0"/>
                <w:sz w:val="24"/>
                <w:szCs w:val="24"/>
                <w:highlight w:val="none"/>
                <w:lang w:eastAsia="zh-CN"/>
              </w:rPr>
              <w:t>；</w:t>
            </w:r>
          </w:p>
          <w:p w14:paraId="2FB13C9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3、机器人快换模块：配套机械臂末端快换结构，可结合机械臂末端实现铆钉枪的固定抓取</w:t>
            </w:r>
            <w:r>
              <w:rPr>
                <w:rFonts w:hint="eastAsia" w:ascii="宋体" w:hAnsi="宋体" w:eastAsia="宋体" w:cs="宋体"/>
                <w:b w:val="0"/>
                <w:bCs w:val="0"/>
                <w:sz w:val="24"/>
                <w:szCs w:val="24"/>
                <w:highlight w:val="none"/>
                <w:lang w:eastAsia="zh-CN"/>
              </w:rPr>
              <w:t>；</w:t>
            </w:r>
          </w:p>
          <w:p w14:paraId="2E1487CD">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4、固定台支架：配置铝合金铆钉枪固定支架、地脚等配置</w:t>
            </w:r>
            <w:r>
              <w:rPr>
                <w:rFonts w:hint="eastAsia" w:ascii="宋体" w:hAnsi="宋体" w:eastAsia="宋体" w:cs="宋体"/>
                <w:b w:val="0"/>
                <w:bCs w:val="0"/>
                <w:sz w:val="24"/>
                <w:szCs w:val="24"/>
                <w:highlight w:val="none"/>
                <w:lang w:eastAsia="zh-CN"/>
              </w:rPr>
              <w:t>。</w:t>
            </w:r>
          </w:p>
          <w:p w14:paraId="78C7848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四、机器人视觉系统</w:t>
            </w:r>
          </w:p>
          <w:p w14:paraId="3485526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1、包含视觉支架、视觉相机、机器视觉光源等配件；</w:t>
            </w:r>
          </w:p>
          <w:p w14:paraId="52CE574F">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2、视觉相机像素≥200万，配置视觉算法平台编程软件；</w:t>
            </w:r>
          </w:p>
          <w:p w14:paraId="79B3CB01">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3、能够配合机器人完成视觉形状分类、二维码、OCR检测等自动化任务；</w:t>
            </w:r>
          </w:p>
          <w:p w14:paraId="1517397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4、视觉相机具有光源调节功能，能够设置光源LED的亮度及光源灯的开关等</w:t>
            </w:r>
            <w:r>
              <w:rPr>
                <w:rFonts w:hint="eastAsia" w:ascii="宋体" w:hAnsi="宋体" w:eastAsia="宋体" w:cs="宋体"/>
                <w:b w:val="0"/>
                <w:bCs w:val="0"/>
                <w:sz w:val="24"/>
                <w:szCs w:val="24"/>
                <w:highlight w:val="none"/>
                <w:lang w:eastAsia="zh-CN"/>
              </w:rPr>
              <w:t>。</w:t>
            </w:r>
          </w:p>
          <w:p w14:paraId="6F42D4D4">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二</w:t>
            </w:r>
            <w:r>
              <w:rPr>
                <w:rFonts w:hint="eastAsia" w:ascii="宋体" w:hAnsi="宋体" w:eastAsia="宋体" w:cs="宋体"/>
                <w:b w:val="0"/>
                <w:bCs w:val="0"/>
                <w:sz w:val="24"/>
                <w:szCs w:val="24"/>
                <w:highlight w:val="none"/>
              </w:rPr>
              <w:t>、快换单元模块</w:t>
            </w:r>
          </w:p>
          <w:p w14:paraId="2D06FEE8">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1、配置机器人快换支架、快换盘以及气动组件，能够结合协作机械臂完成末端工具的快换任务；</w:t>
            </w:r>
          </w:p>
          <w:p w14:paraId="3FF606A0">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2、配置真空吸盘快换末端；</w:t>
            </w:r>
          </w:p>
          <w:p w14:paraId="6AF8E0F6">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3、配置铆钉工具的快换末端</w:t>
            </w:r>
            <w:r>
              <w:rPr>
                <w:rFonts w:hint="eastAsia" w:ascii="宋体" w:hAnsi="宋体" w:eastAsia="宋体" w:cs="宋体"/>
                <w:b w:val="0"/>
                <w:bCs w:val="0"/>
                <w:sz w:val="24"/>
                <w:szCs w:val="24"/>
                <w:highlight w:val="none"/>
                <w:lang w:eastAsia="zh-CN"/>
              </w:rPr>
              <w:t>。</w:t>
            </w:r>
          </w:p>
          <w:p w14:paraId="29FA7BA7">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三</w:t>
            </w:r>
            <w:r>
              <w:rPr>
                <w:rFonts w:hint="eastAsia" w:ascii="宋体" w:hAnsi="宋体" w:eastAsia="宋体" w:cs="宋体"/>
                <w:b w:val="0"/>
                <w:bCs w:val="0"/>
                <w:sz w:val="24"/>
                <w:szCs w:val="24"/>
                <w:highlight w:val="none"/>
              </w:rPr>
              <w:t>、自动化控制系统</w:t>
            </w:r>
          </w:p>
          <w:p w14:paraId="088E3832">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1、PLC虚实仿真功能：是基于真实的PLC系统，按照1:1的物理信号映射，连接至虚拟的3D工厂软件，实现对PLC的半实物仿真，能够实现对PLC中的模拟量、伺服电机、IO量进行映射仿真</w:t>
            </w:r>
            <w:r>
              <w:rPr>
                <w:rFonts w:hint="eastAsia" w:ascii="宋体" w:hAnsi="宋体" w:eastAsia="宋体" w:cs="宋体"/>
                <w:b w:val="0"/>
                <w:bCs w:val="0"/>
                <w:sz w:val="24"/>
                <w:szCs w:val="24"/>
                <w:highlight w:val="none"/>
                <w:lang w:eastAsia="zh-CN"/>
              </w:rPr>
              <w:t>。</w:t>
            </w:r>
          </w:p>
          <w:p w14:paraId="6B4CD72B">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2、主控模块：工作内存≥50KB，装载内存≥4M，高速计数器：2个，集成的以太网接口，PLCopen 运动控制，用于简单的运动控制，带自整定功能的 PID 控制器，具有在线 / 离线诊断功能，集成Profinet接口。可用于HMI通信和PLC间的通信，该接口带有一个具有自动交叉网线功能的RJ45连接器，提供10/100Mbits的数据传输速率，支持TCP/IP,ISO-on-TCP和S7通信</w:t>
            </w:r>
            <w:r>
              <w:rPr>
                <w:rFonts w:hint="eastAsia" w:ascii="宋体" w:hAnsi="宋体" w:eastAsia="宋体" w:cs="宋体"/>
                <w:b w:val="0"/>
                <w:bCs w:val="0"/>
                <w:sz w:val="24"/>
                <w:szCs w:val="24"/>
                <w:highlight w:val="none"/>
                <w:lang w:eastAsia="zh-CN"/>
              </w:rPr>
              <w:t>。</w:t>
            </w:r>
          </w:p>
          <w:p w14:paraId="56DC842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3、交换机模块：实训台配置5口高性能千兆网交换机模块；</w:t>
            </w:r>
          </w:p>
          <w:p w14:paraId="45A143D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4、HMI人机交互模块：采用7寸HMI交互模块，以太网通讯，配套组态软件，斜面岛盒安装，配置急停、电源、复位按钮；</w:t>
            </w:r>
          </w:p>
          <w:p w14:paraId="594B1D3E">
            <w:pPr>
              <w:pStyle w:val="153"/>
              <w:keepNext w:val="0"/>
              <w:keepLines w:val="0"/>
              <w:pageBreakBefore w:val="0"/>
              <w:kinsoku/>
              <w:wordWrap/>
              <w:overflowPunct/>
              <w:topLinePunct w:val="0"/>
              <w:autoSpaceDE/>
              <w:autoSpaceDN/>
              <w:bidi w:val="0"/>
              <w:adjustRightInd/>
              <w:snapToGrid/>
              <w:spacing w:line="288" w:lineRule="auto"/>
              <w:ind w:left="20" w:leftChars="10" w:right="20" w:rightChars="1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5、气泵：额定功率≥550W、排气量≥106L/min、最高排气压力≥0.8MPa、储气罐容量≥30L、噪 音≤56dB。</w:t>
            </w:r>
          </w:p>
        </w:tc>
        <w:tc>
          <w:tcPr>
            <w:tcW w:w="709" w:type="dxa"/>
            <w:tcBorders>
              <w:tl2br w:val="nil"/>
              <w:tr2bl w:val="nil"/>
            </w:tcBorders>
            <w:noWrap w:val="0"/>
            <w:vAlign w:val="center"/>
          </w:tcPr>
          <w:p w14:paraId="59B5D39A">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p>
        </w:tc>
        <w:tc>
          <w:tcPr>
            <w:tcW w:w="709" w:type="dxa"/>
            <w:tcBorders>
              <w:tl2br w:val="nil"/>
              <w:tr2bl w:val="nil"/>
            </w:tcBorders>
            <w:noWrap w:val="0"/>
            <w:vAlign w:val="center"/>
          </w:tcPr>
          <w:p w14:paraId="3CF98961">
            <w:pPr>
              <w:pStyle w:val="132"/>
              <w:keepNext w:val="0"/>
              <w:keepLines w:val="0"/>
              <w:pageBreakBefore w:val="0"/>
              <w:kinsoku/>
              <w:wordWrap/>
              <w:overflowPunct/>
              <w:topLinePunct w:val="0"/>
              <w:autoSpaceDE/>
              <w:autoSpaceDN/>
              <w:bidi w:val="0"/>
              <w:adjustRightInd/>
              <w:snapToGrid/>
              <w:spacing w:line="288" w:lineRule="auto"/>
              <w:ind w:left="20" w:leftChars="10" w:right="20" w:rightChars="1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套</w:t>
            </w:r>
          </w:p>
        </w:tc>
      </w:tr>
    </w:tbl>
    <w:p w14:paraId="600F5DC3">
      <w:pPr>
        <w:spacing w:line="300" w:lineRule="auto"/>
        <w:rPr>
          <w:rFonts w:hint="eastAsia" w:ascii="宋体" w:hAnsi="宋体"/>
          <w:b/>
          <w:sz w:val="24"/>
          <w:szCs w:val="24"/>
        </w:rPr>
      </w:pPr>
    </w:p>
    <w:p w14:paraId="33BFD1FA">
      <w:pPr>
        <w:spacing w:line="300" w:lineRule="auto"/>
        <w:rPr>
          <w:rFonts w:hint="eastAsia" w:ascii="宋体" w:hAnsi="宋体" w:eastAsia="宋体" w:cs="宋体"/>
          <w:b/>
          <w:bCs w:val="0"/>
          <w:color w:val="000000"/>
          <w:sz w:val="24"/>
          <w:szCs w:val="24"/>
          <w:highlight w:val="none"/>
          <w:lang w:val="zh-CN"/>
        </w:rPr>
      </w:pPr>
      <w:r>
        <w:rPr>
          <w:rFonts w:hint="eastAsia" w:ascii="宋体" w:hAnsi="宋体" w:eastAsia="宋体" w:cs="宋体"/>
          <w:b/>
          <w:bCs w:val="0"/>
          <w:sz w:val="24"/>
          <w:szCs w:val="24"/>
          <w:highlight w:val="none"/>
        </w:rPr>
        <w:t>核心产品(适用于非单一产品采购）为：</w:t>
      </w:r>
      <w:r>
        <w:rPr>
          <w:rFonts w:hint="eastAsia" w:ascii="宋体" w:hAnsi="宋体" w:eastAsia="宋体" w:cs="宋体"/>
          <w:b/>
          <w:bCs w:val="0"/>
          <w:sz w:val="24"/>
          <w:szCs w:val="24"/>
          <w:highlight w:val="none"/>
          <w:lang w:val="en-US" w:eastAsia="zh-CN"/>
        </w:rPr>
        <w:t xml:space="preserve">货物2 </w:t>
      </w:r>
      <w:r>
        <w:rPr>
          <w:rFonts w:hint="eastAsia" w:ascii="宋体" w:hAnsi="宋体" w:eastAsia="宋体" w:cs="宋体"/>
          <w:b/>
          <w:bCs w:val="0"/>
          <w:sz w:val="24"/>
          <w:szCs w:val="24"/>
          <w:highlight w:val="none"/>
        </w:rPr>
        <w:t>智能网联整车研发平台</w:t>
      </w:r>
    </w:p>
    <w:p w14:paraId="0F7787AD">
      <w:pPr>
        <w:spacing w:line="300" w:lineRule="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zh-CN"/>
        </w:rPr>
        <w:t>质量保证期：1年</w:t>
      </w:r>
      <w:r>
        <w:rPr>
          <w:rFonts w:hint="eastAsia" w:ascii="宋体" w:hAnsi="宋体" w:cs="宋体"/>
          <w:b/>
          <w:bCs w:val="0"/>
          <w:color w:val="000000"/>
          <w:sz w:val="24"/>
          <w:szCs w:val="24"/>
          <w:highlight w:val="none"/>
          <w:lang w:val="zh-CN"/>
        </w:rPr>
        <w:t>（其中深度学习工作站要求三年有限保修及上门。）</w:t>
      </w:r>
    </w:p>
    <w:p w14:paraId="72237A31">
      <w:pPr>
        <w:spacing w:line="300" w:lineRule="auto"/>
        <w:rPr>
          <w:rFonts w:hint="eastAsia" w:ascii="宋体" w:hAnsi="宋体" w:eastAsia="宋体" w:cs="宋体"/>
          <w:b/>
          <w:bCs w:val="0"/>
          <w:sz w:val="24"/>
          <w:szCs w:val="24"/>
        </w:rPr>
      </w:pPr>
      <w:r>
        <w:rPr>
          <w:rFonts w:hint="eastAsia" w:ascii="宋体" w:hAnsi="宋体" w:eastAsia="宋体" w:cs="宋体"/>
          <w:b/>
          <w:bCs w:val="0"/>
          <w:color w:val="000000"/>
          <w:sz w:val="24"/>
          <w:szCs w:val="24"/>
          <w:lang w:val="zh-CN"/>
        </w:rPr>
        <w:t>交货时间：合同订立后</w:t>
      </w:r>
      <w:r>
        <w:rPr>
          <w:rFonts w:hint="eastAsia" w:ascii="宋体" w:hAnsi="宋体" w:eastAsia="宋体" w:cs="宋体"/>
          <w:b/>
          <w:bCs w:val="0"/>
          <w:color w:val="000000"/>
          <w:sz w:val="24"/>
          <w:szCs w:val="24"/>
          <w:lang w:val="en-US" w:eastAsia="zh-CN"/>
        </w:rPr>
        <w:t>60</w:t>
      </w:r>
      <w:r>
        <w:rPr>
          <w:rFonts w:hint="eastAsia" w:ascii="宋体" w:hAnsi="宋体" w:eastAsia="宋体" w:cs="宋体"/>
          <w:b/>
          <w:bCs w:val="0"/>
          <w:color w:val="000000"/>
          <w:sz w:val="24"/>
          <w:szCs w:val="24"/>
          <w:lang w:val="zh-CN"/>
        </w:rPr>
        <w:t>天</w:t>
      </w:r>
    </w:p>
    <w:p w14:paraId="1B22AC89">
      <w:pPr>
        <w:autoSpaceDE w:val="0"/>
        <w:autoSpaceDN w:val="0"/>
        <w:adjustRightInd w:val="0"/>
        <w:spacing w:line="300" w:lineRule="auto"/>
        <w:rPr>
          <w:rFonts w:hint="eastAsia" w:ascii="宋体" w:hAnsi="宋体" w:eastAsia="宋体" w:cs="宋体"/>
          <w:b/>
          <w:bCs w:val="0"/>
          <w:color w:val="000000"/>
          <w:sz w:val="24"/>
          <w:szCs w:val="24"/>
          <w:lang w:val="zh-CN"/>
        </w:rPr>
      </w:pPr>
      <w:r>
        <w:rPr>
          <w:rFonts w:hint="eastAsia" w:ascii="宋体" w:hAnsi="宋体" w:eastAsia="宋体" w:cs="宋体"/>
          <w:b/>
          <w:bCs w:val="0"/>
          <w:color w:val="000000"/>
          <w:sz w:val="24"/>
          <w:szCs w:val="24"/>
          <w:lang w:val="zh-CN"/>
        </w:rPr>
        <w:t>交货地点：长春工业大学指定地点</w:t>
      </w:r>
    </w:p>
    <w:p w14:paraId="04C08DBE">
      <w:pPr>
        <w:tabs>
          <w:tab w:val="left" w:pos="3120"/>
        </w:tabs>
        <w:autoSpaceDE w:val="0"/>
        <w:autoSpaceDN w:val="0"/>
        <w:adjustRightInd w:val="0"/>
        <w:spacing w:line="300" w:lineRule="auto"/>
        <w:rPr>
          <w:rFonts w:hint="eastAsia" w:ascii="宋体" w:hAnsi="宋体" w:eastAsia="宋体" w:cs="宋体"/>
          <w:b/>
          <w:bCs w:val="0"/>
          <w:color w:val="000000"/>
          <w:sz w:val="24"/>
          <w:szCs w:val="24"/>
          <w:lang w:val="zh-CN"/>
        </w:rPr>
      </w:pPr>
      <w:r>
        <w:rPr>
          <w:rFonts w:hint="eastAsia" w:ascii="宋体" w:hAnsi="宋体" w:eastAsia="宋体" w:cs="宋体"/>
          <w:b/>
          <w:bCs w:val="0"/>
          <w:color w:val="000000"/>
          <w:sz w:val="24"/>
          <w:szCs w:val="24"/>
          <w:lang w:val="zh-CN"/>
        </w:rPr>
        <w:t>交货方式：中标人负责将货物安全完好运抵交货地点、安装调试并保证验收合格。</w:t>
      </w:r>
    </w:p>
    <w:p w14:paraId="24BAB3B0">
      <w:pPr>
        <w:tabs>
          <w:tab w:val="left" w:pos="3120"/>
        </w:tabs>
        <w:autoSpaceDE w:val="0"/>
        <w:autoSpaceDN w:val="0"/>
        <w:adjustRightInd w:val="0"/>
        <w:spacing w:line="300" w:lineRule="auto"/>
        <w:rPr>
          <w:rFonts w:hint="eastAsia" w:ascii="宋体" w:hAnsi="宋体" w:eastAsia="宋体" w:cs="宋体"/>
          <w:b/>
          <w:bCs w:val="0"/>
          <w:color w:val="000000"/>
          <w:sz w:val="24"/>
          <w:szCs w:val="24"/>
          <w:lang w:val="zh-CN"/>
        </w:rPr>
      </w:pPr>
      <w:r>
        <w:rPr>
          <w:rFonts w:hint="eastAsia" w:ascii="宋体" w:hAnsi="宋体" w:eastAsia="宋体" w:cs="宋体"/>
          <w:b/>
          <w:bCs w:val="0"/>
          <w:color w:val="000000"/>
          <w:sz w:val="24"/>
          <w:szCs w:val="24"/>
          <w:lang w:val="zh-CN"/>
        </w:rPr>
        <w:t>售后服务：</w:t>
      </w:r>
    </w:p>
    <w:p w14:paraId="05802A65">
      <w:pPr>
        <w:autoSpaceDE w:val="0"/>
        <w:autoSpaceDN w:val="0"/>
        <w:adjustRightInd w:val="0"/>
        <w:snapToGrid w:val="0"/>
        <w:spacing w:line="300" w:lineRule="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（1）安装工程师要求：由原厂工程师上门安装调试服务。</w:t>
      </w:r>
    </w:p>
    <w:p w14:paraId="7692E350">
      <w:pPr>
        <w:autoSpaceDE w:val="0"/>
        <w:autoSpaceDN w:val="0"/>
        <w:adjustRightInd w:val="0"/>
        <w:snapToGrid w:val="0"/>
        <w:spacing w:line="300" w:lineRule="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（2）提供不少于5人的技术培训。</w:t>
      </w:r>
    </w:p>
    <w:p w14:paraId="616C1A7C">
      <w:pPr>
        <w:autoSpaceDE w:val="0"/>
        <w:autoSpaceDN w:val="0"/>
        <w:adjustRightInd w:val="0"/>
        <w:snapToGrid w:val="0"/>
        <w:spacing w:line="300" w:lineRule="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（3）在质保期内因制造原因所发生的故障由供货方包修包换，供货方应在接到通知后 48 小时之内负责解决。 </w:t>
      </w:r>
    </w:p>
    <w:p w14:paraId="107A1C51">
      <w:pPr>
        <w:autoSpaceDE w:val="0"/>
        <w:autoSpaceDN w:val="0"/>
        <w:adjustRightInd w:val="0"/>
        <w:snapToGrid w:val="0"/>
        <w:spacing w:line="300" w:lineRule="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（4）维修响应时间为 24 小时，供货方负责设备终身维修。</w:t>
      </w:r>
    </w:p>
    <w:p w14:paraId="0B8F660D">
      <w:pPr>
        <w:autoSpaceDE w:val="0"/>
        <w:autoSpaceDN w:val="0"/>
        <w:adjustRightInd w:val="0"/>
        <w:snapToGrid w:val="0"/>
        <w:spacing w:line="300" w:lineRule="auto"/>
        <w:rPr>
          <w:rFonts w:hint="eastAsia" w:ascii="宋体" w:hAnsi="宋体" w:cs="宋体"/>
          <w:bCs/>
          <w:color w:val="000000"/>
          <w:sz w:val="24"/>
          <w:szCs w:val="24"/>
        </w:rPr>
      </w:pPr>
    </w:p>
    <w:p w14:paraId="029E4E75">
      <w:pPr>
        <w:rPr>
          <w:rFonts w:hint="eastAsia" w:ascii="宋体" w:hAnsi="宋体" w:cs="宋体"/>
          <w:sz w:val="36"/>
          <w:szCs w:val="36"/>
        </w:rPr>
      </w:pPr>
    </w:p>
    <w:p w14:paraId="58CC20D4">
      <w:pPr>
        <w:rPr>
          <w:rFonts w:hint="eastAsia" w:ascii="宋体" w:hAnsi="宋体" w:cs="宋体"/>
          <w:sz w:val="36"/>
          <w:szCs w:val="36"/>
        </w:rPr>
      </w:pPr>
      <w:r>
        <w:rPr>
          <w:rFonts w:hint="eastAsia" w:ascii="宋体" w:hAnsi="宋体" w:cs="宋体"/>
          <w:sz w:val="36"/>
          <w:szCs w:val="36"/>
        </w:rPr>
        <w:br w:type="page"/>
      </w:r>
    </w:p>
    <w:p w14:paraId="4FBAE8A6">
      <w:pPr>
        <w:pStyle w:val="3"/>
        <w:spacing w:before="0" w:after="0" w:line="360" w:lineRule="auto"/>
        <w:jc w:val="center"/>
        <w:rPr>
          <w:rFonts w:ascii="宋体" w:hAnsi="宋体" w:cs="宋体"/>
          <w:sz w:val="36"/>
          <w:szCs w:val="36"/>
        </w:rPr>
      </w:pPr>
      <w:r>
        <w:rPr>
          <w:rFonts w:hint="eastAsia" w:ascii="宋体" w:hAnsi="宋体" w:cs="宋体"/>
          <w:sz w:val="36"/>
          <w:szCs w:val="36"/>
        </w:rPr>
        <w:t>第五部分  合同格式</w:t>
      </w:r>
      <w:bookmarkEnd w:id="53"/>
    </w:p>
    <w:p w14:paraId="5D01FB41">
      <w:pPr>
        <w:spacing w:line="288" w:lineRule="auto"/>
        <w:jc w:val="center"/>
        <w:rPr>
          <w:rFonts w:ascii="宋体" w:hAnsi="宋体" w:cs="宋体"/>
          <w:b/>
          <w:kern w:val="44"/>
          <w:sz w:val="32"/>
          <w:szCs w:val="32"/>
        </w:rPr>
      </w:pPr>
    </w:p>
    <w:p w14:paraId="36F9E3F1">
      <w:pPr>
        <w:spacing w:line="288" w:lineRule="auto"/>
        <w:jc w:val="center"/>
        <w:rPr>
          <w:rFonts w:ascii="宋体" w:hAnsi="宋体" w:cs="宋体"/>
          <w:b/>
          <w:kern w:val="44"/>
          <w:sz w:val="32"/>
          <w:szCs w:val="32"/>
        </w:rPr>
      </w:pPr>
    </w:p>
    <w:p w14:paraId="3CDCF4E8">
      <w:pPr>
        <w:spacing w:line="288" w:lineRule="auto"/>
        <w:jc w:val="center"/>
        <w:rPr>
          <w:rFonts w:ascii="宋体" w:hAnsi="宋体" w:cs="宋体"/>
          <w:sz w:val="36"/>
          <w:szCs w:val="36"/>
        </w:rPr>
      </w:pPr>
      <w:r>
        <w:rPr>
          <w:rFonts w:hint="eastAsia" w:ascii="宋体" w:hAnsi="宋体" w:cs="宋体"/>
          <w:b/>
          <w:kern w:val="44"/>
          <w:sz w:val="32"/>
          <w:szCs w:val="32"/>
        </w:rPr>
        <w:t>具体以双方实际签订为准</w:t>
      </w:r>
      <w:r>
        <w:rPr>
          <w:rFonts w:hint="eastAsia" w:ascii="宋体" w:hAnsi="宋体" w:cs="宋体"/>
          <w:sz w:val="36"/>
          <w:szCs w:val="36"/>
        </w:rPr>
        <w:br w:type="page"/>
      </w:r>
    </w:p>
    <w:p w14:paraId="5EBBF00A">
      <w:pPr>
        <w:pStyle w:val="3"/>
        <w:spacing w:before="0" w:after="0" w:line="360" w:lineRule="auto"/>
        <w:jc w:val="center"/>
        <w:rPr>
          <w:rFonts w:ascii="宋体" w:hAnsi="宋体" w:cs="宋体"/>
          <w:sz w:val="36"/>
          <w:szCs w:val="36"/>
        </w:rPr>
      </w:pPr>
      <w:bookmarkStart w:id="54" w:name="_Toc28313"/>
      <w:r>
        <w:rPr>
          <w:rFonts w:hint="eastAsia" w:ascii="宋体" w:hAnsi="宋体" w:cs="宋体"/>
          <w:sz w:val="36"/>
          <w:szCs w:val="36"/>
        </w:rPr>
        <w:t xml:space="preserve">第六部分  </w:t>
      </w:r>
      <w:bookmarkEnd w:id="48"/>
      <w:r>
        <w:rPr>
          <w:rFonts w:hint="eastAsia" w:ascii="宋体" w:hAnsi="宋体" w:cs="宋体"/>
          <w:sz w:val="36"/>
          <w:szCs w:val="36"/>
        </w:rPr>
        <w:t>投标文件格式</w:t>
      </w:r>
      <w:bookmarkEnd w:id="54"/>
    </w:p>
    <w:p w14:paraId="06EB490E">
      <w:pPr>
        <w:spacing w:line="440" w:lineRule="exact"/>
        <w:rPr>
          <w:rFonts w:ascii="宋体" w:hAnsi="宋体" w:cs="宋体"/>
        </w:rPr>
      </w:pPr>
    </w:p>
    <w:p w14:paraId="39F7BA69">
      <w:pPr>
        <w:rPr>
          <w:rFonts w:ascii="宋体" w:hAnsi="宋体" w:cs="宋体"/>
        </w:rPr>
      </w:pPr>
      <w:r>
        <w:rPr>
          <w:rFonts w:hint="eastAsia" w:ascii="宋体" w:hAnsi="宋体" w:cs="宋体"/>
        </w:rPr>
        <w:br w:type="page"/>
      </w:r>
    </w:p>
    <w:p w14:paraId="64642585">
      <w:pPr>
        <w:pStyle w:val="64"/>
        <w:jc w:val="right"/>
        <w:rPr>
          <w:rFonts w:ascii="宋体" w:hAnsi="宋体" w:eastAsia="宋体" w:cs="宋体"/>
          <w:b/>
          <w:bCs/>
          <w:sz w:val="36"/>
          <w:szCs w:val="36"/>
        </w:rPr>
      </w:pPr>
      <w:r>
        <w:rPr>
          <w:rFonts w:hint="eastAsia" w:ascii="宋体" w:hAnsi="宋体" w:eastAsia="宋体" w:cs="宋体"/>
          <w:b/>
          <w:bCs/>
          <w:sz w:val="36"/>
          <w:szCs w:val="36"/>
        </w:rPr>
        <w:t>正/副本</w:t>
      </w:r>
    </w:p>
    <w:p w14:paraId="13141287">
      <w:pPr>
        <w:pStyle w:val="64"/>
        <w:rPr>
          <w:rFonts w:ascii="宋体" w:hAnsi="宋体" w:eastAsia="宋体" w:cs="宋体"/>
        </w:rPr>
      </w:pPr>
    </w:p>
    <w:p w14:paraId="46FB9993">
      <w:pPr>
        <w:pStyle w:val="64"/>
        <w:rPr>
          <w:rFonts w:ascii="宋体" w:hAnsi="宋体" w:eastAsia="宋体" w:cs="宋体"/>
        </w:rPr>
      </w:pPr>
    </w:p>
    <w:p w14:paraId="231EBDBE">
      <w:pPr>
        <w:pStyle w:val="64"/>
        <w:rPr>
          <w:rFonts w:ascii="宋体" w:hAnsi="宋体" w:eastAsia="宋体" w:cs="宋体"/>
        </w:rPr>
      </w:pPr>
    </w:p>
    <w:p w14:paraId="5E788AA6">
      <w:pPr>
        <w:pStyle w:val="64"/>
        <w:rPr>
          <w:rFonts w:ascii="宋体" w:hAnsi="宋体" w:eastAsia="宋体" w:cs="宋体"/>
        </w:rPr>
      </w:pPr>
    </w:p>
    <w:p w14:paraId="6A4D91A7">
      <w:pPr>
        <w:spacing w:line="440" w:lineRule="exact"/>
        <w:rPr>
          <w:rFonts w:ascii="宋体" w:hAnsi="宋体" w:cs="宋体"/>
        </w:rPr>
      </w:pPr>
    </w:p>
    <w:p w14:paraId="5BE2A8DF">
      <w:pPr>
        <w:jc w:val="center"/>
        <w:rPr>
          <w:rFonts w:ascii="宋体" w:hAnsi="宋体" w:cs="宋体"/>
          <w:sz w:val="36"/>
          <w:szCs w:val="36"/>
        </w:rPr>
      </w:pPr>
      <w:r>
        <w:rPr>
          <w:rFonts w:hint="eastAsia" w:ascii="宋体" w:hAnsi="宋体" w:cs="宋体"/>
          <w:sz w:val="36"/>
          <w:szCs w:val="36"/>
          <w:u w:val="single"/>
        </w:rPr>
        <w:t xml:space="preserve">                </w:t>
      </w:r>
      <w:r>
        <w:rPr>
          <w:rFonts w:hint="eastAsia" w:ascii="宋体" w:hAnsi="宋体" w:cs="宋体"/>
          <w:sz w:val="36"/>
          <w:szCs w:val="36"/>
        </w:rPr>
        <w:t>（项目名称）</w:t>
      </w:r>
    </w:p>
    <w:p w14:paraId="036360D0">
      <w:pPr>
        <w:jc w:val="center"/>
        <w:rPr>
          <w:rFonts w:ascii="宋体" w:hAnsi="宋体" w:cs="宋体"/>
        </w:rPr>
      </w:pPr>
    </w:p>
    <w:p w14:paraId="5A8C5FAE">
      <w:pPr>
        <w:rPr>
          <w:rFonts w:ascii="宋体" w:hAnsi="宋体" w:cs="宋体"/>
        </w:rPr>
      </w:pPr>
    </w:p>
    <w:p w14:paraId="640D4914">
      <w:pPr>
        <w:pStyle w:val="64"/>
        <w:rPr>
          <w:rFonts w:ascii="宋体" w:hAnsi="宋体" w:eastAsia="宋体" w:cs="宋体"/>
        </w:rPr>
      </w:pPr>
    </w:p>
    <w:p w14:paraId="42258335">
      <w:pPr>
        <w:jc w:val="center"/>
        <w:rPr>
          <w:rFonts w:ascii="宋体" w:hAnsi="宋体" w:cs="宋体"/>
          <w:sz w:val="144"/>
          <w:szCs w:val="144"/>
        </w:rPr>
      </w:pPr>
      <w:r>
        <w:rPr>
          <w:rFonts w:hint="eastAsia" w:ascii="宋体" w:hAnsi="宋体" w:cs="宋体"/>
          <w:sz w:val="144"/>
          <w:szCs w:val="144"/>
        </w:rPr>
        <w:t>投标文件</w:t>
      </w:r>
    </w:p>
    <w:p w14:paraId="7802CB51">
      <w:pPr>
        <w:jc w:val="center"/>
        <w:rPr>
          <w:rFonts w:ascii="宋体" w:hAnsi="宋体" w:cs="宋体"/>
          <w:sz w:val="28"/>
          <w:szCs w:val="28"/>
        </w:rPr>
      </w:pPr>
    </w:p>
    <w:p w14:paraId="76E32AE1">
      <w:pPr>
        <w:jc w:val="center"/>
        <w:rPr>
          <w:rFonts w:ascii="宋体" w:hAnsi="宋体" w:cs="宋体"/>
          <w:sz w:val="28"/>
          <w:szCs w:val="28"/>
        </w:rPr>
      </w:pPr>
      <w:r>
        <w:rPr>
          <w:rFonts w:hint="eastAsia" w:ascii="宋体" w:hAnsi="宋体" w:cs="宋体"/>
          <w:sz w:val="28"/>
          <w:szCs w:val="28"/>
        </w:rPr>
        <w:t>项目编号：</w:t>
      </w:r>
    </w:p>
    <w:p w14:paraId="7D1E7CCE">
      <w:pPr>
        <w:rPr>
          <w:rFonts w:ascii="宋体" w:hAnsi="宋体" w:cs="宋体"/>
          <w:sz w:val="28"/>
          <w:szCs w:val="28"/>
        </w:rPr>
      </w:pPr>
    </w:p>
    <w:p w14:paraId="499EB447">
      <w:pPr>
        <w:rPr>
          <w:rFonts w:ascii="宋体" w:hAnsi="宋体" w:cs="宋体"/>
          <w:sz w:val="28"/>
          <w:szCs w:val="28"/>
        </w:rPr>
      </w:pPr>
    </w:p>
    <w:p w14:paraId="06E879A2">
      <w:pPr>
        <w:rPr>
          <w:rFonts w:ascii="宋体" w:hAnsi="宋体" w:cs="宋体"/>
          <w:sz w:val="28"/>
          <w:szCs w:val="28"/>
        </w:rPr>
      </w:pPr>
    </w:p>
    <w:p w14:paraId="29A62EC1">
      <w:pPr>
        <w:rPr>
          <w:rFonts w:ascii="宋体" w:hAnsi="宋体" w:cs="宋体"/>
          <w:sz w:val="28"/>
          <w:szCs w:val="28"/>
        </w:rPr>
      </w:pPr>
    </w:p>
    <w:p w14:paraId="4CDFD476">
      <w:pPr>
        <w:rPr>
          <w:rFonts w:ascii="宋体" w:hAnsi="宋体" w:cs="宋体"/>
          <w:sz w:val="28"/>
          <w:szCs w:val="28"/>
        </w:rPr>
      </w:pPr>
    </w:p>
    <w:p w14:paraId="61C280D7">
      <w:pPr>
        <w:rPr>
          <w:rFonts w:ascii="宋体" w:hAnsi="宋体" w:cs="宋体"/>
          <w:sz w:val="28"/>
          <w:szCs w:val="28"/>
        </w:rPr>
      </w:pPr>
    </w:p>
    <w:p w14:paraId="0B965F5B">
      <w:pPr>
        <w:rPr>
          <w:rFonts w:ascii="宋体" w:hAnsi="宋体" w:cs="宋体"/>
          <w:sz w:val="28"/>
          <w:szCs w:val="28"/>
        </w:rPr>
      </w:pPr>
    </w:p>
    <w:p w14:paraId="658E3DDD">
      <w:pPr>
        <w:rPr>
          <w:rFonts w:ascii="宋体" w:hAnsi="宋体" w:cs="宋体"/>
          <w:sz w:val="28"/>
          <w:szCs w:val="28"/>
        </w:rPr>
      </w:pPr>
    </w:p>
    <w:p w14:paraId="6E390A3F">
      <w:pPr>
        <w:rPr>
          <w:rFonts w:ascii="宋体" w:hAnsi="宋体" w:cs="宋体"/>
          <w:sz w:val="28"/>
          <w:szCs w:val="28"/>
        </w:rPr>
      </w:pPr>
    </w:p>
    <w:p w14:paraId="6B0E1715">
      <w:pPr>
        <w:rPr>
          <w:rFonts w:ascii="宋体" w:hAnsi="宋体" w:cs="宋体"/>
          <w:sz w:val="28"/>
          <w:szCs w:val="28"/>
        </w:rPr>
      </w:pPr>
    </w:p>
    <w:p w14:paraId="2E6779CA">
      <w:pPr>
        <w:spacing w:line="360" w:lineRule="auto"/>
        <w:rPr>
          <w:rFonts w:ascii="宋体" w:hAnsi="宋体" w:cs="宋体"/>
          <w:sz w:val="28"/>
          <w:szCs w:val="28"/>
        </w:rPr>
      </w:pPr>
    </w:p>
    <w:p w14:paraId="5ACA5ADE">
      <w:pPr>
        <w:spacing w:line="480" w:lineRule="auto"/>
        <w:ind w:firstLine="1120" w:firstLineChars="400"/>
        <w:jc w:val="both"/>
        <w:rPr>
          <w:rFonts w:ascii="宋体" w:hAnsi="宋体" w:cs="宋体"/>
          <w:sz w:val="28"/>
          <w:szCs w:val="28"/>
          <w:u w:val="single"/>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（盖单位章）</w:t>
      </w:r>
    </w:p>
    <w:p w14:paraId="69A1261E">
      <w:pPr>
        <w:spacing w:line="480" w:lineRule="auto"/>
        <w:ind w:firstLine="1120" w:firstLineChars="400"/>
        <w:jc w:val="both"/>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14:paraId="00B4A050">
      <w:pPr>
        <w:spacing w:line="480" w:lineRule="auto"/>
        <w:ind w:firstLine="1120" w:firstLineChars="400"/>
        <w:jc w:val="both"/>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298CA373">
      <w:pPr>
        <w:spacing w:line="360" w:lineRule="auto"/>
        <w:rPr>
          <w:rFonts w:ascii="宋体" w:hAnsi="宋体" w:cs="宋体"/>
          <w:sz w:val="32"/>
        </w:rPr>
      </w:pPr>
      <w:r>
        <w:rPr>
          <w:rFonts w:hint="eastAsia" w:ascii="宋体" w:hAnsi="宋体" w:cs="宋体"/>
          <w:sz w:val="32"/>
        </w:rPr>
        <w:br w:type="page"/>
      </w:r>
    </w:p>
    <w:bookmarkEnd w:id="49"/>
    <w:p w14:paraId="3BA81F52">
      <w:pPr>
        <w:spacing w:line="360" w:lineRule="auto"/>
        <w:jc w:val="center"/>
        <w:rPr>
          <w:rFonts w:ascii="宋体" w:hAnsi="宋体" w:cs="宋体"/>
          <w:b/>
          <w:sz w:val="36"/>
          <w:szCs w:val="36"/>
        </w:rPr>
      </w:pPr>
    </w:p>
    <w:p w14:paraId="18A04309">
      <w:pPr>
        <w:spacing w:line="360" w:lineRule="auto"/>
        <w:jc w:val="center"/>
        <w:rPr>
          <w:rFonts w:ascii="宋体" w:hAnsi="宋体" w:cs="宋体"/>
          <w:sz w:val="36"/>
          <w:szCs w:val="36"/>
        </w:rPr>
      </w:pPr>
      <w:r>
        <w:rPr>
          <w:rFonts w:hint="eastAsia" w:ascii="宋体" w:hAnsi="宋体" w:cs="宋体"/>
          <w:b/>
          <w:sz w:val="36"/>
          <w:szCs w:val="36"/>
        </w:rPr>
        <w:t>目  录</w:t>
      </w:r>
    </w:p>
    <w:p w14:paraId="249DCDDB">
      <w:pPr>
        <w:spacing w:line="360" w:lineRule="auto"/>
        <w:ind w:firstLine="480" w:firstLineChars="200"/>
        <w:jc w:val="both"/>
        <w:rPr>
          <w:rFonts w:ascii="宋体" w:hAnsi="宋体" w:cs="宋体"/>
          <w:sz w:val="24"/>
        </w:rPr>
      </w:pPr>
    </w:p>
    <w:p w14:paraId="082C9C30">
      <w:pPr>
        <w:pStyle w:val="95"/>
        <w:numPr>
          <w:ilvl w:val="0"/>
          <w:numId w:val="3"/>
        </w:numPr>
        <w:tabs>
          <w:tab w:val="left" w:pos="567"/>
        </w:tabs>
        <w:spacing w:line="288" w:lineRule="auto"/>
        <w:ind w:left="0" w:firstLine="480"/>
        <w:rPr>
          <w:rFonts w:ascii="宋体" w:hAnsi="宋体" w:cs="宋体"/>
          <w:sz w:val="24"/>
          <w:szCs w:val="24"/>
        </w:rPr>
      </w:pPr>
      <w:r>
        <w:rPr>
          <w:rFonts w:hint="eastAsia" w:ascii="宋体" w:hAnsi="宋体" w:cs="宋体"/>
          <w:sz w:val="24"/>
          <w:szCs w:val="24"/>
        </w:rPr>
        <w:t>开标一览表</w:t>
      </w:r>
    </w:p>
    <w:p w14:paraId="7C411E0A">
      <w:pPr>
        <w:pStyle w:val="95"/>
        <w:numPr>
          <w:ilvl w:val="0"/>
          <w:numId w:val="3"/>
        </w:numPr>
        <w:tabs>
          <w:tab w:val="left" w:pos="567"/>
        </w:tabs>
        <w:spacing w:line="288" w:lineRule="auto"/>
        <w:ind w:left="0" w:firstLine="476" w:firstLineChars="170"/>
        <w:rPr>
          <w:rFonts w:ascii="宋体" w:hAnsi="宋体" w:cs="宋体"/>
          <w:spacing w:val="20"/>
          <w:sz w:val="24"/>
          <w:szCs w:val="24"/>
        </w:rPr>
      </w:pPr>
      <w:r>
        <w:rPr>
          <w:rFonts w:hint="eastAsia" w:ascii="宋体" w:hAnsi="宋体" w:cs="宋体"/>
          <w:spacing w:val="20"/>
          <w:sz w:val="24"/>
          <w:szCs w:val="24"/>
        </w:rPr>
        <w:t>投标明细报价表</w:t>
      </w:r>
    </w:p>
    <w:p w14:paraId="7CAE9AD9">
      <w:pPr>
        <w:pStyle w:val="137"/>
        <w:numPr>
          <w:ilvl w:val="0"/>
          <w:numId w:val="3"/>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投标函</w:t>
      </w:r>
    </w:p>
    <w:p w14:paraId="0A4F2CA0">
      <w:pPr>
        <w:pStyle w:val="137"/>
        <w:numPr>
          <w:ilvl w:val="0"/>
          <w:numId w:val="3"/>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法定代表人身份证明书</w:t>
      </w:r>
    </w:p>
    <w:p w14:paraId="4B8EF00C">
      <w:pPr>
        <w:pStyle w:val="137"/>
        <w:numPr>
          <w:ilvl w:val="0"/>
          <w:numId w:val="3"/>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法定代表人授权委托书</w:t>
      </w:r>
    </w:p>
    <w:p w14:paraId="6AB0726B">
      <w:pPr>
        <w:pStyle w:val="137"/>
        <w:numPr>
          <w:ilvl w:val="0"/>
          <w:numId w:val="3"/>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供应商基本情况说明</w:t>
      </w:r>
    </w:p>
    <w:p w14:paraId="4BBFD4AA">
      <w:pPr>
        <w:pStyle w:val="137"/>
        <w:numPr>
          <w:ilvl w:val="0"/>
          <w:numId w:val="3"/>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lang w:val="en-US" w:eastAsia="zh-CN"/>
        </w:rPr>
        <w:t>信誉</w:t>
      </w:r>
      <w:r>
        <w:rPr>
          <w:rFonts w:hint="eastAsia" w:ascii="宋体" w:eastAsia="宋体" w:cs="宋体"/>
          <w:sz w:val="24"/>
          <w:szCs w:val="24"/>
        </w:rPr>
        <w:t>承诺书</w:t>
      </w:r>
    </w:p>
    <w:p w14:paraId="19834065">
      <w:pPr>
        <w:pStyle w:val="137"/>
        <w:numPr>
          <w:ilvl w:val="0"/>
          <w:numId w:val="3"/>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商务偏离表</w:t>
      </w:r>
    </w:p>
    <w:p w14:paraId="31101B0C">
      <w:pPr>
        <w:pStyle w:val="137"/>
        <w:numPr>
          <w:ilvl w:val="0"/>
          <w:numId w:val="3"/>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近三年企业业绩表</w:t>
      </w:r>
    </w:p>
    <w:p w14:paraId="408A6AB8">
      <w:pPr>
        <w:pStyle w:val="137"/>
        <w:numPr>
          <w:ilvl w:val="0"/>
          <w:numId w:val="3"/>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资格声明</w:t>
      </w:r>
    </w:p>
    <w:p w14:paraId="2225E01C">
      <w:pPr>
        <w:pStyle w:val="95"/>
        <w:numPr>
          <w:ilvl w:val="0"/>
          <w:numId w:val="3"/>
        </w:numPr>
        <w:tabs>
          <w:tab w:val="left" w:pos="567"/>
        </w:tabs>
        <w:spacing w:line="288" w:lineRule="auto"/>
        <w:ind w:left="0" w:firstLine="480"/>
        <w:rPr>
          <w:rFonts w:ascii="宋体" w:hAnsi="宋体" w:cs="宋体"/>
          <w:sz w:val="24"/>
          <w:szCs w:val="24"/>
        </w:rPr>
      </w:pPr>
      <w:r>
        <w:rPr>
          <w:rFonts w:hint="eastAsia" w:ascii="宋体" w:hAnsi="宋体" w:cs="宋体"/>
          <w:sz w:val="24"/>
          <w:szCs w:val="24"/>
        </w:rPr>
        <w:t>技术参数偏离表</w:t>
      </w:r>
    </w:p>
    <w:p w14:paraId="606625EA">
      <w:pPr>
        <w:pStyle w:val="95"/>
        <w:numPr>
          <w:ilvl w:val="0"/>
          <w:numId w:val="3"/>
        </w:numPr>
        <w:tabs>
          <w:tab w:val="left" w:pos="567"/>
        </w:tabs>
        <w:spacing w:line="288" w:lineRule="auto"/>
        <w:ind w:left="0" w:firstLine="480"/>
        <w:rPr>
          <w:rFonts w:ascii="宋体" w:hAnsi="宋体" w:cs="宋体"/>
          <w:sz w:val="24"/>
          <w:szCs w:val="24"/>
        </w:rPr>
      </w:pPr>
      <w:r>
        <w:rPr>
          <w:rFonts w:hint="eastAsia" w:ascii="宋体" w:hAnsi="宋体" w:cs="宋体"/>
          <w:sz w:val="24"/>
          <w:szCs w:val="24"/>
        </w:rPr>
        <w:t>技术参数承诺书</w:t>
      </w:r>
    </w:p>
    <w:p w14:paraId="5A714C32">
      <w:pPr>
        <w:pStyle w:val="95"/>
        <w:numPr>
          <w:ilvl w:val="0"/>
          <w:numId w:val="3"/>
        </w:numPr>
        <w:tabs>
          <w:tab w:val="left" w:pos="567"/>
        </w:tabs>
        <w:spacing w:line="288" w:lineRule="auto"/>
        <w:ind w:left="0" w:firstLine="528"/>
        <w:rPr>
          <w:rFonts w:ascii="宋体" w:hAnsi="宋体" w:cs="宋体"/>
          <w:sz w:val="24"/>
          <w:szCs w:val="24"/>
        </w:rPr>
      </w:pPr>
      <w:r>
        <w:rPr>
          <w:rStyle w:val="47"/>
          <w:rFonts w:hint="eastAsia" w:ascii="宋体" w:hAnsi="宋体" w:cs="宋体"/>
          <w:b w:val="0"/>
          <w:spacing w:val="12"/>
          <w:sz w:val="24"/>
          <w:szCs w:val="24"/>
        </w:rPr>
        <w:t>投标货物详细说明</w:t>
      </w:r>
    </w:p>
    <w:p w14:paraId="3F78A9C4">
      <w:pPr>
        <w:pStyle w:val="95"/>
        <w:numPr>
          <w:ilvl w:val="0"/>
          <w:numId w:val="3"/>
        </w:numPr>
        <w:tabs>
          <w:tab w:val="left" w:pos="567"/>
        </w:tabs>
        <w:spacing w:line="288" w:lineRule="auto"/>
        <w:ind w:left="0" w:firstLine="528"/>
        <w:rPr>
          <w:rFonts w:ascii="宋体" w:hAnsi="宋体" w:cs="宋体"/>
          <w:sz w:val="24"/>
          <w:szCs w:val="24"/>
        </w:rPr>
      </w:pPr>
      <w:r>
        <w:rPr>
          <w:rStyle w:val="47"/>
          <w:rFonts w:hint="eastAsia" w:ascii="宋体" w:hAnsi="宋体" w:cs="宋体"/>
          <w:b w:val="0"/>
          <w:spacing w:val="12"/>
          <w:sz w:val="24"/>
          <w:szCs w:val="24"/>
        </w:rPr>
        <w:t>售后服务承诺书</w:t>
      </w:r>
    </w:p>
    <w:p w14:paraId="5C8ACFF9">
      <w:pPr>
        <w:pStyle w:val="95"/>
        <w:numPr>
          <w:ilvl w:val="0"/>
          <w:numId w:val="3"/>
        </w:numPr>
        <w:tabs>
          <w:tab w:val="left" w:pos="567"/>
        </w:tabs>
        <w:spacing w:line="288" w:lineRule="auto"/>
        <w:ind w:left="0" w:firstLine="480"/>
        <w:rPr>
          <w:rFonts w:ascii="宋体" w:hAnsi="宋体" w:cs="宋体"/>
          <w:sz w:val="24"/>
          <w:szCs w:val="24"/>
        </w:rPr>
      </w:pPr>
      <w:r>
        <w:rPr>
          <w:rFonts w:hint="eastAsia" w:ascii="宋体" w:hAnsi="宋体" w:cs="宋体"/>
          <w:sz w:val="24"/>
          <w:szCs w:val="24"/>
        </w:rPr>
        <w:t>具备履行合同所必需设备和专业技术能力承诺书</w:t>
      </w:r>
    </w:p>
    <w:p w14:paraId="00F66DF8">
      <w:pPr>
        <w:pStyle w:val="95"/>
        <w:numPr>
          <w:ilvl w:val="0"/>
          <w:numId w:val="3"/>
        </w:numPr>
        <w:tabs>
          <w:tab w:val="left" w:pos="567"/>
        </w:tabs>
        <w:spacing w:line="288" w:lineRule="auto"/>
        <w:ind w:left="0" w:firstLine="480"/>
        <w:rPr>
          <w:rFonts w:ascii="宋体" w:hAnsi="宋体" w:cs="宋体"/>
          <w:sz w:val="24"/>
          <w:szCs w:val="24"/>
        </w:rPr>
      </w:pPr>
      <w:r>
        <w:rPr>
          <w:rFonts w:hint="eastAsia" w:ascii="宋体" w:hAnsi="宋体" w:cs="宋体"/>
          <w:bCs/>
          <w:sz w:val="24"/>
          <w:szCs w:val="24"/>
        </w:rPr>
        <w:t>项目实施方案</w:t>
      </w:r>
      <w:r>
        <w:rPr>
          <w:rFonts w:hint="eastAsia" w:ascii="宋体" w:hAnsi="宋体" w:cs="宋体"/>
          <w:sz w:val="24"/>
          <w:szCs w:val="24"/>
        </w:rPr>
        <w:t>（供应商自行编写）</w:t>
      </w:r>
    </w:p>
    <w:p w14:paraId="25FD0CBC">
      <w:pPr>
        <w:pStyle w:val="95"/>
        <w:numPr>
          <w:ilvl w:val="0"/>
          <w:numId w:val="3"/>
        </w:numPr>
        <w:tabs>
          <w:tab w:val="left" w:pos="567"/>
        </w:tabs>
        <w:spacing w:line="288" w:lineRule="auto"/>
        <w:ind w:left="0" w:firstLine="480"/>
        <w:rPr>
          <w:rFonts w:ascii="宋体" w:hAnsi="宋体" w:cs="宋体"/>
          <w:sz w:val="24"/>
          <w:szCs w:val="24"/>
        </w:rPr>
      </w:pPr>
      <w:r>
        <w:rPr>
          <w:rFonts w:hint="eastAsia" w:ascii="宋体" w:hAnsi="宋体" w:cs="宋体"/>
          <w:sz w:val="24"/>
          <w:szCs w:val="24"/>
        </w:rPr>
        <w:t>供应商认为有必要提供的其他材料</w:t>
      </w:r>
    </w:p>
    <w:p w14:paraId="678B37C6">
      <w:pPr>
        <w:spacing w:line="360" w:lineRule="auto"/>
        <w:rPr>
          <w:rFonts w:ascii="宋体" w:hAnsi="宋体" w:cs="宋体"/>
          <w:szCs w:val="21"/>
        </w:rPr>
      </w:pPr>
    </w:p>
    <w:p w14:paraId="046060A9">
      <w:pPr>
        <w:rPr>
          <w:rFonts w:ascii="宋体" w:hAnsi="宋体" w:cs="宋体"/>
          <w:b/>
          <w:sz w:val="28"/>
          <w:szCs w:val="28"/>
          <w:lang w:val="zh-CN"/>
        </w:rPr>
      </w:pPr>
      <w:r>
        <w:rPr>
          <w:rFonts w:hint="eastAsia" w:ascii="宋体" w:hAnsi="宋体" w:cs="宋体"/>
          <w:b/>
          <w:sz w:val="28"/>
          <w:szCs w:val="28"/>
          <w:lang w:val="zh-CN"/>
        </w:rPr>
        <w:br w:type="page"/>
      </w:r>
    </w:p>
    <w:p w14:paraId="2EE237FA">
      <w:pPr>
        <w:spacing w:line="360" w:lineRule="auto"/>
        <w:jc w:val="center"/>
        <w:rPr>
          <w:rFonts w:ascii="宋体" w:hAnsi="宋体" w:cs="宋体"/>
          <w:b/>
          <w:sz w:val="36"/>
          <w:szCs w:val="36"/>
          <w:lang w:val="zh-CN"/>
        </w:rPr>
      </w:pPr>
      <w:r>
        <w:rPr>
          <w:rFonts w:hint="eastAsia" w:ascii="宋体" w:hAnsi="宋体" w:cs="宋体"/>
          <w:b/>
          <w:sz w:val="36"/>
          <w:szCs w:val="36"/>
          <w:lang w:val="zh-CN"/>
        </w:rPr>
        <w:t>一、</w:t>
      </w:r>
      <w:r>
        <w:rPr>
          <w:rFonts w:hint="eastAsia" w:ascii="宋体" w:hAnsi="宋体" w:cs="宋体"/>
          <w:b/>
          <w:sz w:val="36"/>
          <w:szCs w:val="36"/>
        </w:rPr>
        <w:t>开 标 一 览 表</w:t>
      </w:r>
    </w:p>
    <w:p w14:paraId="2CFD7A02">
      <w:pPr>
        <w:rPr>
          <w:rFonts w:ascii="宋体" w:hAnsi="宋体" w:cs="宋体"/>
          <w:szCs w:val="21"/>
        </w:rPr>
      </w:pPr>
    </w:p>
    <w:p w14:paraId="184B5816">
      <w:pPr>
        <w:ind w:left="152" w:leftChars="-109" w:hanging="370" w:hangingChars="185"/>
        <w:rPr>
          <w:rFonts w:ascii="宋体" w:hAnsi="宋体" w:cs="宋体"/>
          <w:szCs w:val="21"/>
        </w:rPr>
      </w:pPr>
    </w:p>
    <w:p w14:paraId="0A239ED6">
      <w:pPr>
        <w:spacing w:line="288" w:lineRule="auto"/>
        <w:rPr>
          <w:rFonts w:ascii="宋体" w:hAnsi="宋体" w:cs="宋体"/>
          <w:sz w:val="24"/>
          <w:szCs w:val="24"/>
        </w:rPr>
      </w:pPr>
      <w:r>
        <w:rPr>
          <w:rFonts w:hint="eastAsia" w:ascii="宋体" w:hAnsi="宋体" w:cs="宋体"/>
          <w:sz w:val="24"/>
          <w:szCs w:val="24"/>
        </w:rPr>
        <w:t>项目编号：                                                开标时间：</w:t>
      </w:r>
    </w:p>
    <w:tbl>
      <w:tblPr>
        <w:tblStyle w:val="44"/>
        <w:tblW w:w="9306" w:type="dxa"/>
        <w:tblInd w:w="80" w:type="dxa"/>
        <w:tblLayout w:type="fixed"/>
        <w:tblCellMar>
          <w:top w:w="0" w:type="dxa"/>
          <w:left w:w="108" w:type="dxa"/>
          <w:bottom w:w="0" w:type="dxa"/>
          <w:right w:w="108" w:type="dxa"/>
        </w:tblCellMar>
      </w:tblPr>
      <w:tblGrid>
        <w:gridCol w:w="1731"/>
        <w:gridCol w:w="2190"/>
        <w:gridCol w:w="1705"/>
        <w:gridCol w:w="1313"/>
        <w:gridCol w:w="1333"/>
        <w:gridCol w:w="1034"/>
      </w:tblGrid>
      <w:tr w14:paraId="58B4188C">
        <w:trPr>
          <w:trHeight w:val="724" w:hRule="atLeast"/>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18825498">
            <w:pPr>
              <w:spacing w:line="288" w:lineRule="auto"/>
              <w:jc w:val="center"/>
              <w:rPr>
                <w:rFonts w:ascii="宋体" w:hAnsi="宋体" w:cs="宋体"/>
                <w:sz w:val="24"/>
                <w:szCs w:val="24"/>
              </w:rPr>
            </w:pPr>
            <w:r>
              <w:rPr>
                <w:rFonts w:hint="eastAsia" w:ascii="宋体" w:hAnsi="宋体" w:cs="宋体"/>
                <w:sz w:val="24"/>
                <w:szCs w:val="24"/>
              </w:rPr>
              <w:t>供应商名称</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14:paraId="24703046">
            <w:pPr>
              <w:spacing w:line="288" w:lineRule="auto"/>
              <w:jc w:val="center"/>
              <w:rPr>
                <w:rFonts w:ascii="宋体" w:hAnsi="宋体" w:cs="宋体"/>
                <w:sz w:val="24"/>
                <w:szCs w:val="24"/>
              </w:rPr>
            </w:pPr>
            <w:r>
              <w:rPr>
                <w:rFonts w:hint="eastAsia" w:ascii="宋体" w:hAnsi="宋体" w:cs="宋体"/>
                <w:sz w:val="24"/>
                <w:szCs w:val="24"/>
              </w:rPr>
              <w:t>投标报价</w:t>
            </w:r>
          </w:p>
          <w:p w14:paraId="0A0ED5D6">
            <w:pPr>
              <w:spacing w:line="288" w:lineRule="auto"/>
              <w:jc w:val="center"/>
              <w:rPr>
                <w:rFonts w:ascii="宋体" w:hAnsi="宋体" w:cs="宋体"/>
                <w:sz w:val="24"/>
                <w:szCs w:val="24"/>
              </w:rPr>
            </w:pPr>
            <w:r>
              <w:rPr>
                <w:rFonts w:hint="eastAsia" w:ascii="宋体" w:hAnsi="宋体" w:cs="宋体"/>
                <w:sz w:val="24"/>
                <w:szCs w:val="24"/>
              </w:rPr>
              <w:t>（万元）</w:t>
            </w:r>
          </w:p>
        </w:tc>
        <w:tc>
          <w:tcPr>
            <w:tcW w:w="1705" w:type="dxa"/>
            <w:tcBorders>
              <w:top w:val="single" w:color="auto" w:sz="4" w:space="0"/>
              <w:left w:val="nil"/>
              <w:bottom w:val="single" w:color="auto" w:sz="4" w:space="0"/>
              <w:right w:val="single" w:color="auto" w:sz="4" w:space="0"/>
            </w:tcBorders>
            <w:shd w:val="clear" w:color="auto" w:fill="auto"/>
            <w:vAlign w:val="center"/>
          </w:tcPr>
          <w:p w14:paraId="42C0D7C5">
            <w:pPr>
              <w:spacing w:line="288" w:lineRule="auto"/>
              <w:jc w:val="center"/>
              <w:rPr>
                <w:rFonts w:ascii="宋体" w:hAnsi="宋体" w:cs="宋体"/>
                <w:sz w:val="24"/>
                <w:szCs w:val="24"/>
              </w:rPr>
            </w:pPr>
            <w:r>
              <w:rPr>
                <w:rFonts w:hint="eastAsia" w:ascii="宋体" w:hAnsi="宋体" w:cs="宋体"/>
                <w:sz w:val="24"/>
                <w:szCs w:val="24"/>
              </w:rPr>
              <w:t>合同履行期限</w:t>
            </w:r>
          </w:p>
          <w:p w14:paraId="5F62D0D6">
            <w:pPr>
              <w:spacing w:line="288" w:lineRule="auto"/>
              <w:jc w:val="center"/>
              <w:rPr>
                <w:rFonts w:ascii="宋体" w:hAnsi="宋体" w:cs="宋体"/>
                <w:sz w:val="24"/>
                <w:szCs w:val="24"/>
              </w:rPr>
            </w:pPr>
            <w:r>
              <w:rPr>
                <w:rFonts w:hint="eastAsia" w:ascii="宋体" w:hAnsi="宋体" w:cs="宋体"/>
                <w:sz w:val="24"/>
                <w:szCs w:val="24"/>
              </w:rPr>
              <w:t>（供货期）</w:t>
            </w:r>
          </w:p>
        </w:tc>
        <w:tc>
          <w:tcPr>
            <w:tcW w:w="1313" w:type="dxa"/>
            <w:tcBorders>
              <w:top w:val="single" w:color="auto" w:sz="4" w:space="0"/>
              <w:left w:val="nil"/>
              <w:bottom w:val="single" w:color="auto" w:sz="4" w:space="0"/>
              <w:right w:val="single" w:color="auto" w:sz="4" w:space="0"/>
            </w:tcBorders>
            <w:shd w:val="clear" w:color="auto" w:fill="auto"/>
            <w:vAlign w:val="center"/>
          </w:tcPr>
          <w:p w14:paraId="72FA4172">
            <w:pPr>
              <w:spacing w:line="288" w:lineRule="auto"/>
              <w:jc w:val="center"/>
              <w:rPr>
                <w:rFonts w:ascii="宋体" w:hAnsi="宋体" w:cs="宋体"/>
                <w:sz w:val="24"/>
                <w:szCs w:val="24"/>
              </w:rPr>
            </w:pPr>
            <w:r>
              <w:rPr>
                <w:rFonts w:hint="eastAsia" w:ascii="宋体" w:hAnsi="宋体" w:cs="宋体"/>
                <w:sz w:val="24"/>
                <w:szCs w:val="24"/>
              </w:rPr>
              <w:t>质量</w:t>
            </w:r>
          </w:p>
          <w:p w14:paraId="08B99720">
            <w:pPr>
              <w:spacing w:line="288" w:lineRule="auto"/>
              <w:jc w:val="center"/>
              <w:rPr>
                <w:rFonts w:ascii="宋体" w:hAnsi="宋体" w:cs="宋体"/>
                <w:sz w:val="24"/>
                <w:szCs w:val="24"/>
              </w:rPr>
            </w:pPr>
            <w:r>
              <w:rPr>
                <w:rFonts w:hint="eastAsia" w:ascii="宋体" w:hAnsi="宋体" w:cs="宋体"/>
                <w:sz w:val="24"/>
                <w:szCs w:val="24"/>
              </w:rPr>
              <w:t>标准</w:t>
            </w:r>
          </w:p>
        </w:tc>
        <w:tc>
          <w:tcPr>
            <w:tcW w:w="1333" w:type="dxa"/>
            <w:tcBorders>
              <w:top w:val="single" w:color="auto" w:sz="4" w:space="0"/>
              <w:left w:val="nil"/>
              <w:bottom w:val="single" w:color="auto" w:sz="4" w:space="0"/>
              <w:right w:val="single" w:color="auto" w:sz="4" w:space="0"/>
            </w:tcBorders>
            <w:shd w:val="clear" w:color="auto" w:fill="auto"/>
            <w:vAlign w:val="center"/>
          </w:tcPr>
          <w:p w14:paraId="5D4A5067">
            <w:pPr>
              <w:spacing w:line="288" w:lineRule="auto"/>
              <w:jc w:val="center"/>
              <w:rPr>
                <w:rFonts w:ascii="宋体" w:hAnsi="宋体" w:cs="宋体"/>
                <w:sz w:val="24"/>
                <w:szCs w:val="24"/>
              </w:rPr>
            </w:pPr>
            <w:r>
              <w:rPr>
                <w:rFonts w:hint="eastAsia" w:ascii="宋体" w:hAnsi="宋体" w:cs="宋体"/>
                <w:sz w:val="24"/>
                <w:szCs w:val="24"/>
              </w:rPr>
              <w:t>服务承诺</w:t>
            </w:r>
          </w:p>
        </w:tc>
        <w:tc>
          <w:tcPr>
            <w:tcW w:w="1034" w:type="dxa"/>
            <w:tcBorders>
              <w:top w:val="single" w:color="auto" w:sz="4" w:space="0"/>
              <w:left w:val="nil"/>
              <w:bottom w:val="single" w:color="auto" w:sz="4" w:space="0"/>
              <w:right w:val="single" w:color="auto" w:sz="4" w:space="0"/>
            </w:tcBorders>
            <w:shd w:val="clear" w:color="auto" w:fill="auto"/>
            <w:vAlign w:val="center"/>
          </w:tcPr>
          <w:p w14:paraId="34D5E823">
            <w:pPr>
              <w:spacing w:line="288" w:lineRule="auto"/>
              <w:jc w:val="center"/>
              <w:rPr>
                <w:rFonts w:ascii="宋体" w:hAnsi="宋体" w:cs="宋体"/>
                <w:sz w:val="24"/>
                <w:szCs w:val="24"/>
              </w:rPr>
            </w:pPr>
            <w:r>
              <w:rPr>
                <w:rFonts w:hint="eastAsia" w:ascii="宋体" w:hAnsi="宋体" w:cs="宋体"/>
                <w:sz w:val="24"/>
                <w:szCs w:val="24"/>
              </w:rPr>
              <w:t>备注</w:t>
            </w:r>
          </w:p>
        </w:tc>
      </w:tr>
      <w:tr w14:paraId="5ACD93E3">
        <w:tblPrEx>
          <w:tblCellMar>
            <w:top w:w="0" w:type="dxa"/>
            <w:left w:w="108" w:type="dxa"/>
            <w:bottom w:w="0" w:type="dxa"/>
            <w:right w:w="108" w:type="dxa"/>
          </w:tblCellMar>
        </w:tblPrEx>
        <w:trPr>
          <w:trHeight w:val="1003" w:hRule="atLeast"/>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4B3AEAFA">
            <w:pPr>
              <w:spacing w:line="288" w:lineRule="auto"/>
              <w:jc w:val="center"/>
              <w:rPr>
                <w:rFonts w:ascii="宋体" w:hAnsi="宋体" w:cs="宋体"/>
                <w:sz w:val="24"/>
                <w:szCs w:val="24"/>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14:paraId="04B43774">
            <w:pPr>
              <w:spacing w:line="288" w:lineRule="auto"/>
              <w:jc w:val="center"/>
              <w:rPr>
                <w:rFonts w:ascii="宋体" w:hAnsi="宋体" w:cs="宋体"/>
                <w:sz w:val="24"/>
                <w:szCs w:val="24"/>
              </w:rPr>
            </w:pPr>
          </w:p>
        </w:tc>
        <w:tc>
          <w:tcPr>
            <w:tcW w:w="1705" w:type="dxa"/>
            <w:tcBorders>
              <w:top w:val="single" w:color="auto" w:sz="4" w:space="0"/>
              <w:left w:val="nil"/>
              <w:bottom w:val="single" w:color="auto" w:sz="4" w:space="0"/>
              <w:right w:val="single" w:color="auto" w:sz="4" w:space="0"/>
            </w:tcBorders>
            <w:shd w:val="clear" w:color="auto" w:fill="auto"/>
            <w:noWrap/>
            <w:vAlign w:val="center"/>
          </w:tcPr>
          <w:p w14:paraId="6A0D95AB">
            <w:pPr>
              <w:spacing w:line="288" w:lineRule="auto"/>
              <w:jc w:val="center"/>
              <w:rPr>
                <w:rFonts w:ascii="宋体" w:hAnsi="宋体" w:cs="宋体"/>
                <w:sz w:val="24"/>
                <w:szCs w:val="24"/>
              </w:rPr>
            </w:pPr>
          </w:p>
        </w:tc>
        <w:tc>
          <w:tcPr>
            <w:tcW w:w="1313" w:type="dxa"/>
            <w:tcBorders>
              <w:top w:val="single" w:color="auto" w:sz="4" w:space="0"/>
              <w:left w:val="nil"/>
              <w:bottom w:val="single" w:color="auto" w:sz="4" w:space="0"/>
              <w:right w:val="single" w:color="auto" w:sz="4" w:space="0"/>
            </w:tcBorders>
            <w:shd w:val="clear" w:color="auto" w:fill="auto"/>
            <w:vAlign w:val="center"/>
          </w:tcPr>
          <w:p w14:paraId="77C12374">
            <w:pPr>
              <w:spacing w:line="288" w:lineRule="auto"/>
              <w:jc w:val="center"/>
              <w:rPr>
                <w:rFonts w:ascii="宋体" w:hAnsi="宋体" w:cs="宋体"/>
                <w:sz w:val="24"/>
                <w:szCs w:val="24"/>
              </w:rPr>
            </w:pPr>
          </w:p>
        </w:tc>
        <w:tc>
          <w:tcPr>
            <w:tcW w:w="1333" w:type="dxa"/>
            <w:tcBorders>
              <w:top w:val="single" w:color="auto" w:sz="4" w:space="0"/>
              <w:left w:val="nil"/>
              <w:bottom w:val="single" w:color="auto" w:sz="4" w:space="0"/>
              <w:right w:val="single" w:color="auto" w:sz="4" w:space="0"/>
            </w:tcBorders>
            <w:shd w:val="clear" w:color="auto" w:fill="auto"/>
            <w:vAlign w:val="center"/>
          </w:tcPr>
          <w:p w14:paraId="3FE6843F">
            <w:pPr>
              <w:spacing w:line="288" w:lineRule="auto"/>
              <w:jc w:val="center"/>
              <w:rPr>
                <w:rFonts w:ascii="宋体" w:hAnsi="宋体" w:cs="宋体"/>
                <w:sz w:val="24"/>
                <w:szCs w:val="24"/>
              </w:rPr>
            </w:pPr>
            <w:r>
              <w:rPr>
                <w:rFonts w:hint="eastAsia" w:ascii="宋体" w:hAnsi="宋体" w:cs="宋体"/>
                <w:sz w:val="24"/>
                <w:szCs w:val="24"/>
              </w:rPr>
              <w:t>（有/无）</w:t>
            </w:r>
          </w:p>
        </w:tc>
        <w:tc>
          <w:tcPr>
            <w:tcW w:w="1034" w:type="dxa"/>
            <w:tcBorders>
              <w:top w:val="single" w:color="auto" w:sz="4" w:space="0"/>
              <w:left w:val="nil"/>
              <w:bottom w:val="single" w:color="auto" w:sz="4" w:space="0"/>
              <w:right w:val="single" w:color="auto" w:sz="4" w:space="0"/>
            </w:tcBorders>
            <w:shd w:val="clear" w:color="auto" w:fill="auto"/>
            <w:vAlign w:val="center"/>
          </w:tcPr>
          <w:p w14:paraId="46EAED38">
            <w:pPr>
              <w:spacing w:line="288" w:lineRule="auto"/>
              <w:jc w:val="center"/>
              <w:rPr>
                <w:rFonts w:ascii="宋体" w:hAnsi="宋体" w:cs="宋体"/>
                <w:sz w:val="24"/>
                <w:szCs w:val="24"/>
              </w:rPr>
            </w:pPr>
          </w:p>
        </w:tc>
      </w:tr>
    </w:tbl>
    <w:p w14:paraId="40BE51FF">
      <w:pPr>
        <w:spacing w:line="288" w:lineRule="auto"/>
        <w:rPr>
          <w:rFonts w:ascii="宋体" w:hAnsi="宋体" w:cs="宋体"/>
          <w:b/>
          <w:bCs/>
          <w:sz w:val="24"/>
          <w:szCs w:val="24"/>
        </w:rPr>
      </w:pPr>
      <w:r>
        <w:rPr>
          <w:rFonts w:hint="eastAsia" w:ascii="宋体" w:hAnsi="宋体" w:cs="宋体"/>
          <w:b/>
          <w:bCs/>
          <w:sz w:val="24"/>
          <w:szCs w:val="24"/>
        </w:rPr>
        <w:t>注：1、投标报价</w:t>
      </w:r>
      <w:r>
        <w:rPr>
          <w:rFonts w:hint="eastAsia" w:ascii="宋体" w:hAnsi="宋体" w:cs="宋体"/>
          <w:b/>
          <w:sz w:val="24"/>
          <w:szCs w:val="24"/>
        </w:rPr>
        <w:t>不超过</w:t>
      </w:r>
      <w:r>
        <w:rPr>
          <w:rFonts w:hint="eastAsia" w:ascii="宋体" w:hAnsi="宋体" w:cs="宋体"/>
          <w:b/>
          <w:sz w:val="24"/>
          <w:szCs w:val="24"/>
          <w:lang w:val="zh-CN"/>
        </w:rPr>
        <w:t>预算金额</w:t>
      </w:r>
      <w:r>
        <w:rPr>
          <w:rFonts w:hint="eastAsia" w:ascii="宋体" w:hAnsi="宋体" w:cs="宋体"/>
          <w:b/>
          <w:sz w:val="24"/>
          <w:szCs w:val="24"/>
        </w:rPr>
        <w:t>，超过为无效报价。</w:t>
      </w:r>
      <w:r>
        <w:rPr>
          <w:rFonts w:hint="eastAsia" w:ascii="宋体" w:hAnsi="宋体" w:cs="宋体"/>
          <w:b/>
          <w:bCs/>
          <w:sz w:val="24"/>
          <w:szCs w:val="24"/>
        </w:rPr>
        <w:t>本表中填写的投标报价应与投标函中填写的投标报价相一致，如果不一致以本表为准；</w:t>
      </w:r>
    </w:p>
    <w:p w14:paraId="31E8CC24">
      <w:pPr>
        <w:spacing w:line="288" w:lineRule="auto"/>
        <w:ind w:firstLine="408"/>
        <w:rPr>
          <w:rFonts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、投标报价保留至小数点后四位。</w:t>
      </w:r>
    </w:p>
    <w:p w14:paraId="414ADF28">
      <w:pPr>
        <w:pStyle w:val="64"/>
        <w:spacing w:line="288" w:lineRule="auto"/>
        <w:rPr>
          <w:rFonts w:ascii="宋体" w:hAnsi="宋体" w:eastAsia="宋体" w:cs="宋体"/>
          <w:sz w:val="24"/>
          <w:szCs w:val="24"/>
        </w:rPr>
      </w:pPr>
    </w:p>
    <w:p w14:paraId="56314F55">
      <w:pPr>
        <w:spacing w:line="288" w:lineRule="auto"/>
        <w:ind w:firstLine="472" w:firstLineChars="196"/>
        <w:rPr>
          <w:rFonts w:ascii="宋体" w:hAnsi="宋体" w:cs="宋体"/>
          <w:b/>
          <w:bCs/>
          <w:sz w:val="24"/>
          <w:szCs w:val="24"/>
        </w:rPr>
      </w:pPr>
      <w:r>
        <w:rPr>
          <w:rFonts w:hint="eastAsia" w:ascii="宋体" w:hAnsi="宋体" w:cs="宋体"/>
          <w:b/>
          <w:bCs/>
          <w:sz w:val="24"/>
          <w:szCs w:val="24"/>
        </w:rPr>
        <w:t xml:space="preserve">                                                                     </w:t>
      </w:r>
    </w:p>
    <w:p w14:paraId="50E44FB0">
      <w:pPr>
        <w:spacing w:line="288" w:lineRule="auto"/>
        <w:rPr>
          <w:rFonts w:ascii="宋体" w:hAnsi="宋体" w:cs="宋体"/>
          <w:b/>
          <w:bCs/>
          <w:sz w:val="24"/>
          <w:szCs w:val="24"/>
        </w:rPr>
      </w:pPr>
    </w:p>
    <w:p w14:paraId="4C4EDC23">
      <w:pPr>
        <w:spacing w:line="288" w:lineRule="auto"/>
        <w:ind w:firstLine="480" w:firstLineChars="200"/>
        <w:rPr>
          <w:rFonts w:ascii="宋体" w:hAnsi="宋体" w:cs="宋体"/>
          <w:sz w:val="24"/>
          <w:szCs w:val="24"/>
        </w:rPr>
      </w:pPr>
      <w:r>
        <w:rPr>
          <w:rFonts w:hint="eastAsia" w:ascii="宋体" w:hAnsi="宋体" w:cs="宋体"/>
          <w:sz w:val="24"/>
          <w:szCs w:val="24"/>
        </w:rPr>
        <w:t xml:space="preserve">供应商名称：            （公章）                    </w:t>
      </w:r>
    </w:p>
    <w:p w14:paraId="5AB27967">
      <w:pPr>
        <w:spacing w:line="288" w:lineRule="auto"/>
        <w:ind w:firstLine="480" w:firstLineChars="200"/>
        <w:rPr>
          <w:rFonts w:ascii="宋体" w:hAnsi="宋体" w:cs="宋体"/>
          <w:sz w:val="24"/>
          <w:szCs w:val="24"/>
        </w:rPr>
      </w:pPr>
    </w:p>
    <w:p w14:paraId="6E5249FF">
      <w:pPr>
        <w:spacing w:line="288" w:lineRule="auto"/>
        <w:ind w:firstLine="480" w:firstLineChars="200"/>
        <w:rPr>
          <w:rFonts w:ascii="宋体" w:hAnsi="宋体" w:cs="宋体"/>
          <w:sz w:val="24"/>
          <w:szCs w:val="24"/>
        </w:rPr>
      </w:pPr>
      <w:r>
        <w:rPr>
          <w:rFonts w:hint="eastAsia" w:ascii="宋体" w:hAnsi="宋体" w:cs="宋体"/>
          <w:sz w:val="24"/>
          <w:szCs w:val="24"/>
        </w:rPr>
        <w:t>法定代表人：            （签字或盖章）</w:t>
      </w:r>
    </w:p>
    <w:p w14:paraId="3EBC149B">
      <w:pPr>
        <w:spacing w:line="288" w:lineRule="auto"/>
        <w:ind w:firstLine="480" w:firstLineChars="200"/>
        <w:rPr>
          <w:rFonts w:ascii="宋体" w:hAnsi="宋体" w:cs="宋体"/>
          <w:sz w:val="24"/>
          <w:szCs w:val="24"/>
        </w:rPr>
      </w:pPr>
    </w:p>
    <w:p w14:paraId="6A231B0A">
      <w:pPr>
        <w:spacing w:line="288" w:lineRule="auto"/>
        <w:ind w:firstLine="480" w:firstLineChars="200"/>
        <w:rPr>
          <w:rFonts w:ascii="宋体" w:hAnsi="宋体" w:cs="宋体"/>
          <w:sz w:val="24"/>
          <w:szCs w:val="24"/>
        </w:rPr>
      </w:pPr>
      <w:r>
        <w:rPr>
          <w:rFonts w:hint="eastAsia" w:ascii="宋体" w:hAnsi="宋体" w:cs="宋体"/>
          <w:sz w:val="24"/>
          <w:szCs w:val="24"/>
        </w:rPr>
        <w:t xml:space="preserve">委托代理人：            （签字）  </w:t>
      </w:r>
    </w:p>
    <w:p w14:paraId="2D97EB68">
      <w:pPr>
        <w:spacing w:line="288" w:lineRule="auto"/>
        <w:ind w:firstLine="4560" w:firstLineChars="1900"/>
        <w:rPr>
          <w:rFonts w:ascii="宋体" w:hAnsi="宋体" w:cs="宋体"/>
          <w:sz w:val="24"/>
          <w:szCs w:val="24"/>
        </w:rPr>
      </w:pPr>
    </w:p>
    <w:p w14:paraId="365DDD98">
      <w:pPr>
        <w:spacing w:line="288" w:lineRule="auto"/>
        <w:ind w:firstLine="6480" w:firstLineChars="2700"/>
        <w:rPr>
          <w:rFonts w:ascii="宋体" w:hAnsi="宋体" w:cs="宋体"/>
          <w:sz w:val="21"/>
          <w:szCs w:val="21"/>
        </w:rPr>
      </w:pPr>
      <w:r>
        <w:rPr>
          <w:rFonts w:hint="eastAsia" w:ascii="宋体" w:hAnsi="宋体" w:cs="宋体"/>
          <w:sz w:val="24"/>
          <w:szCs w:val="24"/>
        </w:rPr>
        <w:t>日　　期：</w:t>
      </w:r>
    </w:p>
    <w:p w14:paraId="2F85B9BF">
      <w:pPr>
        <w:rPr>
          <w:rFonts w:ascii="宋体" w:hAnsi="宋体" w:cs="宋体"/>
          <w:b/>
          <w:sz w:val="32"/>
          <w:szCs w:val="32"/>
        </w:rPr>
      </w:pPr>
      <w:r>
        <w:rPr>
          <w:rFonts w:hint="eastAsia" w:ascii="宋体" w:hAnsi="宋体" w:cs="宋体"/>
          <w:b/>
          <w:sz w:val="32"/>
          <w:szCs w:val="32"/>
        </w:rPr>
        <w:br w:type="page"/>
      </w:r>
    </w:p>
    <w:p w14:paraId="1A27EFFA">
      <w:pPr>
        <w:spacing w:line="360" w:lineRule="auto"/>
        <w:jc w:val="center"/>
        <w:rPr>
          <w:rFonts w:ascii="宋体" w:hAnsi="宋体" w:cs="宋体"/>
          <w:b/>
          <w:sz w:val="36"/>
          <w:szCs w:val="36"/>
        </w:rPr>
      </w:pPr>
      <w:r>
        <w:rPr>
          <w:rFonts w:hint="eastAsia" w:ascii="宋体" w:hAnsi="宋体" w:cs="宋体"/>
          <w:b/>
          <w:sz w:val="36"/>
          <w:szCs w:val="36"/>
        </w:rPr>
        <w:t>二、投标明细报价表</w:t>
      </w:r>
    </w:p>
    <w:tbl>
      <w:tblPr>
        <w:tblStyle w:val="44"/>
        <w:tblW w:w="927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857"/>
        <w:gridCol w:w="855"/>
        <w:gridCol w:w="1020"/>
        <w:gridCol w:w="1500"/>
        <w:gridCol w:w="1895"/>
      </w:tblGrid>
      <w:tr w14:paraId="2202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76" w:type="dxa"/>
            <w:gridSpan w:val="7"/>
            <w:vAlign w:val="center"/>
          </w:tcPr>
          <w:p w14:paraId="5EADE79E">
            <w:pPr>
              <w:spacing w:line="288" w:lineRule="auto"/>
              <w:rPr>
                <w:rFonts w:ascii="宋体" w:hAnsi="宋体" w:cs="宋体"/>
                <w:b/>
                <w:sz w:val="24"/>
                <w:szCs w:val="24"/>
              </w:rPr>
            </w:pPr>
            <w:r>
              <w:rPr>
                <w:rFonts w:hint="eastAsia" w:ascii="宋体" w:hAnsi="宋体" w:cs="宋体"/>
                <w:b/>
                <w:bCs/>
                <w:sz w:val="24"/>
                <w:szCs w:val="24"/>
              </w:rPr>
              <w:t xml:space="preserve">项目名称：                                     </w:t>
            </w:r>
            <w:r>
              <w:rPr>
                <w:rFonts w:hint="eastAsia" w:ascii="宋体" w:hAnsi="宋体" w:cs="宋体"/>
                <w:b/>
                <w:sz w:val="24"/>
                <w:szCs w:val="24"/>
              </w:rPr>
              <w:t>项目编号：</w:t>
            </w:r>
          </w:p>
        </w:tc>
      </w:tr>
      <w:tr w14:paraId="1C9D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76" w:type="dxa"/>
            <w:gridSpan w:val="7"/>
            <w:vAlign w:val="center"/>
          </w:tcPr>
          <w:p w14:paraId="08148D1F">
            <w:pPr>
              <w:spacing w:line="288" w:lineRule="auto"/>
              <w:rPr>
                <w:rFonts w:ascii="宋体" w:hAnsi="宋体" w:cs="宋体"/>
                <w:sz w:val="24"/>
                <w:szCs w:val="24"/>
              </w:rPr>
            </w:pPr>
            <w:r>
              <w:rPr>
                <w:rFonts w:hint="eastAsia" w:ascii="宋体" w:hAnsi="宋体" w:cs="宋体"/>
                <w:sz w:val="24"/>
                <w:szCs w:val="24"/>
              </w:rPr>
              <w:t>货物明细表：（单位：元）</w:t>
            </w:r>
          </w:p>
        </w:tc>
      </w:tr>
      <w:tr w14:paraId="09BD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7C627154">
            <w:pPr>
              <w:spacing w:line="288" w:lineRule="auto"/>
              <w:jc w:val="center"/>
              <w:rPr>
                <w:rFonts w:ascii="宋体" w:hAnsi="宋体" w:cs="宋体"/>
                <w:sz w:val="24"/>
                <w:szCs w:val="24"/>
              </w:rPr>
            </w:pPr>
            <w:r>
              <w:rPr>
                <w:rFonts w:hint="eastAsia" w:ascii="宋体" w:hAnsi="宋体" w:cs="宋体"/>
                <w:sz w:val="24"/>
                <w:szCs w:val="24"/>
              </w:rPr>
              <w:t>序号</w:t>
            </w:r>
          </w:p>
        </w:tc>
        <w:tc>
          <w:tcPr>
            <w:tcW w:w="2281" w:type="dxa"/>
            <w:vAlign w:val="center"/>
          </w:tcPr>
          <w:p w14:paraId="2D0D268B">
            <w:pPr>
              <w:spacing w:line="288" w:lineRule="auto"/>
              <w:jc w:val="center"/>
              <w:rPr>
                <w:rFonts w:ascii="宋体" w:hAnsi="宋体" w:cs="宋体"/>
                <w:sz w:val="24"/>
                <w:szCs w:val="24"/>
              </w:rPr>
            </w:pPr>
            <w:r>
              <w:rPr>
                <w:rFonts w:hint="eastAsia" w:ascii="宋体" w:hAnsi="宋体" w:cs="宋体"/>
                <w:sz w:val="24"/>
                <w:szCs w:val="24"/>
              </w:rPr>
              <w:t>货物名称</w:t>
            </w:r>
          </w:p>
        </w:tc>
        <w:tc>
          <w:tcPr>
            <w:tcW w:w="857" w:type="dxa"/>
            <w:vAlign w:val="center"/>
          </w:tcPr>
          <w:p w14:paraId="7BAC075E">
            <w:pPr>
              <w:spacing w:line="288" w:lineRule="auto"/>
              <w:jc w:val="center"/>
              <w:rPr>
                <w:rFonts w:ascii="宋体" w:hAnsi="宋体" w:cs="宋体"/>
                <w:sz w:val="24"/>
                <w:szCs w:val="24"/>
              </w:rPr>
            </w:pPr>
            <w:r>
              <w:rPr>
                <w:rFonts w:hint="eastAsia" w:ascii="宋体" w:hAnsi="宋体" w:cs="宋体"/>
                <w:sz w:val="24"/>
                <w:szCs w:val="24"/>
              </w:rPr>
              <w:t>品牌</w:t>
            </w:r>
          </w:p>
        </w:tc>
        <w:tc>
          <w:tcPr>
            <w:tcW w:w="855" w:type="dxa"/>
            <w:vAlign w:val="center"/>
          </w:tcPr>
          <w:p w14:paraId="282ED38F">
            <w:pPr>
              <w:spacing w:line="288" w:lineRule="auto"/>
              <w:jc w:val="center"/>
              <w:rPr>
                <w:rFonts w:ascii="宋体" w:hAnsi="宋体" w:cs="宋体"/>
                <w:sz w:val="24"/>
                <w:szCs w:val="24"/>
              </w:rPr>
            </w:pPr>
            <w:r>
              <w:rPr>
                <w:rFonts w:hint="eastAsia" w:ascii="宋体" w:hAnsi="宋体" w:cs="宋体"/>
                <w:sz w:val="24"/>
                <w:szCs w:val="24"/>
              </w:rPr>
              <w:t>型号</w:t>
            </w:r>
          </w:p>
        </w:tc>
        <w:tc>
          <w:tcPr>
            <w:tcW w:w="1020" w:type="dxa"/>
            <w:vAlign w:val="center"/>
          </w:tcPr>
          <w:p w14:paraId="52084D82">
            <w:pPr>
              <w:spacing w:line="288" w:lineRule="auto"/>
              <w:jc w:val="center"/>
              <w:rPr>
                <w:rFonts w:ascii="宋体" w:hAnsi="宋体" w:cs="宋体"/>
                <w:sz w:val="24"/>
                <w:szCs w:val="24"/>
              </w:rPr>
            </w:pPr>
            <w:r>
              <w:rPr>
                <w:rFonts w:hint="eastAsia" w:ascii="宋体" w:hAnsi="宋体" w:cs="宋体"/>
                <w:sz w:val="24"/>
                <w:szCs w:val="24"/>
              </w:rPr>
              <w:t>数量</w:t>
            </w:r>
          </w:p>
        </w:tc>
        <w:tc>
          <w:tcPr>
            <w:tcW w:w="1500" w:type="dxa"/>
            <w:vAlign w:val="center"/>
          </w:tcPr>
          <w:p w14:paraId="20C79B92">
            <w:pPr>
              <w:spacing w:line="288" w:lineRule="auto"/>
              <w:jc w:val="center"/>
              <w:rPr>
                <w:rFonts w:ascii="宋体" w:hAnsi="宋体" w:cs="宋体"/>
                <w:sz w:val="24"/>
                <w:szCs w:val="24"/>
              </w:rPr>
            </w:pPr>
            <w:r>
              <w:rPr>
                <w:rFonts w:hint="eastAsia" w:ascii="宋体" w:hAnsi="宋体" w:cs="宋体"/>
                <w:sz w:val="24"/>
                <w:szCs w:val="24"/>
              </w:rPr>
              <w:t>单价</w:t>
            </w:r>
          </w:p>
        </w:tc>
        <w:tc>
          <w:tcPr>
            <w:tcW w:w="1895" w:type="dxa"/>
            <w:vAlign w:val="center"/>
          </w:tcPr>
          <w:p w14:paraId="0CBBE3E7">
            <w:pPr>
              <w:spacing w:line="288" w:lineRule="auto"/>
              <w:jc w:val="center"/>
              <w:rPr>
                <w:rFonts w:ascii="宋体" w:hAnsi="宋体" w:cs="宋体"/>
                <w:sz w:val="24"/>
                <w:szCs w:val="24"/>
              </w:rPr>
            </w:pPr>
            <w:r>
              <w:rPr>
                <w:rFonts w:hint="eastAsia" w:ascii="宋体" w:hAnsi="宋体" w:cs="宋体"/>
                <w:sz w:val="24"/>
                <w:szCs w:val="24"/>
              </w:rPr>
              <w:t>分项总价</w:t>
            </w:r>
          </w:p>
        </w:tc>
      </w:tr>
      <w:tr w14:paraId="11D2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0BC8BC8E">
            <w:pPr>
              <w:spacing w:line="288" w:lineRule="auto"/>
              <w:jc w:val="center"/>
              <w:rPr>
                <w:rFonts w:ascii="宋体" w:hAnsi="宋体" w:cs="宋体"/>
                <w:sz w:val="24"/>
                <w:szCs w:val="24"/>
              </w:rPr>
            </w:pPr>
          </w:p>
        </w:tc>
        <w:tc>
          <w:tcPr>
            <w:tcW w:w="2281" w:type="dxa"/>
            <w:vAlign w:val="center"/>
          </w:tcPr>
          <w:p w14:paraId="503713E6">
            <w:pPr>
              <w:spacing w:line="288" w:lineRule="auto"/>
              <w:jc w:val="center"/>
              <w:rPr>
                <w:rFonts w:ascii="宋体" w:hAnsi="宋体" w:cs="宋体"/>
                <w:sz w:val="24"/>
                <w:szCs w:val="24"/>
              </w:rPr>
            </w:pPr>
          </w:p>
        </w:tc>
        <w:tc>
          <w:tcPr>
            <w:tcW w:w="857" w:type="dxa"/>
            <w:vAlign w:val="center"/>
          </w:tcPr>
          <w:p w14:paraId="7D1DC80E">
            <w:pPr>
              <w:spacing w:line="288" w:lineRule="auto"/>
              <w:jc w:val="center"/>
              <w:rPr>
                <w:rFonts w:ascii="宋体" w:hAnsi="宋体" w:cs="宋体"/>
                <w:sz w:val="24"/>
                <w:szCs w:val="24"/>
              </w:rPr>
            </w:pPr>
          </w:p>
        </w:tc>
        <w:tc>
          <w:tcPr>
            <w:tcW w:w="855" w:type="dxa"/>
            <w:vAlign w:val="center"/>
          </w:tcPr>
          <w:p w14:paraId="265EC029">
            <w:pPr>
              <w:spacing w:line="288" w:lineRule="auto"/>
              <w:jc w:val="center"/>
              <w:rPr>
                <w:rFonts w:ascii="宋体" w:hAnsi="宋体" w:cs="宋体"/>
                <w:sz w:val="24"/>
                <w:szCs w:val="24"/>
              </w:rPr>
            </w:pPr>
          </w:p>
        </w:tc>
        <w:tc>
          <w:tcPr>
            <w:tcW w:w="1020" w:type="dxa"/>
            <w:vAlign w:val="center"/>
          </w:tcPr>
          <w:p w14:paraId="262B9B65">
            <w:pPr>
              <w:spacing w:line="288" w:lineRule="auto"/>
              <w:jc w:val="center"/>
              <w:rPr>
                <w:rFonts w:ascii="宋体" w:hAnsi="宋体" w:cs="宋体"/>
                <w:sz w:val="24"/>
                <w:szCs w:val="24"/>
              </w:rPr>
            </w:pPr>
          </w:p>
        </w:tc>
        <w:tc>
          <w:tcPr>
            <w:tcW w:w="1500" w:type="dxa"/>
            <w:vAlign w:val="center"/>
          </w:tcPr>
          <w:p w14:paraId="18163597">
            <w:pPr>
              <w:spacing w:line="288" w:lineRule="auto"/>
              <w:jc w:val="center"/>
              <w:rPr>
                <w:rFonts w:ascii="宋体" w:hAnsi="宋体" w:cs="宋体"/>
                <w:sz w:val="24"/>
                <w:szCs w:val="24"/>
              </w:rPr>
            </w:pPr>
          </w:p>
        </w:tc>
        <w:tc>
          <w:tcPr>
            <w:tcW w:w="1895" w:type="dxa"/>
            <w:vAlign w:val="center"/>
          </w:tcPr>
          <w:p w14:paraId="2CB3657A">
            <w:pPr>
              <w:spacing w:line="288" w:lineRule="auto"/>
              <w:jc w:val="center"/>
              <w:rPr>
                <w:rFonts w:ascii="宋体" w:hAnsi="宋体" w:cs="宋体"/>
                <w:sz w:val="24"/>
                <w:szCs w:val="24"/>
              </w:rPr>
            </w:pPr>
          </w:p>
        </w:tc>
      </w:tr>
      <w:tr w14:paraId="0F9C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3FEDF73A">
            <w:pPr>
              <w:spacing w:line="288" w:lineRule="auto"/>
              <w:jc w:val="center"/>
              <w:rPr>
                <w:rFonts w:ascii="宋体" w:hAnsi="宋体" w:cs="宋体"/>
                <w:sz w:val="24"/>
                <w:szCs w:val="24"/>
              </w:rPr>
            </w:pPr>
            <w:r>
              <w:rPr>
                <w:rFonts w:hint="eastAsia" w:ascii="宋体" w:hAnsi="宋体" w:cs="宋体"/>
                <w:sz w:val="24"/>
                <w:szCs w:val="24"/>
              </w:rPr>
              <w:t>…</w:t>
            </w:r>
          </w:p>
        </w:tc>
        <w:tc>
          <w:tcPr>
            <w:tcW w:w="2281" w:type="dxa"/>
            <w:vAlign w:val="center"/>
          </w:tcPr>
          <w:p w14:paraId="64A422AD">
            <w:pPr>
              <w:spacing w:line="288" w:lineRule="auto"/>
              <w:jc w:val="center"/>
              <w:rPr>
                <w:rFonts w:ascii="宋体" w:hAnsi="宋体" w:cs="宋体"/>
                <w:sz w:val="24"/>
                <w:szCs w:val="24"/>
              </w:rPr>
            </w:pPr>
          </w:p>
        </w:tc>
        <w:tc>
          <w:tcPr>
            <w:tcW w:w="857" w:type="dxa"/>
            <w:vAlign w:val="center"/>
          </w:tcPr>
          <w:p w14:paraId="6BA166E1">
            <w:pPr>
              <w:spacing w:line="288" w:lineRule="auto"/>
              <w:jc w:val="center"/>
              <w:rPr>
                <w:rFonts w:ascii="宋体" w:hAnsi="宋体" w:cs="宋体"/>
                <w:sz w:val="24"/>
                <w:szCs w:val="24"/>
              </w:rPr>
            </w:pPr>
          </w:p>
        </w:tc>
        <w:tc>
          <w:tcPr>
            <w:tcW w:w="855" w:type="dxa"/>
            <w:vAlign w:val="center"/>
          </w:tcPr>
          <w:p w14:paraId="7606A947">
            <w:pPr>
              <w:spacing w:line="288" w:lineRule="auto"/>
              <w:jc w:val="center"/>
              <w:rPr>
                <w:rFonts w:ascii="宋体" w:hAnsi="宋体" w:cs="宋体"/>
                <w:sz w:val="24"/>
                <w:szCs w:val="24"/>
              </w:rPr>
            </w:pPr>
          </w:p>
        </w:tc>
        <w:tc>
          <w:tcPr>
            <w:tcW w:w="1020" w:type="dxa"/>
            <w:vAlign w:val="center"/>
          </w:tcPr>
          <w:p w14:paraId="41BB6000">
            <w:pPr>
              <w:spacing w:line="288" w:lineRule="auto"/>
              <w:jc w:val="center"/>
              <w:rPr>
                <w:rFonts w:ascii="宋体" w:hAnsi="宋体" w:cs="宋体"/>
                <w:sz w:val="24"/>
                <w:szCs w:val="24"/>
              </w:rPr>
            </w:pPr>
          </w:p>
        </w:tc>
        <w:tc>
          <w:tcPr>
            <w:tcW w:w="1500" w:type="dxa"/>
            <w:vAlign w:val="center"/>
          </w:tcPr>
          <w:p w14:paraId="48128AD8">
            <w:pPr>
              <w:spacing w:line="288" w:lineRule="auto"/>
              <w:jc w:val="center"/>
              <w:rPr>
                <w:rFonts w:ascii="宋体" w:hAnsi="宋体" w:cs="宋体"/>
                <w:sz w:val="24"/>
                <w:szCs w:val="24"/>
              </w:rPr>
            </w:pPr>
          </w:p>
        </w:tc>
        <w:tc>
          <w:tcPr>
            <w:tcW w:w="1895" w:type="dxa"/>
            <w:vAlign w:val="center"/>
          </w:tcPr>
          <w:p w14:paraId="192B4567">
            <w:pPr>
              <w:spacing w:line="288" w:lineRule="auto"/>
              <w:jc w:val="center"/>
              <w:rPr>
                <w:rFonts w:ascii="宋体" w:hAnsi="宋体" w:cs="宋体"/>
                <w:sz w:val="24"/>
                <w:szCs w:val="24"/>
              </w:rPr>
            </w:pPr>
          </w:p>
        </w:tc>
      </w:tr>
      <w:tr w14:paraId="4136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0CBBCBB4">
            <w:pPr>
              <w:spacing w:line="288" w:lineRule="auto"/>
              <w:jc w:val="center"/>
              <w:rPr>
                <w:rFonts w:ascii="宋体" w:hAnsi="宋体" w:cs="宋体"/>
                <w:sz w:val="24"/>
                <w:szCs w:val="24"/>
              </w:rPr>
            </w:pPr>
          </w:p>
        </w:tc>
        <w:tc>
          <w:tcPr>
            <w:tcW w:w="2281" w:type="dxa"/>
            <w:vAlign w:val="center"/>
          </w:tcPr>
          <w:p w14:paraId="31B84F55">
            <w:pPr>
              <w:spacing w:line="288" w:lineRule="auto"/>
              <w:jc w:val="center"/>
              <w:rPr>
                <w:rFonts w:ascii="宋体" w:hAnsi="宋体" w:cs="宋体"/>
                <w:sz w:val="24"/>
                <w:szCs w:val="24"/>
              </w:rPr>
            </w:pPr>
            <w:r>
              <w:rPr>
                <w:rFonts w:hint="eastAsia" w:ascii="宋体" w:hAnsi="宋体" w:cs="宋体"/>
                <w:sz w:val="24"/>
                <w:szCs w:val="24"/>
              </w:rPr>
              <w:t>合计</w:t>
            </w:r>
          </w:p>
        </w:tc>
        <w:tc>
          <w:tcPr>
            <w:tcW w:w="857" w:type="dxa"/>
            <w:vAlign w:val="center"/>
          </w:tcPr>
          <w:p w14:paraId="69BB9A9D">
            <w:pPr>
              <w:spacing w:line="288" w:lineRule="auto"/>
              <w:jc w:val="center"/>
              <w:rPr>
                <w:rFonts w:ascii="宋体" w:hAnsi="宋体" w:cs="宋体"/>
                <w:sz w:val="24"/>
                <w:szCs w:val="24"/>
              </w:rPr>
            </w:pPr>
          </w:p>
        </w:tc>
        <w:tc>
          <w:tcPr>
            <w:tcW w:w="855" w:type="dxa"/>
            <w:vAlign w:val="center"/>
          </w:tcPr>
          <w:p w14:paraId="5F5BCAD6">
            <w:pPr>
              <w:spacing w:line="288" w:lineRule="auto"/>
              <w:jc w:val="center"/>
              <w:rPr>
                <w:rFonts w:ascii="宋体" w:hAnsi="宋体" w:cs="宋体"/>
                <w:sz w:val="24"/>
                <w:szCs w:val="24"/>
              </w:rPr>
            </w:pPr>
          </w:p>
        </w:tc>
        <w:tc>
          <w:tcPr>
            <w:tcW w:w="1020" w:type="dxa"/>
            <w:vAlign w:val="center"/>
          </w:tcPr>
          <w:p w14:paraId="0E1154FE">
            <w:pPr>
              <w:spacing w:line="288" w:lineRule="auto"/>
              <w:jc w:val="center"/>
              <w:rPr>
                <w:rFonts w:ascii="宋体" w:hAnsi="宋体" w:cs="宋体"/>
                <w:sz w:val="24"/>
                <w:szCs w:val="24"/>
              </w:rPr>
            </w:pPr>
          </w:p>
        </w:tc>
        <w:tc>
          <w:tcPr>
            <w:tcW w:w="1500" w:type="dxa"/>
            <w:vAlign w:val="center"/>
          </w:tcPr>
          <w:p w14:paraId="677B0128">
            <w:pPr>
              <w:spacing w:line="288" w:lineRule="auto"/>
              <w:jc w:val="center"/>
              <w:rPr>
                <w:rFonts w:ascii="宋体" w:hAnsi="宋体" w:cs="宋体"/>
                <w:sz w:val="24"/>
                <w:szCs w:val="24"/>
              </w:rPr>
            </w:pPr>
          </w:p>
        </w:tc>
        <w:tc>
          <w:tcPr>
            <w:tcW w:w="1895" w:type="dxa"/>
            <w:vAlign w:val="center"/>
          </w:tcPr>
          <w:p w14:paraId="41379317">
            <w:pPr>
              <w:spacing w:line="288" w:lineRule="auto"/>
              <w:jc w:val="center"/>
              <w:rPr>
                <w:rFonts w:ascii="宋体" w:hAnsi="宋体" w:cs="宋体"/>
                <w:sz w:val="24"/>
                <w:szCs w:val="24"/>
              </w:rPr>
            </w:pPr>
          </w:p>
        </w:tc>
      </w:tr>
      <w:tr w14:paraId="038F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6" w:type="dxa"/>
            <w:gridSpan w:val="7"/>
            <w:vAlign w:val="center"/>
          </w:tcPr>
          <w:p w14:paraId="5EF55D65">
            <w:pPr>
              <w:spacing w:line="288" w:lineRule="auto"/>
              <w:rPr>
                <w:rFonts w:ascii="宋体" w:hAnsi="宋体" w:cs="宋体"/>
                <w:sz w:val="24"/>
                <w:szCs w:val="24"/>
              </w:rPr>
            </w:pPr>
            <w:r>
              <w:rPr>
                <w:rFonts w:hint="eastAsia" w:ascii="宋体" w:hAnsi="宋体" w:cs="宋体"/>
                <w:sz w:val="24"/>
                <w:szCs w:val="24"/>
              </w:rPr>
              <w:t>其他费用明细表：</w:t>
            </w:r>
          </w:p>
        </w:tc>
      </w:tr>
      <w:tr w14:paraId="479C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14:paraId="63FD3299">
            <w:pPr>
              <w:spacing w:line="288" w:lineRule="auto"/>
              <w:jc w:val="center"/>
              <w:rPr>
                <w:rFonts w:ascii="宋体" w:hAnsi="宋体" w:cs="宋体"/>
                <w:sz w:val="24"/>
                <w:szCs w:val="24"/>
              </w:rPr>
            </w:pPr>
            <w:r>
              <w:rPr>
                <w:rFonts w:hint="eastAsia" w:ascii="宋体" w:hAnsi="宋体" w:cs="宋体"/>
                <w:sz w:val="24"/>
                <w:szCs w:val="24"/>
              </w:rPr>
              <w:t>序号</w:t>
            </w:r>
          </w:p>
        </w:tc>
        <w:tc>
          <w:tcPr>
            <w:tcW w:w="2281" w:type="dxa"/>
            <w:vAlign w:val="center"/>
          </w:tcPr>
          <w:p w14:paraId="3605EA28">
            <w:pPr>
              <w:spacing w:line="288" w:lineRule="auto"/>
              <w:jc w:val="center"/>
              <w:rPr>
                <w:rFonts w:ascii="宋体" w:hAnsi="宋体" w:cs="宋体"/>
                <w:sz w:val="24"/>
                <w:szCs w:val="24"/>
              </w:rPr>
            </w:pPr>
            <w:r>
              <w:rPr>
                <w:rFonts w:hint="eastAsia" w:ascii="宋体" w:hAnsi="宋体" w:cs="宋体"/>
                <w:sz w:val="24"/>
                <w:szCs w:val="24"/>
              </w:rPr>
              <w:t>项目</w:t>
            </w:r>
          </w:p>
        </w:tc>
        <w:tc>
          <w:tcPr>
            <w:tcW w:w="2732" w:type="dxa"/>
            <w:gridSpan w:val="3"/>
            <w:vAlign w:val="center"/>
          </w:tcPr>
          <w:p w14:paraId="0B7C0900">
            <w:pPr>
              <w:spacing w:line="288" w:lineRule="auto"/>
              <w:jc w:val="center"/>
              <w:rPr>
                <w:rFonts w:ascii="宋体" w:hAnsi="宋体" w:cs="宋体"/>
                <w:sz w:val="24"/>
                <w:szCs w:val="24"/>
              </w:rPr>
            </w:pPr>
            <w:r>
              <w:rPr>
                <w:rFonts w:hint="eastAsia" w:ascii="宋体" w:hAnsi="宋体" w:cs="宋体"/>
                <w:sz w:val="24"/>
                <w:szCs w:val="24"/>
              </w:rPr>
              <w:t>内容和标准</w:t>
            </w:r>
          </w:p>
        </w:tc>
        <w:tc>
          <w:tcPr>
            <w:tcW w:w="1500" w:type="dxa"/>
            <w:vAlign w:val="center"/>
          </w:tcPr>
          <w:p w14:paraId="509A4BE4">
            <w:pPr>
              <w:spacing w:line="288" w:lineRule="auto"/>
              <w:jc w:val="center"/>
              <w:rPr>
                <w:rFonts w:ascii="宋体" w:hAnsi="宋体" w:cs="宋体"/>
                <w:sz w:val="24"/>
                <w:szCs w:val="24"/>
              </w:rPr>
            </w:pPr>
            <w:r>
              <w:rPr>
                <w:rFonts w:hint="eastAsia" w:ascii="宋体" w:hAnsi="宋体" w:cs="宋体"/>
                <w:sz w:val="24"/>
                <w:szCs w:val="24"/>
              </w:rPr>
              <w:t>报价</w:t>
            </w:r>
          </w:p>
        </w:tc>
        <w:tc>
          <w:tcPr>
            <w:tcW w:w="1895" w:type="dxa"/>
            <w:vAlign w:val="center"/>
          </w:tcPr>
          <w:p w14:paraId="59CC6AE8">
            <w:pPr>
              <w:spacing w:line="288" w:lineRule="auto"/>
              <w:jc w:val="center"/>
              <w:rPr>
                <w:rFonts w:ascii="宋体" w:hAnsi="宋体" w:cs="宋体"/>
                <w:sz w:val="24"/>
                <w:szCs w:val="24"/>
              </w:rPr>
            </w:pPr>
            <w:r>
              <w:rPr>
                <w:rFonts w:hint="eastAsia" w:ascii="宋体" w:hAnsi="宋体" w:cs="宋体"/>
                <w:sz w:val="24"/>
                <w:szCs w:val="24"/>
              </w:rPr>
              <w:t>备注</w:t>
            </w:r>
          </w:p>
        </w:tc>
      </w:tr>
      <w:tr w14:paraId="5F21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14:paraId="38E381C4">
            <w:pPr>
              <w:spacing w:line="288" w:lineRule="auto"/>
              <w:jc w:val="center"/>
              <w:rPr>
                <w:rFonts w:ascii="宋体" w:hAnsi="宋体" w:cs="宋体"/>
                <w:sz w:val="24"/>
                <w:szCs w:val="24"/>
              </w:rPr>
            </w:pPr>
          </w:p>
        </w:tc>
        <w:tc>
          <w:tcPr>
            <w:tcW w:w="2281" w:type="dxa"/>
            <w:vAlign w:val="center"/>
          </w:tcPr>
          <w:p w14:paraId="48CD9750">
            <w:pPr>
              <w:spacing w:line="288" w:lineRule="auto"/>
              <w:jc w:val="center"/>
              <w:rPr>
                <w:rFonts w:ascii="宋体" w:hAnsi="宋体" w:cs="宋体"/>
                <w:sz w:val="24"/>
                <w:szCs w:val="24"/>
              </w:rPr>
            </w:pPr>
          </w:p>
        </w:tc>
        <w:tc>
          <w:tcPr>
            <w:tcW w:w="2732" w:type="dxa"/>
            <w:gridSpan w:val="3"/>
            <w:vAlign w:val="center"/>
          </w:tcPr>
          <w:p w14:paraId="3A488DC6">
            <w:pPr>
              <w:spacing w:line="288" w:lineRule="auto"/>
              <w:jc w:val="center"/>
              <w:rPr>
                <w:rFonts w:ascii="宋体" w:hAnsi="宋体" w:cs="宋体"/>
                <w:sz w:val="24"/>
                <w:szCs w:val="24"/>
              </w:rPr>
            </w:pPr>
          </w:p>
        </w:tc>
        <w:tc>
          <w:tcPr>
            <w:tcW w:w="1500" w:type="dxa"/>
            <w:vAlign w:val="center"/>
          </w:tcPr>
          <w:p w14:paraId="17C5EED7">
            <w:pPr>
              <w:spacing w:line="288" w:lineRule="auto"/>
              <w:jc w:val="center"/>
              <w:rPr>
                <w:rFonts w:ascii="宋体" w:hAnsi="宋体" w:cs="宋体"/>
                <w:sz w:val="24"/>
                <w:szCs w:val="24"/>
              </w:rPr>
            </w:pPr>
          </w:p>
        </w:tc>
        <w:tc>
          <w:tcPr>
            <w:tcW w:w="1895" w:type="dxa"/>
            <w:vAlign w:val="center"/>
          </w:tcPr>
          <w:p w14:paraId="2B0C0A44">
            <w:pPr>
              <w:spacing w:line="288" w:lineRule="auto"/>
              <w:jc w:val="center"/>
              <w:rPr>
                <w:rFonts w:ascii="宋体" w:hAnsi="宋体" w:cs="宋体"/>
                <w:sz w:val="24"/>
                <w:szCs w:val="24"/>
              </w:rPr>
            </w:pPr>
          </w:p>
        </w:tc>
      </w:tr>
      <w:tr w14:paraId="0450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21786016">
            <w:pPr>
              <w:spacing w:line="288" w:lineRule="auto"/>
              <w:jc w:val="center"/>
              <w:rPr>
                <w:rFonts w:ascii="宋体" w:hAnsi="宋体" w:cs="宋体"/>
                <w:sz w:val="24"/>
                <w:szCs w:val="24"/>
              </w:rPr>
            </w:pPr>
            <w:r>
              <w:rPr>
                <w:rFonts w:hint="eastAsia" w:ascii="宋体" w:hAnsi="宋体" w:cs="宋体"/>
                <w:sz w:val="24"/>
                <w:szCs w:val="24"/>
              </w:rPr>
              <w:t>…</w:t>
            </w:r>
          </w:p>
        </w:tc>
        <w:tc>
          <w:tcPr>
            <w:tcW w:w="2281" w:type="dxa"/>
            <w:vAlign w:val="center"/>
          </w:tcPr>
          <w:p w14:paraId="212EE5BF">
            <w:pPr>
              <w:spacing w:line="288" w:lineRule="auto"/>
              <w:jc w:val="center"/>
              <w:rPr>
                <w:rFonts w:ascii="宋体" w:hAnsi="宋体" w:cs="宋体"/>
                <w:sz w:val="24"/>
                <w:szCs w:val="24"/>
              </w:rPr>
            </w:pPr>
          </w:p>
        </w:tc>
        <w:tc>
          <w:tcPr>
            <w:tcW w:w="2732" w:type="dxa"/>
            <w:gridSpan w:val="3"/>
            <w:vAlign w:val="center"/>
          </w:tcPr>
          <w:p w14:paraId="771041F3">
            <w:pPr>
              <w:spacing w:line="288" w:lineRule="auto"/>
              <w:jc w:val="center"/>
              <w:rPr>
                <w:rFonts w:ascii="宋体" w:hAnsi="宋体" w:cs="宋体"/>
                <w:sz w:val="24"/>
                <w:szCs w:val="24"/>
              </w:rPr>
            </w:pPr>
          </w:p>
        </w:tc>
        <w:tc>
          <w:tcPr>
            <w:tcW w:w="1500" w:type="dxa"/>
            <w:vAlign w:val="center"/>
          </w:tcPr>
          <w:p w14:paraId="44282B40">
            <w:pPr>
              <w:spacing w:line="288" w:lineRule="auto"/>
              <w:jc w:val="center"/>
              <w:rPr>
                <w:rFonts w:ascii="宋体" w:hAnsi="宋体" w:cs="宋体"/>
                <w:sz w:val="24"/>
                <w:szCs w:val="24"/>
              </w:rPr>
            </w:pPr>
          </w:p>
        </w:tc>
        <w:tc>
          <w:tcPr>
            <w:tcW w:w="1895" w:type="dxa"/>
            <w:vAlign w:val="center"/>
          </w:tcPr>
          <w:p w14:paraId="3CBBCFCB">
            <w:pPr>
              <w:spacing w:line="288" w:lineRule="auto"/>
              <w:jc w:val="center"/>
              <w:rPr>
                <w:rFonts w:ascii="宋体" w:hAnsi="宋体" w:cs="宋体"/>
                <w:sz w:val="24"/>
                <w:szCs w:val="24"/>
              </w:rPr>
            </w:pPr>
          </w:p>
        </w:tc>
      </w:tr>
      <w:tr w14:paraId="797D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276" w:type="dxa"/>
            <w:gridSpan w:val="7"/>
            <w:vAlign w:val="center"/>
          </w:tcPr>
          <w:p w14:paraId="3677C490">
            <w:pPr>
              <w:spacing w:line="288" w:lineRule="auto"/>
              <w:rPr>
                <w:rFonts w:ascii="宋体" w:hAnsi="宋体" w:cs="宋体"/>
                <w:sz w:val="24"/>
                <w:szCs w:val="24"/>
              </w:rPr>
            </w:pPr>
            <w:r>
              <w:rPr>
                <w:rFonts w:hint="eastAsia" w:ascii="宋体" w:hAnsi="宋体" w:cs="宋体"/>
                <w:sz w:val="24"/>
                <w:szCs w:val="24"/>
              </w:rPr>
              <w:t>明细报价汇总表：</w:t>
            </w:r>
          </w:p>
        </w:tc>
      </w:tr>
      <w:tr w14:paraId="27CA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881" w:type="dxa"/>
            <w:gridSpan w:val="5"/>
            <w:vAlign w:val="center"/>
          </w:tcPr>
          <w:p w14:paraId="2DA20B8B">
            <w:pPr>
              <w:spacing w:line="288" w:lineRule="auto"/>
              <w:jc w:val="center"/>
              <w:rPr>
                <w:rFonts w:ascii="宋体" w:hAnsi="宋体" w:cs="宋体"/>
                <w:sz w:val="24"/>
                <w:szCs w:val="24"/>
              </w:rPr>
            </w:pPr>
            <w:r>
              <w:rPr>
                <w:rFonts w:hint="eastAsia" w:ascii="宋体" w:hAnsi="宋体" w:cs="宋体"/>
                <w:sz w:val="24"/>
                <w:szCs w:val="24"/>
              </w:rPr>
              <w:t>报价总计（货物报价合计+其他费用合计）</w:t>
            </w:r>
          </w:p>
        </w:tc>
        <w:tc>
          <w:tcPr>
            <w:tcW w:w="3395" w:type="dxa"/>
            <w:gridSpan w:val="2"/>
            <w:vAlign w:val="center"/>
          </w:tcPr>
          <w:p w14:paraId="2B3AF045">
            <w:pPr>
              <w:spacing w:line="288" w:lineRule="auto"/>
              <w:rPr>
                <w:rFonts w:ascii="宋体" w:hAnsi="宋体" w:cs="宋体"/>
                <w:sz w:val="24"/>
                <w:szCs w:val="24"/>
              </w:rPr>
            </w:pPr>
            <w:r>
              <w:rPr>
                <w:rFonts w:hint="eastAsia" w:ascii="宋体" w:hAnsi="宋体" w:cs="宋体"/>
                <w:sz w:val="24"/>
                <w:szCs w:val="24"/>
              </w:rPr>
              <w:t>大写：人民币</w:t>
            </w:r>
            <w:r>
              <w:rPr>
                <w:rFonts w:hint="eastAsia" w:ascii="宋体" w:hAnsi="宋体" w:cs="宋体"/>
                <w:sz w:val="24"/>
                <w:szCs w:val="24"/>
                <w:u w:val="single"/>
              </w:rPr>
              <w:t xml:space="preserve">          元</w:t>
            </w:r>
          </w:p>
          <w:p w14:paraId="49D0575E">
            <w:pPr>
              <w:spacing w:line="288" w:lineRule="auto"/>
              <w:rPr>
                <w:rFonts w:ascii="宋体" w:hAnsi="宋体" w:cs="宋体"/>
                <w:sz w:val="24"/>
                <w:szCs w:val="24"/>
                <w:u w:val="single"/>
              </w:rPr>
            </w:pPr>
            <w:r>
              <w:rPr>
                <w:rFonts w:hint="eastAsia" w:ascii="宋体" w:hAnsi="宋体" w:cs="宋体"/>
                <w:sz w:val="24"/>
                <w:szCs w:val="24"/>
              </w:rPr>
              <w:t xml:space="preserve">小写：￥ </w:t>
            </w:r>
            <w:r>
              <w:rPr>
                <w:rFonts w:hint="eastAsia" w:ascii="宋体" w:hAnsi="宋体" w:cs="宋体"/>
                <w:sz w:val="24"/>
                <w:szCs w:val="24"/>
                <w:u w:val="single"/>
              </w:rPr>
              <w:t xml:space="preserve">             元</w:t>
            </w:r>
          </w:p>
        </w:tc>
      </w:tr>
    </w:tbl>
    <w:p w14:paraId="6F2B27D3">
      <w:pPr>
        <w:spacing w:before="240" w:beforeLines="100" w:line="288" w:lineRule="auto"/>
        <w:rPr>
          <w:rFonts w:ascii="宋体" w:hAnsi="宋体" w:cs="宋体"/>
          <w:sz w:val="24"/>
          <w:szCs w:val="24"/>
        </w:rPr>
      </w:pPr>
      <w:r>
        <w:rPr>
          <w:rFonts w:hint="eastAsia" w:ascii="宋体" w:hAnsi="宋体" w:cs="宋体"/>
          <w:sz w:val="24"/>
          <w:szCs w:val="24"/>
        </w:rPr>
        <w:t>注明：</w:t>
      </w:r>
    </w:p>
    <w:p w14:paraId="21BFABBC">
      <w:pPr>
        <w:pStyle w:val="95"/>
        <w:numPr>
          <w:ilvl w:val="0"/>
          <w:numId w:val="4"/>
        </w:numPr>
        <w:spacing w:line="288" w:lineRule="auto"/>
        <w:ind w:firstLineChars="0"/>
        <w:rPr>
          <w:rFonts w:ascii="宋体" w:hAnsi="宋体" w:cs="宋体"/>
          <w:sz w:val="24"/>
          <w:szCs w:val="24"/>
        </w:rPr>
      </w:pPr>
      <w:r>
        <w:rPr>
          <w:rFonts w:hint="eastAsia" w:ascii="宋体" w:hAnsi="宋体" w:cs="宋体"/>
          <w:sz w:val="24"/>
          <w:szCs w:val="24"/>
        </w:rPr>
        <w:t>此表为报价总表的明细表。</w:t>
      </w:r>
    </w:p>
    <w:p w14:paraId="09699C6D">
      <w:pPr>
        <w:pStyle w:val="95"/>
        <w:numPr>
          <w:ilvl w:val="0"/>
          <w:numId w:val="4"/>
        </w:numPr>
        <w:spacing w:line="288" w:lineRule="auto"/>
        <w:ind w:firstLineChars="0"/>
        <w:rPr>
          <w:rFonts w:ascii="宋体" w:hAnsi="宋体" w:cs="宋体"/>
          <w:sz w:val="24"/>
          <w:szCs w:val="24"/>
        </w:rPr>
      </w:pPr>
      <w:r>
        <w:rPr>
          <w:rFonts w:hint="eastAsia" w:ascii="宋体" w:hAnsi="宋体" w:cs="宋体"/>
          <w:sz w:val="24"/>
          <w:szCs w:val="24"/>
        </w:rPr>
        <w:t>如果单价和总价不符时，以单价为准，修正总价。</w:t>
      </w:r>
    </w:p>
    <w:p w14:paraId="05AD473C">
      <w:pPr>
        <w:pStyle w:val="95"/>
        <w:numPr>
          <w:ilvl w:val="0"/>
          <w:numId w:val="4"/>
        </w:numPr>
        <w:spacing w:line="288" w:lineRule="auto"/>
        <w:ind w:firstLineChars="0"/>
        <w:rPr>
          <w:rFonts w:ascii="宋体" w:hAnsi="宋体" w:cs="宋体"/>
          <w:sz w:val="24"/>
          <w:szCs w:val="24"/>
        </w:rPr>
      </w:pPr>
      <w:r>
        <w:rPr>
          <w:rFonts w:hint="eastAsia" w:ascii="宋体" w:hAnsi="宋体" w:cs="宋体"/>
          <w:sz w:val="24"/>
          <w:szCs w:val="24"/>
        </w:rPr>
        <w:t>供应商应列明按“采购需求”所要求提供的所有报价项的价格明细。</w:t>
      </w:r>
    </w:p>
    <w:p w14:paraId="4D598933">
      <w:pPr>
        <w:pStyle w:val="95"/>
        <w:numPr>
          <w:ilvl w:val="0"/>
          <w:numId w:val="4"/>
        </w:numPr>
        <w:spacing w:line="288" w:lineRule="auto"/>
        <w:ind w:firstLineChars="0"/>
        <w:rPr>
          <w:rFonts w:ascii="宋体" w:hAnsi="宋体" w:cs="宋体"/>
          <w:sz w:val="24"/>
          <w:szCs w:val="24"/>
        </w:rPr>
      </w:pPr>
      <w:r>
        <w:rPr>
          <w:rFonts w:hint="eastAsia" w:ascii="宋体" w:hAnsi="宋体" w:cs="宋体"/>
          <w:sz w:val="24"/>
          <w:szCs w:val="24"/>
        </w:rPr>
        <w:t>货物名称与产品注册证登记名称保持一致。</w:t>
      </w:r>
    </w:p>
    <w:p w14:paraId="4621C79F">
      <w:pPr>
        <w:spacing w:line="288" w:lineRule="auto"/>
        <w:rPr>
          <w:rFonts w:ascii="宋体" w:hAnsi="宋体" w:cs="宋体"/>
          <w:sz w:val="24"/>
          <w:szCs w:val="24"/>
        </w:rPr>
      </w:pPr>
    </w:p>
    <w:tbl>
      <w:tblPr>
        <w:tblStyle w:val="44"/>
        <w:tblW w:w="9345" w:type="dxa"/>
        <w:tblInd w:w="0" w:type="dxa"/>
        <w:tblLayout w:type="fixed"/>
        <w:tblCellMar>
          <w:top w:w="0" w:type="dxa"/>
          <w:left w:w="108" w:type="dxa"/>
          <w:bottom w:w="0" w:type="dxa"/>
          <w:right w:w="108" w:type="dxa"/>
        </w:tblCellMar>
      </w:tblPr>
      <w:tblGrid>
        <w:gridCol w:w="5353"/>
        <w:gridCol w:w="3992"/>
      </w:tblGrid>
      <w:tr w14:paraId="06F8BC93">
        <w:tblPrEx>
          <w:tblCellMar>
            <w:top w:w="0" w:type="dxa"/>
            <w:left w:w="108" w:type="dxa"/>
            <w:bottom w:w="0" w:type="dxa"/>
            <w:right w:w="108" w:type="dxa"/>
          </w:tblCellMar>
        </w:tblPrEx>
        <w:tc>
          <w:tcPr>
            <w:tcW w:w="5353" w:type="dxa"/>
            <w:shd w:val="clear" w:color="auto" w:fill="auto"/>
          </w:tcPr>
          <w:p w14:paraId="7A59DA8A">
            <w:pPr>
              <w:overflowPunct w:val="0"/>
              <w:adjustRightInd w:val="0"/>
              <w:spacing w:line="288" w:lineRule="auto"/>
              <w:rPr>
                <w:rFonts w:ascii="宋体" w:hAnsi="宋体" w:cs="宋体"/>
                <w:sz w:val="24"/>
                <w:szCs w:val="24"/>
              </w:rPr>
            </w:pPr>
            <w:r>
              <w:rPr>
                <w:rFonts w:hint="eastAsia" w:ascii="宋体" w:hAnsi="宋体" w:cs="宋体"/>
                <w:sz w:val="24"/>
                <w:szCs w:val="24"/>
              </w:rPr>
              <w:t>供应商名称（加盖公章）：</w:t>
            </w:r>
          </w:p>
        </w:tc>
        <w:tc>
          <w:tcPr>
            <w:tcW w:w="3992" w:type="dxa"/>
            <w:shd w:val="clear" w:color="auto" w:fill="auto"/>
          </w:tcPr>
          <w:p w14:paraId="771AB897">
            <w:pPr>
              <w:spacing w:line="288" w:lineRule="auto"/>
              <w:rPr>
                <w:rFonts w:ascii="宋体" w:hAnsi="宋体" w:cs="宋体"/>
                <w:sz w:val="24"/>
                <w:szCs w:val="24"/>
              </w:rPr>
            </w:pPr>
          </w:p>
        </w:tc>
      </w:tr>
      <w:tr w14:paraId="61B83FA7">
        <w:tblPrEx>
          <w:tblCellMar>
            <w:top w:w="0" w:type="dxa"/>
            <w:left w:w="108" w:type="dxa"/>
            <w:bottom w:w="0" w:type="dxa"/>
            <w:right w:w="108" w:type="dxa"/>
          </w:tblCellMar>
        </w:tblPrEx>
        <w:tc>
          <w:tcPr>
            <w:tcW w:w="5353" w:type="dxa"/>
            <w:shd w:val="clear" w:color="auto" w:fill="auto"/>
          </w:tcPr>
          <w:p w14:paraId="104426F2">
            <w:pPr>
              <w:spacing w:line="288" w:lineRule="auto"/>
              <w:rPr>
                <w:rFonts w:ascii="宋体" w:hAnsi="宋体" w:cs="宋体"/>
                <w:sz w:val="24"/>
                <w:szCs w:val="24"/>
              </w:rPr>
            </w:pPr>
          </w:p>
          <w:p w14:paraId="1AE1AABD">
            <w:pPr>
              <w:spacing w:line="288" w:lineRule="auto"/>
              <w:rPr>
                <w:rFonts w:ascii="宋体" w:hAnsi="宋体" w:cs="宋体"/>
                <w:sz w:val="24"/>
                <w:szCs w:val="24"/>
              </w:rPr>
            </w:pPr>
            <w:r>
              <w:rPr>
                <w:rFonts w:hint="eastAsia" w:ascii="宋体" w:hAnsi="宋体" w:cs="宋体"/>
                <w:sz w:val="24"/>
                <w:szCs w:val="24"/>
              </w:rPr>
              <w:t>日期：        年        月        日</w:t>
            </w:r>
          </w:p>
        </w:tc>
        <w:tc>
          <w:tcPr>
            <w:tcW w:w="3992" w:type="dxa"/>
            <w:shd w:val="clear" w:color="auto" w:fill="auto"/>
          </w:tcPr>
          <w:p w14:paraId="2EAD9F64">
            <w:pPr>
              <w:spacing w:line="288" w:lineRule="auto"/>
              <w:rPr>
                <w:rFonts w:ascii="宋体" w:hAnsi="宋体" w:cs="宋体"/>
                <w:sz w:val="24"/>
                <w:szCs w:val="24"/>
              </w:rPr>
            </w:pPr>
          </w:p>
        </w:tc>
      </w:tr>
    </w:tbl>
    <w:p w14:paraId="740B87C3">
      <w:pPr>
        <w:autoSpaceDE w:val="0"/>
        <w:autoSpaceDN w:val="0"/>
        <w:adjustRightInd w:val="0"/>
        <w:spacing w:before="120" w:beforeLines="50" w:after="120" w:afterLines="50" w:line="288" w:lineRule="auto"/>
        <w:jc w:val="center"/>
        <w:rPr>
          <w:rFonts w:ascii="宋体" w:hAnsi="宋体" w:cs="宋体"/>
          <w:b/>
          <w:sz w:val="24"/>
          <w:szCs w:val="24"/>
        </w:rPr>
      </w:pPr>
    </w:p>
    <w:p w14:paraId="0E54EE7A">
      <w:pPr>
        <w:rPr>
          <w:rFonts w:ascii="宋体" w:hAnsi="宋体" w:cs="宋体"/>
          <w:b/>
          <w:sz w:val="32"/>
          <w:szCs w:val="32"/>
        </w:rPr>
      </w:pPr>
      <w:r>
        <w:rPr>
          <w:rFonts w:hint="eastAsia" w:ascii="宋体" w:hAnsi="宋体" w:cs="宋体"/>
          <w:b/>
          <w:sz w:val="32"/>
          <w:szCs w:val="32"/>
        </w:rPr>
        <w:br w:type="page"/>
      </w:r>
    </w:p>
    <w:p w14:paraId="6606B7FA">
      <w:pPr>
        <w:spacing w:line="360" w:lineRule="auto"/>
        <w:jc w:val="center"/>
        <w:rPr>
          <w:rFonts w:ascii="宋体" w:hAnsi="宋体" w:cs="宋体"/>
          <w:b/>
          <w:sz w:val="36"/>
          <w:szCs w:val="36"/>
        </w:rPr>
      </w:pPr>
      <w:r>
        <w:rPr>
          <w:rFonts w:hint="eastAsia" w:ascii="宋体" w:hAnsi="宋体" w:cs="宋体"/>
          <w:b/>
          <w:sz w:val="36"/>
          <w:szCs w:val="36"/>
        </w:rPr>
        <w:t>三、投标函</w:t>
      </w:r>
    </w:p>
    <w:p w14:paraId="74853352">
      <w:pPr>
        <w:spacing w:before="120" w:beforeLines="50" w:after="120" w:afterLines="50" w:line="288" w:lineRule="auto"/>
        <w:rPr>
          <w:rFonts w:ascii="宋体" w:hAnsi="宋体" w:cs="宋体"/>
          <w:b/>
          <w:sz w:val="24"/>
          <w:szCs w:val="24"/>
        </w:rPr>
      </w:pPr>
      <w:r>
        <w:rPr>
          <w:rFonts w:hint="eastAsia" w:ascii="宋体" w:hAnsi="宋体" w:cs="宋体"/>
          <w:b/>
          <w:sz w:val="24"/>
          <w:szCs w:val="24"/>
        </w:rPr>
        <w:t>致：</w:t>
      </w:r>
      <w:r>
        <w:rPr>
          <w:rFonts w:hint="eastAsia" w:ascii="宋体" w:hAnsi="宋体" w:cs="宋体"/>
          <w:b/>
          <w:sz w:val="24"/>
          <w:szCs w:val="24"/>
          <w:u w:val="single"/>
        </w:rPr>
        <w:t>(采购代理机构名称)</w:t>
      </w:r>
    </w:p>
    <w:p w14:paraId="3B6EC4F7">
      <w:pPr>
        <w:autoSpaceDE w:val="0"/>
        <w:autoSpaceDN w:val="0"/>
        <w:adjustRightInd w:val="0"/>
        <w:spacing w:line="288" w:lineRule="auto"/>
        <w:ind w:right="26" w:firstLine="480" w:firstLineChars="200"/>
        <w:rPr>
          <w:rFonts w:ascii="宋体" w:hAnsi="宋体" w:cs="宋体"/>
          <w:sz w:val="24"/>
          <w:szCs w:val="24"/>
        </w:rPr>
      </w:pPr>
      <w:r>
        <w:rPr>
          <w:rFonts w:hint="eastAsia" w:ascii="宋体" w:hAnsi="宋体" w:cs="宋体"/>
          <w:bCs/>
          <w:sz w:val="24"/>
          <w:szCs w:val="24"/>
        </w:rPr>
        <w:t>依据贵方</w:t>
      </w:r>
      <w:r>
        <w:rPr>
          <w:rFonts w:hint="eastAsia" w:ascii="宋体" w:hAnsi="宋体" w:cs="宋体"/>
          <w:b/>
          <w:bCs/>
          <w:sz w:val="24"/>
          <w:szCs w:val="24"/>
          <w:u w:val="single"/>
        </w:rPr>
        <w:t xml:space="preserve">项目名称    </w:t>
      </w:r>
      <w:r>
        <w:rPr>
          <w:rFonts w:hint="eastAsia" w:ascii="宋体" w:hAnsi="宋体" w:cs="宋体"/>
          <w:bCs/>
          <w:sz w:val="24"/>
          <w:szCs w:val="24"/>
          <w:u w:val="single"/>
        </w:rPr>
        <w:t>（</w:t>
      </w:r>
      <w:r>
        <w:rPr>
          <w:rFonts w:hint="eastAsia" w:ascii="宋体" w:hAnsi="宋体" w:cs="宋体"/>
          <w:b/>
          <w:bCs/>
          <w:sz w:val="24"/>
          <w:szCs w:val="24"/>
          <w:u w:val="single"/>
        </w:rPr>
        <w:t>项目编号：</w:t>
      </w:r>
      <w:r>
        <w:rPr>
          <w:rFonts w:hint="eastAsia" w:ascii="宋体" w:hAnsi="宋体" w:cs="宋体"/>
          <w:bCs/>
          <w:sz w:val="24"/>
          <w:szCs w:val="24"/>
          <w:u w:val="single"/>
        </w:rPr>
        <w:t xml:space="preserve">        ) </w:t>
      </w:r>
      <w:r>
        <w:rPr>
          <w:rFonts w:hint="eastAsia" w:ascii="宋体" w:hAnsi="宋体" w:cs="宋体"/>
          <w:bCs/>
          <w:sz w:val="24"/>
          <w:szCs w:val="24"/>
        </w:rPr>
        <w:t>招标货物及服务的投标，我方代表</w:t>
      </w:r>
      <w:r>
        <w:rPr>
          <w:rFonts w:hint="eastAsia" w:ascii="宋体" w:hAnsi="宋体" w:cs="宋体"/>
          <w:b/>
          <w:bCs/>
          <w:sz w:val="24"/>
          <w:szCs w:val="24"/>
          <w:u w:val="single"/>
        </w:rPr>
        <w:t>（姓名、职务）</w:t>
      </w:r>
      <w:r>
        <w:rPr>
          <w:rFonts w:hint="eastAsia" w:ascii="宋体" w:hAnsi="宋体" w:cs="宋体"/>
          <w:bCs/>
          <w:sz w:val="24"/>
          <w:szCs w:val="24"/>
        </w:rPr>
        <w:t>经正式授权并代表</w:t>
      </w:r>
      <w:r>
        <w:rPr>
          <w:rFonts w:hint="eastAsia" w:ascii="宋体" w:hAnsi="宋体" w:cs="宋体"/>
          <w:b/>
          <w:bCs/>
          <w:sz w:val="24"/>
          <w:szCs w:val="24"/>
          <w:u w:val="single"/>
        </w:rPr>
        <w:t>（供应商名称）</w:t>
      </w:r>
      <w:r>
        <w:rPr>
          <w:rFonts w:hint="eastAsia" w:ascii="宋体" w:hAnsi="宋体" w:cs="宋体"/>
          <w:bCs/>
          <w:sz w:val="24"/>
          <w:szCs w:val="24"/>
        </w:rPr>
        <w:t>提交</w:t>
      </w:r>
      <w:r>
        <w:rPr>
          <w:rFonts w:hint="eastAsia" w:ascii="宋体" w:hAnsi="宋体" w:cs="宋体"/>
          <w:bCs/>
          <w:sz w:val="24"/>
          <w:szCs w:val="24"/>
          <w:lang w:val="en-US" w:eastAsia="zh-CN"/>
        </w:rPr>
        <w:t>该项目投标文件</w:t>
      </w:r>
      <w:r>
        <w:rPr>
          <w:rFonts w:hint="eastAsia" w:ascii="宋体" w:hAnsi="宋体" w:cs="宋体"/>
          <w:bCs/>
          <w:sz w:val="24"/>
          <w:szCs w:val="24"/>
        </w:rPr>
        <w:t>。</w:t>
      </w:r>
    </w:p>
    <w:p w14:paraId="650305E4">
      <w:pPr>
        <w:autoSpaceDE w:val="0"/>
        <w:autoSpaceDN w:val="0"/>
        <w:adjustRightInd w:val="0"/>
        <w:spacing w:line="288" w:lineRule="auto"/>
        <w:ind w:right="246"/>
        <w:rPr>
          <w:rFonts w:ascii="宋体" w:hAnsi="宋体" w:cs="宋体"/>
          <w:sz w:val="24"/>
          <w:szCs w:val="24"/>
        </w:rPr>
      </w:pPr>
      <w:r>
        <w:rPr>
          <w:rFonts w:hint="eastAsia" w:ascii="宋体" w:hAnsi="宋体" w:cs="宋体"/>
          <w:sz w:val="24"/>
          <w:szCs w:val="24"/>
        </w:rPr>
        <w:t>在此，我方声明如下：</w:t>
      </w:r>
    </w:p>
    <w:p w14:paraId="7AC73EA8">
      <w:pPr>
        <w:pStyle w:val="95"/>
        <w:spacing w:line="288" w:lineRule="auto"/>
        <w:ind w:left="0" w:firstLine="0" w:firstLineChars="0"/>
        <w:rPr>
          <w:rFonts w:ascii="宋体" w:hAnsi="宋体" w:cs="宋体"/>
          <w:sz w:val="24"/>
          <w:szCs w:val="24"/>
        </w:rPr>
      </w:pPr>
      <w:r>
        <w:rPr>
          <w:rFonts w:hint="eastAsia" w:ascii="宋体" w:hAnsi="宋体" w:cs="宋体"/>
          <w:spacing w:val="-6"/>
          <w:sz w:val="24"/>
          <w:szCs w:val="24"/>
        </w:rPr>
        <w:t>1、同意并接受招标文件的各项要求，遵守招标文件中的各项规定，按招标文件的要求提供报价，投标报价为</w:t>
      </w:r>
      <w:r>
        <w:rPr>
          <w:rFonts w:hint="eastAsia" w:ascii="宋体" w:hAnsi="宋体" w:cs="宋体"/>
          <w:spacing w:val="-6"/>
          <w:sz w:val="24"/>
          <w:szCs w:val="24"/>
          <w:u w:val="single"/>
        </w:rPr>
        <w:t xml:space="preserve">               </w:t>
      </w:r>
      <w:r>
        <w:rPr>
          <w:rFonts w:hint="eastAsia" w:ascii="宋体" w:hAnsi="宋体" w:cs="宋体"/>
          <w:spacing w:val="-6"/>
          <w:sz w:val="24"/>
          <w:szCs w:val="24"/>
        </w:rPr>
        <w:t xml:space="preserve"> 元人民币</w:t>
      </w:r>
      <w:r>
        <w:rPr>
          <w:rFonts w:hint="eastAsia" w:ascii="宋体" w:hAnsi="宋体" w:cs="宋体"/>
          <w:sz w:val="24"/>
          <w:szCs w:val="24"/>
        </w:rPr>
        <w:t>。</w:t>
      </w:r>
    </w:p>
    <w:p w14:paraId="0D4A14A4">
      <w:pPr>
        <w:pStyle w:val="95"/>
        <w:spacing w:line="288" w:lineRule="auto"/>
        <w:ind w:left="0" w:firstLine="0" w:firstLineChars="0"/>
        <w:rPr>
          <w:rFonts w:ascii="宋体" w:hAnsi="宋体" w:cs="宋体"/>
          <w:sz w:val="24"/>
          <w:szCs w:val="24"/>
        </w:rPr>
      </w:pPr>
      <w:r>
        <w:rPr>
          <w:rFonts w:hint="eastAsia" w:ascii="宋体" w:hAnsi="宋体" w:cs="宋体"/>
          <w:sz w:val="24"/>
          <w:szCs w:val="24"/>
        </w:rPr>
        <w:t>2、投标有效期为递交投标文件截止日后90天，中标人投标有效期延至合同验收之日。</w:t>
      </w:r>
    </w:p>
    <w:p w14:paraId="102FAD26">
      <w:pPr>
        <w:pStyle w:val="95"/>
        <w:spacing w:line="288" w:lineRule="auto"/>
        <w:ind w:left="0" w:firstLine="0" w:firstLineChars="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如果我方中标，我们保证根据招标文件规定履行合同责任和义务。具体合同履行期限（供货期）承诺如下：</w:t>
      </w:r>
      <w:r>
        <w:rPr>
          <w:rFonts w:hint="eastAsia" w:ascii="宋体" w:hAnsi="宋体" w:cs="宋体"/>
          <w:sz w:val="24"/>
          <w:szCs w:val="24"/>
          <w:u w:val="single"/>
        </w:rPr>
        <w:t xml:space="preserve">                              </w:t>
      </w:r>
      <w:r>
        <w:rPr>
          <w:rFonts w:hint="eastAsia" w:ascii="宋体" w:hAnsi="宋体" w:cs="宋体"/>
          <w:sz w:val="24"/>
          <w:szCs w:val="24"/>
          <w:lang w:val="zh-CN"/>
        </w:rPr>
        <w:t>。</w:t>
      </w:r>
    </w:p>
    <w:p w14:paraId="2561BCFE">
      <w:pPr>
        <w:pStyle w:val="95"/>
        <w:spacing w:line="288" w:lineRule="auto"/>
        <w:ind w:left="0" w:firstLine="0" w:firstLineChars="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我方人民币</w:t>
      </w:r>
      <w:r>
        <w:rPr>
          <w:rFonts w:hint="eastAsia" w:ascii="宋体" w:hAnsi="宋体" w:cs="宋体"/>
          <w:sz w:val="24"/>
          <w:szCs w:val="24"/>
          <w:u w:val="single"/>
          <w:lang w:val="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zh-CN"/>
        </w:rPr>
        <w:t xml:space="preserve">   </w:t>
      </w:r>
      <w:r>
        <w:rPr>
          <w:rFonts w:hint="eastAsia" w:ascii="宋体" w:hAnsi="宋体" w:cs="宋体"/>
          <w:sz w:val="24"/>
          <w:szCs w:val="24"/>
          <w:lang w:val="zh-CN"/>
        </w:rPr>
        <w:t>元的投标保证金与本投标文件同时提交。</w:t>
      </w:r>
    </w:p>
    <w:p w14:paraId="61981758">
      <w:pPr>
        <w:pStyle w:val="95"/>
        <w:spacing w:line="288" w:lineRule="auto"/>
        <w:ind w:left="0" w:firstLine="0" w:firstLineChars="0"/>
        <w:rPr>
          <w:rFonts w:ascii="宋体" w:hAnsi="宋体" w:cs="宋体"/>
          <w:sz w:val="24"/>
          <w:szCs w:val="24"/>
        </w:rPr>
      </w:pPr>
      <w:r>
        <w:rPr>
          <w:rFonts w:hint="eastAsia" w:ascii="宋体" w:hAnsi="宋体" w:cs="宋体"/>
          <w:sz w:val="24"/>
          <w:szCs w:val="24"/>
        </w:rPr>
        <w:t>5、我方已经详细地阅读了全部招标文件及其附件，包括澄清及参考文件(如果有的话)。我方已完全清晰理解招标文件的要求，不存在任何含糊不清和误解之处，同意放弃对这些文件所提出的异议和质疑的权利。</w:t>
      </w:r>
    </w:p>
    <w:p w14:paraId="5DADCEB4">
      <w:pPr>
        <w:pStyle w:val="95"/>
        <w:spacing w:line="288" w:lineRule="auto"/>
        <w:ind w:left="0" w:firstLine="0" w:firstLineChars="0"/>
        <w:rPr>
          <w:rFonts w:ascii="宋体" w:hAnsi="宋体" w:cs="宋体"/>
          <w:sz w:val="24"/>
          <w:szCs w:val="24"/>
        </w:rPr>
      </w:pPr>
      <w:r>
        <w:rPr>
          <w:rFonts w:hint="eastAsia" w:ascii="宋体" w:hAnsi="宋体" w:cs="宋体"/>
          <w:sz w:val="24"/>
          <w:szCs w:val="24"/>
        </w:rPr>
        <w:t>6、我方已毫无保留地向贵方提供一切所需的证明材料。</w:t>
      </w:r>
    </w:p>
    <w:p w14:paraId="0E799A4C">
      <w:pPr>
        <w:pStyle w:val="95"/>
        <w:spacing w:line="288" w:lineRule="auto"/>
        <w:ind w:left="0" w:firstLine="0" w:firstLineChars="0"/>
        <w:rPr>
          <w:rFonts w:ascii="宋体" w:hAnsi="宋体" w:cs="宋体"/>
          <w:sz w:val="24"/>
          <w:szCs w:val="24"/>
        </w:rPr>
      </w:pPr>
      <w:r>
        <w:rPr>
          <w:rFonts w:hint="eastAsia" w:ascii="宋体" w:hAnsi="宋体" w:cs="宋体"/>
          <w:sz w:val="24"/>
          <w:szCs w:val="24"/>
        </w:rPr>
        <w:t>7、我方承诺在本次投标文件中提供的一切文件，无论是原件还是复印件均为真实和准确的，绝无任何虚假、伪造和夸大的成份，否则，愿承担相应的后果和法律责任。</w:t>
      </w:r>
    </w:p>
    <w:p w14:paraId="283CC0D4">
      <w:pPr>
        <w:pStyle w:val="95"/>
        <w:spacing w:line="288" w:lineRule="auto"/>
        <w:ind w:left="0" w:firstLine="0" w:firstLineChars="0"/>
        <w:rPr>
          <w:rFonts w:ascii="宋体" w:hAnsi="宋体" w:cs="宋体"/>
          <w:sz w:val="24"/>
          <w:szCs w:val="24"/>
        </w:rPr>
      </w:pPr>
      <w:r>
        <w:rPr>
          <w:rFonts w:hint="eastAsia" w:ascii="宋体" w:hAnsi="宋体" w:cs="宋体"/>
          <w:sz w:val="24"/>
          <w:szCs w:val="24"/>
        </w:rPr>
        <w:t>8、我方完全服从和尊重评委会所作的评定结果。</w:t>
      </w:r>
    </w:p>
    <w:p w14:paraId="3C9593D3">
      <w:pPr>
        <w:pStyle w:val="95"/>
        <w:spacing w:line="288" w:lineRule="auto"/>
        <w:ind w:left="0" w:firstLine="0" w:firstLineChars="0"/>
        <w:rPr>
          <w:rFonts w:ascii="宋体" w:hAnsi="宋体" w:cs="宋体"/>
          <w:sz w:val="24"/>
          <w:szCs w:val="24"/>
        </w:rPr>
      </w:pPr>
      <w:r>
        <w:rPr>
          <w:rFonts w:hint="eastAsia" w:ascii="宋体" w:hAnsi="宋体" w:cs="宋体"/>
          <w:sz w:val="24"/>
          <w:szCs w:val="24"/>
        </w:rPr>
        <w:t>9、我方同意按招标文件规定向采购代理机构缴纳中标服务费。</w:t>
      </w:r>
    </w:p>
    <w:p w14:paraId="4F643524">
      <w:pPr>
        <w:pStyle w:val="95"/>
        <w:spacing w:line="288" w:lineRule="auto"/>
        <w:ind w:left="420" w:firstLine="0" w:firstLineChars="0"/>
        <w:rPr>
          <w:rFonts w:ascii="宋体" w:hAnsi="宋体" w:cs="宋体"/>
          <w:sz w:val="24"/>
          <w:szCs w:val="24"/>
        </w:rPr>
      </w:pPr>
    </w:p>
    <w:tbl>
      <w:tblPr>
        <w:tblStyle w:val="44"/>
        <w:tblW w:w="8528" w:type="dxa"/>
        <w:jc w:val="center"/>
        <w:tblLayout w:type="fixed"/>
        <w:tblCellMar>
          <w:top w:w="0" w:type="dxa"/>
          <w:left w:w="108" w:type="dxa"/>
          <w:bottom w:w="0" w:type="dxa"/>
          <w:right w:w="108" w:type="dxa"/>
        </w:tblCellMar>
      </w:tblPr>
      <w:tblGrid>
        <w:gridCol w:w="4264"/>
        <w:gridCol w:w="4264"/>
      </w:tblGrid>
      <w:tr w14:paraId="7BF8243B">
        <w:tblPrEx>
          <w:tblCellMar>
            <w:top w:w="0" w:type="dxa"/>
            <w:left w:w="108" w:type="dxa"/>
            <w:bottom w:w="0" w:type="dxa"/>
            <w:right w:w="108" w:type="dxa"/>
          </w:tblCellMar>
        </w:tblPrEx>
        <w:trPr>
          <w:jc w:val="center"/>
        </w:trPr>
        <w:tc>
          <w:tcPr>
            <w:tcW w:w="4264" w:type="dxa"/>
            <w:shd w:val="clear" w:color="auto" w:fill="auto"/>
          </w:tcPr>
          <w:p w14:paraId="6A3B5AA7">
            <w:pPr>
              <w:spacing w:before="120" w:beforeLines="50" w:line="288" w:lineRule="auto"/>
              <w:rPr>
                <w:rFonts w:ascii="宋体" w:hAnsi="宋体" w:cs="宋体"/>
                <w:sz w:val="24"/>
                <w:szCs w:val="24"/>
              </w:rPr>
            </w:pPr>
            <w:r>
              <w:rPr>
                <w:rFonts w:hint="eastAsia" w:ascii="宋体" w:hAnsi="宋体" w:cs="宋体"/>
                <w:sz w:val="24"/>
                <w:szCs w:val="24"/>
              </w:rPr>
              <w:t>供应商地址：</w:t>
            </w:r>
          </w:p>
        </w:tc>
        <w:tc>
          <w:tcPr>
            <w:tcW w:w="4264" w:type="dxa"/>
            <w:shd w:val="clear" w:color="auto" w:fill="auto"/>
          </w:tcPr>
          <w:p w14:paraId="3F31A101">
            <w:pPr>
              <w:spacing w:before="120" w:beforeLines="50" w:line="288" w:lineRule="auto"/>
              <w:rPr>
                <w:rFonts w:ascii="宋体" w:hAnsi="宋体" w:cs="宋体"/>
                <w:sz w:val="24"/>
                <w:szCs w:val="24"/>
              </w:rPr>
            </w:pPr>
            <w:r>
              <w:rPr>
                <w:rFonts w:hint="eastAsia" w:ascii="宋体" w:hAnsi="宋体" w:cs="宋体"/>
                <w:sz w:val="24"/>
                <w:szCs w:val="24"/>
              </w:rPr>
              <w:t>邮编：</w:t>
            </w:r>
          </w:p>
        </w:tc>
      </w:tr>
      <w:tr w14:paraId="4CC816D6">
        <w:tblPrEx>
          <w:tblCellMar>
            <w:top w:w="0" w:type="dxa"/>
            <w:left w:w="108" w:type="dxa"/>
            <w:bottom w:w="0" w:type="dxa"/>
            <w:right w:w="108" w:type="dxa"/>
          </w:tblCellMar>
        </w:tblPrEx>
        <w:trPr>
          <w:jc w:val="center"/>
        </w:trPr>
        <w:tc>
          <w:tcPr>
            <w:tcW w:w="4264" w:type="dxa"/>
            <w:shd w:val="clear" w:color="auto" w:fill="auto"/>
          </w:tcPr>
          <w:p w14:paraId="79BB95AD">
            <w:pPr>
              <w:spacing w:line="288" w:lineRule="auto"/>
              <w:rPr>
                <w:rFonts w:ascii="宋体" w:hAnsi="宋体" w:cs="宋体"/>
                <w:sz w:val="24"/>
                <w:szCs w:val="24"/>
              </w:rPr>
            </w:pPr>
            <w:r>
              <w:rPr>
                <w:rFonts w:hint="eastAsia" w:ascii="宋体" w:hAnsi="宋体" w:cs="宋体"/>
                <w:sz w:val="24"/>
                <w:szCs w:val="24"/>
              </w:rPr>
              <w:t>联系电话：</w:t>
            </w:r>
          </w:p>
        </w:tc>
        <w:tc>
          <w:tcPr>
            <w:tcW w:w="4264" w:type="dxa"/>
            <w:shd w:val="clear" w:color="auto" w:fill="auto"/>
          </w:tcPr>
          <w:p w14:paraId="680C7465">
            <w:pPr>
              <w:spacing w:line="288" w:lineRule="auto"/>
              <w:rPr>
                <w:rFonts w:ascii="宋体" w:hAnsi="宋体" w:cs="宋体"/>
                <w:sz w:val="24"/>
                <w:szCs w:val="24"/>
              </w:rPr>
            </w:pPr>
            <w:r>
              <w:rPr>
                <w:rFonts w:hint="eastAsia" w:ascii="宋体" w:hAnsi="宋体" w:cs="宋体"/>
                <w:sz w:val="24"/>
                <w:szCs w:val="24"/>
              </w:rPr>
              <w:t>传真：</w:t>
            </w:r>
          </w:p>
        </w:tc>
      </w:tr>
      <w:tr w14:paraId="12D0436A">
        <w:tblPrEx>
          <w:tblCellMar>
            <w:top w:w="0" w:type="dxa"/>
            <w:left w:w="108" w:type="dxa"/>
            <w:bottom w:w="0" w:type="dxa"/>
            <w:right w:w="108" w:type="dxa"/>
          </w:tblCellMar>
        </w:tblPrEx>
        <w:trPr>
          <w:jc w:val="center"/>
        </w:trPr>
        <w:tc>
          <w:tcPr>
            <w:tcW w:w="4264" w:type="dxa"/>
            <w:shd w:val="clear" w:color="auto" w:fill="auto"/>
          </w:tcPr>
          <w:p w14:paraId="6492F1B3">
            <w:pPr>
              <w:spacing w:line="288" w:lineRule="auto"/>
              <w:rPr>
                <w:rFonts w:ascii="宋体" w:hAnsi="宋体" w:cs="宋体"/>
                <w:sz w:val="24"/>
                <w:szCs w:val="24"/>
              </w:rPr>
            </w:pPr>
            <w:r>
              <w:rPr>
                <w:rFonts w:hint="eastAsia" w:ascii="宋体" w:hAnsi="宋体" w:cs="宋体"/>
                <w:sz w:val="24"/>
                <w:szCs w:val="24"/>
              </w:rPr>
              <w:t>项目联系人：</w:t>
            </w:r>
          </w:p>
        </w:tc>
        <w:tc>
          <w:tcPr>
            <w:tcW w:w="4264" w:type="dxa"/>
            <w:shd w:val="clear" w:color="auto" w:fill="auto"/>
          </w:tcPr>
          <w:p w14:paraId="1FE40C7D">
            <w:pPr>
              <w:spacing w:line="288" w:lineRule="auto"/>
              <w:rPr>
                <w:rFonts w:ascii="宋体" w:hAnsi="宋体" w:cs="宋体"/>
                <w:sz w:val="24"/>
                <w:szCs w:val="24"/>
              </w:rPr>
            </w:pPr>
            <w:r>
              <w:rPr>
                <w:rFonts w:hint="eastAsia" w:ascii="宋体" w:hAnsi="宋体" w:cs="宋体"/>
                <w:sz w:val="24"/>
                <w:szCs w:val="24"/>
              </w:rPr>
              <w:t>手机：</w:t>
            </w:r>
          </w:p>
        </w:tc>
      </w:tr>
      <w:tr w14:paraId="34FE4D8B">
        <w:tblPrEx>
          <w:tblCellMar>
            <w:top w:w="0" w:type="dxa"/>
            <w:left w:w="108" w:type="dxa"/>
            <w:bottom w:w="0" w:type="dxa"/>
            <w:right w:w="108" w:type="dxa"/>
          </w:tblCellMar>
        </w:tblPrEx>
        <w:trPr>
          <w:jc w:val="center"/>
        </w:trPr>
        <w:tc>
          <w:tcPr>
            <w:tcW w:w="8528" w:type="dxa"/>
            <w:gridSpan w:val="2"/>
            <w:shd w:val="clear" w:color="auto" w:fill="auto"/>
          </w:tcPr>
          <w:p w14:paraId="2B4233B7">
            <w:pPr>
              <w:spacing w:line="288" w:lineRule="auto"/>
              <w:rPr>
                <w:rFonts w:ascii="宋体" w:hAnsi="宋体" w:cs="宋体"/>
                <w:sz w:val="24"/>
                <w:szCs w:val="24"/>
              </w:rPr>
            </w:pPr>
            <w:r>
              <w:rPr>
                <w:rFonts w:hint="eastAsia" w:ascii="宋体" w:hAnsi="宋体" w:cs="宋体"/>
                <w:sz w:val="24"/>
                <w:szCs w:val="24"/>
              </w:rPr>
              <w:t>供应商名称（加盖公章）：</w:t>
            </w:r>
          </w:p>
        </w:tc>
      </w:tr>
      <w:tr w14:paraId="0849F3AA">
        <w:tblPrEx>
          <w:tblCellMar>
            <w:top w:w="0" w:type="dxa"/>
            <w:left w:w="108" w:type="dxa"/>
            <w:bottom w:w="0" w:type="dxa"/>
            <w:right w:w="108" w:type="dxa"/>
          </w:tblCellMar>
        </w:tblPrEx>
        <w:trPr>
          <w:jc w:val="center"/>
        </w:trPr>
        <w:tc>
          <w:tcPr>
            <w:tcW w:w="8528" w:type="dxa"/>
            <w:gridSpan w:val="2"/>
            <w:shd w:val="clear" w:color="auto" w:fill="auto"/>
          </w:tcPr>
          <w:p w14:paraId="18283C67">
            <w:pPr>
              <w:spacing w:line="288" w:lineRule="auto"/>
              <w:rPr>
                <w:rFonts w:ascii="宋体" w:hAnsi="宋体" w:cs="宋体"/>
                <w:sz w:val="24"/>
                <w:szCs w:val="24"/>
              </w:rPr>
            </w:pPr>
            <w:r>
              <w:rPr>
                <w:rFonts w:hint="eastAsia" w:ascii="宋体" w:hAnsi="宋体" w:cs="宋体"/>
                <w:sz w:val="24"/>
                <w:szCs w:val="24"/>
              </w:rPr>
              <w:t>供应商法定代表人或被授权人（签名或盖章）：</w:t>
            </w:r>
          </w:p>
        </w:tc>
      </w:tr>
      <w:tr w14:paraId="4AA7D701">
        <w:tblPrEx>
          <w:tblCellMar>
            <w:top w:w="0" w:type="dxa"/>
            <w:left w:w="108" w:type="dxa"/>
            <w:bottom w:w="0" w:type="dxa"/>
            <w:right w:w="108" w:type="dxa"/>
          </w:tblCellMar>
        </w:tblPrEx>
        <w:trPr>
          <w:jc w:val="center"/>
        </w:trPr>
        <w:tc>
          <w:tcPr>
            <w:tcW w:w="8528" w:type="dxa"/>
            <w:gridSpan w:val="2"/>
            <w:shd w:val="clear" w:color="auto" w:fill="auto"/>
          </w:tcPr>
          <w:p w14:paraId="1EC3079C">
            <w:pPr>
              <w:spacing w:line="288" w:lineRule="auto"/>
              <w:rPr>
                <w:rFonts w:ascii="宋体" w:hAnsi="宋体" w:cs="宋体"/>
                <w:sz w:val="24"/>
                <w:szCs w:val="24"/>
              </w:rPr>
            </w:pPr>
            <w:r>
              <w:rPr>
                <w:rFonts w:hint="eastAsia" w:ascii="宋体" w:hAnsi="宋体" w:cs="宋体"/>
                <w:sz w:val="24"/>
                <w:szCs w:val="24"/>
              </w:rPr>
              <w:t>日期：    年   月   日</w:t>
            </w:r>
          </w:p>
        </w:tc>
      </w:tr>
    </w:tbl>
    <w:p w14:paraId="257DEF79">
      <w:pPr>
        <w:spacing w:before="120" w:beforeLines="50" w:after="120" w:afterLines="50" w:line="360" w:lineRule="auto"/>
        <w:jc w:val="center"/>
        <w:rPr>
          <w:rFonts w:ascii="宋体" w:hAnsi="宋体" w:cs="宋体"/>
          <w:b/>
          <w:spacing w:val="20"/>
          <w:sz w:val="30"/>
          <w:szCs w:val="30"/>
        </w:rPr>
      </w:pPr>
    </w:p>
    <w:p w14:paraId="3B1EC01F">
      <w:pPr>
        <w:rPr>
          <w:rFonts w:ascii="宋体" w:hAnsi="宋体" w:cs="宋体"/>
          <w:b/>
          <w:spacing w:val="20"/>
          <w:sz w:val="30"/>
          <w:szCs w:val="30"/>
        </w:rPr>
      </w:pPr>
      <w:r>
        <w:rPr>
          <w:rFonts w:hint="eastAsia" w:ascii="宋体" w:hAnsi="宋体" w:cs="宋体"/>
          <w:b/>
          <w:spacing w:val="20"/>
          <w:sz w:val="30"/>
          <w:szCs w:val="30"/>
        </w:rPr>
        <w:br w:type="page"/>
      </w:r>
    </w:p>
    <w:p w14:paraId="661957A4">
      <w:pPr>
        <w:spacing w:line="360" w:lineRule="auto"/>
        <w:jc w:val="center"/>
        <w:rPr>
          <w:rFonts w:ascii="宋体" w:hAnsi="宋体" w:cs="宋体"/>
          <w:b/>
          <w:sz w:val="36"/>
          <w:szCs w:val="36"/>
        </w:rPr>
      </w:pPr>
      <w:r>
        <w:rPr>
          <w:rFonts w:hint="eastAsia" w:ascii="宋体" w:hAnsi="宋体" w:cs="宋体"/>
          <w:b/>
          <w:sz w:val="36"/>
          <w:szCs w:val="36"/>
        </w:rPr>
        <w:t>四、法定代表人身份证明书</w:t>
      </w:r>
    </w:p>
    <w:p w14:paraId="063FBB66">
      <w:pPr>
        <w:spacing w:before="240" w:beforeLines="100" w:after="120" w:afterLines="50" w:line="288" w:lineRule="auto"/>
        <w:rPr>
          <w:rFonts w:ascii="宋体" w:hAnsi="宋体" w:cs="宋体"/>
          <w:b/>
          <w:sz w:val="24"/>
          <w:szCs w:val="24"/>
        </w:rPr>
      </w:pPr>
      <w:r>
        <w:rPr>
          <w:rFonts w:hint="eastAsia" w:ascii="宋体" w:hAnsi="宋体" w:cs="宋体"/>
          <w:b/>
          <w:sz w:val="24"/>
          <w:szCs w:val="24"/>
        </w:rPr>
        <w:t>致：</w:t>
      </w:r>
      <w:r>
        <w:rPr>
          <w:rFonts w:hint="eastAsia" w:ascii="宋体" w:hAnsi="宋体" w:cs="宋体"/>
          <w:b/>
          <w:sz w:val="24"/>
          <w:szCs w:val="24"/>
          <w:u w:val="single"/>
        </w:rPr>
        <w:t>(采购代理机构名称)</w:t>
      </w:r>
    </w:p>
    <w:tbl>
      <w:tblPr>
        <w:tblStyle w:val="44"/>
        <w:tblW w:w="8528" w:type="dxa"/>
        <w:jc w:val="center"/>
        <w:tblLayout w:type="fixed"/>
        <w:tblCellMar>
          <w:top w:w="0" w:type="dxa"/>
          <w:left w:w="108" w:type="dxa"/>
          <w:bottom w:w="0" w:type="dxa"/>
          <w:right w:w="108" w:type="dxa"/>
        </w:tblCellMar>
      </w:tblPr>
      <w:tblGrid>
        <w:gridCol w:w="2802"/>
        <w:gridCol w:w="1462"/>
        <w:gridCol w:w="4264"/>
      </w:tblGrid>
      <w:tr w14:paraId="034F7B2E">
        <w:tblPrEx>
          <w:tblCellMar>
            <w:top w:w="0" w:type="dxa"/>
            <w:left w:w="108" w:type="dxa"/>
            <w:bottom w:w="0" w:type="dxa"/>
            <w:right w:w="108" w:type="dxa"/>
          </w:tblCellMar>
        </w:tblPrEx>
        <w:trPr>
          <w:jc w:val="center"/>
        </w:trPr>
        <w:tc>
          <w:tcPr>
            <w:tcW w:w="8528" w:type="dxa"/>
            <w:gridSpan w:val="3"/>
            <w:shd w:val="clear" w:color="auto" w:fill="auto"/>
          </w:tcPr>
          <w:p w14:paraId="708EFC7F">
            <w:pPr>
              <w:spacing w:line="288" w:lineRule="auto"/>
              <w:rPr>
                <w:rFonts w:ascii="宋体" w:hAnsi="宋体" w:cs="宋体"/>
                <w:sz w:val="24"/>
                <w:szCs w:val="24"/>
              </w:rPr>
            </w:pPr>
            <w:r>
              <w:rPr>
                <w:rFonts w:hint="eastAsia" w:ascii="宋体" w:hAnsi="宋体" w:cs="宋体"/>
                <w:sz w:val="24"/>
                <w:szCs w:val="24"/>
              </w:rPr>
              <w:t>同志，现任我单位职务，为法定代表人，特此证明。</w:t>
            </w:r>
          </w:p>
        </w:tc>
      </w:tr>
      <w:tr w14:paraId="3BAFB579">
        <w:tblPrEx>
          <w:tblCellMar>
            <w:top w:w="0" w:type="dxa"/>
            <w:left w:w="108" w:type="dxa"/>
            <w:bottom w:w="0" w:type="dxa"/>
            <w:right w:w="108" w:type="dxa"/>
          </w:tblCellMar>
        </w:tblPrEx>
        <w:trPr>
          <w:jc w:val="center"/>
        </w:trPr>
        <w:tc>
          <w:tcPr>
            <w:tcW w:w="8528" w:type="dxa"/>
            <w:gridSpan w:val="3"/>
            <w:shd w:val="clear" w:color="auto" w:fill="auto"/>
          </w:tcPr>
          <w:p w14:paraId="1365D43A">
            <w:pPr>
              <w:spacing w:line="288" w:lineRule="auto"/>
              <w:rPr>
                <w:rFonts w:ascii="宋体" w:hAnsi="宋体" w:cs="宋体"/>
                <w:sz w:val="24"/>
                <w:szCs w:val="24"/>
              </w:rPr>
            </w:pPr>
            <w:r>
              <w:rPr>
                <w:rFonts w:hint="eastAsia" w:ascii="宋体" w:hAnsi="宋体" w:cs="宋体"/>
                <w:sz w:val="24"/>
                <w:szCs w:val="24"/>
              </w:rPr>
              <w:t>单位名称：</w:t>
            </w:r>
          </w:p>
        </w:tc>
      </w:tr>
      <w:tr w14:paraId="563D5E0B">
        <w:tblPrEx>
          <w:tblCellMar>
            <w:top w:w="0" w:type="dxa"/>
            <w:left w:w="108" w:type="dxa"/>
            <w:bottom w:w="0" w:type="dxa"/>
            <w:right w:w="108" w:type="dxa"/>
          </w:tblCellMar>
        </w:tblPrEx>
        <w:trPr>
          <w:jc w:val="center"/>
        </w:trPr>
        <w:tc>
          <w:tcPr>
            <w:tcW w:w="8528" w:type="dxa"/>
            <w:gridSpan w:val="3"/>
            <w:shd w:val="clear" w:color="auto" w:fill="auto"/>
          </w:tcPr>
          <w:p w14:paraId="0AE1FADC">
            <w:pPr>
              <w:spacing w:line="288" w:lineRule="auto"/>
              <w:rPr>
                <w:rFonts w:ascii="宋体" w:hAnsi="宋体" w:cs="宋体"/>
                <w:sz w:val="24"/>
                <w:szCs w:val="24"/>
              </w:rPr>
            </w:pPr>
            <w:r>
              <w:rPr>
                <w:rFonts w:hint="eastAsia" w:ascii="宋体" w:hAnsi="宋体" w:cs="宋体"/>
                <w:sz w:val="24"/>
                <w:szCs w:val="24"/>
              </w:rPr>
              <w:t>单位地址：</w:t>
            </w:r>
          </w:p>
        </w:tc>
      </w:tr>
      <w:tr w14:paraId="57489DBE">
        <w:tblPrEx>
          <w:tblCellMar>
            <w:top w:w="0" w:type="dxa"/>
            <w:left w:w="108" w:type="dxa"/>
            <w:bottom w:w="0" w:type="dxa"/>
            <w:right w:w="108" w:type="dxa"/>
          </w:tblCellMar>
        </w:tblPrEx>
        <w:trPr>
          <w:jc w:val="center"/>
        </w:trPr>
        <w:tc>
          <w:tcPr>
            <w:tcW w:w="4264" w:type="dxa"/>
            <w:gridSpan w:val="2"/>
            <w:shd w:val="clear" w:color="auto" w:fill="auto"/>
          </w:tcPr>
          <w:p w14:paraId="4398E1E0">
            <w:pPr>
              <w:spacing w:line="288" w:lineRule="auto"/>
              <w:rPr>
                <w:rFonts w:ascii="宋体" w:hAnsi="宋体" w:cs="宋体"/>
                <w:sz w:val="24"/>
                <w:szCs w:val="24"/>
              </w:rPr>
            </w:pPr>
            <w:r>
              <w:rPr>
                <w:rFonts w:hint="eastAsia" w:ascii="宋体" w:hAnsi="宋体" w:cs="宋体"/>
                <w:sz w:val="24"/>
                <w:szCs w:val="24"/>
              </w:rPr>
              <w:t>代表人姓名：</w:t>
            </w:r>
          </w:p>
        </w:tc>
        <w:tc>
          <w:tcPr>
            <w:tcW w:w="4264" w:type="dxa"/>
            <w:shd w:val="clear" w:color="auto" w:fill="auto"/>
          </w:tcPr>
          <w:p w14:paraId="5016734E">
            <w:pPr>
              <w:spacing w:line="288" w:lineRule="auto"/>
              <w:rPr>
                <w:rFonts w:ascii="宋体" w:hAnsi="宋体" w:cs="宋体"/>
                <w:sz w:val="24"/>
                <w:szCs w:val="24"/>
              </w:rPr>
            </w:pPr>
            <w:r>
              <w:rPr>
                <w:rFonts w:hint="eastAsia" w:ascii="宋体" w:hAnsi="宋体" w:cs="宋体"/>
                <w:sz w:val="24"/>
                <w:szCs w:val="24"/>
              </w:rPr>
              <w:t>代表人联系电话：</w:t>
            </w:r>
          </w:p>
        </w:tc>
      </w:tr>
      <w:tr w14:paraId="44DF1BF6">
        <w:tblPrEx>
          <w:tblCellMar>
            <w:top w:w="0" w:type="dxa"/>
            <w:left w:w="108" w:type="dxa"/>
            <w:bottom w:w="0" w:type="dxa"/>
            <w:right w:w="108" w:type="dxa"/>
          </w:tblCellMar>
        </w:tblPrEx>
        <w:trPr>
          <w:jc w:val="center"/>
        </w:trPr>
        <w:tc>
          <w:tcPr>
            <w:tcW w:w="4264" w:type="dxa"/>
            <w:gridSpan w:val="2"/>
            <w:shd w:val="clear" w:color="auto" w:fill="auto"/>
          </w:tcPr>
          <w:p w14:paraId="1CDC4FDD">
            <w:pPr>
              <w:spacing w:line="288" w:lineRule="auto"/>
              <w:rPr>
                <w:rFonts w:ascii="宋体" w:hAnsi="宋体" w:cs="宋体"/>
                <w:sz w:val="24"/>
                <w:szCs w:val="24"/>
              </w:rPr>
            </w:pPr>
            <w:r>
              <w:rPr>
                <w:rFonts w:hint="eastAsia" w:ascii="宋体" w:hAnsi="宋体" w:cs="宋体"/>
                <w:sz w:val="24"/>
                <w:szCs w:val="24"/>
              </w:rPr>
              <w:t>代表人性别：</w:t>
            </w:r>
          </w:p>
        </w:tc>
        <w:tc>
          <w:tcPr>
            <w:tcW w:w="4264" w:type="dxa"/>
            <w:shd w:val="clear" w:color="auto" w:fill="auto"/>
          </w:tcPr>
          <w:p w14:paraId="30A0BCBC">
            <w:pPr>
              <w:spacing w:line="288" w:lineRule="auto"/>
              <w:rPr>
                <w:rFonts w:ascii="宋体" w:hAnsi="宋体" w:cs="宋体"/>
                <w:sz w:val="24"/>
                <w:szCs w:val="24"/>
              </w:rPr>
            </w:pPr>
            <w:r>
              <w:rPr>
                <w:rFonts w:hint="eastAsia" w:ascii="宋体" w:hAnsi="宋体" w:cs="宋体"/>
                <w:sz w:val="24"/>
                <w:szCs w:val="24"/>
              </w:rPr>
              <w:t>代表人年龄：</w:t>
            </w:r>
          </w:p>
        </w:tc>
      </w:tr>
      <w:tr w14:paraId="6ED3FA69">
        <w:tblPrEx>
          <w:tblCellMar>
            <w:top w:w="0" w:type="dxa"/>
            <w:left w:w="108" w:type="dxa"/>
            <w:bottom w:w="0" w:type="dxa"/>
            <w:right w:w="108" w:type="dxa"/>
          </w:tblCellMar>
        </w:tblPrEx>
        <w:trPr>
          <w:jc w:val="center"/>
        </w:trPr>
        <w:tc>
          <w:tcPr>
            <w:tcW w:w="4264" w:type="dxa"/>
            <w:gridSpan w:val="2"/>
            <w:shd w:val="clear" w:color="auto" w:fill="auto"/>
          </w:tcPr>
          <w:p w14:paraId="495BC452">
            <w:pPr>
              <w:spacing w:line="288" w:lineRule="auto"/>
              <w:rPr>
                <w:rFonts w:ascii="宋体" w:hAnsi="宋体" w:cs="宋体"/>
                <w:sz w:val="24"/>
                <w:szCs w:val="24"/>
              </w:rPr>
            </w:pPr>
            <w:r>
              <w:rPr>
                <w:rFonts w:hint="eastAsia" w:ascii="宋体" w:hAnsi="宋体" w:cs="宋体"/>
                <w:sz w:val="24"/>
                <w:szCs w:val="24"/>
              </w:rPr>
              <w:t>代表人身份证号码：</w:t>
            </w:r>
          </w:p>
        </w:tc>
        <w:tc>
          <w:tcPr>
            <w:tcW w:w="4264" w:type="dxa"/>
            <w:shd w:val="clear" w:color="auto" w:fill="auto"/>
          </w:tcPr>
          <w:p w14:paraId="02CA5BE9">
            <w:pPr>
              <w:spacing w:line="288" w:lineRule="auto"/>
              <w:rPr>
                <w:rFonts w:ascii="宋体" w:hAnsi="宋体" w:cs="宋体"/>
                <w:spacing w:val="-8"/>
                <w:sz w:val="24"/>
                <w:szCs w:val="24"/>
              </w:rPr>
            </w:pPr>
            <w:r>
              <w:rPr>
                <w:rFonts w:hint="eastAsia" w:ascii="宋体" w:hAnsi="宋体" w:cs="宋体"/>
                <w:spacing w:val="-8"/>
                <w:sz w:val="24"/>
                <w:szCs w:val="24"/>
              </w:rPr>
              <w:t>营业执照或事业单位法人证书号码：</w:t>
            </w:r>
          </w:p>
        </w:tc>
      </w:tr>
      <w:tr w14:paraId="31953557">
        <w:tblPrEx>
          <w:tblCellMar>
            <w:top w:w="0" w:type="dxa"/>
            <w:left w:w="108" w:type="dxa"/>
            <w:bottom w:w="0" w:type="dxa"/>
            <w:right w:w="108" w:type="dxa"/>
          </w:tblCellMar>
        </w:tblPrEx>
        <w:trPr>
          <w:jc w:val="center"/>
        </w:trPr>
        <w:tc>
          <w:tcPr>
            <w:tcW w:w="4264" w:type="dxa"/>
            <w:gridSpan w:val="2"/>
            <w:shd w:val="clear" w:color="auto" w:fill="auto"/>
          </w:tcPr>
          <w:p w14:paraId="147F50DA">
            <w:pPr>
              <w:spacing w:line="288" w:lineRule="auto"/>
              <w:rPr>
                <w:rFonts w:ascii="宋体" w:hAnsi="宋体" w:cs="宋体"/>
                <w:sz w:val="24"/>
                <w:szCs w:val="24"/>
              </w:rPr>
            </w:pPr>
            <w:r>
              <w:rPr>
                <w:rFonts w:hint="eastAsia" w:ascii="宋体" w:hAnsi="宋体" w:cs="宋体"/>
                <w:sz w:val="24"/>
                <w:szCs w:val="24"/>
              </w:rPr>
              <w:t>单位性质：</w:t>
            </w:r>
          </w:p>
        </w:tc>
        <w:tc>
          <w:tcPr>
            <w:tcW w:w="4264" w:type="dxa"/>
            <w:shd w:val="clear" w:color="auto" w:fill="auto"/>
          </w:tcPr>
          <w:p w14:paraId="116E0361">
            <w:pPr>
              <w:spacing w:line="288" w:lineRule="auto"/>
              <w:rPr>
                <w:rFonts w:ascii="宋体" w:hAnsi="宋体" w:cs="宋体"/>
                <w:sz w:val="24"/>
                <w:szCs w:val="24"/>
              </w:rPr>
            </w:pPr>
            <w:r>
              <w:rPr>
                <w:rFonts w:hint="eastAsia" w:ascii="宋体" w:hAnsi="宋体" w:cs="宋体"/>
                <w:sz w:val="24"/>
                <w:szCs w:val="24"/>
              </w:rPr>
              <w:t>经营期限：</w:t>
            </w:r>
          </w:p>
        </w:tc>
      </w:tr>
      <w:tr w14:paraId="35EB32BF">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14:paraId="74922BC4">
            <w:pPr>
              <w:spacing w:line="288" w:lineRule="auto"/>
              <w:rPr>
                <w:rFonts w:ascii="宋体" w:hAnsi="宋体" w:cs="宋体"/>
                <w:sz w:val="24"/>
                <w:szCs w:val="24"/>
              </w:rPr>
            </w:pPr>
            <w:r>
              <w:rPr>
                <w:rFonts w:hint="eastAsia" w:ascii="宋体" w:hAnsi="宋体" w:cs="宋体"/>
                <w:sz w:val="24"/>
                <w:szCs w:val="24"/>
              </w:rPr>
              <w:t>特此证明！</w:t>
            </w:r>
          </w:p>
        </w:tc>
      </w:tr>
      <w:tr w14:paraId="3F3F2D2E">
        <w:tblPrEx>
          <w:tblCellMar>
            <w:top w:w="0" w:type="dxa"/>
            <w:left w:w="108" w:type="dxa"/>
            <w:bottom w:w="0" w:type="dxa"/>
            <w:right w:w="108" w:type="dxa"/>
          </w:tblCellMar>
        </w:tblPrEx>
        <w:trPr>
          <w:jc w:val="center"/>
        </w:trPr>
        <w:tc>
          <w:tcPr>
            <w:tcW w:w="2802" w:type="dxa"/>
            <w:shd w:val="clear" w:color="auto" w:fill="auto"/>
          </w:tcPr>
          <w:p w14:paraId="34AA8DF5">
            <w:pPr>
              <w:spacing w:line="288" w:lineRule="auto"/>
              <w:rPr>
                <w:rFonts w:ascii="宋体" w:hAnsi="宋体" w:cs="宋体"/>
                <w:sz w:val="24"/>
                <w:szCs w:val="24"/>
              </w:rPr>
            </w:pPr>
          </w:p>
        </w:tc>
        <w:tc>
          <w:tcPr>
            <w:tcW w:w="5726" w:type="dxa"/>
            <w:gridSpan w:val="2"/>
            <w:shd w:val="clear" w:color="auto" w:fill="auto"/>
          </w:tcPr>
          <w:p w14:paraId="50FFDD0D">
            <w:pPr>
              <w:spacing w:line="288" w:lineRule="auto"/>
              <w:rPr>
                <w:rFonts w:ascii="宋体" w:hAnsi="宋体" w:cs="宋体"/>
                <w:sz w:val="24"/>
                <w:szCs w:val="24"/>
              </w:rPr>
            </w:pPr>
            <w:r>
              <w:rPr>
                <w:rFonts w:hint="eastAsia" w:ascii="宋体" w:hAnsi="宋体" w:cs="宋体"/>
                <w:sz w:val="24"/>
                <w:szCs w:val="24"/>
              </w:rPr>
              <w:t>供应商名称（加盖公章）：</w:t>
            </w:r>
          </w:p>
        </w:tc>
      </w:tr>
      <w:tr w14:paraId="23EE2EBD">
        <w:tblPrEx>
          <w:tblCellMar>
            <w:top w:w="0" w:type="dxa"/>
            <w:left w:w="108" w:type="dxa"/>
            <w:bottom w:w="0" w:type="dxa"/>
            <w:right w:w="108" w:type="dxa"/>
          </w:tblCellMar>
        </w:tblPrEx>
        <w:trPr>
          <w:jc w:val="center"/>
        </w:trPr>
        <w:tc>
          <w:tcPr>
            <w:tcW w:w="2802" w:type="dxa"/>
            <w:shd w:val="clear" w:color="auto" w:fill="auto"/>
          </w:tcPr>
          <w:p w14:paraId="3948D9C2">
            <w:pPr>
              <w:spacing w:line="288" w:lineRule="auto"/>
              <w:rPr>
                <w:rFonts w:ascii="宋体" w:hAnsi="宋体" w:cs="宋体"/>
                <w:sz w:val="24"/>
                <w:szCs w:val="24"/>
              </w:rPr>
            </w:pPr>
          </w:p>
        </w:tc>
        <w:tc>
          <w:tcPr>
            <w:tcW w:w="5726" w:type="dxa"/>
            <w:gridSpan w:val="2"/>
            <w:shd w:val="clear" w:color="auto" w:fill="auto"/>
          </w:tcPr>
          <w:p w14:paraId="30E8503C">
            <w:pPr>
              <w:spacing w:line="288" w:lineRule="auto"/>
              <w:rPr>
                <w:rFonts w:ascii="宋体" w:hAnsi="宋体" w:cs="宋体"/>
                <w:sz w:val="24"/>
                <w:szCs w:val="24"/>
              </w:rPr>
            </w:pPr>
            <w:r>
              <w:rPr>
                <w:rFonts w:hint="eastAsia" w:ascii="宋体" w:hAnsi="宋体" w:cs="宋体"/>
                <w:sz w:val="24"/>
                <w:szCs w:val="24"/>
              </w:rPr>
              <w:t>法定代表人（签名或盖章）：</w:t>
            </w:r>
          </w:p>
        </w:tc>
      </w:tr>
      <w:tr w14:paraId="7E5EF0AD">
        <w:tblPrEx>
          <w:tblCellMar>
            <w:top w:w="0" w:type="dxa"/>
            <w:left w:w="108" w:type="dxa"/>
            <w:bottom w:w="0" w:type="dxa"/>
            <w:right w:w="108" w:type="dxa"/>
          </w:tblCellMar>
        </w:tblPrEx>
        <w:trPr>
          <w:jc w:val="center"/>
        </w:trPr>
        <w:tc>
          <w:tcPr>
            <w:tcW w:w="2802" w:type="dxa"/>
            <w:shd w:val="clear" w:color="auto" w:fill="auto"/>
          </w:tcPr>
          <w:p w14:paraId="4EE7738A">
            <w:pPr>
              <w:spacing w:line="288" w:lineRule="auto"/>
              <w:rPr>
                <w:rFonts w:ascii="宋体" w:hAnsi="宋体" w:cs="宋体"/>
                <w:sz w:val="24"/>
                <w:szCs w:val="24"/>
              </w:rPr>
            </w:pPr>
          </w:p>
        </w:tc>
        <w:tc>
          <w:tcPr>
            <w:tcW w:w="5726" w:type="dxa"/>
            <w:gridSpan w:val="2"/>
            <w:shd w:val="clear" w:color="auto" w:fill="auto"/>
          </w:tcPr>
          <w:p w14:paraId="36AF2F86">
            <w:pPr>
              <w:spacing w:line="288" w:lineRule="auto"/>
              <w:rPr>
                <w:rFonts w:ascii="宋体" w:hAnsi="宋体" w:cs="宋体"/>
                <w:sz w:val="24"/>
                <w:szCs w:val="24"/>
              </w:rPr>
            </w:pPr>
            <w:r>
              <w:rPr>
                <w:rFonts w:hint="eastAsia" w:ascii="宋体" w:hAnsi="宋体" w:cs="宋体"/>
                <w:sz w:val="24"/>
                <w:szCs w:val="24"/>
              </w:rPr>
              <w:t>日期：             年             月              日</w:t>
            </w:r>
          </w:p>
        </w:tc>
      </w:tr>
    </w:tbl>
    <w:p w14:paraId="403DB4FD">
      <w:pPr>
        <w:spacing w:before="120" w:beforeLines="50" w:after="72" w:afterLines="30" w:line="288" w:lineRule="auto"/>
        <w:rPr>
          <w:rFonts w:ascii="宋体" w:hAnsi="宋体" w:cs="宋体"/>
          <w:sz w:val="24"/>
          <w:szCs w:val="24"/>
        </w:rPr>
      </w:pPr>
      <w:r>
        <w:rPr>
          <w:rFonts w:hint="eastAsia" w:ascii="宋体" w:hAnsi="宋体" w:cs="宋体"/>
          <w:sz w:val="24"/>
          <w:szCs w:val="24"/>
        </w:rPr>
        <w:t>须附：法定代表人有效期内身份证复印件</w:t>
      </w:r>
    </w:p>
    <w:tbl>
      <w:tblPr>
        <w:tblStyle w:val="44"/>
        <w:tblW w:w="894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77"/>
        <w:gridCol w:w="4264"/>
      </w:tblGrid>
      <w:tr w14:paraId="20A8514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4677" w:type="dxa"/>
            <w:vAlign w:val="center"/>
          </w:tcPr>
          <w:p w14:paraId="54245DD7">
            <w:pPr>
              <w:pStyle w:val="137"/>
              <w:spacing w:line="288" w:lineRule="auto"/>
              <w:ind w:firstLine="0" w:firstLineChars="0"/>
              <w:jc w:val="center"/>
              <w:rPr>
                <w:rFonts w:ascii="宋体" w:eastAsia="宋体" w:cs="宋体"/>
                <w:sz w:val="24"/>
                <w:szCs w:val="24"/>
              </w:rPr>
            </w:pPr>
            <w:r>
              <w:rPr>
                <w:rFonts w:hint="eastAsia" w:ascii="宋体" w:eastAsia="宋体" w:cs="宋体"/>
                <w:sz w:val="24"/>
                <w:szCs w:val="24"/>
              </w:rPr>
              <w:t>正面</w:t>
            </w:r>
          </w:p>
        </w:tc>
        <w:tc>
          <w:tcPr>
            <w:tcW w:w="4264" w:type="dxa"/>
            <w:vAlign w:val="center"/>
          </w:tcPr>
          <w:p w14:paraId="27FC6649">
            <w:pPr>
              <w:pStyle w:val="137"/>
              <w:spacing w:line="288" w:lineRule="auto"/>
              <w:ind w:firstLine="0" w:firstLineChars="0"/>
              <w:jc w:val="center"/>
              <w:rPr>
                <w:rFonts w:ascii="宋体" w:eastAsia="宋体" w:cs="宋体"/>
                <w:sz w:val="24"/>
                <w:szCs w:val="24"/>
              </w:rPr>
            </w:pPr>
            <w:r>
              <w:rPr>
                <w:rFonts w:hint="eastAsia" w:ascii="宋体" w:eastAsia="宋体" w:cs="宋体"/>
                <w:sz w:val="24"/>
                <w:szCs w:val="24"/>
              </w:rPr>
              <w:t>背面</w:t>
            </w:r>
          </w:p>
        </w:tc>
      </w:tr>
    </w:tbl>
    <w:p w14:paraId="3F05E344">
      <w:pPr>
        <w:spacing w:before="120" w:beforeLines="50" w:after="120" w:afterLines="50" w:line="288" w:lineRule="auto"/>
        <w:jc w:val="center"/>
        <w:rPr>
          <w:rFonts w:ascii="宋体" w:hAnsi="宋体" w:cs="宋体"/>
          <w:b/>
          <w:spacing w:val="20"/>
          <w:sz w:val="24"/>
          <w:szCs w:val="24"/>
        </w:rPr>
      </w:pPr>
    </w:p>
    <w:p w14:paraId="16AE261C">
      <w:pPr>
        <w:spacing w:line="288" w:lineRule="auto"/>
        <w:rPr>
          <w:rFonts w:ascii="宋体" w:hAnsi="宋体" w:cs="宋体"/>
          <w:b/>
          <w:spacing w:val="20"/>
          <w:sz w:val="30"/>
          <w:szCs w:val="30"/>
        </w:rPr>
      </w:pPr>
      <w:r>
        <w:rPr>
          <w:rFonts w:hint="eastAsia" w:ascii="宋体" w:hAnsi="宋体" w:cs="宋体"/>
          <w:b/>
          <w:spacing w:val="20"/>
          <w:sz w:val="24"/>
          <w:szCs w:val="24"/>
        </w:rPr>
        <w:br w:type="page"/>
      </w:r>
    </w:p>
    <w:p w14:paraId="0253EEA8">
      <w:pPr>
        <w:spacing w:line="360" w:lineRule="auto"/>
        <w:jc w:val="center"/>
        <w:rPr>
          <w:rFonts w:ascii="宋体" w:hAnsi="宋体" w:cs="宋体"/>
          <w:b/>
          <w:sz w:val="36"/>
          <w:szCs w:val="36"/>
        </w:rPr>
      </w:pPr>
      <w:r>
        <w:rPr>
          <w:rFonts w:hint="eastAsia" w:ascii="宋体" w:hAnsi="宋体" w:cs="宋体"/>
          <w:b/>
          <w:sz w:val="36"/>
          <w:szCs w:val="36"/>
        </w:rPr>
        <w:t>五、法定代表人授权委托书</w:t>
      </w:r>
    </w:p>
    <w:p w14:paraId="3FC3B694">
      <w:pPr>
        <w:spacing w:before="360" w:beforeLines="150" w:after="240" w:afterLines="100" w:line="288" w:lineRule="auto"/>
        <w:rPr>
          <w:rFonts w:ascii="宋体" w:hAnsi="宋体" w:cs="宋体"/>
          <w:b/>
          <w:sz w:val="24"/>
          <w:szCs w:val="24"/>
        </w:rPr>
      </w:pPr>
      <w:r>
        <w:rPr>
          <w:rFonts w:hint="eastAsia" w:ascii="宋体" w:hAnsi="宋体" w:cs="宋体"/>
          <w:b/>
          <w:sz w:val="24"/>
          <w:szCs w:val="24"/>
        </w:rPr>
        <w:t>致：</w:t>
      </w:r>
      <w:r>
        <w:rPr>
          <w:rFonts w:hint="eastAsia" w:ascii="宋体" w:hAnsi="宋体" w:cs="宋体"/>
          <w:b/>
          <w:sz w:val="24"/>
          <w:szCs w:val="24"/>
          <w:u w:val="single"/>
        </w:rPr>
        <w:t>(采购代理机构名称)</w:t>
      </w:r>
    </w:p>
    <w:p w14:paraId="5DC2BA72">
      <w:pPr>
        <w:pStyle w:val="137"/>
        <w:spacing w:line="288" w:lineRule="auto"/>
        <w:ind w:firstLine="450" w:firstLineChars="0"/>
        <w:rPr>
          <w:rFonts w:ascii="宋体" w:eastAsia="宋体" w:cs="宋体"/>
          <w:sz w:val="24"/>
          <w:szCs w:val="24"/>
        </w:rPr>
      </w:pPr>
      <w:r>
        <w:rPr>
          <w:rFonts w:hint="eastAsia" w:ascii="宋体" w:eastAsia="宋体" w:cs="宋体"/>
          <w:sz w:val="24"/>
          <w:szCs w:val="24"/>
        </w:rPr>
        <w:t>本人</w:t>
      </w:r>
      <w:r>
        <w:rPr>
          <w:rFonts w:hint="eastAsia" w:ascii="宋体" w:eastAsia="宋体" w:cs="宋体"/>
          <w:sz w:val="24"/>
          <w:szCs w:val="24"/>
          <w:u w:val="single"/>
        </w:rPr>
        <w:t>（姓名）</w:t>
      </w:r>
      <w:r>
        <w:rPr>
          <w:rFonts w:hint="eastAsia" w:ascii="宋体" w:eastAsia="宋体" w:cs="宋体"/>
          <w:sz w:val="24"/>
          <w:szCs w:val="24"/>
        </w:rPr>
        <w:t>系</w:t>
      </w:r>
      <w:r>
        <w:rPr>
          <w:rFonts w:hint="eastAsia" w:ascii="宋体" w:eastAsia="宋体" w:cs="宋体"/>
          <w:sz w:val="24"/>
          <w:szCs w:val="24"/>
          <w:u w:val="single"/>
        </w:rPr>
        <w:t xml:space="preserve">     （供应商名称）    </w:t>
      </w:r>
      <w:r>
        <w:rPr>
          <w:rFonts w:hint="eastAsia" w:ascii="宋体" w:eastAsia="宋体" w:cs="宋体"/>
          <w:sz w:val="24"/>
          <w:szCs w:val="24"/>
        </w:rPr>
        <w:t>的法定代表人，现委托</w:t>
      </w:r>
      <w:r>
        <w:rPr>
          <w:rFonts w:hint="eastAsia" w:ascii="宋体" w:eastAsia="宋体" w:cs="宋体"/>
          <w:sz w:val="24"/>
          <w:szCs w:val="24"/>
          <w:u w:val="single"/>
        </w:rPr>
        <w:t xml:space="preserve"> （姓名） </w:t>
      </w:r>
      <w:r>
        <w:rPr>
          <w:rFonts w:hint="eastAsia" w:ascii="宋体" w:eastAsia="宋体" w:cs="宋体"/>
          <w:sz w:val="24"/>
          <w:szCs w:val="24"/>
        </w:rPr>
        <w:t>为我方合法代理人。代理人根据授权，以我方名义签署、澄清、说明、补正、递交、撤回、修改</w:t>
      </w:r>
      <w:r>
        <w:rPr>
          <w:rFonts w:hint="eastAsia" w:ascii="宋体" w:eastAsia="宋体" w:cs="宋体"/>
          <w:sz w:val="24"/>
          <w:szCs w:val="24"/>
          <w:u w:val="single"/>
        </w:rPr>
        <w:t xml:space="preserve">          （标段名称）      </w:t>
      </w:r>
      <w:r>
        <w:rPr>
          <w:rFonts w:hint="eastAsia" w:ascii="宋体" w:eastAsia="宋体" w:cs="宋体"/>
          <w:sz w:val="24"/>
          <w:szCs w:val="24"/>
        </w:rPr>
        <w:t>（标段编号：</w:t>
      </w:r>
      <w:r>
        <w:rPr>
          <w:rFonts w:hint="eastAsia" w:ascii="宋体" w:eastAsia="宋体" w:cs="宋体"/>
          <w:sz w:val="24"/>
          <w:szCs w:val="24"/>
          <w:u w:val="single"/>
        </w:rPr>
        <w:t>　　　</w:t>
      </w:r>
      <w:r>
        <w:rPr>
          <w:rFonts w:hint="eastAsia" w:ascii="宋体" w:eastAsia="宋体" w:cs="宋体"/>
          <w:sz w:val="24"/>
          <w:szCs w:val="24"/>
        </w:rPr>
        <w:t>）投标文件、签订合同和处理有关事宜，其法律后果由我方承担。</w:t>
      </w:r>
    </w:p>
    <w:p w14:paraId="1A14511D">
      <w:pPr>
        <w:pStyle w:val="137"/>
        <w:spacing w:line="288" w:lineRule="auto"/>
        <w:ind w:firstLine="489" w:firstLineChars="204"/>
        <w:rPr>
          <w:rFonts w:ascii="宋体" w:eastAsia="宋体" w:cs="宋体"/>
          <w:sz w:val="24"/>
          <w:szCs w:val="24"/>
        </w:rPr>
      </w:pPr>
      <w:r>
        <w:rPr>
          <w:rFonts w:hint="eastAsia" w:ascii="宋体" w:eastAsia="宋体" w:cs="宋体"/>
          <w:sz w:val="24"/>
          <w:szCs w:val="24"/>
        </w:rPr>
        <w:t>本委托书于</w:t>
      </w:r>
      <w:r>
        <w:rPr>
          <w:rFonts w:hint="eastAsia" w:ascii="宋体" w:eastAsia="宋体" w:cs="宋体"/>
          <w:sz w:val="24"/>
          <w:szCs w:val="24"/>
          <w:u w:val="single"/>
        </w:rPr>
        <w:t>　</w:t>
      </w:r>
      <w:r>
        <w:rPr>
          <w:rFonts w:hint="eastAsia" w:ascii="宋体" w:eastAsia="宋体" w:cs="宋体"/>
          <w:sz w:val="24"/>
          <w:szCs w:val="24"/>
        </w:rPr>
        <w:t>年</w:t>
      </w:r>
      <w:r>
        <w:rPr>
          <w:rFonts w:hint="eastAsia" w:ascii="宋体" w:eastAsia="宋体" w:cs="宋体"/>
          <w:sz w:val="24"/>
          <w:szCs w:val="24"/>
          <w:u w:val="single"/>
        </w:rPr>
        <w:t>　</w:t>
      </w:r>
      <w:r>
        <w:rPr>
          <w:rFonts w:hint="eastAsia" w:ascii="宋体" w:eastAsia="宋体" w:cs="宋体"/>
          <w:sz w:val="24"/>
          <w:szCs w:val="24"/>
        </w:rPr>
        <w:t>月</w:t>
      </w:r>
      <w:r>
        <w:rPr>
          <w:rFonts w:hint="eastAsia" w:ascii="宋体" w:eastAsia="宋体" w:cs="宋体"/>
          <w:sz w:val="24"/>
          <w:szCs w:val="24"/>
          <w:u w:val="single"/>
        </w:rPr>
        <w:t>　</w:t>
      </w:r>
      <w:r>
        <w:rPr>
          <w:rFonts w:hint="eastAsia" w:ascii="宋体" w:eastAsia="宋体" w:cs="宋体"/>
          <w:sz w:val="24"/>
          <w:szCs w:val="24"/>
        </w:rPr>
        <w:t>日签字生效，特此证明。</w:t>
      </w:r>
    </w:p>
    <w:p w14:paraId="2FF75415">
      <w:pPr>
        <w:pStyle w:val="137"/>
        <w:spacing w:line="288" w:lineRule="auto"/>
        <w:ind w:firstLine="489" w:firstLineChars="204"/>
        <w:rPr>
          <w:rFonts w:ascii="宋体" w:eastAsia="宋体" w:cs="宋体"/>
          <w:sz w:val="24"/>
          <w:szCs w:val="24"/>
        </w:rPr>
      </w:pPr>
      <w:r>
        <w:rPr>
          <w:rFonts w:hint="eastAsia" w:ascii="宋体" w:eastAsia="宋体" w:cs="宋体"/>
          <w:sz w:val="24"/>
          <w:szCs w:val="24"/>
        </w:rPr>
        <w:t>被授权人无转委托权。</w:t>
      </w:r>
    </w:p>
    <w:p w14:paraId="1E93C6F1">
      <w:pPr>
        <w:pStyle w:val="137"/>
        <w:spacing w:line="288" w:lineRule="auto"/>
        <w:ind w:firstLine="0" w:firstLineChars="0"/>
        <w:rPr>
          <w:rFonts w:ascii="宋体" w:eastAsia="宋体" w:cs="宋体"/>
          <w:sz w:val="24"/>
          <w:szCs w:val="24"/>
        </w:rPr>
      </w:pPr>
    </w:p>
    <w:p w14:paraId="495D68C8">
      <w:pPr>
        <w:pStyle w:val="137"/>
        <w:spacing w:line="288" w:lineRule="auto"/>
        <w:ind w:firstLine="0" w:firstLineChars="0"/>
        <w:rPr>
          <w:rFonts w:ascii="宋体" w:eastAsia="宋体" w:cs="宋体"/>
          <w:sz w:val="24"/>
          <w:szCs w:val="24"/>
        </w:rPr>
      </w:pPr>
    </w:p>
    <w:tbl>
      <w:tblPr>
        <w:tblStyle w:val="44"/>
        <w:tblW w:w="5726" w:type="dxa"/>
        <w:tblInd w:w="0" w:type="dxa"/>
        <w:tblLayout w:type="fixed"/>
        <w:tblCellMar>
          <w:top w:w="0" w:type="dxa"/>
          <w:left w:w="108" w:type="dxa"/>
          <w:bottom w:w="0" w:type="dxa"/>
          <w:right w:w="108" w:type="dxa"/>
        </w:tblCellMar>
      </w:tblPr>
      <w:tblGrid>
        <w:gridCol w:w="5726"/>
      </w:tblGrid>
      <w:tr w14:paraId="6F92C2DA">
        <w:tblPrEx>
          <w:tblCellMar>
            <w:top w:w="0" w:type="dxa"/>
            <w:left w:w="108" w:type="dxa"/>
            <w:bottom w:w="0" w:type="dxa"/>
            <w:right w:w="108" w:type="dxa"/>
          </w:tblCellMar>
        </w:tblPrEx>
        <w:tc>
          <w:tcPr>
            <w:tcW w:w="5726" w:type="dxa"/>
            <w:shd w:val="clear" w:color="auto" w:fill="auto"/>
          </w:tcPr>
          <w:p w14:paraId="165D47B0">
            <w:pPr>
              <w:spacing w:line="288" w:lineRule="auto"/>
              <w:rPr>
                <w:rFonts w:ascii="宋体" w:hAnsi="宋体" w:cs="宋体"/>
                <w:sz w:val="24"/>
                <w:szCs w:val="24"/>
              </w:rPr>
            </w:pPr>
            <w:r>
              <w:rPr>
                <w:rFonts w:hint="eastAsia" w:ascii="宋体" w:hAnsi="宋体" w:cs="宋体"/>
                <w:sz w:val="24"/>
                <w:szCs w:val="24"/>
              </w:rPr>
              <w:t>供应商名称（加盖公章）：</w:t>
            </w:r>
          </w:p>
        </w:tc>
      </w:tr>
      <w:tr w14:paraId="6E4FBA68">
        <w:tblPrEx>
          <w:tblCellMar>
            <w:top w:w="0" w:type="dxa"/>
            <w:left w:w="108" w:type="dxa"/>
            <w:bottom w:w="0" w:type="dxa"/>
            <w:right w:w="108" w:type="dxa"/>
          </w:tblCellMar>
        </w:tblPrEx>
        <w:tc>
          <w:tcPr>
            <w:tcW w:w="5726" w:type="dxa"/>
            <w:shd w:val="clear" w:color="auto" w:fill="auto"/>
          </w:tcPr>
          <w:p w14:paraId="3CC5CF79">
            <w:pPr>
              <w:spacing w:line="288" w:lineRule="auto"/>
              <w:rPr>
                <w:rFonts w:ascii="宋体" w:hAnsi="宋体" w:cs="宋体"/>
                <w:sz w:val="24"/>
                <w:szCs w:val="24"/>
              </w:rPr>
            </w:pPr>
            <w:r>
              <w:rPr>
                <w:rFonts w:hint="eastAsia" w:ascii="宋体" w:hAnsi="宋体" w:cs="宋体"/>
                <w:sz w:val="24"/>
                <w:szCs w:val="24"/>
              </w:rPr>
              <w:t>法定代表人（签名或盖章）：</w:t>
            </w:r>
          </w:p>
        </w:tc>
      </w:tr>
      <w:tr w14:paraId="2A8C9FBD">
        <w:tblPrEx>
          <w:tblCellMar>
            <w:top w:w="0" w:type="dxa"/>
            <w:left w:w="108" w:type="dxa"/>
            <w:bottom w:w="0" w:type="dxa"/>
            <w:right w:w="108" w:type="dxa"/>
          </w:tblCellMar>
        </w:tblPrEx>
        <w:tc>
          <w:tcPr>
            <w:tcW w:w="5726" w:type="dxa"/>
            <w:shd w:val="clear" w:color="auto" w:fill="auto"/>
          </w:tcPr>
          <w:p w14:paraId="397F0DBE">
            <w:pPr>
              <w:spacing w:line="288" w:lineRule="auto"/>
              <w:rPr>
                <w:rFonts w:ascii="宋体" w:hAnsi="宋体" w:cs="宋体"/>
                <w:sz w:val="24"/>
                <w:szCs w:val="24"/>
              </w:rPr>
            </w:pPr>
            <w:r>
              <w:rPr>
                <w:rFonts w:hint="eastAsia" w:ascii="宋体" w:hAnsi="宋体" w:cs="宋体"/>
                <w:sz w:val="24"/>
                <w:szCs w:val="24"/>
              </w:rPr>
              <w:t>身份证号码：</w:t>
            </w:r>
          </w:p>
        </w:tc>
      </w:tr>
      <w:tr w14:paraId="60B5FDDB">
        <w:tblPrEx>
          <w:tblCellMar>
            <w:top w:w="0" w:type="dxa"/>
            <w:left w:w="108" w:type="dxa"/>
            <w:bottom w:w="0" w:type="dxa"/>
            <w:right w:w="108" w:type="dxa"/>
          </w:tblCellMar>
        </w:tblPrEx>
        <w:tc>
          <w:tcPr>
            <w:tcW w:w="5726" w:type="dxa"/>
            <w:shd w:val="clear" w:color="auto" w:fill="auto"/>
          </w:tcPr>
          <w:p w14:paraId="65620CC4">
            <w:pPr>
              <w:spacing w:line="288" w:lineRule="auto"/>
              <w:rPr>
                <w:rFonts w:ascii="宋体" w:hAnsi="宋体" w:cs="宋体"/>
                <w:sz w:val="24"/>
                <w:szCs w:val="24"/>
              </w:rPr>
            </w:pPr>
            <w:r>
              <w:rPr>
                <w:rFonts w:hint="eastAsia" w:ascii="宋体" w:hAnsi="宋体" w:cs="宋体"/>
                <w:sz w:val="24"/>
                <w:szCs w:val="24"/>
              </w:rPr>
              <w:t>被授权人（签名或盖章）：</w:t>
            </w:r>
          </w:p>
        </w:tc>
      </w:tr>
      <w:tr w14:paraId="2D5B23CB">
        <w:tblPrEx>
          <w:tblCellMar>
            <w:top w:w="0" w:type="dxa"/>
            <w:left w:w="108" w:type="dxa"/>
            <w:bottom w:w="0" w:type="dxa"/>
            <w:right w:w="108" w:type="dxa"/>
          </w:tblCellMar>
        </w:tblPrEx>
        <w:tc>
          <w:tcPr>
            <w:tcW w:w="5726" w:type="dxa"/>
            <w:shd w:val="clear" w:color="auto" w:fill="auto"/>
          </w:tcPr>
          <w:p w14:paraId="5680C869">
            <w:pPr>
              <w:spacing w:line="288" w:lineRule="auto"/>
              <w:rPr>
                <w:rFonts w:ascii="宋体" w:hAnsi="宋体" w:cs="宋体"/>
                <w:sz w:val="24"/>
                <w:szCs w:val="24"/>
              </w:rPr>
            </w:pPr>
            <w:r>
              <w:rPr>
                <w:rFonts w:hint="eastAsia" w:ascii="宋体" w:hAnsi="宋体" w:cs="宋体"/>
                <w:sz w:val="24"/>
                <w:szCs w:val="24"/>
              </w:rPr>
              <w:t>身份证号码：</w:t>
            </w:r>
          </w:p>
        </w:tc>
      </w:tr>
      <w:tr w14:paraId="76F29116">
        <w:tblPrEx>
          <w:tblCellMar>
            <w:top w:w="0" w:type="dxa"/>
            <w:left w:w="108" w:type="dxa"/>
            <w:bottom w:w="0" w:type="dxa"/>
            <w:right w:w="108" w:type="dxa"/>
          </w:tblCellMar>
        </w:tblPrEx>
        <w:tc>
          <w:tcPr>
            <w:tcW w:w="5726" w:type="dxa"/>
            <w:shd w:val="clear" w:color="auto" w:fill="auto"/>
          </w:tcPr>
          <w:p w14:paraId="69D68BB9">
            <w:pPr>
              <w:spacing w:line="288"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年             月             日</w:t>
            </w:r>
          </w:p>
        </w:tc>
      </w:tr>
    </w:tbl>
    <w:p w14:paraId="44CA564D">
      <w:pPr>
        <w:pStyle w:val="137"/>
        <w:spacing w:line="288" w:lineRule="auto"/>
        <w:ind w:firstLine="0" w:firstLineChars="0"/>
        <w:rPr>
          <w:rFonts w:ascii="宋体" w:eastAsia="宋体" w:cs="宋体"/>
          <w:sz w:val="24"/>
          <w:szCs w:val="24"/>
        </w:rPr>
      </w:pPr>
    </w:p>
    <w:p w14:paraId="65A54870">
      <w:pPr>
        <w:pStyle w:val="137"/>
        <w:spacing w:line="288" w:lineRule="auto"/>
        <w:ind w:firstLine="0" w:firstLineChars="0"/>
        <w:rPr>
          <w:rFonts w:ascii="宋体" w:eastAsia="宋体" w:cs="宋体"/>
          <w:sz w:val="24"/>
          <w:szCs w:val="24"/>
        </w:rPr>
      </w:pPr>
    </w:p>
    <w:p w14:paraId="39B0432D">
      <w:pPr>
        <w:spacing w:after="120" w:afterLines="50" w:line="288" w:lineRule="auto"/>
        <w:rPr>
          <w:rFonts w:ascii="宋体" w:hAnsi="宋体" w:cs="宋体"/>
          <w:sz w:val="24"/>
          <w:szCs w:val="24"/>
        </w:rPr>
      </w:pPr>
      <w:r>
        <w:rPr>
          <w:rFonts w:hint="eastAsia" w:ascii="宋体" w:hAnsi="宋体" w:cs="宋体"/>
          <w:sz w:val="24"/>
          <w:szCs w:val="24"/>
        </w:rPr>
        <w:t>须附：被授权人有效期内身份证复印件</w:t>
      </w:r>
    </w:p>
    <w:tbl>
      <w:tblPr>
        <w:tblStyle w:val="44"/>
        <w:tblW w:w="879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5"/>
        <w:gridCol w:w="4264"/>
      </w:tblGrid>
      <w:tr w14:paraId="38D4DB4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4535" w:type="dxa"/>
            <w:vAlign w:val="center"/>
          </w:tcPr>
          <w:p w14:paraId="597C9E18">
            <w:pPr>
              <w:pStyle w:val="137"/>
              <w:spacing w:line="288" w:lineRule="auto"/>
              <w:ind w:firstLine="0" w:firstLineChars="0"/>
              <w:jc w:val="center"/>
              <w:rPr>
                <w:rFonts w:ascii="宋体" w:eastAsia="宋体" w:cs="宋体"/>
                <w:sz w:val="24"/>
                <w:szCs w:val="24"/>
              </w:rPr>
            </w:pPr>
            <w:r>
              <w:rPr>
                <w:rFonts w:hint="eastAsia" w:ascii="宋体" w:eastAsia="宋体" w:cs="宋体"/>
                <w:sz w:val="24"/>
                <w:szCs w:val="24"/>
              </w:rPr>
              <w:t>正面</w:t>
            </w:r>
          </w:p>
        </w:tc>
        <w:tc>
          <w:tcPr>
            <w:tcW w:w="4264" w:type="dxa"/>
            <w:vAlign w:val="center"/>
          </w:tcPr>
          <w:p w14:paraId="3758E0CA">
            <w:pPr>
              <w:pStyle w:val="137"/>
              <w:spacing w:line="288" w:lineRule="auto"/>
              <w:ind w:firstLine="0" w:firstLineChars="0"/>
              <w:jc w:val="center"/>
              <w:rPr>
                <w:rFonts w:ascii="宋体" w:eastAsia="宋体" w:cs="宋体"/>
                <w:sz w:val="24"/>
                <w:szCs w:val="24"/>
              </w:rPr>
            </w:pPr>
            <w:r>
              <w:rPr>
                <w:rFonts w:hint="eastAsia" w:ascii="宋体" w:eastAsia="宋体" w:cs="宋体"/>
                <w:sz w:val="24"/>
                <w:szCs w:val="24"/>
              </w:rPr>
              <w:t>背面</w:t>
            </w:r>
          </w:p>
        </w:tc>
      </w:tr>
    </w:tbl>
    <w:p w14:paraId="16B8B191">
      <w:pPr>
        <w:spacing w:before="120" w:beforeLines="50" w:after="120" w:afterLines="50" w:line="288" w:lineRule="auto"/>
        <w:jc w:val="center"/>
        <w:rPr>
          <w:rFonts w:ascii="宋体" w:hAnsi="宋体" w:cs="宋体"/>
          <w:b/>
          <w:spacing w:val="20"/>
          <w:sz w:val="24"/>
          <w:szCs w:val="24"/>
        </w:rPr>
      </w:pPr>
    </w:p>
    <w:p w14:paraId="4A99E812">
      <w:pPr>
        <w:rPr>
          <w:rFonts w:ascii="宋体" w:hAnsi="宋体" w:cs="宋体"/>
          <w:b/>
          <w:spacing w:val="20"/>
          <w:sz w:val="30"/>
          <w:szCs w:val="30"/>
        </w:rPr>
      </w:pPr>
      <w:r>
        <w:rPr>
          <w:rFonts w:hint="eastAsia" w:ascii="宋体" w:hAnsi="宋体" w:cs="宋体"/>
          <w:b/>
          <w:spacing w:val="20"/>
          <w:sz w:val="30"/>
          <w:szCs w:val="30"/>
        </w:rPr>
        <w:br w:type="page"/>
      </w:r>
    </w:p>
    <w:p w14:paraId="2D5967B2">
      <w:pPr>
        <w:spacing w:line="360" w:lineRule="auto"/>
        <w:jc w:val="center"/>
        <w:rPr>
          <w:rFonts w:ascii="宋体" w:hAnsi="宋体" w:cs="宋体"/>
          <w:b/>
          <w:sz w:val="36"/>
          <w:szCs w:val="36"/>
        </w:rPr>
      </w:pPr>
      <w:r>
        <w:rPr>
          <w:rFonts w:hint="eastAsia" w:ascii="宋体" w:hAnsi="宋体" w:cs="宋体"/>
          <w:b/>
          <w:sz w:val="36"/>
          <w:szCs w:val="36"/>
        </w:rPr>
        <w:t>六、供应商基本情况说明</w:t>
      </w:r>
    </w:p>
    <w:p w14:paraId="7FBC7789">
      <w:pPr>
        <w:pStyle w:val="95"/>
        <w:numPr>
          <w:ilvl w:val="0"/>
          <w:numId w:val="5"/>
        </w:numPr>
        <w:spacing w:after="120" w:afterLines="50" w:line="288" w:lineRule="auto"/>
        <w:ind w:firstLineChars="0"/>
        <w:rPr>
          <w:rFonts w:ascii="宋体" w:hAnsi="宋体" w:cs="宋体"/>
          <w:sz w:val="24"/>
          <w:szCs w:val="24"/>
        </w:rPr>
      </w:pPr>
      <w:r>
        <w:rPr>
          <w:rFonts w:hint="eastAsia" w:ascii="宋体" w:hAnsi="宋体" w:cs="宋体"/>
          <w:sz w:val="24"/>
          <w:szCs w:val="24"/>
        </w:rPr>
        <w:t>公司基本情况</w:t>
      </w:r>
    </w:p>
    <w:tbl>
      <w:tblPr>
        <w:tblStyle w:val="44"/>
        <w:tblW w:w="9096" w:type="dxa"/>
        <w:jc w:val="center"/>
        <w:tblLayout w:type="fixed"/>
        <w:tblCellMar>
          <w:top w:w="0" w:type="dxa"/>
          <w:left w:w="108" w:type="dxa"/>
          <w:bottom w:w="0" w:type="dxa"/>
          <w:right w:w="108" w:type="dxa"/>
        </w:tblCellMar>
      </w:tblPr>
      <w:tblGrid>
        <w:gridCol w:w="2114"/>
        <w:gridCol w:w="2372"/>
        <w:gridCol w:w="1039"/>
        <w:gridCol w:w="1371"/>
        <w:gridCol w:w="2200"/>
      </w:tblGrid>
      <w:tr w14:paraId="38BCAE20">
        <w:tblPrEx>
          <w:tblCellMar>
            <w:top w:w="0" w:type="dxa"/>
            <w:left w:w="108" w:type="dxa"/>
            <w:bottom w:w="0" w:type="dxa"/>
            <w:right w:w="108" w:type="dxa"/>
          </w:tblCellMar>
        </w:tblPrEx>
        <w:trPr>
          <w:jc w:val="center"/>
        </w:trPr>
        <w:tc>
          <w:tcPr>
            <w:tcW w:w="5525" w:type="dxa"/>
            <w:gridSpan w:val="3"/>
            <w:shd w:val="clear" w:color="auto" w:fill="auto"/>
          </w:tcPr>
          <w:p w14:paraId="5691E509">
            <w:pPr>
              <w:spacing w:line="288" w:lineRule="auto"/>
              <w:rPr>
                <w:rFonts w:ascii="宋体" w:hAnsi="宋体" w:cs="宋体"/>
                <w:sz w:val="24"/>
                <w:szCs w:val="24"/>
              </w:rPr>
            </w:pPr>
            <w:r>
              <w:rPr>
                <w:rFonts w:hint="eastAsia" w:ascii="宋体" w:hAnsi="宋体" w:cs="宋体"/>
                <w:sz w:val="24"/>
                <w:szCs w:val="24"/>
              </w:rPr>
              <w:t>公司名称：</w:t>
            </w:r>
          </w:p>
        </w:tc>
        <w:tc>
          <w:tcPr>
            <w:tcW w:w="3571" w:type="dxa"/>
            <w:gridSpan w:val="2"/>
            <w:shd w:val="clear" w:color="auto" w:fill="auto"/>
          </w:tcPr>
          <w:p w14:paraId="5180C168">
            <w:pPr>
              <w:spacing w:line="288" w:lineRule="auto"/>
              <w:rPr>
                <w:rFonts w:ascii="宋体" w:hAnsi="宋体" w:cs="宋体"/>
                <w:sz w:val="24"/>
                <w:szCs w:val="24"/>
              </w:rPr>
            </w:pPr>
            <w:r>
              <w:rPr>
                <w:rFonts w:hint="eastAsia" w:ascii="宋体" w:hAnsi="宋体" w:cs="宋体"/>
                <w:sz w:val="24"/>
                <w:szCs w:val="24"/>
              </w:rPr>
              <w:t>公司固话：</w:t>
            </w:r>
          </w:p>
        </w:tc>
      </w:tr>
      <w:tr w14:paraId="2150A570">
        <w:tblPrEx>
          <w:tblCellMar>
            <w:top w:w="0" w:type="dxa"/>
            <w:left w:w="108" w:type="dxa"/>
            <w:bottom w:w="0" w:type="dxa"/>
            <w:right w:w="108" w:type="dxa"/>
          </w:tblCellMar>
        </w:tblPrEx>
        <w:trPr>
          <w:jc w:val="center"/>
        </w:trPr>
        <w:tc>
          <w:tcPr>
            <w:tcW w:w="5525" w:type="dxa"/>
            <w:gridSpan w:val="3"/>
            <w:shd w:val="clear" w:color="auto" w:fill="auto"/>
          </w:tcPr>
          <w:p w14:paraId="0F42E9B4">
            <w:pPr>
              <w:spacing w:line="288" w:lineRule="auto"/>
              <w:rPr>
                <w:rFonts w:ascii="宋体" w:hAnsi="宋体" w:cs="宋体"/>
                <w:sz w:val="24"/>
                <w:szCs w:val="24"/>
              </w:rPr>
            </w:pPr>
            <w:r>
              <w:rPr>
                <w:rFonts w:hint="eastAsia" w:ascii="宋体" w:hAnsi="宋体" w:cs="宋体"/>
                <w:sz w:val="24"/>
                <w:szCs w:val="24"/>
              </w:rPr>
              <w:t>单位地址：</w:t>
            </w:r>
          </w:p>
        </w:tc>
        <w:tc>
          <w:tcPr>
            <w:tcW w:w="3571" w:type="dxa"/>
            <w:gridSpan w:val="2"/>
            <w:shd w:val="clear" w:color="auto" w:fill="auto"/>
          </w:tcPr>
          <w:p w14:paraId="63E00070">
            <w:pPr>
              <w:spacing w:line="288" w:lineRule="auto"/>
              <w:rPr>
                <w:rFonts w:ascii="宋体" w:hAnsi="宋体" w:cs="宋体"/>
                <w:sz w:val="24"/>
                <w:szCs w:val="24"/>
              </w:rPr>
            </w:pPr>
            <w:r>
              <w:rPr>
                <w:rFonts w:hint="eastAsia" w:ascii="宋体" w:hAnsi="宋体" w:cs="宋体"/>
                <w:sz w:val="24"/>
                <w:szCs w:val="24"/>
              </w:rPr>
              <w:t>公司传真：</w:t>
            </w:r>
          </w:p>
        </w:tc>
      </w:tr>
      <w:tr w14:paraId="7973B7F0">
        <w:tblPrEx>
          <w:tblCellMar>
            <w:top w:w="0" w:type="dxa"/>
            <w:left w:w="108" w:type="dxa"/>
            <w:bottom w:w="0" w:type="dxa"/>
            <w:right w:w="108" w:type="dxa"/>
          </w:tblCellMar>
        </w:tblPrEx>
        <w:trPr>
          <w:jc w:val="center"/>
        </w:trPr>
        <w:tc>
          <w:tcPr>
            <w:tcW w:w="5525" w:type="dxa"/>
            <w:gridSpan w:val="3"/>
            <w:shd w:val="clear" w:color="auto" w:fill="auto"/>
          </w:tcPr>
          <w:p w14:paraId="3B636771">
            <w:pPr>
              <w:spacing w:line="288" w:lineRule="auto"/>
              <w:rPr>
                <w:rFonts w:ascii="宋体" w:hAnsi="宋体" w:cs="宋体"/>
                <w:sz w:val="24"/>
                <w:szCs w:val="24"/>
              </w:rPr>
            </w:pPr>
            <w:r>
              <w:rPr>
                <w:rFonts w:hint="eastAsia" w:ascii="宋体" w:hAnsi="宋体" w:cs="宋体"/>
                <w:sz w:val="24"/>
                <w:szCs w:val="24"/>
              </w:rPr>
              <w:t>注册资金：</w:t>
            </w:r>
          </w:p>
        </w:tc>
        <w:tc>
          <w:tcPr>
            <w:tcW w:w="3571" w:type="dxa"/>
            <w:gridSpan w:val="2"/>
            <w:shd w:val="clear" w:color="auto" w:fill="auto"/>
          </w:tcPr>
          <w:p w14:paraId="7B1C9C24">
            <w:pPr>
              <w:spacing w:line="288" w:lineRule="auto"/>
              <w:rPr>
                <w:rFonts w:ascii="宋体" w:hAnsi="宋体" w:cs="宋体"/>
                <w:sz w:val="24"/>
                <w:szCs w:val="24"/>
              </w:rPr>
            </w:pPr>
            <w:r>
              <w:rPr>
                <w:rFonts w:hint="eastAsia" w:ascii="宋体" w:hAnsi="宋体" w:cs="宋体"/>
                <w:sz w:val="24"/>
                <w:szCs w:val="24"/>
              </w:rPr>
              <w:t>单位性质：</w:t>
            </w:r>
          </w:p>
        </w:tc>
      </w:tr>
      <w:tr w14:paraId="4DBACB50">
        <w:tblPrEx>
          <w:tblCellMar>
            <w:top w:w="0" w:type="dxa"/>
            <w:left w:w="108" w:type="dxa"/>
            <w:bottom w:w="0" w:type="dxa"/>
            <w:right w:w="108" w:type="dxa"/>
          </w:tblCellMar>
        </w:tblPrEx>
        <w:trPr>
          <w:jc w:val="center"/>
        </w:trPr>
        <w:tc>
          <w:tcPr>
            <w:tcW w:w="5525" w:type="dxa"/>
            <w:gridSpan w:val="3"/>
            <w:shd w:val="clear" w:color="auto" w:fill="auto"/>
          </w:tcPr>
          <w:p w14:paraId="6E4CF733">
            <w:pPr>
              <w:spacing w:line="288" w:lineRule="auto"/>
              <w:rPr>
                <w:rFonts w:ascii="宋体" w:hAnsi="宋体" w:cs="宋体"/>
                <w:sz w:val="24"/>
                <w:szCs w:val="24"/>
              </w:rPr>
            </w:pPr>
            <w:r>
              <w:rPr>
                <w:rFonts w:hint="eastAsia" w:ascii="宋体" w:hAnsi="宋体" w:cs="宋体"/>
                <w:sz w:val="24"/>
                <w:szCs w:val="24"/>
              </w:rPr>
              <w:t>公司开户银行名称：</w:t>
            </w:r>
          </w:p>
        </w:tc>
        <w:tc>
          <w:tcPr>
            <w:tcW w:w="3571" w:type="dxa"/>
            <w:gridSpan w:val="2"/>
            <w:shd w:val="clear" w:color="auto" w:fill="auto"/>
          </w:tcPr>
          <w:p w14:paraId="516B42C5">
            <w:pPr>
              <w:spacing w:line="288" w:lineRule="auto"/>
              <w:rPr>
                <w:rFonts w:ascii="宋体" w:hAnsi="宋体" w:cs="宋体"/>
                <w:sz w:val="24"/>
                <w:szCs w:val="24"/>
              </w:rPr>
            </w:pPr>
            <w:r>
              <w:rPr>
                <w:rFonts w:hint="eastAsia" w:ascii="宋体" w:hAnsi="宋体" w:cs="宋体"/>
                <w:sz w:val="24"/>
                <w:szCs w:val="24"/>
              </w:rPr>
              <w:t>开户账号：</w:t>
            </w:r>
          </w:p>
        </w:tc>
      </w:tr>
      <w:tr w14:paraId="254C3955">
        <w:tblPrEx>
          <w:tblCellMar>
            <w:top w:w="0" w:type="dxa"/>
            <w:left w:w="108" w:type="dxa"/>
            <w:bottom w:w="0" w:type="dxa"/>
            <w:right w:w="108" w:type="dxa"/>
          </w:tblCellMar>
        </w:tblPrEx>
        <w:trPr>
          <w:jc w:val="center"/>
        </w:trPr>
        <w:tc>
          <w:tcPr>
            <w:tcW w:w="9096" w:type="dxa"/>
            <w:gridSpan w:val="5"/>
            <w:shd w:val="clear" w:color="auto" w:fill="auto"/>
          </w:tcPr>
          <w:p w14:paraId="3E047D07">
            <w:pPr>
              <w:spacing w:line="288" w:lineRule="auto"/>
              <w:rPr>
                <w:rFonts w:ascii="宋体" w:hAnsi="宋体" w:cs="宋体"/>
                <w:sz w:val="24"/>
                <w:szCs w:val="24"/>
              </w:rPr>
            </w:pPr>
            <w:r>
              <w:rPr>
                <w:rFonts w:hint="eastAsia" w:ascii="宋体" w:hAnsi="宋体" w:cs="宋体"/>
                <w:sz w:val="24"/>
                <w:szCs w:val="24"/>
              </w:rPr>
              <w:t>营业注册执照或事业单位法人证书号：</w:t>
            </w:r>
          </w:p>
        </w:tc>
      </w:tr>
      <w:tr w14:paraId="1D42F660">
        <w:tblPrEx>
          <w:tblCellMar>
            <w:top w:w="0" w:type="dxa"/>
            <w:left w:w="108" w:type="dxa"/>
            <w:bottom w:w="0" w:type="dxa"/>
            <w:right w:w="108" w:type="dxa"/>
          </w:tblCellMar>
        </w:tblPrEx>
        <w:trPr>
          <w:trHeight w:val="583" w:hRule="atLeast"/>
          <w:jc w:val="center"/>
        </w:trPr>
        <w:tc>
          <w:tcPr>
            <w:tcW w:w="9096" w:type="dxa"/>
            <w:gridSpan w:val="5"/>
            <w:shd w:val="clear" w:color="auto" w:fill="auto"/>
          </w:tcPr>
          <w:p w14:paraId="7C899A14">
            <w:pPr>
              <w:spacing w:line="288" w:lineRule="auto"/>
              <w:rPr>
                <w:rFonts w:ascii="宋体" w:hAnsi="宋体" w:cs="宋体"/>
                <w:sz w:val="24"/>
                <w:szCs w:val="24"/>
              </w:rPr>
            </w:pPr>
            <w:r>
              <w:rPr>
                <w:rFonts w:hint="eastAsia" w:ascii="宋体" w:hAnsi="宋体" w:cs="宋体"/>
                <w:sz w:val="24"/>
                <w:szCs w:val="24"/>
              </w:rPr>
              <w:t>公司财务状况：（如需）                           【价格单位：（人民币）元】</w:t>
            </w:r>
          </w:p>
        </w:tc>
      </w:tr>
      <w:tr w14:paraId="399080D1">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vAlign w:val="center"/>
          </w:tcPr>
          <w:p w14:paraId="4F03E2E4">
            <w:pPr>
              <w:spacing w:line="288" w:lineRule="auto"/>
              <w:jc w:val="center"/>
              <w:rPr>
                <w:rFonts w:ascii="宋体" w:hAnsi="宋体" w:cs="宋体"/>
                <w:sz w:val="24"/>
                <w:szCs w:val="24"/>
              </w:rPr>
            </w:pPr>
            <w:r>
              <w:rPr>
                <w:rFonts w:hint="eastAsia" w:ascii="宋体" w:hAnsi="宋体" w:cs="宋体"/>
                <w:sz w:val="24"/>
                <w:szCs w:val="24"/>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14:paraId="5B36CF4E">
            <w:pPr>
              <w:spacing w:line="288" w:lineRule="auto"/>
              <w:jc w:val="center"/>
              <w:rPr>
                <w:rFonts w:ascii="宋体" w:hAnsi="宋体" w:cs="宋体"/>
                <w:sz w:val="24"/>
                <w:szCs w:val="24"/>
              </w:rPr>
            </w:pPr>
            <w:r>
              <w:rPr>
                <w:rFonts w:hint="eastAsia" w:ascii="宋体" w:hAnsi="宋体" w:cs="宋体"/>
                <w:sz w:val="24"/>
                <w:szCs w:val="24"/>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4B81B0B">
            <w:pPr>
              <w:spacing w:line="288" w:lineRule="auto"/>
              <w:jc w:val="center"/>
              <w:rPr>
                <w:rFonts w:ascii="宋体" w:hAnsi="宋体" w:cs="宋体"/>
                <w:sz w:val="24"/>
                <w:szCs w:val="24"/>
              </w:rPr>
            </w:pPr>
            <w:r>
              <w:rPr>
                <w:rFonts w:hint="eastAsia" w:ascii="宋体" w:hAnsi="宋体" w:cs="宋体"/>
                <w:sz w:val="24"/>
                <w:szCs w:val="24"/>
              </w:rPr>
              <w:t>年营业额（元）</w:t>
            </w:r>
          </w:p>
        </w:tc>
        <w:tc>
          <w:tcPr>
            <w:tcW w:w="2200" w:type="dxa"/>
            <w:tcBorders>
              <w:top w:val="single" w:color="auto" w:sz="6" w:space="0"/>
              <w:left w:val="single" w:color="auto" w:sz="6" w:space="0"/>
              <w:bottom w:val="single" w:color="auto" w:sz="6" w:space="0"/>
              <w:right w:val="single" w:color="auto" w:sz="6" w:space="0"/>
            </w:tcBorders>
            <w:shd w:val="clear" w:color="auto" w:fill="auto"/>
            <w:vAlign w:val="center"/>
          </w:tcPr>
          <w:p w14:paraId="6D8A1FF6">
            <w:pPr>
              <w:spacing w:line="288" w:lineRule="auto"/>
              <w:jc w:val="center"/>
              <w:rPr>
                <w:rFonts w:ascii="宋体" w:hAnsi="宋体" w:cs="宋体"/>
                <w:sz w:val="24"/>
                <w:szCs w:val="24"/>
              </w:rPr>
            </w:pPr>
            <w:r>
              <w:rPr>
                <w:rFonts w:hint="eastAsia" w:ascii="宋体" w:hAnsi="宋体" w:cs="宋体"/>
                <w:sz w:val="24"/>
                <w:szCs w:val="24"/>
              </w:rPr>
              <w:t>年净利润（元）</w:t>
            </w:r>
          </w:p>
        </w:tc>
      </w:tr>
      <w:tr w14:paraId="0656A511">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2CC18ABD">
            <w:pPr>
              <w:spacing w:line="288" w:lineRule="auto"/>
              <w:rPr>
                <w:rFonts w:ascii="宋体" w:hAnsi="宋体" w:cs="宋体"/>
                <w:sz w:val="24"/>
                <w:szCs w:val="24"/>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6CD89339">
            <w:pPr>
              <w:spacing w:line="288" w:lineRule="auto"/>
              <w:rPr>
                <w:rFonts w:ascii="宋体" w:hAnsi="宋体" w:cs="宋体"/>
                <w:sz w:val="24"/>
                <w:szCs w:val="24"/>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687D3409">
            <w:pPr>
              <w:spacing w:line="288" w:lineRule="auto"/>
              <w:rPr>
                <w:rFonts w:ascii="宋体" w:hAnsi="宋体" w:cs="宋体"/>
                <w:sz w:val="24"/>
                <w:szCs w:val="24"/>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233E5165">
            <w:pPr>
              <w:spacing w:line="288" w:lineRule="auto"/>
              <w:rPr>
                <w:rFonts w:ascii="宋体" w:hAnsi="宋体" w:cs="宋体"/>
                <w:sz w:val="24"/>
                <w:szCs w:val="24"/>
              </w:rPr>
            </w:pPr>
          </w:p>
        </w:tc>
      </w:tr>
      <w:tr w14:paraId="255E30B7">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336FAF12">
            <w:pPr>
              <w:spacing w:line="288" w:lineRule="auto"/>
              <w:rPr>
                <w:rFonts w:ascii="宋体" w:hAnsi="宋体" w:cs="宋体"/>
                <w:sz w:val="24"/>
                <w:szCs w:val="24"/>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55E950E4">
            <w:pPr>
              <w:spacing w:line="288" w:lineRule="auto"/>
              <w:rPr>
                <w:rFonts w:ascii="宋体" w:hAnsi="宋体" w:cs="宋体"/>
                <w:sz w:val="24"/>
                <w:szCs w:val="24"/>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515E2F53">
            <w:pPr>
              <w:spacing w:line="288" w:lineRule="auto"/>
              <w:rPr>
                <w:rFonts w:ascii="宋体" w:hAnsi="宋体" w:cs="宋体"/>
                <w:sz w:val="24"/>
                <w:szCs w:val="24"/>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0B5C1EE0">
            <w:pPr>
              <w:spacing w:line="288" w:lineRule="auto"/>
              <w:rPr>
                <w:rFonts w:ascii="宋体" w:hAnsi="宋体" w:cs="宋体"/>
                <w:sz w:val="24"/>
                <w:szCs w:val="24"/>
              </w:rPr>
            </w:pPr>
          </w:p>
        </w:tc>
      </w:tr>
    </w:tbl>
    <w:p w14:paraId="55D5D156">
      <w:pPr>
        <w:spacing w:before="120" w:beforeLines="50" w:after="120" w:afterLines="50" w:line="288" w:lineRule="auto"/>
        <w:ind w:firstLine="240" w:firstLineChars="100"/>
        <w:rPr>
          <w:rFonts w:ascii="宋体" w:hAnsi="宋体" w:cs="宋体"/>
          <w:sz w:val="24"/>
          <w:szCs w:val="24"/>
        </w:rPr>
      </w:pPr>
      <w:r>
        <w:rPr>
          <w:rFonts w:hint="eastAsia" w:ascii="宋体" w:hAnsi="宋体" w:cs="宋体"/>
          <w:sz w:val="24"/>
          <w:szCs w:val="24"/>
        </w:rPr>
        <w:t>备注：需提供证明资料内容详见</w:t>
      </w:r>
      <w:r>
        <w:rPr>
          <w:rFonts w:hint="eastAsia" w:ascii="宋体" w:hAnsi="宋体" w:cs="宋体"/>
          <w:sz w:val="24"/>
          <w:szCs w:val="24"/>
          <w:u w:val="single"/>
        </w:rPr>
        <w:t>（评标方法）</w:t>
      </w:r>
      <w:r>
        <w:rPr>
          <w:rFonts w:hint="eastAsia" w:ascii="宋体" w:hAnsi="宋体" w:cs="宋体"/>
          <w:sz w:val="24"/>
          <w:szCs w:val="24"/>
        </w:rPr>
        <w:t>。</w:t>
      </w:r>
    </w:p>
    <w:p w14:paraId="3AAF9CDE">
      <w:pPr>
        <w:spacing w:before="120" w:beforeLines="50" w:after="360" w:afterLines="150" w:line="288" w:lineRule="auto"/>
        <w:ind w:firstLine="480" w:firstLineChars="200"/>
        <w:rPr>
          <w:rFonts w:ascii="宋体" w:hAnsi="宋体" w:cs="宋体"/>
          <w:sz w:val="24"/>
          <w:szCs w:val="24"/>
        </w:rPr>
      </w:pPr>
      <w:r>
        <w:rPr>
          <w:rFonts w:hint="eastAsia" w:ascii="宋体" w:hAnsi="宋体" w:cs="宋体"/>
          <w:sz w:val="24"/>
          <w:szCs w:val="24"/>
        </w:rPr>
        <w:t>兹证明上述声明是真实、正确的，并提供了全部能提供的资料和数据，我方同意遵照贵方要求出示有关证明文件。</w:t>
      </w:r>
    </w:p>
    <w:tbl>
      <w:tblPr>
        <w:tblStyle w:val="44"/>
        <w:tblW w:w="8528" w:type="dxa"/>
        <w:tblInd w:w="0" w:type="dxa"/>
        <w:tblLayout w:type="fixed"/>
        <w:tblCellMar>
          <w:top w:w="0" w:type="dxa"/>
          <w:left w:w="108" w:type="dxa"/>
          <w:bottom w:w="0" w:type="dxa"/>
          <w:right w:w="108" w:type="dxa"/>
        </w:tblCellMar>
      </w:tblPr>
      <w:tblGrid>
        <w:gridCol w:w="5353"/>
        <w:gridCol w:w="3175"/>
      </w:tblGrid>
      <w:tr w14:paraId="70ADDCFA">
        <w:tblPrEx>
          <w:tblCellMar>
            <w:top w:w="0" w:type="dxa"/>
            <w:left w:w="108" w:type="dxa"/>
            <w:bottom w:w="0" w:type="dxa"/>
            <w:right w:w="108" w:type="dxa"/>
          </w:tblCellMar>
        </w:tblPrEx>
        <w:tc>
          <w:tcPr>
            <w:tcW w:w="5353" w:type="dxa"/>
            <w:shd w:val="clear" w:color="auto" w:fill="auto"/>
          </w:tcPr>
          <w:p w14:paraId="18C7F51C">
            <w:pPr>
              <w:overflowPunct w:val="0"/>
              <w:adjustRightInd w:val="0"/>
              <w:spacing w:line="288" w:lineRule="auto"/>
              <w:rPr>
                <w:rFonts w:ascii="宋体" w:hAnsi="宋体" w:cs="宋体"/>
                <w:sz w:val="24"/>
                <w:szCs w:val="24"/>
              </w:rPr>
            </w:pPr>
            <w:r>
              <w:rPr>
                <w:rFonts w:hint="eastAsia" w:ascii="宋体" w:hAnsi="宋体" w:cs="宋体"/>
                <w:sz w:val="24"/>
                <w:szCs w:val="24"/>
              </w:rPr>
              <w:t>供应商名称（加盖公章）：</w:t>
            </w:r>
          </w:p>
        </w:tc>
        <w:tc>
          <w:tcPr>
            <w:tcW w:w="3175" w:type="dxa"/>
            <w:shd w:val="clear" w:color="auto" w:fill="auto"/>
          </w:tcPr>
          <w:p w14:paraId="51CB27A2">
            <w:pPr>
              <w:spacing w:line="288" w:lineRule="auto"/>
              <w:rPr>
                <w:rFonts w:ascii="宋体" w:hAnsi="宋体" w:cs="宋体"/>
                <w:sz w:val="24"/>
                <w:szCs w:val="24"/>
              </w:rPr>
            </w:pPr>
          </w:p>
        </w:tc>
      </w:tr>
      <w:tr w14:paraId="4B41C3F7">
        <w:tblPrEx>
          <w:tblCellMar>
            <w:top w:w="0" w:type="dxa"/>
            <w:left w:w="108" w:type="dxa"/>
            <w:bottom w:w="0" w:type="dxa"/>
            <w:right w:w="108" w:type="dxa"/>
          </w:tblCellMar>
        </w:tblPrEx>
        <w:tc>
          <w:tcPr>
            <w:tcW w:w="5353" w:type="dxa"/>
            <w:shd w:val="clear" w:color="auto" w:fill="auto"/>
          </w:tcPr>
          <w:p w14:paraId="6BEFB0F0">
            <w:pPr>
              <w:spacing w:line="288" w:lineRule="auto"/>
              <w:rPr>
                <w:rFonts w:ascii="宋体" w:hAnsi="宋体" w:cs="宋体"/>
                <w:sz w:val="24"/>
                <w:szCs w:val="24"/>
              </w:rPr>
            </w:pPr>
          </w:p>
          <w:p w14:paraId="5F281637">
            <w:pPr>
              <w:spacing w:line="288" w:lineRule="auto"/>
              <w:rPr>
                <w:rFonts w:ascii="宋体" w:hAnsi="宋体" w:cs="宋体"/>
                <w:sz w:val="24"/>
                <w:szCs w:val="24"/>
              </w:rPr>
            </w:pPr>
            <w:r>
              <w:rPr>
                <w:rFonts w:hint="eastAsia" w:ascii="宋体" w:hAnsi="宋体" w:cs="宋体"/>
                <w:sz w:val="24"/>
                <w:szCs w:val="24"/>
              </w:rPr>
              <w:t>日期：         年      月         日</w:t>
            </w:r>
          </w:p>
        </w:tc>
        <w:tc>
          <w:tcPr>
            <w:tcW w:w="3175" w:type="dxa"/>
            <w:shd w:val="clear" w:color="auto" w:fill="auto"/>
          </w:tcPr>
          <w:p w14:paraId="60F7320F">
            <w:pPr>
              <w:spacing w:line="288" w:lineRule="auto"/>
              <w:rPr>
                <w:rFonts w:ascii="宋体" w:hAnsi="宋体" w:cs="宋体"/>
                <w:sz w:val="24"/>
                <w:szCs w:val="24"/>
              </w:rPr>
            </w:pPr>
          </w:p>
        </w:tc>
      </w:tr>
    </w:tbl>
    <w:p w14:paraId="74C28147">
      <w:pPr>
        <w:rPr>
          <w:rFonts w:ascii="宋体" w:hAnsi="宋体" w:cs="宋体"/>
          <w:b/>
          <w:spacing w:val="20"/>
          <w:sz w:val="21"/>
          <w:szCs w:val="21"/>
        </w:rPr>
      </w:pPr>
      <w:r>
        <w:rPr>
          <w:rFonts w:hint="eastAsia" w:ascii="宋体" w:hAnsi="宋体" w:cs="宋体"/>
          <w:b/>
          <w:spacing w:val="20"/>
          <w:sz w:val="21"/>
          <w:szCs w:val="21"/>
        </w:rPr>
        <w:br w:type="page"/>
      </w:r>
    </w:p>
    <w:p w14:paraId="35FB8AE7">
      <w:pPr>
        <w:spacing w:line="360" w:lineRule="auto"/>
        <w:jc w:val="center"/>
        <w:rPr>
          <w:rFonts w:ascii="宋体" w:hAnsi="宋体" w:cs="宋体"/>
          <w:b/>
          <w:sz w:val="36"/>
          <w:szCs w:val="36"/>
        </w:rPr>
      </w:pPr>
      <w:r>
        <w:rPr>
          <w:rFonts w:hint="eastAsia" w:ascii="宋体" w:hAnsi="宋体" w:cs="宋体"/>
          <w:b/>
          <w:sz w:val="36"/>
          <w:szCs w:val="36"/>
        </w:rPr>
        <w:t>七、</w:t>
      </w:r>
      <w:r>
        <w:rPr>
          <w:rFonts w:hint="eastAsia" w:ascii="宋体" w:hAnsi="宋体" w:cs="宋体"/>
          <w:b/>
          <w:sz w:val="36"/>
          <w:szCs w:val="36"/>
          <w:lang w:val="en-US" w:eastAsia="zh-CN"/>
        </w:rPr>
        <w:t>信誉</w:t>
      </w:r>
      <w:r>
        <w:rPr>
          <w:rFonts w:hint="eastAsia" w:ascii="宋体" w:hAnsi="宋体" w:cs="宋体"/>
          <w:b/>
          <w:sz w:val="36"/>
          <w:szCs w:val="36"/>
        </w:rPr>
        <w:t>承诺书</w:t>
      </w:r>
    </w:p>
    <w:p w14:paraId="73EAA5BC">
      <w:pPr>
        <w:pStyle w:val="137"/>
        <w:spacing w:line="288" w:lineRule="auto"/>
        <w:ind w:firstLine="0" w:firstLineChars="0"/>
        <w:rPr>
          <w:rFonts w:hint="eastAsia" w:ascii="宋体" w:eastAsia="宋体" w:cs="宋体"/>
          <w:spacing w:val="2"/>
          <w:sz w:val="24"/>
          <w:szCs w:val="24"/>
          <w:lang w:val="en-US" w:eastAsia="zh-CN"/>
        </w:rPr>
      </w:pPr>
      <w:r>
        <w:rPr>
          <w:rFonts w:hint="eastAsia" w:ascii="宋体" w:eastAsia="宋体" w:cs="宋体"/>
          <w:spacing w:val="2"/>
          <w:sz w:val="24"/>
          <w:szCs w:val="24"/>
          <w:lang w:val="en-US" w:eastAsia="zh-CN"/>
        </w:rPr>
        <w:t>格式自拟</w:t>
      </w:r>
    </w:p>
    <w:p w14:paraId="7F21D58A">
      <w:pPr>
        <w:pStyle w:val="137"/>
        <w:spacing w:line="288" w:lineRule="auto"/>
        <w:ind w:firstLine="0" w:firstLineChars="0"/>
        <w:rPr>
          <w:rFonts w:hint="eastAsia" w:ascii="宋体" w:eastAsia="宋体" w:cs="宋体"/>
          <w:spacing w:val="2"/>
          <w:sz w:val="24"/>
          <w:szCs w:val="24"/>
          <w:lang w:val="en-US" w:eastAsia="zh-CN"/>
        </w:rPr>
      </w:pPr>
    </w:p>
    <w:p w14:paraId="1DC059B7">
      <w:pPr>
        <w:pStyle w:val="137"/>
        <w:spacing w:line="288" w:lineRule="auto"/>
        <w:ind w:firstLine="0" w:firstLineChars="0"/>
        <w:rPr>
          <w:rFonts w:hint="eastAsia" w:ascii="宋体" w:eastAsia="宋体" w:cs="宋体"/>
          <w:spacing w:val="2"/>
          <w:sz w:val="24"/>
          <w:szCs w:val="24"/>
          <w:lang w:val="en-US" w:eastAsia="zh-CN"/>
        </w:rPr>
      </w:pPr>
    </w:p>
    <w:p w14:paraId="4C0D384B">
      <w:pPr>
        <w:pStyle w:val="137"/>
        <w:spacing w:line="288" w:lineRule="auto"/>
        <w:ind w:firstLine="0" w:firstLineChars="0"/>
        <w:rPr>
          <w:rFonts w:hint="eastAsia" w:ascii="宋体" w:eastAsia="宋体" w:cs="宋体"/>
          <w:spacing w:val="2"/>
          <w:sz w:val="24"/>
          <w:szCs w:val="24"/>
          <w:lang w:val="en-US" w:eastAsia="zh-CN"/>
        </w:rPr>
      </w:pPr>
    </w:p>
    <w:p w14:paraId="24A7A852">
      <w:pPr>
        <w:pStyle w:val="137"/>
        <w:spacing w:line="288" w:lineRule="auto"/>
        <w:ind w:firstLine="0" w:firstLineChars="0"/>
        <w:rPr>
          <w:rFonts w:hint="eastAsia" w:ascii="宋体" w:eastAsia="宋体" w:cs="宋体"/>
          <w:spacing w:val="2"/>
          <w:sz w:val="24"/>
          <w:szCs w:val="24"/>
          <w:lang w:val="en-US" w:eastAsia="zh-CN"/>
        </w:rPr>
      </w:pPr>
    </w:p>
    <w:p w14:paraId="5AD608D8">
      <w:pPr>
        <w:pStyle w:val="137"/>
        <w:spacing w:line="288" w:lineRule="auto"/>
        <w:ind w:firstLine="0" w:firstLineChars="0"/>
        <w:rPr>
          <w:rFonts w:hint="eastAsia" w:ascii="宋体" w:eastAsia="宋体" w:cs="宋体"/>
          <w:spacing w:val="2"/>
          <w:sz w:val="24"/>
          <w:szCs w:val="24"/>
          <w:lang w:val="en-US" w:eastAsia="zh-CN"/>
        </w:rPr>
      </w:pPr>
    </w:p>
    <w:p w14:paraId="6EED63B6">
      <w:pPr>
        <w:pStyle w:val="137"/>
        <w:spacing w:line="288" w:lineRule="auto"/>
        <w:ind w:firstLine="0" w:firstLineChars="0"/>
        <w:rPr>
          <w:rFonts w:hint="eastAsia" w:ascii="宋体" w:eastAsia="宋体" w:cs="宋体"/>
          <w:spacing w:val="2"/>
          <w:sz w:val="24"/>
          <w:szCs w:val="24"/>
          <w:lang w:val="en-US" w:eastAsia="zh-CN"/>
        </w:rPr>
      </w:pPr>
    </w:p>
    <w:p w14:paraId="763C0FF1">
      <w:pPr>
        <w:pStyle w:val="137"/>
        <w:spacing w:line="288" w:lineRule="auto"/>
        <w:ind w:firstLine="0" w:firstLineChars="0"/>
        <w:rPr>
          <w:rFonts w:hint="eastAsia" w:ascii="宋体" w:eastAsia="宋体" w:cs="宋体"/>
          <w:spacing w:val="2"/>
          <w:sz w:val="24"/>
          <w:szCs w:val="24"/>
          <w:lang w:val="en-US" w:eastAsia="zh-CN"/>
        </w:rPr>
      </w:pPr>
    </w:p>
    <w:p w14:paraId="042AA930">
      <w:pPr>
        <w:pStyle w:val="137"/>
        <w:spacing w:line="288" w:lineRule="auto"/>
        <w:ind w:firstLine="0" w:firstLineChars="0"/>
        <w:rPr>
          <w:rFonts w:hint="eastAsia" w:ascii="宋体" w:eastAsia="宋体" w:cs="宋体"/>
          <w:spacing w:val="2"/>
          <w:sz w:val="24"/>
          <w:szCs w:val="24"/>
          <w:lang w:val="en-US" w:eastAsia="zh-CN"/>
        </w:rPr>
      </w:pPr>
    </w:p>
    <w:p w14:paraId="20588397">
      <w:pPr>
        <w:pStyle w:val="137"/>
        <w:spacing w:line="288" w:lineRule="auto"/>
        <w:ind w:firstLine="0" w:firstLineChars="0"/>
        <w:rPr>
          <w:rFonts w:hint="eastAsia" w:ascii="宋体" w:eastAsia="宋体" w:cs="宋体"/>
          <w:spacing w:val="2"/>
          <w:sz w:val="24"/>
          <w:szCs w:val="24"/>
          <w:lang w:val="en-US" w:eastAsia="zh-CN"/>
        </w:rPr>
      </w:pPr>
    </w:p>
    <w:p w14:paraId="6C084132">
      <w:pPr>
        <w:pStyle w:val="137"/>
        <w:spacing w:line="288" w:lineRule="auto"/>
        <w:ind w:firstLine="0" w:firstLineChars="0"/>
        <w:rPr>
          <w:rFonts w:hint="eastAsia" w:ascii="宋体" w:eastAsia="宋体" w:cs="宋体"/>
          <w:spacing w:val="2"/>
          <w:sz w:val="24"/>
          <w:szCs w:val="24"/>
          <w:lang w:val="en-US" w:eastAsia="zh-CN"/>
        </w:rPr>
      </w:pPr>
    </w:p>
    <w:p w14:paraId="6871B629">
      <w:pPr>
        <w:pStyle w:val="137"/>
        <w:spacing w:line="288" w:lineRule="auto"/>
        <w:ind w:firstLine="0" w:firstLineChars="0"/>
        <w:rPr>
          <w:rFonts w:hint="eastAsia" w:ascii="宋体" w:eastAsia="宋体" w:cs="宋体"/>
          <w:spacing w:val="2"/>
          <w:sz w:val="24"/>
          <w:szCs w:val="24"/>
          <w:lang w:val="en-US" w:eastAsia="zh-CN"/>
        </w:rPr>
      </w:pPr>
    </w:p>
    <w:p w14:paraId="7C0ACE16">
      <w:pPr>
        <w:pStyle w:val="137"/>
        <w:spacing w:line="288" w:lineRule="auto"/>
        <w:ind w:firstLine="0" w:firstLineChars="0"/>
        <w:rPr>
          <w:rFonts w:hint="eastAsia" w:ascii="宋体" w:eastAsia="宋体" w:cs="宋体"/>
          <w:spacing w:val="2"/>
          <w:sz w:val="24"/>
          <w:szCs w:val="24"/>
          <w:lang w:val="en-US" w:eastAsia="zh-CN"/>
        </w:rPr>
      </w:pPr>
    </w:p>
    <w:p w14:paraId="0EA40DBA">
      <w:pPr>
        <w:pStyle w:val="137"/>
        <w:spacing w:line="288" w:lineRule="auto"/>
        <w:ind w:firstLine="0" w:firstLineChars="0"/>
        <w:rPr>
          <w:rFonts w:hint="eastAsia" w:ascii="宋体" w:eastAsia="宋体" w:cs="宋体"/>
          <w:spacing w:val="2"/>
          <w:sz w:val="24"/>
          <w:szCs w:val="24"/>
          <w:lang w:val="en-US" w:eastAsia="zh-CN"/>
        </w:rPr>
      </w:pPr>
    </w:p>
    <w:p w14:paraId="460EB11B">
      <w:pPr>
        <w:pStyle w:val="137"/>
        <w:spacing w:line="288" w:lineRule="auto"/>
        <w:ind w:firstLine="0" w:firstLineChars="0"/>
        <w:rPr>
          <w:rFonts w:hint="eastAsia" w:ascii="宋体" w:eastAsia="宋体" w:cs="宋体"/>
          <w:spacing w:val="2"/>
          <w:sz w:val="24"/>
          <w:szCs w:val="24"/>
          <w:lang w:val="en-US" w:eastAsia="zh-CN"/>
        </w:rPr>
      </w:pPr>
    </w:p>
    <w:p w14:paraId="74A00AE3">
      <w:pPr>
        <w:pStyle w:val="137"/>
        <w:spacing w:line="288" w:lineRule="auto"/>
        <w:ind w:firstLine="0" w:firstLineChars="0"/>
        <w:rPr>
          <w:rFonts w:hint="eastAsia" w:ascii="宋体" w:eastAsia="宋体" w:cs="宋体"/>
          <w:spacing w:val="2"/>
          <w:sz w:val="24"/>
          <w:szCs w:val="24"/>
          <w:lang w:val="en-US" w:eastAsia="zh-CN"/>
        </w:rPr>
      </w:pPr>
    </w:p>
    <w:p w14:paraId="61047E45">
      <w:pPr>
        <w:spacing w:line="288" w:lineRule="auto"/>
        <w:rPr>
          <w:rFonts w:ascii="宋体" w:hAnsi="宋体" w:cs="宋体"/>
          <w:sz w:val="24"/>
          <w:szCs w:val="24"/>
        </w:rPr>
      </w:pPr>
    </w:p>
    <w:p w14:paraId="66E915E7">
      <w:pPr>
        <w:spacing w:line="360" w:lineRule="auto"/>
        <w:rPr>
          <w:rFonts w:ascii="宋体" w:hAnsi="宋体" w:cs="宋体"/>
          <w:szCs w:val="21"/>
        </w:rPr>
      </w:pPr>
    </w:p>
    <w:p w14:paraId="566D286F">
      <w:pPr>
        <w:rPr>
          <w:rFonts w:ascii="宋体" w:hAnsi="宋体" w:cs="宋体"/>
          <w:b/>
          <w:spacing w:val="20"/>
          <w:sz w:val="30"/>
          <w:szCs w:val="30"/>
        </w:rPr>
      </w:pPr>
      <w:r>
        <w:rPr>
          <w:rFonts w:hint="eastAsia" w:ascii="宋体" w:hAnsi="宋体" w:cs="宋体"/>
          <w:b/>
          <w:spacing w:val="20"/>
          <w:sz w:val="30"/>
          <w:szCs w:val="30"/>
        </w:rPr>
        <w:br w:type="page"/>
      </w:r>
    </w:p>
    <w:p w14:paraId="000B39E9">
      <w:pPr>
        <w:spacing w:line="360" w:lineRule="auto"/>
        <w:jc w:val="center"/>
        <w:rPr>
          <w:rFonts w:ascii="宋体" w:hAnsi="宋体" w:cs="宋体"/>
          <w:b/>
          <w:sz w:val="36"/>
          <w:szCs w:val="36"/>
        </w:rPr>
      </w:pPr>
      <w:r>
        <w:rPr>
          <w:rFonts w:hint="eastAsia" w:ascii="宋体" w:hAnsi="宋体" w:cs="宋体"/>
          <w:b/>
          <w:sz w:val="36"/>
          <w:szCs w:val="36"/>
        </w:rPr>
        <w:t>八、商务偏离表</w:t>
      </w:r>
    </w:p>
    <w:tbl>
      <w:tblPr>
        <w:tblStyle w:val="44"/>
        <w:tblW w:w="926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67"/>
        <w:gridCol w:w="2700"/>
        <w:gridCol w:w="1409"/>
        <w:gridCol w:w="1858"/>
      </w:tblGrid>
      <w:tr w14:paraId="49F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62" w:type="dxa"/>
            <w:gridSpan w:val="5"/>
            <w:vAlign w:val="center"/>
          </w:tcPr>
          <w:p w14:paraId="6F3D2139">
            <w:pPr>
              <w:spacing w:line="288" w:lineRule="auto"/>
              <w:rPr>
                <w:rFonts w:ascii="宋体" w:hAnsi="宋体" w:cs="宋体"/>
                <w:b/>
                <w:bCs/>
                <w:sz w:val="24"/>
                <w:szCs w:val="24"/>
              </w:rPr>
            </w:pPr>
            <w:r>
              <w:rPr>
                <w:rFonts w:hint="eastAsia" w:ascii="宋体" w:hAnsi="宋体" w:cs="宋体"/>
                <w:b/>
                <w:bCs/>
                <w:sz w:val="24"/>
                <w:szCs w:val="24"/>
              </w:rPr>
              <w:t xml:space="preserve">项目名称：                              </w:t>
            </w:r>
            <w:r>
              <w:rPr>
                <w:rFonts w:hint="eastAsia" w:ascii="宋体" w:hAnsi="宋体" w:cs="宋体"/>
                <w:b/>
                <w:sz w:val="24"/>
                <w:szCs w:val="24"/>
              </w:rPr>
              <w:t>项目编号：</w:t>
            </w:r>
          </w:p>
        </w:tc>
      </w:tr>
      <w:tr w14:paraId="6711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14:paraId="54644C55">
            <w:pPr>
              <w:spacing w:line="288" w:lineRule="auto"/>
              <w:jc w:val="center"/>
              <w:rPr>
                <w:rFonts w:ascii="宋体" w:hAnsi="宋体" w:cs="宋体"/>
                <w:b/>
                <w:bCs/>
                <w:sz w:val="24"/>
                <w:szCs w:val="24"/>
              </w:rPr>
            </w:pPr>
            <w:r>
              <w:rPr>
                <w:rFonts w:hint="eastAsia" w:ascii="宋体" w:hAnsi="宋体" w:cs="宋体"/>
                <w:b/>
                <w:bCs/>
                <w:sz w:val="24"/>
                <w:szCs w:val="24"/>
              </w:rPr>
              <w:t>序号</w:t>
            </w:r>
          </w:p>
        </w:tc>
        <w:tc>
          <w:tcPr>
            <w:tcW w:w="2567" w:type="dxa"/>
            <w:vAlign w:val="center"/>
          </w:tcPr>
          <w:p w14:paraId="0F243879">
            <w:pPr>
              <w:spacing w:line="288" w:lineRule="auto"/>
              <w:jc w:val="center"/>
              <w:rPr>
                <w:rFonts w:ascii="宋体" w:hAnsi="宋体" w:cs="宋体"/>
                <w:b/>
                <w:bCs/>
                <w:sz w:val="24"/>
                <w:szCs w:val="24"/>
              </w:rPr>
            </w:pPr>
            <w:r>
              <w:rPr>
                <w:rFonts w:hint="eastAsia" w:ascii="宋体" w:hAnsi="宋体" w:cs="宋体"/>
                <w:b/>
                <w:bCs/>
                <w:sz w:val="24"/>
                <w:szCs w:val="24"/>
              </w:rPr>
              <w:t>招标文件要求</w:t>
            </w:r>
          </w:p>
        </w:tc>
        <w:tc>
          <w:tcPr>
            <w:tcW w:w="2700" w:type="dxa"/>
            <w:vAlign w:val="center"/>
          </w:tcPr>
          <w:p w14:paraId="51CD6B7C">
            <w:pPr>
              <w:spacing w:line="288" w:lineRule="auto"/>
              <w:jc w:val="center"/>
              <w:rPr>
                <w:rFonts w:ascii="宋体" w:hAnsi="宋体" w:cs="宋体"/>
                <w:b/>
                <w:bCs/>
                <w:sz w:val="24"/>
                <w:szCs w:val="24"/>
              </w:rPr>
            </w:pPr>
            <w:r>
              <w:rPr>
                <w:rFonts w:hint="eastAsia" w:ascii="宋体" w:hAnsi="宋体" w:cs="宋体"/>
                <w:b/>
                <w:bCs/>
                <w:sz w:val="24"/>
                <w:szCs w:val="24"/>
              </w:rPr>
              <w:t>投标文件响应内容</w:t>
            </w:r>
          </w:p>
        </w:tc>
        <w:tc>
          <w:tcPr>
            <w:tcW w:w="1409" w:type="dxa"/>
            <w:vAlign w:val="center"/>
          </w:tcPr>
          <w:p w14:paraId="410E91F1">
            <w:pPr>
              <w:spacing w:line="288" w:lineRule="auto"/>
              <w:jc w:val="center"/>
              <w:rPr>
                <w:rFonts w:ascii="宋体" w:hAnsi="宋体" w:cs="宋体"/>
                <w:b/>
                <w:bCs/>
                <w:sz w:val="24"/>
                <w:szCs w:val="24"/>
              </w:rPr>
            </w:pPr>
            <w:r>
              <w:rPr>
                <w:rFonts w:hint="eastAsia" w:ascii="宋体" w:hAnsi="宋体" w:cs="宋体"/>
                <w:b/>
                <w:bCs/>
                <w:sz w:val="24"/>
                <w:szCs w:val="24"/>
              </w:rPr>
              <w:t>偏离情况</w:t>
            </w:r>
          </w:p>
        </w:tc>
        <w:tc>
          <w:tcPr>
            <w:tcW w:w="1858" w:type="dxa"/>
            <w:vAlign w:val="center"/>
          </w:tcPr>
          <w:p w14:paraId="730EF7FE">
            <w:pPr>
              <w:spacing w:line="288" w:lineRule="auto"/>
              <w:jc w:val="center"/>
              <w:rPr>
                <w:rFonts w:ascii="宋体" w:hAnsi="宋体" w:cs="宋体"/>
                <w:b/>
                <w:bCs/>
                <w:sz w:val="24"/>
                <w:szCs w:val="24"/>
              </w:rPr>
            </w:pPr>
            <w:r>
              <w:rPr>
                <w:rFonts w:hint="eastAsia" w:ascii="宋体" w:hAnsi="宋体" w:cs="宋体"/>
                <w:b/>
                <w:bCs/>
                <w:sz w:val="24"/>
                <w:szCs w:val="24"/>
              </w:rPr>
              <w:t>说明</w:t>
            </w:r>
          </w:p>
        </w:tc>
      </w:tr>
      <w:tr w14:paraId="4E52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Align w:val="center"/>
          </w:tcPr>
          <w:p w14:paraId="2DD37A79">
            <w:pPr>
              <w:spacing w:line="288" w:lineRule="auto"/>
              <w:jc w:val="center"/>
              <w:rPr>
                <w:rFonts w:ascii="宋体" w:hAnsi="宋体" w:cs="宋体"/>
                <w:sz w:val="24"/>
                <w:szCs w:val="24"/>
              </w:rPr>
            </w:pPr>
          </w:p>
        </w:tc>
        <w:tc>
          <w:tcPr>
            <w:tcW w:w="2567" w:type="dxa"/>
            <w:vAlign w:val="center"/>
          </w:tcPr>
          <w:p w14:paraId="08D9F199">
            <w:pPr>
              <w:spacing w:line="288" w:lineRule="auto"/>
              <w:jc w:val="center"/>
              <w:rPr>
                <w:rFonts w:ascii="宋体" w:hAnsi="宋体" w:cs="宋体"/>
                <w:sz w:val="24"/>
                <w:szCs w:val="24"/>
              </w:rPr>
            </w:pPr>
          </w:p>
        </w:tc>
        <w:tc>
          <w:tcPr>
            <w:tcW w:w="2700" w:type="dxa"/>
            <w:vAlign w:val="center"/>
          </w:tcPr>
          <w:p w14:paraId="60A6FE54">
            <w:pPr>
              <w:pStyle w:val="30"/>
              <w:spacing w:line="288" w:lineRule="auto"/>
              <w:jc w:val="center"/>
              <w:rPr>
                <w:rFonts w:ascii="宋体" w:hAnsi="宋体" w:cs="宋体"/>
                <w:sz w:val="24"/>
                <w:szCs w:val="24"/>
              </w:rPr>
            </w:pPr>
          </w:p>
        </w:tc>
        <w:tc>
          <w:tcPr>
            <w:tcW w:w="1409" w:type="dxa"/>
            <w:vAlign w:val="center"/>
          </w:tcPr>
          <w:p w14:paraId="33C7F5EF">
            <w:pPr>
              <w:spacing w:line="288" w:lineRule="auto"/>
              <w:jc w:val="center"/>
              <w:rPr>
                <w:rFonts w:ascii="宋体" w:hAnsi="宋体" w:cs="宋体"/>
                <w:sz w:val="24"/>
                <w:szCs w:val="24"/>
              </w:rPr>
            </w:pPr>
          </w:p>
        </w:tc>
        <w:tc>
          <w:tcPr>
            <w:tcW w:w="1858" w:type="dxa"/>
            <w:vAlign w:val="center"/>
          </w:tcPr>
          <w:p w14:paraId="569C19B3">
            <w:pPr>
              <w:spacing w:line="288" w:lineRule="auto"/>
              <w:jc w:val="center"/>
              <w:rPr>
                <w:rFonts w:ascii="宋体" w:hAnsi="宋体" w:cs="宋体"/>
                <w:sz w:val="24"/>
                <w:szCs w:val="24"/>
              </w:rPr>
            </w:pPr>
          </w:p>
        </w:tc>
      </w:tr>
      <w:tr w14:paraId="5217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8" w:type="dxa"/>
            <w:vAlign w:val="center"/>
          </w:tcPr>
          <w:p w14:paraId="4D04E839">
            <w:pPr>
              <w:spacing w:line="288" w:lineRule="auto"/>
              <w:jc w:val="center"/>
              <w:rPr>
                <w:rFonts w:ascii="宋体" w:hAnsi="宋体" w:cs="宋体"/>
                <w:sz w:val="24"/>
                <w:szCs w:val="24"/>
              </w:rPr>
            </w:pPr>
          </w:p>
        </w:tc>
        <w:tc>
          <w:tcPr>
            <w:tcW w:w="2567" w:type="dxa"/>
            <w:vAlign w:val="center"/>
          </w:tcPr>
          <w:p w14:paraId="7FF5591F">
            <w:pPr>
              <w:spacing w:line="288" w:lineRule="auto"/>
              <w:jc w:val="center"/>
              <w:rPr>
                <w:rFonts w:ascii="宋体" w:hAnsi="宋体" w:cs="宋体"/>
                <w:sz w:val="24"/>
                <w:szCs w:val="24"/>
              </w:rPr>
            </w:pPr>
          </w:p>
        </w:tc>
        <w:tc>
          <w:tcPr>
            <w:tcW w:w="2700" w:type="dxa"/>
            <w:vAlign w:val="center"/>
          </w:tcPr>
          <w:p w14:paraId="1A8AD649">
            <w:pPr>
              <w:spacing w:line="288" w:lineRule="auto"/>
              <w:jc w:val="center"/>
              <w:rPr>
                <w:rFonts w:ascii="宋体" w:hAnsi="宋体" w:cs="宋体"/>
                <w:sz w:val="24"/>
                <w:szCs w:val="24"/>
              </w:rPr>
            </w:pPr>
          </w:p>
        </w:tc>
        <w:tc>
          <w:tcPr>
            <w:tcW w:w="1409" w:type="dxa"/>
            <w:vAlign w:val="center"/>
          </w:tcPr>
          <w:p w14:paraId="664C9B45">
            <w:pPr>
              <w:spacing w:line="288" w:lineRule="auto"/>
              <w:jc w:val="center"/>
              <w:rPr>
                <w:rFonts w:ascii="宋体" w:hAnsi="宋体" w:cs="宋体"/>
                <w:sz w:val="24"/>
                <w:szCs w:val="24"/>
              </w:rPr>
            </w:pPr>
          </w:p>
        </w:tc>
        <w:tc>
          <w:tcPr>
            <w:tcW w:w="1858" w:type="dxa"/>
            <w:vAlign w:val="center"/>
          </w:tcPr>
          <w:p w14:paraId="4AEDAB28">
            <w:pPr>
              <w:spacing w:line="288" w:lineRule="auto"/>
              <w:jc w:val="center"/>
              <w:rPr>
                <w:rFonts w:ascii="宋体" w:hAnsi="宋体" w:cs="宋体"/>
                <w:sz w:val="24"/>
                <w:szCs w:val="24"/>
              </w:rPr>
            </w:pPr>
          </w:p>
        </w:tc>
      </w:tr>
      <w:tr w14:paraId="71FF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8" w:type="dxa"/>
            <w:vAlign w:val="center"/>
          </w:tcPr>
          <w:p w14:paraId="24A7AB82">
            <w:pPr>
              <w:spacing w:line="288" w:lineRule="auto"/>
              <w:jc w:val="center"/>
              <w:rPr>
                <w:rFonts w:ascii="宋体" w:hAnsi="宋体" w:cs="宋体"/>
                <w:sz w:val="24"/>
                <w:szCs w:val="24"/>
              </w:rPr>
            </w:pPr>
          </w:p>
        </w:tc>
        <w:tc>
          <w:tcPr>
            <w:tcW w:w="2567" w:type="dxa"/>
            <w:vAlign w:val="center"/>
          </w:tcPr>
          <w:p w14:paraId="536A16FD">
            <w:pPr>
              <w:spacing w:line="288" w:lineRule="auto"/>
              <w:jc w:val="center"/>
              <w:rPr>
                <w:rFonts w:ascii="宋体" w:hAnsi="宋体" w:cs="宋体"/>
                <w:sz w:val="24"/>
                <w:szCs w:val="24"/>
              </w:rPr>
            </w:pPr>
          </w:p>
        </w:tc>
        <w:tc>
          <w:tcPr>
            <w:tcW w:w="2700" w:type="dxa"/>
            <w:vAlign w:val="center"/>
          </w:tcPr>
          <w:p w14:paraId="718256D4">
            <w:pPr>
              <w:spacing w:line="288" w:lineRule="auto"/>
              <w:jc w:val="center"/>
              <w:rPr>
                <w:rFonts w:ascii="宋体" w:hAnsi="宋体" w:cs="宋体"/>
                <w:sz w:val="24"/>
                <w:szCs w:val="24"/>
              </w:rPr>
            </w:pPr>
          </w:p>
        </w:tc>
        <w:tc>
          <w:tcPr>
            <w:tcW w:w="1409" w:type="dxa"/>
            <w:vAlign w:val="center"/>
          </w:tcPr>
          <w:p w14:paraId="20FF6DFE">
            <w:pPr>
              <w:spacing w:line="288" w:lineRule="auto"/>
              <w:jc w:val="center"/>
              <w:rPr>
                <w:rFonts w:ascii="宋体" w:hAnsi="宋体" w:cs="宋体"/>
                <w:sz w:val="24"/>
                <w:szCs w:val="24"/>
              </w:rPr>
            </w:pPr>
          </w:p>
        </w:tc>
        <w:tc>
          <w:tcPr>
            <w:tcW w:w="1858" w:type="dxa"/>
            <w:vAlign w:val="center"/>
          </w:tcPr>
          <w:p w14:paraId="55F8F156">
            <w:pPr>
              <w:spacing w:line="288" w:lineRule="auto"/>
              <w:jc w:val="center"/>
              <w:rPr>
                <w:rFonts w:ascii="宋体" w:hAnsi="宋体" w:cs="宋体"/>
                <w:sz w:val="24"/>
                <w:szCs w:val="24"/>
              </w:rPr>
            </w:pPr>
          </w:p>
        </w:tc>
      </w:tr>
      <w:tr w14:paraId="33C8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8" w:type="dxa"/>
            <w:vAlign w:val="center"/>
          </w:tcPr>
          <w:p w14:paraId="3D23B694">
            <w:pPr>
              <w:spacing w:line="288" w:lineRule="auto"/>
              <w:jc w:val="center"/>
              <w:rPr>
                <w:rFonts w:ascii="宋体" w:hAnsi="宋体" w:cs="宋体"/>
                <w:sz w:val="24"/>
                <w:szCs w:val="24"/>
              </w:rPr>
            </w:pPr>
          </w:p>
        </w:tc>
        <w:tc>
          <w:tcPr>
            <w:tcW w:w="2567" w:type="dxa"/>
            <w:vAlign w:val="center"/>
          </w:tcPr>
          <w:p w14:paraId="5E3EBCD1">
            <w:pPr>
              <w:spacing w:line="288" w:lineRule="auto"/>
              <w:jc w:val="center"/>
              <w:rPr>
                <w:rFonts w:ascii="宋体" w:hAnsi="宋体" w:cs="宋体"/>
                <w:sz w:val="24"/>
                <w:szCs w:val="24"/>
              </w:rPr>
            </w:pPr>
          </w:p>
        </w:tc>
        <w:tc>
          <w:tcPr>
            <w:tcW w:w="2700" w:type="dxa"/>
            <w:vAlign w:val="center"/>
          </w:tcPr>
          <w:p w14:paraId="00879D5F">
            <w:pPr>
              <w:spacing w:line="288" w:lineRule="auto"/>
              <w:jc w:val="center"/>
              <w:rPr>
                <w:rFonts w:ascii="宋体" w:hAnsi="宋体" w:cs="宋体"/>
                <w:sz w:val="24"/>
                <w:szCs w:val="24"/>
              </w:rPr>
            </w:pPr>
          </w:p>
        </w:tc>
        <w:tc>
          <w:tcPr>
            <w:tcW w:w="1409" w:type="dxa"/>
            <w:vAlign w:val="center"/>
          </w:tcPr>
          <w:p w14:paraId="4753BFD5">
            <w:pPr>
              <w:spacing w:line="288" w:lineRule="auto"/>
              <w:jc w:val="center"/>
              <w:rPr>
                <w:rFonts w:ascii="宋体" w:hAnsi="宋体" w:cs="宋体"/>
                <w:sz w:val="24"/>
                <w:szCs w:val="24"/>
              </w:rPr>
            </w:pPr>
          </w:p>
        </w:tc>
        <w:tc>
          <w:tcPr>
            <w:tcW w:w="1858" w:type="dxa"/>
            <w:vAlign w:val="center"/>
          </w:tcPr>
          <w:p w14:paraId="59340147">
            <w:pPr>
              <w:spacing w:line="288" w:lineRule="auto"/>
              <w:jc w:val="center"/>
              <w:rPr>
                <w:rFonts w:ascii="宋体" w:hAnsi="宋体" w:cs="宋体"/>
                <w:sz w:val="24"/>
                <w:szCs w:val="24"/>
              </w:rPr>
            </w:pPr>
          </w:p>
        </w:tc>
      </w:tr>
      <w:tr w14:paraId="191C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8" w:type="dxa"/>
            <w:vAlign w:val="center"/>
          </w:tcPr>
          <w:p w14:paraId="501F9E08">
            <w:pPr>
              <w:spacing w:line="288" w:lineRule="auto"/>
              <w:jc w:val="center"/>
              <w:rPr>
                <w:rFonts w:ascii="宋体" w:hAnsi="宋体" w:cs="宋体"/>
                <w:sz w:val="24"/>
                <w:szCs w:val="24"/>
              </w:rPr>
            </w:pPr>
          </w:p>
        </w:tc>
        <w:tc>
          <w:tcPr>
            <w:tcW w:w="2567" w:type="dxa"/>
            <w:vAlign w:val="center"/>
          </w:tcPr>
          <w:p w14:paraId="4975D974">
            <w:pPr>
              <w:spacing w:line="288" w:lineRule="auto"/>
              <w:jc w:val="center"/>
              <w:rPr>
                <w:rFonts w:ascii="宋体" w:hAnsi="宋体" w:cs="宋体"/>
                <w:sz w:val="24"/>
                <w:szCs w:val="24"/>
              </w:rPr>
            </w:pPr>
          </w:p>
        </w:tc>
        <w:tc>
          <w:tcPr>
            <w:tcW w:w="2700" w:type="dxa"/>
            <w:vAlign w:val="center"/>
          </w:tcPr>
          <w:p w14:paraId="5EAC5315">
            <w:pPr>
              <w:spacing w:line="288" w:lineRule="auto"/>
              <w:jc w:val="center"/>
              <w:rPr>
                <w:rFonts w:ascii="宋体" w:hAnsi="宋体" w:cs="宋体"/>
                <w:sz w:val="24"/>
                <w:szCs w:val="24"/>
              </w:rPr>
            </w:pPr>
          </w:p>
        </w:tc>
        <w:tc>
          <w:tcPr>
            <w:tcW w:w="1409" w:type="dxa"/>
            <w:vAlign w:val="center"/>
          </w:tcPr>
          <w:p w14:paraId="14C6DCCF">
            <w:pPr>
              <w:spacing w:line="288" w:lineRule="auto"/>
              <w:jc w:val="center"/>
              <w:rPr>
                <w:rFonts w:ascii="宋体" w:hAnsi="宋体" w:cs="宋体"/>
                <w:sz w:val="24"/>
                <w:szCs w:val="24"/>
              </w:rPr>
            </w:pPr>
          </w:p>
        </w:tc>
        <w:tc>
          <w:tcPr>
            <w:tcW w:w="1858" w:type="dxa"/>
            <w:vAlign w:val="center"/>
          </w:tcPr>
          <w:p w14:paraId="7E217A2B">
            <w:pPr>
              <w:spacing w:line="288" w:lineRule="auto"/>
              <w:jc w:val="center"/>
              <w:rPr>
                <w:rFonts w:ascii="宋体" w:hAnsi="宋体" w:cs="宋体"/>
                <w:sz w:val="24"/>
                <w:szCs w:val="24"/>
              </w:rPr>
            </w:pPr>
          </w:p>
        </w:tc>
      </w:tr>
      <w:tr w14:paraId="232D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8" w:type="dxa"/>
            <w:vAlign w:val="center"/>
          </w:tcPr>
          <w:p w14:paraId="7C1411EB">
            <w:pPr>
              <w:spacing w:line="288" w:lineRule="auto"/>
              <w:jc w:val="center"/>
              <w:rPr>
                <w:rFonts w:ascii="宋体" w:hAnsi="宋体" w:cs="宋体"/>
                <w:sz w:val="24"/>
                <w:szCs w:val="24"/>
              </w:rPr>
            </w:pPr>
          </w:p>
        </w:tc>
        <w:tc>
          <w:tcPr>
            <w:tcW w:w="2567" w:type="dxa"/>
            <w:vAlign w:val="center"/>
          </w:tcPr>
          <w:p w14:paraId="4184779D">
            <w:pPr>
              <w:spacing w:line="288" w:lineRule="auto"/>
              <w:jc w:val="center"/>
              <w:rPr>
                <w:rFonts w:ascii="宋体" w:hAnsi="宋体" w:cs="宋体"/>
                <w:sz w:val="24"/>
                <w:szCs w:val="24"/>
              </w:rPr>
            </w:pPr>
          </w:p>
        </w:tc>
        <w:tc>
          <w:tcPr>
            <w:tcW w:w="2700" w:type="dxa"/>
            <w:vAlign w:val="center"/>
          </w:tcPr>
          <w:p w14:paraId="54611FC9">
            <w:pPr>
              <w:spacing w:line="288" w:lineRule="auto"/>
              <w:jc w:val="center"/>
              <w:rPr>
                <w:rFonts w:ascii="宋体" w:hAnsi="宋体" w:cs="宋体"/>
                <w:sz w:val="24"/>
                <w:szCs w:val="24"/>
              </w:rPr>
            </w:pPr>
          </w:p>
        </w:tc>
        <w:tc>
          <w:tcPr>
            <w:tcW w:w="1409" w:type="dxa"/>
            <w:vAlign w:val="center"/>
          </w:tcPr>
          <w:p w14:paraId="26F40214">
            <w:pPr>
              <w:spacing w:line="288" w:lineRule="auto"/>
              <w:jc w:val="center"/>
              <w:rPr>
                <w:rFonts w:ascii="宋体" w:hAnsi="宋体" w:cs="宋体"/>
                <w:sz w:val="24"/>
                <w:szCs w:val="24"/>
              </w:rPr>
            </w:pPr>
          </w:p>
        </w:tc>
        <w:tc>
          <w:tcPr>
            <w:tcW w:w="1858" w:type="dxa"/>
            <w:vAlign w:val="center"/>
          </w:tcPr>
          <w:p w14:paraId="2B0E8829">
            <w:pPr>
              <w:spacing w:line="288" w:lineRule="auto"/>
              <w:jc w:val="center"/>
              <w:rPr>
                <w:rFonts w:ascii="宋体" w:hAnsi="宋体" w:cs="宋体"/>
                <w:sz w:val="24"/>
                <w:szCs w:val="24"/>
              </w:rPr>
            </w:pPr>
          </w:p>
        </w:tc>
      </w:tr>
    </w:tbl>
    <w:p w14:paraId="2B6802A6">
      <w:pPr>
        <w:spacing w:before="120" w:beforeLines="50" w:line="288" w:lineRule="auto"/>
        <w:rPr>
          <w:rFonts w:ascii="宋体" w:hAnsi="宋体" w:cs="宋体"/>
          <w:sz w:val="24"/>
          <w:szCs w:val="24"/>
        </w:rPr>
      </w:pPr>
      <w:r>
        <w:rPr>
          <w:rFonts w:hint="eastAsia" w:ascii="宋体" w:hAnsi="宋体" w:cs="宋体"/>
          <w:sz w:val="24"/>
          <w:szCs w:val="24"/>
        </w:rPr>
        <w:t>注明：</w:t>
      </w:r>
    </w:p>
    <w:p w14:paraId="2D7D5861">
      <w:pPr>
        <w:pStyle w:val="95"/>
        <w:numPr>
          <w:ilvl w:val="0"/>
          <w:numId w:val="6"/>
        </w:numPr>
        <w:spacing w:line="288" w:lineRule="auto"/>
        <w:ind w:firstLineChars="0"/>
        <w:rPr>
          <w:rFonts w:ascii="宋体" w:hAnsi="宋体" w:cs="宋体"/>
          <w:sz w:val="24"/>
          <w:szCs w:val="24"/>
        </w:rPr>
      </w:pPr>
      <w:r>
        <w:rPr>
          <w:rFonts w:hint="eastAsia" w:ascii="宋体" w:hAnsi="宋体" w:cs="宋体"/>
          <w:bCs/>
          <w:sz w:val="24"/>
          <w:szCs w:val="24"/>
        </w:rPr>
        <w:t>偏离情况项填写“正”、“负”或“无”，说明项中填写原因。</w:t>
      </w:r>
    </w:p>
    <w:p w14:paraId="5A6DDBF3">
      <w:pPr>
        <w:pStyle w:val="95"/>
        <w:numPr>
          <w:ilvl w:val="0"/>
          <w:numId w:val="6"/>
        </w:numPr>
        <w:spacing w:line="288" w:lineRule="auto"/>
        <w:ind w:firstLineChars="0"/>
        <w:rPr>
          <w:rFonts w:ascii="宋体" w:hAnsi="宋体" w:cs="宋体"/>
          <w:bCs/>
          <w:sz w:val="24"/>
          <w:szCs w:val="24"/>
        </w:rPr>
      </w:pPr>
      <w:r>
        <w:rPr>
          <w:rFonts w:hint="eastAsia" w:ascii="宋体" w:hAnsi="宋体" w:cs="宋体"/>
          <w:bCs/>
          <w:sz w:val="24"/>
          <w:szCs w:val="24"/>
        </w:rPr>
        <w:t>供应商应按照招标文件要求，对响应有偏离的，则说明偏离的内容，若有要求提供相关证明资料的，须按要求提供，否则视为负偏离。</w:t>
      </w:r>
    </w:p>
    <w:p w14:paraId="6A878B56">
      <w:pPr>
        <w:spacing w:line="288" w:lineRule="auto"/>
        <w:rPr>
          <w:rFonts w:ascii="宋体" w:hAnsi="宋体" w:cs="宋体"/>
          <w:sz w:val="24"/>
          <w:szCs w:val="24"/>
        </w:rPr>
      </w:pPr>
    </w:p>
    <w:p w14:paraId="38A264AA">
      <w:pPr>
        <w:spacing w:line="288" w:lineRule="auto"/>
        <w:rPr>
          <w:rFonts w:ascii="宋体" w:hAnsi="宋体" w:cs="宋体"/>
          <w:sz w:val="24"/>
          <w:szCs w:val="24"/>
        </w:rPr>
      </w:pPr>
    </w:p>
    <w:p w14:paraId="13494173">
      <w:pPr>
        <w:spacing w:line="288" w:lineRule="auto"/>
        <w:rPr>
          <w:rFonts w:ascii="宋体" w:hAnsi="宋体" w:cs="宋体"/>
          <w:sz w:val="24"/>
          <w:szCs w:val="24"/>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3F9745A1">
        <w:tblPrEx>
          <w:tblCellMar>
            <w:top w:w="0" w:type="dxa"/>
            <w:left w:w="108" w:type="dxa"/>
            <w:bottom w:w="0" w:type="dxa"/>
            <w:right w:w="108" w:type="dxa"/>
          </w:tblCellMar>
        </w:tblPrEx>
        <w:tc>
          <w:tcPr>
            <w:tcW w:w="5353" w:type="dxa"/>
            <w:shd w:val="clear" w:color="auto" w:fill="auto"/>
          </w:tcPr>
          <w:p w14:paraId="2018FF48">
            <w:pPr>
              <w:overflowPunct w:val="0"/>
              <w:adjustRightInd w:val="0"/>
              <w:spacing w:line="288" w:lineRule="auto"/>
              <w:rPr>
                <w:rFonts w:ascii="宋体" w:hAnsi="宋体" w:cs="宋体"/>
                <w:sz w:val="24"/>
                <w:szCs w:val="24"/>
              </w:rPr>
            </w:pPr>
            <w:r>
              <w:rPr>
                <w:rFonts w:hint="eastAsia" w:ascii="宋体" w:hAnsi="宋体" w:cs="宋体"/>
                <w:sz w:val="24"/>
                <w:szCs w:val="24"/>
              </w:rPr>
              <w:t>供应商名称（加盖公章）：</w:t>
            </w:r>
          </w:p>
        </w:tc>
        <w:tc>
          <w:tcPr>
            <w:tcW w:w="3175" w:type="dxa"/>
            <w:shd w:val="clear" w:color="auto" w:fill="auto"/>
          </w:tcPr>
          <w:p w14:paraId="014FC33E">
            <w:pPr>
              <w:spacing w:line="288" w:lineRule="auto"/>
              <w:rPr>
                <w:rFonts w:ascii="宋体" w:hAnsi="宋体" w:cs="宋体"/>
                <w:sz w:val="24"/>
                <w:szCs w:val="24"/>
              </w:rPr>
            </w:pPr>
          </w:p>
        </w:tc>
      </w:tr>
      <w:tr w14:paraId="396FDB57">
        <w:tblPrEx>
          <w:tblCellMar>
            <w:top w:w="0" w:type="dxa"/>
            <w:left w:w="108" w:type="dxa"/>
            <w:bottom w:w="0" w:type="dxa"/>
            <w:right w:w="108" w:type="dxa"/>
          </w:tblCellMar>
        </w:tblPrEx>
        <w:tc>
          <w:tcPr>
            <w:tcW w:w="5353" w:type="dxa"/>
            <w:shd w:val="clear" w:color="auto" w:fill="auto"/>
          </w:tcPr>
          <w:p w14:paraId="589C27CB">
            <w:pPr>
              <w:spacing w:line="288" w:lineRule="auto"/>
              <w:rPr>
                <w:rFonts w:ascii="宋体" w:hAnsi="宋体" w:cs="宋体"/>
                <w:sz w:val="24"/>
                <w:szCs w:val="24"/>
              </w:rPr>
            </w:pPr>
          </w:p>
          <w:p w14:paraId="552B9FAE">
            <w:pPr>
              <w:spacing w:line="288" w:lineRule="auto"/>
              <w:rPr>
                <w:rFonts w:ascii="宋体" w:hAnsi="宋体" w:cs="宋体"/>
                <w:sz w:val="24"/>
                <w:szCs w:val="24"/>
              </w:rPr>
            </w:pPr>
          </w:p>
          <w:p w14:paraId="05AE4304">
            <w:pPr>
              <w:spacing w:line="288" w:lineRule="auto"/>
              <w:rPr>
                <w:rFonts w:ascii="宋体" w:hAnsi="宋体" w:cs="宋体"/>
                <w:sz w:val="24"/>
                <w:szCs w:val="24"/>
              </w:rPr>
            </w:pPr>
            <w:r>
              <w:rPr>
                <w:rFonts w:hint="eastAsia" w:ascii="宋体" w:hAnsi="宋体" w:cs="宋体"/>
                <w:sz w:val="24"/>
                <w:szCs w:val="24"/>
              </w:rPr>
              <w:t>日期：     年       月        日</w:t>
            </w:r>
          </w:p>
        </w:tc>
        <w:tc>
          <w:tcPr>
            <w:tcW w:w="3175" w:type="dxa"/>
            <w:shd w:val="clear" w:color="auto" w:fill="auto"/>
          </w:tcPr>
          <w:p w14:paraId="56DB9FD3">
            <w:pPr>
              <w:spacing w:line="288" w:lineRule="auto"/>
              <w:rPr>
                <w:rFonts w:ascii="宋体" w:hAnsi="宋体" w:cs="宋体"/>
                <w:sz w:val="24"/>
                <w:szCs w:val="24"/>
              </w:rPr>
            </w:pPr>
          </w:p>
        </w:tc>
      </w:tr>
    </w:tbl>
    <w:p w14:paraId="5E65FE98">
      <w:pPr>
        <w:spacing w:line="360" w:lineRule="auto"/>
        <w:rPr>
          <w:rFonts w:ascii="宋体" w:hAnsi="宋体" w:cs="宋体"/>
          <w:sz w:val="21"/>
          <w:szCs w:val="21"/>
        </w:rPr>
      </w:pPr>
    </w:p>
    <w:p w14:paraId="59554F69">
      <w:pPr>
        <w:rPr>
          <w:rFonts w:ascii="宋体" w:hAnsi="宋体" w:cs="宋体"/>
          <w:b/>
          <w:spacing w:val="20"/>
          <w:sz w:val="30"/>
          <w:szCs w:val="30"/>
        </w:rPr>
      </w:pPr>
      <w:r>
        <w:rPr>
          <w:rFonts w:hint="eastAsia" w:ascii="宋体" w:hAnsi="宋体" w:cs="宋体"/>
          <w:b/>
          <w:spacing w:val="20"/>
          <w:sz w:val="30"/>
          <w:szCs w:val="30"/>
        </w:rPr>
        <w:br w:type="page"/>
      </w:r>
    </w:p>
    <w:p w14:paraId="12AFF80E">
      <w:pPr>
        <w:spacing w:line="360" w:lineRule="auto"/>
        <w:jc w:val="center"/>
        <w:rPr>
          <w:rFonts w:ascii="宋体" w:hAnsi="宋体" w:cs="宋体"/>
          <w:b/>
          <w:sz w:val="36"/>
          <w:szCs w:val="36"/>
        </w:rPr>
      </w:pPr>
      <w:r>
        <w:rPr>
          <w:rFonts w:hint="eastAsia" w:ascii="宋体" w:hAnsi="宋体" w:cs="宋体"/>
          <w:b/>
          <w:sz w:val="36"/>
          <w:szCs w:val="36"/>
        </w:rPr>
        <w:t>九、近三年企业业绩表</w:t>
      </w:r>
    </w:p>
    <w:tbl>
      <w:tblPr>
        <w:tblStyle w:val="44"/>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094"/>
        <w:gridCol w:w="1562"/>
        <w:gridCol w:w="1557"/>
        <w:gridCol w:w="1842"/>
        <w:gridCol w:w="1288"/>
      </w:tblGrid>
      <w:tr w14:paraId="426A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71" w:type="dxa"/>
            <w:gridSpan w:val="6"/>
            <w:vAlign w:val="center"/>
          </w:tcPr>
          <w:p w14:paraId="7F372F18">
            <w:pPr>
              <w:spacing w:before="156" w:after="156" w:line="288" w:lineRule="auto"/>
              <w:rPr>
                <w:rFonts w:ascii="宋体" w:hAnsi="宋体" w:cs="宋体"/>
                <w:b/>
                <w:bCs/>
                <w:sz w:val="24"/>
                <w:szCs w:val="24"/>
              </w:rPr>
            </w:pPr>
            <w:r>
              <w:rPr>
                <w:rFonts w:hint="eastAsia" w:ascii="宋体" w:hAnsi="宋体" w:cs="宋体"/>
                <w:b/>
                <w:bCs/>
                <w:sz w:val="24"/>
                <w:szCs w:val="24"/>
              </w:rPr>
              <w:t xml:space="preserve">项目名称：                          </w:t>
            </w:r>
            <w:r>
              <w:rPr>
                <w:rFonts w:hint="eastAsia" w:ascii="宋体" w:hAnsi="宋体" w:cs="宋体"/>
                <w:b/>
                <w:sz w:val="24"/>
                <w:szCs w:val="24"/>
              </w:rPr>
              <w:t>项目编号：</w:t>
            </w:r>
          </w:p>
        </w:tc>
      </w:tr>
      <w:tr w14:paraId="575B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8" w:type="dxa"/>
            <w:vAlign w:val="center"/>
          </w:tcPr>
          <w:p w14:paraId="7772BEA1">
            <w:pPr>
              <w:spacing w:before="156" w:after="156" w:line="288" w:lineRule="auto"/>
              <w:jc w:val="center"/>
              <w:rPr>
                <w:rFonts w:ascii="宋体" w:hAnsi="宋体" w:cs="宋体"/>
                <w:b/>
                <w:bCs/>
                <w:sz w:val="24"/>
                <w:szCs w:val="24"/>
              </w:rPr>
            </w:pPr>
            <w:r>
              <w:rPr>
                <w:rFonts w:hint="eastAsia" w:ascii="宋体" w:hAnsi="宋体" w:cs="宋体"/>
                <w:b/>
                <w:bCs/>
                <w:sz w:val="24"/>
                <w:szCs w:val="24"/>
              </w:rPr>
              <w:t>序号</w:t>
            </w:r>
          </w:p>
        </w:tc>
        <w:tc>
          <w:tcPr>
            <w:tcW w:w="2094" w:type="dxa"/>
            <w:vAlign w:val="center"/>
          </w:tcPr>
          <w:p w14:paraId="17930A11">
            <w:pPr>
              <w:spacing w:before="156" w:after="156" w:line="288" w:lineRule="auto"/>
              <w:jc w:val="center"/>
              <w:rPr>
                <w:rFonts w:ascii="宋体" w:hAnsi="宋体" w:cs="宋体"/>
                <w:b/>
                <w:bCs/>
                <w:sz w:val="24"/>
                <w:szCs w:val="24"/>
              </w:rPr>
            </w:pPr>
            <w:r>
              <w:rPr>
                <w:rFonts w:hint="eastAsia" w:ascii="宋体" w:hAnsi="宋体" w:cs="宋体"/>
                <w:b/>
                <w:bCs/>
                <w:sz w:val="24"/>
                <w:szCs w:val="24"/>
              </w:rPr>
              <w:t>项目名称</w:t>
            </w:r>
          </w:p>
        </w:tc>
        <w:tc>
          <w:tcPr>
            <w:tcW w:w="1562" w:type="dxa"/>
            <w:vAlign w:val="center"/>
          </w:tcPr>
          <w:p w14:paraId="56EDE209">
            <w:pPr>
              <w:spacing w:before="156" w:after="156" w:line="288" w:lineRule="auto"/>
              <w:jc w:val="center"/>
              <w:rPr>
                <w:rFonts w:ascii="宋体" w:hAnsi="宋体" w:cs="宋体"/>
                <w:b/>
                <w:bCs/>
                <w:sz w:val="24"/>
                <w:szCs w:val="24"/>
              </w:rPr>
            </w:pPr>
            <w:r>
              <w:rPr>
                <w:rFonts w:hint="eastAsia" w:ascii="宋体" w:hAnsi="宋体" w:cs="宋体"/>
                <w:b/>
                <w:bCs/>
                <w:sz w:val="24"/>
                <w:szCs w:val="24"/>
              </w:rPr>
              <w:t>合同金额</w:t>
            </w:r>
          </w:p>
        </w:tc>
        <w:tc>
          <w:tcPr>
            <w:tcW w:w="1557" w:type="dxa"/>
            <w:vAlign w:val="center"/>
          </w:tcPr>
          <w:p w14:paraId="46C7252A">
            <w:pPr>
              <w:spacing w:before="156" w:after="156" w:line="288" w:lineRule="auto"/>
              <w:jc w:val="center"/>
              <w:rPr>
                <w:rFonts w:ascii="宋体" w:hAnsi="宋体" w:cs="宋体"/>
                <w:b/>
                <w:bCs/>
                <w:sz w:val="24"/>
                <w:szCs w:val="24"/>
              </w:rPr>
            </w:pPr>
            <w:r>
              <w:rPr>
                <w:rFonts w:hint="eastAsia" w:ascii="宋体" w:hAnsi="宋体" w:cs="宋体"/>
                <w:b/>
                <w:bCs/>
                <w:sz w:val="24"/>
                <w:szCs w:val="24"/>
              </w:rPr>
              <w:t>签约时间</w:t>
            </w:r>
          </w:p>
        </w:tc>
        <w:tc>
          <w:tcPr>
            <w:tcW w:w="1842" w:type="dxa"/>
            <w:vAlign w:val="center"/>
          </w:tcPr>
          <w:p w14:paraId="37E62144">
            <w:pPr>
              <w:spacing w:before="156" w:after="156" w:line="288" w:lineRule="auto"/>
              <w:jc w:val="center"/>
              <w:rPr>
                <w:rFonts w:ascii="宋体" w:hAnsi="宋体" w:cs="宋体"/>
                <w:b/>
                <w:bCs/>
                <w:sz w:val="24"/>
                <w:szCs w:val="24"/>
              </w:rPr>
            </w:pPr>
            <w:r>
              <w:rPr>
                <w:rFonts w:hint="eastAsia" w:ascii="宋体" w:hAnsi="宋体" w:cs="宋体"/>
                <w:b/>
                <w:bCs/>
                <w:sz w:val="24"/>
                <w:szCs w:val="24"/>
              </w:rPr>
              <w:t>完成情况</w:t>
            </w:r>
          </w:p>
        </w:tc>
        <w:tc>
          <w:tcPr>
            <w:tcW w:w="1288" w:type="dxa"/>
            <w:vAlign w:val="center"/>
          </w:tcPr>
          <w:p w14:paraId="37E8CA79">
            <w:pPr>
              <w:spacing w:before="156" w:after="156" w:line="288" w:lineRule="auto"/>
              <w:jc w:val="center"/>
              <w:rPr>
                <w:rFonts w:ascii="宋体" w:hAnsi="宋体" w:cs="宋体"/>
                <w:b/>
                <w:bCs/>
                <w:sz w:val="24"/>
                <w:szCs w:val="24"/>
              </w:rPr>
            </w:pPr>
            <w:r>
              <w:rPr>
                <w:rFonts w:hint="eastAsia" w:ascii="宋体" w:hAnsi="宋体" w:cs="宋体"/>
                <w:b/>
                <w:bCs/>
                <w:sz w:val="24"/>
                <w:szCs w:val="24"/>
              </w:rPr>
              <w:t>备注</w:t>
            </w:r>
          </w:p>
        </w:tc>
      </w:tr>
      <w:tr w14:paraId="4C88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2F36084E">
            <w:pPr>
              <w:spacing w:before="156" w:after="156" w:line="288" w:lineRule="auto"/>
              <w:jc w:val="center"/>
              <w:rPr>
                <w:rFonts w:ascii="宋体" w:hAnsi="宋体" w:cs="宋体"/>
                <w:sz w:val="24"/>
                <w:szCs w:val="24"/>
              </w:rPr>
            </w:pPr>
          </w:p>
        </w:tc>
        <w:tc>
          <w:tcPr>
            <w:tcW w:w="2094" w:type="dxa"/>
            <w:vAlign w:val="center"/>
          </w:tcPr>
          <w:p w14:paraId="31CA5ABE">
            <w:pPr>
              <w:spacing w:before="156" w:after="156" w:line="288" w:lineRule="auto"/>
              <w:jc w:val="center"/>
              <w:rPr>
                <w:rFonts w:ascii="宋体" w:hAnsi="宋体" w:cs="宋体"/>
                <w:sz w:val="24"/>
                <w:szCs w:val="24"/>
              </w:rPr>
            </w:pPr>
          </w:p>
        </w:tc>
        <w:tc>
          <w:tcPr>
            <w:tcW w:w="1562" w:type="dxa"/>
            <w:vAlign w:val="center"/>
          </w:tcPr>
          <w:p w14:paraId="31AA6717">
            <w:pPr>
              <w:spacing w:before="156" w:after="156" w:line="288" w:lineRule="auto"/>
              <w:jc w:val="center"/>
              <w:rPr>
                <w:rFonts w:ascii="宋体" w:hAnsi="宋体" w:cs="宋体"/>
                <w:sz w:val="24"/>
                <w:szCs w:val="24"/>
              </w:rPr>
            </w:pPr>
          </w:p>
        </w:tc>
        <w:tc>
          <w:tcPr>
            <w:tcW w:w="1557" w:type="dxa"/>
            <w:vAlign w:val="center"/>
          </w:tcPr>
          <w:p w14:paraId="634ED75D">
            <w:pPr>
              <w:spacing w:before="156" w:after="156" w:line="288" w:lineRule="auto"/>
              <w:jc w:val="center"/>
              <w:rPr>
                <w:rFonts w:ascii="宋体" w:hAnsi="宋体" w:cs="宋体"/>
                <w:sz w:val="24"/>
                <w:szCs w:val="24"/>
              </w:rPr>
            </w:pPr>
          </w:p>
        </w:tc>
        <w:tc>
          <w:tcPr>
            <w:tcW w:w="1842" w:type="dxa"/>
            <w:vAlign w:val="center"/>
          </w:tcPr>
          <w:p w14:paraId="729E65EA">
            <w:pPr>
              <w:spacing w:before="156" w:after="156" w:line="288" w:lineRule="auto"/>
              <w:jc w:val="center"/>
              <w:rPr>
                <w:rFonts w:ascii="宋体" w:hAnsi="宋体" w:cs="宋体"/>
                <w:sz w:val="24"/>
                <w:szCs w:val="24"/>
              </w:rPr>
            </w:pPr>
          </w:p>
        </w:tc>
        <w:tc>
          <w:tcPr>
            <w:tcW w:w="1288" w:type="dxa"/>
            <w:vAlign w:val="center"/>
          </w:tcPr>
          <w:p w14:paraId="13FD6C58">
            <w:pPr>
              <w:spacing w:before="156" w:after="156" w:line="288" w:lineRule="auto"/>
              <w:jc w:val="center"/>
              <w:rPr>
                <w:rFonts w:ascii="宋体" w:hAnsi="宋体" w:cs="宋体"/>
                <w:sz w:val="24"/>
                <w:szCs w:val="24"/>
              </w:rPr>
            </w:pPr>
          </w:p>
        </w:tc>
      </w:tr>
      <w:tr w14:paraId="6C65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4EB13F57">
            <w:pPr>
              <w:spacing w:before="156" w:after="156" w:line="288" w:lineRule="auto"/>
              <w:jc w:val="center"/>
              <w:rPr>
                <w:rFonts w:ascii="宋体" w:hAnsi="宋体" w:cs="宋体"/>
                <w:sz w:val="24"/>
                <w:szCs w:val="24"/>
              </w:rPr>
            </w:pPr>
          </w:p>
        </w:tc>
        <w:tc>
          <w:tcPr>
            <w:tcW w:w="2094" w:type="dxa"/>
            <w:vAlign w:val="center"/>
          </w:tcPr>
          <w:p w14:paraId="25B1FAF1">
            <w:pPr>
              <w:spacing w:before="156" w:after="156" w:line="288" w:lineRule="auto"/>
              <w:jc w:val="center"/>
              <w:rPr>
                <w:rFonts w:ascii="宋体" w:hAnsi="宋体" w:cs="宋体"/>
                <w:sz w:val="24"/>
                <w:szCs w:val="24"/>
              </w:rPr>
            </w:pPr>
          </w:p>
        </w:tc>
        <w:tc>
          <w:tcPr>
            <w:tcW w:w="1562" w:type="dxa"/>
            <w:vAlign w:val="center"/>
          </w:tcPr>
          <w:p w14:paraId="21120359">
            <w:pPr>
              <w:spacing w:before="156" w:after="156" w:line="288" w:lineRule="auto"/>
              <w:jc w:val="center"/>
              <w:rPr>
                <w:rFonts w:ascii="宋体" w:hAnsi="宋体" w:cs="宋体"/>
                <w:sz w:val="24"/>
                <w:szCs w:val="24"/>
              </w:rPr>
            </w:pPr>
          </w:p>
        </w:tc>
        <w:tc>
          <w:tcPr>
            <w:tcW w:w="1557" w:type="dxa"/>
            <w:vAlign w:val="center"/>
          </w:tcPr>
          <w:p w14:paraId="1156DE82">
            <w:pPr>
              <w:spacing w:before="156" w:after="156" w:line="288" w:lineRule="auto"/>
              <w:jc w:val="center"/>
              <w:rPr>
                <w:rFonts w:ascii="宋体" w:hAnsi="宋体" w:cs="宋体"/>
                <w:sz w:val="24"/>
                <w:szCs w:val="24"/>
              </w:rPr>
            </w:pPr>
          </w:p>
        </w:tc>
        <w:tc>
          <w:tcPr>
            <w:tcW w:w="1842" w:type="dxa"/>
            <w:vAlign w:val="center"/>
          </w:tcPr>
          <w:p w14:paraId="6823FFE2">
            <w:pPr>
              <w:spacing w:before="156" w:after="156" w:line="288" w:lineRule="auto"/>
              <w:jc w:val="center"/>
              <w:rPr>
                <w:rFonts w:ascii="宋体" w:hAnsi="宋体" w:cs="宋体"/>
                <w:sz w:val="24"/>
                <w:szCs w:val="24"/>
              </w:rPr>
            </w:pPr>
          </w:p>
        </w:tc>
        <w:tc>
          <w:tcPr>
            <w:tcW w:w="1288" w:type="dxa"/>
            <w:vAlign w:val="center"/>
          </w:tcPr>
          <w:p w14:paraId="6AC3700A">
            <w:pPr>
              <w:spacing w:before="156" w:after="156" w:line="288" w:lineRule="auto"/>
              <w:jc w:val="center"/>
              <w:rPr>
                <w:rFonts w:ascii="宋体" w:hAnsi="宋体" w:cs="宋体"/>
                <w:sz w:val="24"/>
                <w:szCs w:val="24"/>
              </w:rPr>
            </w:pPr>
          </w:p>
        </w:tc>
      </w:tr>
      <w:tr w14:paraId="76E6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0EA6D12">
            <w:pPr>
              <w:spacing w:before="156" w:after="156" w:line="288" w:lineRule="auto"/>
              <w:jc w:val="center"/>
              <w:rPr>
                <w:rFonts w:ascii="宋体" w:hAnsi="宋体" w:cs="宋体"/>
                <w:sz w:val="24"/>
                <w:szCs w:val="24"/>
              </w:rPr>
            </w:pPr>
          </w:p>
        </w:tc>
        <w:tc>
          <w:tcPr>
            <w:tcW w:w="2094" w:type="dxa"/>
            <w:vAlign w:val="center"/>
          </w:tcPr>
          <w:p w14:paraId="5AAEB9D5">
            <w:pPr>
              <w:spacing w:before="156" w:after="156" w:line="288" w:lineRule="auto"/>
              <w:jc w:val="center"/>
              <w:rPr>
                <w:rFonts w:ascii="宋体" w:hAnsi="宋体" w:cs="宋体"/>
                <w:sz w:val="24"/>
                <w:szCs w:val="24"/>
              </w:rPr>
            </w:pPr>
          </w:p>
        </w:tc>
        <w:tc>
          <w:tcPr>
            <w:tcW w:w="1562" w:type="dxa"/>
            <w:vAlign w:val="center"/>
          </w:tcPr>
          <w:p w14:paraId="2B19FAB8">
            <w:pPr>
              <w:spacing w:before="156" w:after="156" w:line="288" w:lineRule="auto"/>
              <w:jc w:val="center"/>
              <w:rPr>
                <w:rFonts w:ascii="宋体" w:hAnsi="宋体" w:cs="宋体"/>
                <w:sz w:val="24"/>
                <w:szCs w:val="24"/>
              </w:rPr>
            </w:pPr>
          </w:p>
        </w:tc>
        <w:tc>
          <w:tcPr>
            <w:tcW w:w="1557" w:type="dxa"/>
            <w:vAlign w:val="center"/>
          </w:tcPr>
          <w:p w14:paraId="16A7AE74">
            <w:pPr>
              <w:spacing w:before="156" w:after="156" w:line="288" w:lineRule="auto"/>
              <w:jc w:val="center"/>
              <w:rPr>
                <w:rFonts w:ascii="宋体" w:hAnsi="宋体" w:cs="宋体"/>
                <w:sz w:val="24"/>
                <w:szCs w:val="24"/>
              </w:rPr>
            </w:pPr>
          </w:p>
        </w:tc>
        <w:tc>
          <w:tcPr>
            <w:tcW w:w="1842" w:type="dxa"/>
            <w:vAlign w:val="center"/>
          </w:tcPr>
          <w:p w14:paraId="7396727F">
            <w:pPr>
              <w:spacing w:before="156" w:after="156" w:line="288" w:lineRule="auto"/>
              <w:jc w:val="center"/>
              <w:rPr>
                <w:rFonts w:ascii="宋体" w:hAnsi="宋体" w:cs="宋体"/>
                <w:sz w:val="24"/>
                <w:szCs w:val="24"/>
              </w:rPr>
            </w:pPr>
          </w:p>
        </w:tc>
        <w:tc>
          <w:tcPr>
            <w:tcW w:w="1288" w:type="dxa"/>
            <w:vAlign w:val="center"/>
          </w:tcPr>
          <w:p w14:paraId="6C9F746B">
            <w:pPr>
              <w:spacing w:before="156" w:after="156" w:line="288" w:lineRule="auto"/>
              <w:jc w:val="center"/>
              <w:rPr>
                <w:rFonts w:ascii="宋体" w:hAnsi="宋体" w:cs="宋体"/>
                <w:sz w:val="24"/>
                <w:szCs w:val="24"/>
              </w:rPr>
            </w:pPr>
          </w:p>
        </w:tc>
      </w:tr>
      <w:tr w14:paraId="7053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62ED5E4">
            <w:pPr>
              <w:spacing w:before="156" w:after="156" w:line="288" w:lineRule="auto"/>
              <w:jc w:val="center"/>
              <w:rPr>
                <w:rFonts w:ascii="宋体" w:hAnsi="宋体" w:cs="宋体"/>
                <w:sz w:val="24"/>
                <w:szCs w:val="24"/>
              </w:rPr>
            </w:pPr>
          </w:p>
        </w:tc>
        <w:tc>
          <w:tcPr>
            <w:tcW w:w="2094" w:type="dxa"/>
            <w:vAlign w:val="center"/>
          </w:tcPr>
          <w:p w14:paraId="3802D1BE">
            <w:pPr>
              <w:spacing w:before="156" w:after="156" w:line="288" w:lineRule="auto"/>
              <w:jc w:val="center"/>
              <w:rPr>
                <w:rFonts w:ascii="宋体" w:hAnsi="宋体" w:cs="宋体"/>
                <w:sz w:val="24"/>
                <w:szCs w:val="24"/>
              </w:rPr>
            </w:pPr>
          </w:p>
        </w:tc>
        <w:tc>
          <w:tcPr>
            <w:tcW w:w="1562" w:type="dxa"/>
            <w:vAlign w:val="center"/>
          </w:tcPr>
          <w:p w14:paraId="50D4131E">
            <w:pPr>
              <w:spacing w:before="156" w:after="156" w:line="288" w:lineRule="auto"/>
              <w:jc w:val="center"/>
              <w:rPr>
                <w:rFonts w:ascii="宋体" w:hAnsi="宋体" w:cs="宋体"/>
                <w:sz w:val="24"/>
                <w:szCs w:val="24"/>
              </w:rPr>
            </w:pPr>
          </w:p>
        </w:tc>
        <w:tc>
          <w:tcPr>
            <w:tcW w:w="1557" w:type="dxa"/>
            <w:vAlign w:val="center"/>
          </w:tcPr>
          <w:p w14:paraId="0D976BCB">
            <w:pPr>
              <w:spacing w:before="156" w:after="156" w:line="288" w:lineRule="auto"/>
              <w:jc w:val="center"/>
              <w:rPr>
                <w:rFonts w:ascii="宋体" w:hAnsi="宋体" w:cs="宋体"/>
                <w:sz w:val="24"/>
                <w:szCs w:val="24"/>
              </w:rPr>
            </w:pPr>
          </w:p>
        </w:tc>
        <w:tc>
          <w:tcPr>
            <w:tcW w:w="1842" w:type="dxa"/>
            <w:vAlign w:val="center"/>
          </w:tcPr>
          <w:p w14:paraId="53FA3B25">
            <w:pPr>
              <w:spacing w:before="156" w:after="156" w:line="288" w:lineRule="auto"/>
              <w:jc w:val="center"/>
              <w:rPr>
                <w:rFonts w:ascii="宋体" w:hAnsi="宋体" w:cs="宋体"/>
                <w:sz w:val="24"/>
                <w:szCs w:val="24"/>
              </w:rPr>
            </w:pPr>
          </w:p>
        </w:tc>
        <w:tc>
          <w:tcPr>
            <w:tcW w:w="1288" w:type="dxa"/>
            <w:vAlign w:val="center"/>
          </w:tcPr>
          <w:p w14:paraId="012C42B8">
            <w:pPr>
              <w:spacing w:before="156" w:after="156" w:line="288" w:lineRule="auto"/>
              <w:jc w:val="center"/>
              <w:rPr>
                <w:rFonts w:ascii="宋体" w:hAnsi="宋体" w:cs="宋体"/>
                <w:sz w:val="24"/>
                <w:szCs w:val="24"/>
              </w:rPr>
            </w:pPr>
          </w:p>
        </w:tc>
      </w:tr>
      <w:tr w14:paraId="65DB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C64E252">
            <w:pPr>
              <w:spacing w:before="156" w:after="156" w:line="288" w:lineRule="auto"/>
              <w:jc w:val="center"/>
              <w:rPr>
                <w:rFonts w:ascii="宋体" w:hAnsi="宋体" w:cs="宋体"/>
                <w:sz w:val="24"/>
                <w:szCs w:val="24"/>
              </w:rPr>
            </w:pPr>
          </w:p>
        </w:tc>
        <w:tc>
          <w:tcPr>
            <w:tcW w:w="2094" w:type="dxa"/>
            <w:vAlign w:val="center"/>
          </w:tcPr>
          <w:p w14:paraId="7E7B1E43">
            <w:pPr>
              <w:spacing w:before="156" w:after="156" w:line="288" w:lineRule="auto"/>
              <w:jc w:val="center"/>
              <w:rPr>
                <w:rFonts w:ascii="宋体" w:hAnsi="宋体" w:cs="宋体"/>
                <w:sz w:val="24"/>
                <w:szCs w:val="24"/>
              </w:rPr>
            </w:pPr>
          </w:p>
        </w:tc>
        <w:tc>
          <w:tcPr>
            <w:tcW w:w="1562" w:type="dxa"/>
            <w:vAlign w:val="center"/>
          </w:tcPr>
          <w:p w14:paraId="1A51530C">
            <w:pPr>
              <w:spacing w:before="156" w:after="156" w:line="288" w:lineRule="auto"/>
              <w:jc w:val="center"/>
              <w:rPr>
                <w:rFonts w:ascii="宋体" w:hAnsi="宋体" w:cs="宋体"/>
                <w:sz w:val="24"/>
                <w:szCs w:val="24"/>
              </w:rPr>
            </w:pPr>
          </w:p>
        </w:tc>
        <w:tc>
          <w:tcPr>
            <w:tcW w:w="1557" w:type="dxa"/>
            <w:vAlign w:val="center"/>
          </w:tcPr>
          <w:p w14:paraId="2AACD3A1">
            <w:pPr>
              <w:spacing w:before="156" w:after="156" w:line="288" w:lineRule="auto"/>
              <w:jc w:val="center"/>
              <w:rPr>
                <w:rFonts w:ascii="宋体" w:hAnsi="宋体" w:cs="宋体"/>
                <w:sz w:val="24"/>
                <w:szCs w:val="24"/>
              </w:rPr>
            </w:pPr>
          </w:p>
        </w:tc>
        <w:tc>
          <w:tcPr>
            <w:tcW w:w="1842" w:type="dxa"/>
            <w:vAlign w:val="center"/>
          </w:tcPr>
          <w:p w14:paraId="26236582">
            <w:pPr>
              <w:spacing w:before="156" w:after="156" w:line="288" w:lineRule="auto"/>
              <w:jc w:val="center"/>
              <w:rPr>
                <w:rFonts w:ascii="宋体" w:hAnsi="宋体" w:cs="宋体"/>
                <w:sz w:val="24"/>
                <w:szCs w:val="24"/>
              </w:rPr>
            </w:pPr>
          </w:p>
        </w:tc>
        <w:tc>
          <w:tcPr>
            <w:tcW w:w="1288" w:type="dxa"/>
            <w:vAlign w:val="center"/>
          </w:tcPr>
          <w:p w14:paraId="1DA014B0">
            <w:pPr>
              <w:spacing w:before="156" w:after="156" w:line="288" w:lineRule="auto"/>
              <w:jc w:val="center"/>
              <w:rPr>
                <w:rFonts w:ascii="宋体" w:hAnsi="宋体" w:cs="宋体"/>
                <w:sz w:val="24"/>
                <w:szCs w:val="24"/>
              </w:rPr>
            </w:pPr>
          </w:p>
        </w:tc>
      </w:tr>
      <w:tr w14:paraId="577A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7412624">
            <w:pPr>
              <w:spacing w:before="156" w:after="156" w:line="288" w:lineRule="auto"/>
              <w:jc w:val="center"/>
              <w:rPr>
                <w:rFonts w:ascii="宋体" w:hAnsi="宋体" w:cs="宋体"/>
                <w:sz w:val="24"/>
                <w:szCs w:val="24"/>
              </w:rPr>
            </w:pPr>
          </w:p>
        </w:tc>
        <w:tc>
          <w:tcPr>
            <w:tcW w:w="2094" w:type="dxa"/>
            <w:vAlign w:val="center"/>
          </w:tcPr>
          <w:p w14:paraId="442142EC">
            <w:pPr>
              <w:spacing w:before="156" w:after="156" w:line="288" w:lineRule="auto"/>
              <w:jc w:val="center"/>
              <w:rPr>
                <w:rFonts w:ascii="宋体" w:hAnsi="宋体" w:cs="宋体"/>
                <w:sz w:val="24"/>
                <w:szCs w:val="24"/>
              </w:rPr>
            </w:pPr>
          </w:p>
        </w:tc>
        <w:tc>
          <w:tcPr>
            <w:tcW w:w="1562" w:type="dxa"/>
            <w:vAlign w:val="center"/>
          </w:tcPr>
          <w:p w14:paraId="52FE1B7A">
            <w:pPr>
              <w:spacing w:before="156" w:after="156" w:line="288" w:lineRule="auto"/>
              <w:jc w:val="center"/>
              <w:rPr>
                <w:rFonts w:ascii="宋体" w:hAnsi="宋体" w:cs="宋体"/>
                <w:sz w:val="24"/>
                <w:szCs w:val="24"/>
              </w:rPr>
            </w:pPr>
          </w:p>
        </w:tc>
        <w:tc>
          <w:tcPr>
            <w:tcW w:w="1557" w:type="dxa"/>
            <w:vAlign w:val="center"/>
          </w:tcPr>
          <w:p w14:paraId="0ED3CF2C">
            <w:pPr>
              <w:spacing w:before="156" w:after="156" w:line="288" w:lineRule="auto"/>
              <w:jc w:val="center"/>
              <w:rPr>
                <w:rFonts w:ascii="宋体" w:hAnsi="宋体" w:cs="宋体"/>
                <w:sz w:val="24"/>
                <w:szCs w:val="24"/>
              </w:rPr>
            </w:pPr>
          </w:p>
        </w:tc>
        <w:tc>
          <w:tcPr>
            <w:tcW w:w="1842" w:type="dxa"/>
            <w:vAlign w:val="center"/>
          </w:tcPr>
          <w:p w14:paraId="35E1C495">
            <w:pPr>
              <w:spacing w:before="156" w:after="156" w:line="288" w:lineRule="auto"/>
              <w:jc w:val="center"/>
              <w:rPr>
                <w:rFonts w:ascii="宋体" w:hAnsi="宋体" w:cs="宋体"/>
                <w:sz w:val="24"/>
                <w:szCs w:val="24"/>
              </w:rPr>
            </w:pPr>
          </w:p>
        </w:tc>
        <w:tc>
          <w:tcPr>
            <w:tcW w:w="1288" w:type="dxa"/>
            <w:vAlign w:val="center"/>
          </w:tcPr>
          <w:p w14:paraId="1A9DBEC3">
            <w:pPr>
              <w:spacing w:before="156" w:after="156" w:line="288" w:lineRule="auto"/>
              <w:jc w:val="center"/>
              <w:rPr>
                <w:rFonts w:ascii="宋体" w:hAnsi="宋体" w:cs="宋体"/>
                <w:sz w:val="24"/>
                <w:szCs w:val="24"/>
              </w:rPr>
            </w:pPr>
          </w:p>
        </w:tc>
      </w:tr>
      <w:tr w14:paraId="4244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4B297C7">
            <w:pPr>
              <w:spacing w:before="156" w:after="156" w:line="288" w:lineRule="auto"/>
              <w:jc w:val="center"/>
              <w:rPr>
                <w:rFonts w:ascii="宋体" w:hAnsi="宋体" w:cs="宋体"/>
                <w:sz w:val="24"/>
                <w:szCs w:val="24"/>
              </w:rPr>
            </w:pPr>
          </w:p>
        </w:tc>
        <w:tc>
          <w:tcPr>
            <w:tcW w:w="2094" w:type="dxa"/>
            <w:vAlign w:val="center"/>
          </w:tcPr>
          <w:p w14:paraId="24AE1CD3">
            <w:pPr>
              <w:spacing w:before="156" w:after="156" w:line="288" w:lineRule="auto"/>
              <w:jc w:val="center"/>
              <w:rPr>
                <w:rFonts w:ascii="宋体" w:hAnsi="宋体" w:cs="宋体"/>
                <w:sz w:val="24"/>
                <w:szCs w:val="24"/>
              </w:rPr>
            </w:pPr>
          </w:p>
        </w:tc>
        <w:tc>
          <w:tcPr>
            <w:tcW w:w="1562" w:type="dxa"/>
            <w:vAlign w:val="center"/>
          </w:tcPr>
          <w:p w14:paraId="452FC83A">
            <w:pPr>
              <w:spacing w:before="156" w:after="156" w:line="288" w:lineRule="auto"/>
              <w:jc w:val="center"/>
              <w:rPr>
                <w:rFonts w:ascii="宋体" w:hAnsi="宋体" w:cs="宋体"/>
                <w:sz w:val="24"/>
                <w:szCs w:val="24"/>
              </w:rPr>
            </w:pPr>
          </w:p>
        </w:tc>
        <w:tc>
          <w:tcPr>
            <w:tcW w:w="1557" w:type="dxa"/>
            <w:vAlign w:val="center"/>
          </w:tcPr>
          <w:p w14:paraId="748DF7CE">
            <w:pPr>
              <w:spacing w:before="156" w:after="156" w:line="288" w:lineRule="auto"/>
              <w:jc w:val="center"/>
              <w:rPr>
                <w:rFonts w:ascii="宋体" w:hAnsi="宋体" w:cs="宋体"/>
                <w:sz w:val="24"/>
                <w:szCs w:val="24"/>
              </w:rPr>
            </w:pPr>
          </w:p>
        </w:tc>
        <w:tc>
          <w:tcPr>
            <w:tcW w:w="1842" w:type="dxa"/>
            <w:vAlign w:val="center"/>
          </w:tcPr>
          <w:p w14:paraId="330D828A">
            <w:pPr>
              <w:spacing w:before="156" w:after="156" w:line="288" w:lineRule="auto"/>
              <w:jc w:val="center"/>
              <w:rPr>
                <w:rFonts w:ascii="宋体" w:hAnsi="宋体" w:cs="宋体"/>
                <w:sz w:val="24"/>
                <w:szCs w:val="24"/>
              </w:rPr>
            </w:pPr>
          </w:p>
        </w:tc>
        <w:tc>
          <w:tcPr>
            <w:tcW w:w="1288" w:type="dxa"/>
            <w:vAlign w:val="center"/>
          </w:tcPr>
          <w:p w14:paraId="235D97EB">
            <w:pPr>
              <w:spacing w:before="156" w:after="156" w:line="288" w:lineRule="auto"/>
              <w:jc w:val="center"/>
              <w:rPr>
                <w:rFonts w:ascii="宋体" w:hAnsi="宋体" w:cs="宋体"/>
                <w:sz w:val="24"/>
                <w:szCs w:val="24"/>
              </w:rPr>
            </w:pPr>
          </w:p>
        </w:tc>
      </w:tr>
      <w:tr w14:paraId="44C4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81A72CC">
            <w:pPr>
              <w:spacing w:before="156" w:after="156" w:line="288" w:lineRule="auto"/>
              <w:jc w:val="center"/>
              <w:rPr>
                <w:rFonts w:ascii="宋体" w:hAnsi="宋体" w:cs="宋体"/>
                <w:sz w:val="24"/>
                <w:szCs w:val="24"/>
              </w:rPr>
            </w:pPr>
          </w:p>
        </w:tc>
        <w:tc>
          <w:tcPr>
            <w:tcW w:w="2094" w:type="dxa"/>
            <w:vAlign w:val="center"/>
          </w:tcPr>
          <w:p w14:paraId="737083E3">
            <w:pPr>
              <w:spacing w:before="156" w:after="156" w:line="288" w:lineRule="auto"/>
              <w:jc w:val="center"/>
              <w:rPr>
                <w:rFonts w:ascii="宋体" w:hAnsi="宋体" w:cs="宋体"/>
                <w:sz w:val="24"/>
                <w:szCs w:val="24"/>
              </w:rPr>
            </w:pPr>
          </w:p>
        </w:tc>
        <w:tc>
          <w:tcPr>
            <w:tcW w:w="1562" w:type="dxa"/>
            <w:vAlign w:val="center"/>
          </w:tcPr>
          <w:p w14:paraId="693F58A8">
            <w:pPr>
              <w:spacing w:before="156" w:after="156" w:line="288" w:lineRule="auto"/>
              <w:jc w:val="center"/>
              <w:rPr>
                <w:rFonts w:ascii="宋体" w:hAnsi="宋体" w:cs="宋体"/>
                <w:sz w:val="24"/>
                <w:szCs w:val="24"/>
              </w:rPr>
            </w:pPr>
          </w:p>
        </w:tc>
        <w:tc>
          <w:tcPr>
            <w:tcW w:w="1557" w:type="dxa"/>
            <w:vAlign w:val="center"/>
          </w:tcPr>
          <w:p w14:paraId="585831B5">
            <w:pPr>
              <w:spacing w:before="156" w:after="156" w:line="288" w:lineRule="auto"/>
              <w:jc w:val="center"/>
              <w:rPr>
                <w:rFonts w:ascii="宋体" w:hAnsi="宋体" w:cs="宋体"/>
                <w:sz w:val="24"/>
                <w:szCs w:val="24"/>
              </w:rPr>
            </w:pPr>
          </w:p>
        </w:tc>
        <w:tc>
          <w:tcPr>
            <w:tcW w:w="1842" w:type="dxa"/>
            <w:vAlign w:val="center"/>
          </w:tcPr>
          <w:p w14:paraId="422803DB">
            <w:pPr>
              <w:spacing w:before="156" w:after="156" w:line="288" w:lineRule="auto"/>
              <w:jc w:val="center"/>
              <w:rPr>
                <w:rFonts w:ascii="宋体" w:hAnsi="宋体" w:cs="宋体"/>
                <w:sz w:val="24"/>
                <w:szCs w:val="24"/>
              </w:rPr>
            </w:pPr>
          </w:p>
        </w:tc>
        <w:tc>
          <w:tcPr>
            <w:tcW w:w="1288" w:type="dxa"/>
            <w:vAlign w:val="center"/>
          </w:tcPr>
          <w:p w14:paraId="5086581D">
            <w:pPr>
              <w:spacing w:before="156" w:after="156" w:line="288" w:lineRule="auto"/>
              <w:jc w:val="center"/>
              <w:rPr>
                <w:rFonts w:ascii="宋体" w:hAnsi="宋体" w:cs="宋体"/>
                <w:sz w:val="24"/>
                <w:szCs w:val="24"/>
              </w:rPr>
            </w:pPr>
          </w:p>
        </w:tc>
      </w:tr>
      <w:tr w14:paraId="7D96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0F5A800">
            <w:pPr>
              <w:spacing w:before="156" w:after="156" w:line="288" w:lineRule="auto"/>
              <w:jc w:val="center"/>
              <w:rPr>
                <w:rFonts w:ascii="宋体" w:hAnsi="宋体" w:cs="宋体"/>
                <w:sz w:val="24"/>
                <w:szCs w:val="24"/>
              </w:rPr>
            </w:pPr>
          </w:p>
        </w:tc>
        <w:tc>
          <w:tcPr>
            <w:tcW w:w="2094" w:type="dxa"/>
            <w:vAlign w:val="center"/>
          </w:tcPr>
          <w:p w14:paraId="497A6D07">
            <w:pPr>
              <w:spacing w:before="156" w:after="156" w:line="288" w:lineRule="auto"/>
              <w:jc w:val="center"/>
              <w:rPr>
                <w:rFonts w:ascii="宋体" w:hAnsi="宋体" w:cs="宋体"/>
                <w:sz w:val="24"/>
                <w:szCs w:val="24"/>
              </w:rPr>
            </w:pPr>
          </w:p>
        </w:tc>
        <w:tc>
          <w:tcPr>
            <w:tcW w:w="1562" w:type="dxa"/>
            <w:vAlign w:val="center"/>
          </w:tcPr>
          <w:p w14:paraId="2499E12A">
            <w:pPr>
              <w:spacing w:before="156" w:after="156" w:line="288" w:lineRule="auto"/>
              <w:jc w:val="center"/>
              <w:rPr>
                <w:rFonts w:ascii="宋体" w:hAnsi="宋体" w:cs="宋体"/>
                <w:sz w:val="24"/>
                <w:szCs w:val="24"/>
              </w:rPr>
            </w:pPr>
          </w:p>
        </w:tc>
        <w:tc>
          <w:tcPr>
            <w:tcW w:w="1557" w:type="dxa"/>
            <w:vAlign w:val="center"/>
          </w:tcPr>
          <w:p w14:paraId="28791066">
            <w:pPr>
              <w:spacing w:before="156" w:after="156" w:line="288" w:lineRule="auto"/>
              <w:jc w:val="center"/>
              <w:rPr>
                <w:rFonts w:ascii="宋体" w:hAnsi="宋体" w:cs="宋体"/>
                <w:sz w:val="24"/>
                <w:szCs w:val="24"/>
              </w:rPr>
            </w:pPr>
          </w:p>
        </w:tc>
        <w:tc>
          <w:tcPr>
            <w:tcW w:w="1842" w:type="dxa"/>
            <w:vAlign w:val="center"/>
          </w:tcPr>
          <w:p w14:paraId="36464D16">
            <w:pPr>
              <w:spacing w:before="156" w:after="156" w:line="288" w:lineRule="auto"/>
              <w:jc w:val="center"/>
              <w:rPr>
                <w:rFonts w:ascii="宋体" w:hAnsi="宋体" w:cs="宋体"/>
                <w:sz w:val="24"/>
                <w:szCs w:val="24"/>
              </w:rPr>
            </w:pPr>
          </w:p>
        </w:tc>
        <w:tc>
          <w:tcPr>
            <w:tcW w:w="1288" w:type="dxa"/>
            <w:vAlign w:val="center"/>
          </w:tcPr>
          <w:p w14:paraId="7C9E2A6A">
            <w:pPr>
              <w:spacing w:before="156" w:after="156" w:line="288" w:lineRule="auto"/>
              <w:jc w:val="center"/>
              <w:rPr>
                <w:rFonts w:ascii="宋体" w:hAnsi="宋体" w:cs="宋体"/>
                <w:sz w:val="24"/>
                <w:szCs w:val="24"/>
              </w:rPr>
            </w:pPr>
          </w:p>
        </w:tc>
      </w:tr>
    </w:tbl>
    <w:p w14:paraId="4F5BCB29">
      <w:pPr>
        <w:spacing w:line="288" w:lineRule="auto"/>
        <w:rPr>
          <w:rFonts w:ascii="宋体" w:hAnsi="宋体" w:cs="宋体"/>
          <w:sz w:val="24"/>
          <w:szCs w:val="24"/>
        </w:rPr>
      </w:pPr>
      <w:r>
        <w:rPr>
          <w:rFonts w:hint="eastAsia" w:ascii="宋体" w:hAnsi="宋体" w:cs="宋体"/>
          <w:sz w:val="24"/>
          <w:szCs w:val="24"/>
        </w:rPr>
        <w:t>附中标通知书或合同复印件并加盖公章。</w:t>
      </w:r>
    </w:p>
    <w:p w14:paraId="00FF81CB">
      <w:pPr>
        <w:spacing w:line="288" w:lineRule="auto"/>
        <w:rPr>
          <w:rFonts w:ascii="宋体" w:hAnsi="宋体" w:cs="宋体"/>
          <w:sz w:val="24"/>
          <w:szCs w:val="24"/>
        </w:rPr>
      </w:pPr>
    </w:p>
    <w:p w14:paraId="1EEE30F1">
      <w:pPr>
        <w:spacing w:line="288" w:lineRule="auto"/>
        <w:rPr>
          <w:rFonts w:ascii="宋体" w:hAnsi="宋体" w:cs="宋体"/>
          <w:sz w:val="24"/>
          <w:szCs w:val="24"/>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478A1B6F">
        <w:tc>
          <w:tcPr>
            <w:tcW w:w="5353" w:type="dxa"/>
            <w:shd w:val="clear" w:color="auto" w:fill="auto"/>
          </w:tcPr>
          <w:p w14:paraId="0E2B0034">
            <w:pPr>
              <w:overflowPunct w:val="0"/>
              <w:adjustRightInd w:val="0"/>
              <w:spacing w:line="288" w:lineRule="auto"/>
              <w:rPr>
                <w:rFonts w:ascii="宋体" w:hAnsi="宋体" w:cs="宋体"/>
                <w:sz w:val="24"/>
                <w:szCs w:val="24"/>
              </w:rPr>
            </w:pPr>
            <w:r>
              <w:rPr>
                <w:rFonts w:hint="eastAsia" w:ascii="宋体" w:hAnsi="宋体" w:cs="宋体"/>
                <w:sz w:val="24"/>
                <w:szCs w:val="24"/>
              </w:rPr>
              <w:t>供应商名称（加盖公章）：</w:t>
            </w:r>
          </w:p>
        </w:tc>
        <w:tc>
          <w:tcPr>
            <w:tcW w:w="3175" w:type="dxa"/>
            <w:shd w:val="clear" w:color="auto" w:fill="auto"/>
          </w:tcPr>
          <w:p w14:paraId="5BBB65B9">
            <w:pPr>
              <w:spacing w:line="288" w:lineRule="auto"/>
              <w:rPr>
                <w:rFonts w:ascii="宋体" w:hAnsi="宋体" w:cs="宋体"/>
                <w:sz w:val="24"/>
                <w:szCs w:val="24"/>
              </w:rPr>
            </w:pPr>
          </w:p>
        </w:tc>
      </w:tr>
      <w:tr w14:paraId="4B8F6462">
        <w:tc>
          <w:tcPr>
            <w:tcW w:w="5353" w:type="dxa"/>
            <w:shd w:val="clear" w:color="auto" w:fill="auto"/>
          </w:tcPr>
          <w:p w14:paraId="00F94981">
            <w:pPr>
              <w:spacing w:line="288" w:lineRule="auto"/>
              <w:rPr>
                <w:rFonts w:ascii="宋体" w:hAnsi="宋体" w:cs="宋体"/>
                <w:sz w:val="24"/>
                <w:szCs w:val="24"/>
              </w:rPr>
            </w:pPr>
          </w:p>
          <w:p w14:paraId="663976F6">
            <w:pPr>
              <w:spacing w:line="288" w:lineRule="auto"/>
              <w:rPr>
                <w:rFonts w:ascii="宋体" w:hAnsi="宋体" w:cs="宋体"/>
                <w:sz w:val="24"/>
                <w:szCs w:val="24"/>
              </w:rPr>
            </w:pPr>
            <w:r>
              <w:rPr>
                <w:rFonts w:hint="eastAsia" w:ascii="宋体" w:hAnsi="宋体" w:cs="宋体"/>
                <w:sz w:val="24"/>
                <w:szCs w:val="24"/>
              </w:rPr>
              <w:t>日期：       年       月        日</w:t>
            </w:r>
          </w:p>
        </w:tc>
        <w:tc>
          <w:tcPr>
            <w:tcW w:w="3175" w:type="dxa"/>
            <w:shd w:val="clear" w:color="auto" w:fill="auto"/>
          </w:tcPr>
          <w:p w14:paraId="321BD83F">
            <w:pPr>
              <w:spacing w:line="288" w:lineRule="auto"/>
              <w:rPr>
                <w:rFonts w:ascii="宋体" w:hAnsi="宋体" w:cs="宋体"/>
                <w:sz w:val="24"/>
                <w:szCs w:val="24"/>
              </w:rPr>
            </w:pPr>
          </w:p>
        </w:tc>
      </w:tr>
    </w:tbl>
    <w:p w14:paraId="268AE80B">
      <w:pPr>
        <w:spacing w:line="360" w:lineRule="auto"/>
        <w:rPr>
          <w:rFonts w:ascii="宋体" w:hAnsi="宋体" w:cs="宋体"/>
          <w:szCs w:val="21"/>
        </w:rPr>
      </w:pPr>
    </w:p>
    <w:p w14:paraId="2A5CCA70">
      <w:pPr>
        <w:rPr>
          <w:rFonts w:ascii="宋体" w:hAnsi="宋体" w:cs="宋体"/>
          <w:b/>
          <w:spacing w:val="20"/>
          <w:sz w:val="30"/>
          <w:szCs w:val="30"/>
        </w:rPr>
      </w:pPr>
      <w:r>
        <w:rPr>
          <w:rFonts w:hint="eastAsia" w:ascii="宋体" w:hAnsi="宋体" w:cs="宋体"/>
          <w:b/>
          <w:spacing w:val="20"/>
          <w:sz w:val="30"/>
          <w:szCs w:val="30"/>
        </w:rPr>
        <w:br w:type="page"/>
      </w:r>
    </w:p>
    <w:p w14:paraId="62253DB0">
      <w:pPr>
        <w:spacing w:line="360" w:lineRule="auto"/>
        <w:jc w:val="center"/>
        <w:rPr>
          <w:rFonts w:ascii="宋体" w:hAnsi="宋体" w:cs="宋体"/>
          <w:b/>
          <w:sz w:val="36"/>
          <w:szCs w:val="36"/>
        </w:rPr>
      </w:pPr>
      <w:r>
        <w:rPr>
          <w:rFonts w:hint="eastAsia" w:ascii="宋体" w:hAnsi="宋体" w:cs="宋体"/>
          <w:b/>
          <w:sz w:val="36"/>
          <w:szCs w:val="36"/>
        </w:rPr>
        <w:t>十、资格声明</w:t>
      </w:r>
    </w:p>
    <w:p w14:paraId="7F25317A">
      <w:pPr>
        <w:adjustRightInd w:val="0"/>
        <w:snapToGrid w:val="0"/>
        <w:spacing w:after="120" w:afterLines="50" w:line="288" w:lineRule="auto"/>
        <w:rPr>
          <w:rFonts w:ascii="宋体" w:hAnsi="宋体" w:cs="宋体"/>
          <w:b/>
          <w:sz w:val="24"/>
          <w:szCs w:val="24"/>
        </w:rPr>
      </w:pPr>
      <w:r>
        <w:rPr>
          <w:rFonts w:hint="eastAsia" w:ascii="宋体" w:hAnsi="宋体" w:cs="宋体"/>
          <w:b/>
          <w:sz w:val="24"/>
          <w:szCs w:val="24"/>
          <w:u w:val="single"/>
        </w:rPr>
        <w:t>（采购代理机构）</w:t>
      </w:r>
      <w:r>
        <w:rPr>
          <w:rFonts w:hint="eastAsia" w:ascii="宋体" w:hAnsi="宋体" w:cs="宋体"/>
          <w:b/>
          <w:sz w:val="24"/>
          <w:szCs w:val="24"/>
        </w:rPr>
        <w:t>：</w:t>
      </w:r>
    </w:p>
    <w:p w14:paraId="1E7AA1A5">
      <w:pPr>
        <w:adjustRightInd w:val="0"/>
        <w:snapToGrid w:val="0"/>
        <w:spacing w:line="288" w:lineRule="auto"/>
        <w:ind w:firstLine="482" w:firstLineChars="200"/>
        <w:rPr>
          <w:rFonts w:ascii="宋体" w:hAnsi="宋体" w:cs="宋体"/>
          <w:sz w:val="24"/>
          <w:szCs w:val="24"/>
        </w:rPr>
      </w:pPr>
      <w:r>
        <w:rPr>
          <w:rFonts w:hint="eastAsia" w:ascii="宋体" w:hAnsi="宋体" w:cs="宋体"/>
          <w:b/>
          <w:bCs/>
          <w:sz w:val="24"/>
          <w:szCs w:val="24"/>
        </w:rPr>
        <w:t>我方愿响应贵方关于</w:t>
      </w:r>
      <w:r>
        <w:rPr>
          <w:rFonts w:hint="eastAsia" w:ascii="宋体" w:hAnsi="宋体" w:cs="宋体"/>
          <w:b/>
          <w:bCs/>
          <w:sz w:val="24"/>
          <w:szCs w:val="24"/>
          <w:u w:val="single"/>
        </w:rPr>
        <w:t xml:space="preserve">    （项目名称）    </w:t>
      </w:r>
      <w:r>
        <w:rPr>
          <w:rFonts w:hint="eastAsia" w:ascii="宋体" w:hAnsi="宋体" w:cs="宋体"/>
          <w:b/>
          <w:bCs/>
          <w:sz w:val="24"/>
          <w:szCs w:val="24"/>
        </w:rPr>
        <w:t>（项目编号：</w:t>
      </w:r>
      <w:r>
        <w:rPr>
          <w:rFonts w:hint="eastAsia" w:ascii="宋体" w:hAnsi="宋体" w:cs="宋体"/>
          <w:b/>
          <w:bCs/>
          <w:sz w:val="24"/>
          <w:szCs w:val="24"/>
          <w:u w:val="single"/>
        </w:rPr>
        <w:t xml:space="preserve">        </w:t>
      </w:r>
      <w:r>
        <w:rPr>
          <w:rFonts w:hint="eastAsia" w:ascii="宋体" w:hAnsi="宋体" w:cs="宋体"/>
          <w:b/>
          <w:bCs/>
          <w:sz w:val="24"/>
          <w:szCs w:val="24"/>
        </w:rPr>
        <w:t>）的投标，参与投标，提供用户需求书中规定的货物及相关服务，并按招标文件要求提交所附资格文件且声明和保证如下：</w:t>
      </w:r>
    </w:p>
    <w:p w14:paraId="46B2BB1A">
      <w:pPr>
        <w:adjustRightInd w:val="0"/>
        <w:snapToGrid w:val="0"/>
        <w:spacing w:line="288" w:lineRule="auto"/>
        <w:ind w:firstLine="360"/>
        <w:rPr>
          <w:rFonts w:ascii="宋体" w:hAnsi="宋体" w:cs="宋体"/>
          <w:sz w:val="24"/>
          <w:szCs w:val="24"/>
        </w:rPr>
      </w:pPr>
      <w:r>
        <w:rPr>
          <w:rFonts w:hint="eastAsia" w:ascii="宋体" w:hAnsi="宋体" w:cs="宋体"/>
          <w:sz w:val="24"/>
          <w:szCs w:val="24"/>
        </w:rPr>
        <w:t>本公司（企业）</w:t>
      </w:r>
      <w:r>
        <w:rPr>
          <w:rFonts w:hint="eastAsia" w:ascii="宋体" w:hAnsi="宋体" w:cs="宋体"/>
          <w:bCs/>
          <w:sz w:val="24"/>
          <w:szCs w:val="24"/>
        </w:rPr>
        <w:t>具备招标文件中资格要求。</w:t>
      </w:r>
    </w:p>
    <w:p w14:paraId="494BF371">
      <w:pPr>
        <w:pStyle w:val="95"/>
        <w:numPr>
          <w:ilvl w:val="0"/>
          <w:numId w:val="7"/>
        </w:numPr>
        <w:adjustRightInd w:val="0"/>
        <w:snapToGrid w:val="0"/>
        <w:spacing w:line="288" w:lineRule="auto"/>
        <w:ind w:firstLineChars="0"/>
        <w:rPr>
          <w:rFonts w:ascii="宋体" w:hAnsi="宋体" w:cs="宋体"/>
          <w:bCs/>
          <w:sz w:val="24"/>
          <w:szCs w:val="24"/>
        </w:rPr>
      </w:pPr>
      <w:r>
        <w:rPr>
          <w:rFonts w:hint="eastAsia" w:ascii="宋体" w:hAnsi="宋体" w:cs="宋体"/>
          <w:bCs/>
          <w:sz w:val="24"/>
          <w:szCs w:val="24"/>
        </w:rPr>
        <w:t>根据《中华人民共和国政府采购法实施条例》的规定，本公司（企业）如为招标项目提供整体设计、规范编制或者项目管理、监理、检测等服务的供应商，不再参加该招标项目的其他招标活动。</w:t>
      </w:r>
    </w:p>
    <w:p w14:paraId="4A33AA7D">
      <w:pPr>
        <w:adjustRightInd w:val="0"/>
        <w:snapToGrid w:val="0"/>
        <w:spacing w:line="288" w:lineRule="auto"/>
        <w:ind w:firstLine="484" w:firstLineChars="202"/>
        <w:rPr>
          <w:rFonts w:ascii="宋体" w:hAnsi="宋体" w:cs="宋体"/>
          <w:sz w:val="24"/>
          <w:szCs w:val="24"/>
        </w:rPr>
      </w:pPr>
      <w:r>
        <w:rPr>
          <w:rFonts w:hint="eastAsia" w:ascii="宋体" w:hAnsi="宋体" w:cs="宋体"/>
          <w:sz w:val="24"/>
          <w:szCs w:val="24"/>
        </w:rPr>
        <w:t>单位负责人为同一人或者存在直接控股、管理关系的不同供应商，不得参加同一合同项下的政府采购活动；</w:t>
      </w:r>
      <w:r>
        <w:rPr>
          <w:rFonts w:hint="eastAsia" w:ascii="宋体" w:hAnsi="宋体" w:cs="宋体"/>
          <w:sz w:val="24"/>
          <w:szCs w:val="24"/>
          <w:lang w:val="zh-CN"/>
        </w:rPr>
        <w:t>为采购项目提供整体设计、规范编制或者项目管理、监理、检测等服务的供应商，不得再参加本采购项目的其他采购活动</w:t>
      </w:r>
      <w:r>
        <w:rPr>
          <w:rFonts w:hint="eastAsia" w:ascii="宋体" w:hAnsi="宋体" w:cs="宋体"/>
          <w:sz w:val="24"/>
          <w:szCs w:val="24"/>
        </w:rPr>
        <w:t>；</w:t>
      </w:r>
    </w:p>
    <w:p w14:paraId="6EC96856">
      <w:pPr>
        <w:adjustRightInd w:val="0"/>
        <w:snapToGrid w:val="0"/>
        <w:spacing w:line="288" w:lineRule="auto"/>
        <w:ind w:firstLine="484" w:firstLineChars="202"/>
        <w:rPr>
          <w:rFonts w:ascii="宋体" w:hAnsi="宋体" w:cs="宋体"/>
          <w:sz w:val="24"/>
          <w:szCs w:val="24"/>
        </w:rPr>
      </w:pPr>
      <w:r>
        <w:rPr>
          <w:rFonts w:hint="eastAsia" w:ascii="宋体" w:hAnsi="宋体" w:cs="宋体"/>
          <w:sz w:val="24"/>
          <w:szCs w:val="24"/>
        </w:rPr>
        <w:t>本公司（企业）承诺在本次招标招标活动中，如有违法、违规、弄虚作假行为，所造成的损失、不良后果及法律责任，一律由我公司（企业）承担。</w:t>
      </w:r>
    </w:p>
    <w:p w14:paraId="60B20791">
      <w:pPr>
        <w:adjustRightInd w:val="0"/>
        <w:snapToGrid w:val="0"/>
        <w:spacing w:line="288" w:lineRule="auto"/>
        <w:ind w:firstLine="420"/>
        <w:rPr>
          <w:rFonts w:ascii="宋体" w:hAnsi="宋体" w:cs="宋体"/>
          <w:sz w:val="24"/>
          <w:szCs w:val="24"/>
        </w:rPr>
      </w:pPr>
      <w:r>
        <w:rPr>
          <w:rFonts w:hint="eastAsia" w:ascii="宋体" w:hAnsi="宋体" w:cs="宋体"/>
          <w:sz w:val="24"/>
          <w:szCs w:val="24"/>
        </w:rPr>
        <w:t>特此声明！</w:t>
      </w:r>
    </w:p>
    <w:p w14:paraId="3C496174">
      <w:pPr>
        <w:adjustRightInd w:val="0"/>
        <w:snapToGrid w:val="0"/>
        <w:spacing w:before="240" w:beforeLines="100" w:line="288" w:lineRule="auto"/>
        <w:ind w:firstLine="420"/>
        <w:rPr>
          <w:rFonts w:ascii="宋体" w:hAnsi="宋体" w:cs="宋体"/>
          <w:b/>
          <w:sz w:val="24"/>
          <w:szCs w:val="24"/>
        </w:rPr>
      </w:pPr>
      <w:r>
        <w:rPr>
          <w:rFonts w:hint="eastAsia" w:ascii="宋体" w:hAnsi="宋体" w:cs="宋体"/>
          <w:b/>
          <w:sz w:val="24"/>
          <w:szCs w:val="24"/>
        </w:rPr>
        <w:t>备注：1.本声明函必须提供且内容不得擅自删改，否则视为无效投标。</w:t>
      </w:r>
    </w:p>
    <w:p w14:paraId="33EADD2A">
      <w:pPr>
        <w:adjustRightInd w:val="0"/>
        <w:snapToGrid w:val="0"/>
        <w:spacing w:line="288" w:lineRule="auto"/>
        <w:ind w:firstLine="1301" w:firstLineChars="540"/>
        <w:rPr>
          <w:rFonts w:ascii="宋体" w:hAnsi="宋体" w:cs="宋体"/>
          <w:b/>
          <w:sz w:val="24"/>
          <w:szCs w:val="24"/>
        </w:rPr>
      </w:pPr>
      <w:r>
        <w:rPr>
          <w:rFonts w:hint="eastAsia" w:ascii="宋体" w:hAnsi="宋体" w:cs="宋体"/>
          <w:b/>
          <w:sz w:val="24"/>
          <w:szCs w:val="24"/>
        </w:rPr>
        <w:t>2.本声明函如有虚假或与事实不符的，作无效投标处理。</w:t>
      </w:r>
    </w:p>
    <w:p w14:paraId="6147E347">
      <w:pPr>
        <w:adjustRightInd w:val="0"/>
        <w:snapToGrid w:val="0"/>
        <w:spacing w:after="120" w:afterLines="50" w:line="288" w:lineRule="auto"/>
        <w:rPr>
          <w:rFonts w:ascii="宋体" w:hAnsi="宋体" w:cs="宋体"/>
          <w:b/>
          <w:sz w:val="24"/>
          <w:szCs w:val="24"/>
        </w:rPr>
      </w:pPr>
    </w:p>
    <w:p w14:paraId="04939D95">
      <w:pPr>
        <w:adjustRightInd w:val="0"/>
        <w:snapToGrid w:val="0"/>
        <w:spacing w:after="120" w:afterLines="50" w:line="288" w:lineRule="auto"/>
        <w:rPr>
          <w:rFonts w:ascii="宋体" w:hAnsi="宋体" w:cs="宋体"/>
          <w:b/>
          <w:sz w:val="24"/>
          <w:szCs w:val="24"/>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3C94EE79">
        <w:tblPrEx>
          <w:tblCellMar>
            <w:top w:w="0" w:type="dxa"/>
            <w:left w:w="108" w:type="dxa"/>
            <w:bottom w:w="0" w:type="dxa"/>
            <w:right w:w="108" w:type="dxa"/>
          </w:tblCellMar>
        </w:tblPrEx>
        <w:tc>
          <w:tcPr>
            <w:tcW w:w="5353" w:type="dxa"/>
            <w:shd w:val="clear" w:color="auto" w:fill="auto"/>
          </w:tcPr>
          <w:p w14:paraId="466B2E20">
            <w:pPr>
              <w:spacing w:line="288" w:lineRule="auto"/>
              <w:rPr>
                <w:rFonts w:ascii="宋体" w:hAnsi="宋体" w:cs="宋体"/>
                <w:sz w:val="24"/>
                <w:szCs w:val="24"/>
              </w:rPr>
            </w:pPr>
            <w:r>
              <w:rPr>
                <w:rFonts w:hint="eastAsia" w:ascii="宋体" w:hAnsi="宋体" w:cs="宋体"/>
                <w:sz w:val="24"/>
                <w:szCs w:val="24"/>
              </w:rPr>
              <w:t>供应商名称（加盖公章）：</w:t>
            </w:r>
          </w:p>
        </w:tc>
        <w:tc>
          <w:tcPr>
            <w:tcW w:w="3175" w:type="dxa"/>
            <w:shd w:val="clear" w:color="auto" w:fill="auto"/>
          </w:tcPr>
          <w:p w14:paraId="323D18A5">
            <w:pPr>
              <w:spacing w:line="288" w:lineRule="auto"/>
              <w:rPr>
                <w:rFonts w:ascii="宋体" w:hAnsi="宋体" w:cs="宋体"/>
                <w:sz w:val="24"/>
                <w:szCs w:val="24"/>
              </w:rPr>
            </w:pPr>
          </w:p>
        </w:tc>
      </w:tr>
      <w:tr w14:paraId="17EFAACA">
        <w:tblPrEx>
          <w:tblCellMar>
            <w:top w:w="0" w:type="dxa"/>
            <w:left w:w="108" w:type="dxa"/>
            <w:bottom w:w="0" w:type="dxa"/>
            <w:right w:w="108" w:type="dxa"/>
          </w:tblCellMar>
        </w:tblPrEx>
        <w:tc>
          <w:tcPr>
            <w:tcW w:w="5353" w:type="dxa"/>
            <w:shd w:val="clear" w:color="auto" w:fill="auto"/>
          </w:tcPr>
          <w:p w14:paraId="366C1709">
            <w:pPr>
              <w:spacing w:line="288" w:lineRule="auto"/>
              <w:rPr>
                <w:rFonts w:ascii="宋体" w:hAnsi="宋体" w:cs="宋体"/>
                <w:sz w:val="24"/>
                <w:szCs w:val="24"/>
              </w:rPr>
            </w:pPr>
            <w:r>
              <w:rPr>
                <w:rFonts w:hint="eastAsia" w:ascii="宋体" w:hAnsi="宋体" w:cs="宋体"/>
                <w:sz w:val="24"/>
                <w:szCs w:val="24"/>
              </w:rPr>
              <w:t>法定代表人（签字）：</w:t>
            </w:r>
          </w:p>
        </w:tc>
        <w:tc>
          <w:tcPr>
            <w:tcW w:w="3175" w:type="dxa"/>
            <w:shd w:val="clear" w:color="auto" w:fill="auto"/>
          </w:tcPr>
          <w:p w14:paraId="3430845E">
            <w:pPr>
              <w:spacing w:line="288" w:lineRule="auto"/>
              <w:rPr>
                <w:rFonts w:ascii="宋体" w:hAnsi="宋体" w:cs="宋体"/>
                <w:sz w:val="24"/>
                <w:szCs w:val="24"/>
              </w:rPr>
            </w:pPr>
          </w:p>
        </w:tc>
      </w:tr>
      <w:tr w14:paraId="71BA436B">
        <w:tblPrEx>
          <w:tblCellMar>
            <w:top w:w="0" w:type="dxa"/>
            <w:left w:w="108" w:type="dxa"/>
            <w:bottom w:w="0" w:type="dxa"/>
            <w:right w:w="108" w:type="dxa"/>
          </w:tblCellMar>
        </w:tblPrEx>
        <w:tc>
          <w:tcPr>
            <w:tcW w:w="5353" w:type="dxa"/>
            <w:shd w:val="clear" w:color="auto" w:fill="auto"/>
          </w:tcPr>
          <w:p w14:paraId="7D9D283F">
            <w:pPr>
              <w:spacing w:line="288" w:lineRule="auto"/>
              <w:rPr>
                <w:rFonts w:ascii="宋体" w:hAnsi="宋体" w:cs="宋体"/>
                <w:sz w:val="24"/>
                <w:szCs w:val="24"/>
              </w:rPr>
            </w:pPr>
          </w:p>
          <w:p w14:paraId="15DA2CAF">
            <w:pPr>
              <w:spacing w:line="288" w:lineRule="auto"/>
              <w:rPr>
                <w:rFonts w:ascii="宋体" w:hAnsi="宋体" w:cs="宋体"/>
                <w:sz w:val="24"/>
                <w:szCs w:val="24"/>
              </w:rPr>
            </w:pPr>
          </w:p>
          <w:p w14:paraId="7BE3B111">
            <w:pPr>
              <w:spacing w:line="288" w:lineRule="auto"/>
              <w:rPr>
                <w:rFonts w:ascii="宋体" w:hAnsi="宋体" w:cs="宋体"/>
                <w:sz w:val="24"/>
                <w:szCs w:val="24"/>
              </w:rPr>
            </w:pPr>
            <w:r>
              <w:rPr>
                <w:rFonts w:hint="eastAsia" w:ascii="宋体" w:hAnsi="宋体" w:cs="宋体"/>
                <w:sz w:val="24"/>
                <w:szCs w:val="24"/>
              </w:rPr>
              <w:t>日期：    年      月      日</w:t>
            </w:r>
          </w:p>
        </w:tc>
        <w:tc>
          <w:tcPr>
            <w:tcW w:w="3175" w:type="dxa"/>
            <w:shd w:val="clear" w:color="auto" w:fill="auto"/>
          </w:tcPr>
          <w:p w14:paraId="700DB2E2">
            <w:pPr>
              <w:spacing w:line="288" w:lineRule="auto"/>
              <w:rPr>
                <w:rFonts w:ascii="宋体" w:hAnsi="宋体" w:cs="宋体"/>
                <w:sz w:val="24"/>
                <w:szCs w:val="24"/>
              </w:rPr>
            </w:pPr>
          </w:p>
        </w:tc>
      </w:tr>
    </w:tbl>
    <w:p w14:paraId="336A1FAB">
      <w:pPr>
        <w:spacing w:before="480" w:beforeLines="200" w:after="360" w:afterLines="150" w:line="288" w:lineRule="auto"/>
        <w:jc w:val="center"/>
        <w:rPr>
          <w:rFonts w:ascii="宋体" w:hAnsi="宋体" w:cs="宋体"/>
          <w:b/>
          <w:spacing w:val="20"/>
          <w:sz w:val="24"/>
          <w:szCs w:val="24"/>
        </w:rPr>
      </w:pPr>
    </w:p>
    <w:p w14:paraId="2806F52C">
      <w:pPr>
        <w:rPr>
          <w:rFonts w:ascii="宋体" w:hAnsi="宋体" w:cs="宋体"/>
          <w:b/>
          <w:spacing w:val="20"/>
          <w:sz w:val="30"/>
          <w:szCs w:val="30"/>
        </w:rPr>
      </w:pPr>
      <w:r>
        <w:rPr>
          <w:rFonts w:hint="eastAsia" w:ascii="宋体" w:hAnsi="宋体" w:cs="宋体"/>
          <w:b/>
          <w:spacing w:val="20"/>
          <w:sz w:val="30"/>
          <w:szCs w:val="30"/>
        </w:rPr>
        <w:br w:type="page"/>
      </w:r>
    </w:p>
    <w:p w14:paraId="7B273CCE">
      <w:pPr>
        <w:spacing w:line="360" w:lineRule="auto"/>
        <w:jc w:val="center"/>
        <w:rPr>
          <w:rFonts w:ascii="宋体" w:hAnsi="宋体" w:cs="宋体"/>
          <w:b/>
          <w:sz w:val="36"/>
          <w:szCs w:val="36"/>
        </w:rPr>
      </w:pPr>
      <w:r>
        <w:rPr>
          <w:rFonts w:hint="eastAsia" w:ascii="宋体" w:hAnsi="宋体" w:cs="宋体"/>
          <w:b/>
          <w:sz w:val="36"/>
          <w:szCs w:val="36"/>
        </w:rPr>
        <w:t>十一、技术参数偏离表</w:t>
      </w:r>
    </w:p>
    <w:tbl>
      <w:tblPr>
        <w:tblStyle w:val="44"/>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379"/>
        <w:gridCol w:w="1500"/>
        <w:gridCol w:w="2056"/>
      </w:tblGrid>
      <w:tr w14:paraId="1AE7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14:paraId="4D0E3B3A">
            <w:pPr>
              <w:spacing w:line="288" w:lineRule="auto"/>
              <w:rPr>
                <w:rFonts w:ascii="宋体" w:hAnsi="宋体" w:cs="宋体"/>
                <w:b/>
                <w:sz w:val="24"/>
                <w:szCs w:val="24"/>
              </w:rPr>
            </w:pPr>
            <w:r>
              <w:rPr>
                <w:rFonts w:hint="eastAsia" w:ascii="宋体" w:hAnsi="宋体" w:cs="宋体"/>
                <w:b/>
                <w:bCs/>
                <w:sz w:val="24"/>
                <w:szCs w:val="24"/>
              </w:rPr>
              <w:t xml:space="preserve">项目名称：                                         </w:t>
            </w:r>
            <w:r>
              <w:rPr>
                <w:rFonts w:hint="eastAsia" w:ascii="宋体" w:hAnsi="宋体" w:cs="宋体"/>
                <w:b/>
                <w:sz w:val="24"/>
                <w:szCs w:val="24"/>
              </w:rPr>
              <w:t>项目编号：</w:t>
            </w:r>
          </w:p>
        </w:tc>
      </w:tr>
      <w:tr w14:paraId="4C58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144CFAFC">
            <w:pPr>
              <w:spacing w:line="288" w:lineRule="auto"/>
              <w:jc w:val="center"/>
              <w:rPr>
                <w:rFonts w:ascii="宋体" w:hAnsi="宋体" w:cs="宋体"/>
                <w:b/>
                <w:sz w:val="24"/>
                <w:szCs w:val="24"/>
              </w:rPr>
            </w:pPr>
            <w:r>
              <w:rPr>
                <w:rFonts w:hint="eastAsia" w:ascii="宋体" w:hAnsi="宋体" w:cs="宋体"/>
                <w:b/>
                <w:sz w:val="24"/>
                <w:szCs w:val="24"/>
              </w:rPr>
              <w:t>序号</w:t>
            </w:r>
          </w:p>
        </w:tc>
        <w:tc>
          <w:tcPr>
            <w:tcW w:w="2352" w:type="dxa"/>
            <w:vAlign w:val="center"/>
          </w:tcPr>
          <w:p w14:paraId="1AB2471F">
            <w:pPr>
              <w:spacing w:line="288" w:lineRule="auto"/>
              <w:jc w:val="center"/>
              <w:rPr>
                <w:rFonts w:ascii="宋体" w:hAnsi="宋体" w:cs="宋体"/>
                <w:b/>
                <w:sz w:val="24"/>
                <w:szCs w:val="24"/>
              </w:rPr>
            </w:pPr>
            <w:r>
              <w:rPr>
                <w:rFonts w:hint="eastAsia" w:ascii="宋体" w:hAnsi="宋体" w:cs="宋体"/>
                <w:b/>
                <w:sz w:val="24"/>
                <w:szCs w:val="24"/>
              </w:rPr>
              <w:t>招标文件要求</w:t>
            </w:r>
          </w:p>
        </w:tc>
        <w:tc>
          <w:tcPr>
            <w:tcW w:w="2379" w:type="dxa"/>
            <w:vAlign w:val="center"/>
          </w:tcPr>
          <w:p w14:paraId="273FC962">
            <w:pPr>
              <w:spacing w:line="288" w:lineRule="auto"/>
              <w:jc w:val="center"/>
              <w:rPr>
                <w:rFonts w:ascii="宋体" w:hAnsi="宋体" w:cs="宋体"/>
                <w:b/>
                <w:sz w:val="24"/>
                <w:szCs w:val="24"/>
              </w:rPr>
            </w:pPr>
            <w:r>
              <w:rPr>
                <w:rFonts w:hint="eastAsia" w:ascii="宋体" w:hAnsi="宋体" w:cs="宋体"/>
                <w:b/>
                <w:bCs/>
                <w:sz w:val="24"/>
                <w:szCs w:val="24"/>
              </w:rPr>
              <w:t>投标文件响应内容</w:t>
            </w:r>
          </w:p>
        </w:tc>
        <w:tc>
          <w:tcPr>
            <w:tcW w:w="1500" w:type="dxa"/>
            <w:vAlign w:val="center"/>
          </w:tcPr>
          <w:p w14:paraId="47E80D2F">
            <w:pPr>
              <w:spacing w:line="288" w:lineRule="auto"/>
              <w:ind w:left="335" w:hanging="335" w:hangingChars="139"/>
              <w:jc w:val="center"/>
              <w:rPr>
                <w:rFonts w:ascii="宋体" w:hAnsi="宋体" w:cs="宋体"/>
                <w:b/>
                <w:sz w:val="24"/>
                <w:szCs w:val="24"/>
              </w:rPr>
            </w:pPr>
            <w:r>
              <w:rPr>
                <w:rFonts w:hint="eastAsia" w:ascii="宋体" w:hAnsi="宋体" w:cs="宋体"/>
                <w:b/>
                <w:sz w:val="24"/>
                <w:szCs w:val="24"/>
              </w:rPr>
              <w:t>偏离情况</w:t>
            </w:r>
          </w:p>
        </w:tc>
        <w:tc>
          <w:tcPr>
            <w:tcW w:w="2056" w:type="dxa"/>
            <w:vAlign w:val="center"/>
          </w:tcPr>
          <w:p w14:paraId="1A08A84C">
            <w:pPr>
              <w:spacing w:line="288" w:lineRule="auto"/>
              <w:jc w:val="center"/>
              <w:rPr>
                <w:rFonts w:ascii="宋体" w:hAnsi="宋体" w:cs="宋体"/>
                <w:b/>
                <w:sz w:val="24"/>
                <w:szCs w:val="24"/>
              </w:rPr>
            </w:pPr>
            <w:r>
              <w:rPr>
                <w:rFonts w:hint="eastAsia" w:ascii="宋体" w:hAnsi="宋体" w:cs="宋体"/>
                <w:b/>
                <w:sz w:val="24"/>
                <w:szCs w:val="24"/>
              </w:rPr>
              <w:t>说明</w:t>
            </w:r>
          </w:p>
        </w:tc>
      </w:tr>
      <w:tr w14:paraId="17C3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7C987E6F">
            <w:pPr>
              <w:spacing w:line="288" w:lineRule="auto"/>
              <w:jc w:val="center"/>
              <w:rPr>
                <w:rFonts w:ascii="宋体" w:hAnsi="宋体" w:cs="宋体"/>
                <w:sz w:val="24"/>
                <w:szCs w:val="24"/>
              </w:rPr>
            </w:pPr>
          </w:p>
        </w:tc>
        <w:tc>
          <w:tcPr>
            <w:tcW w:w="2352" w:type="dxa"/>
            <w:vAlign w:val="center"/>
          </w:tcPr>
          <w:p w14:paraId="21372E87">
            <w:pPr>
              <w:spacing w:line="288" w:lineRule="auto"/>
              <w:jc w:val="center"/>
              <w:rPr>
                <w:rFonts w:ascii="宋体" w:hAnsi="宋体" w:cs="宋体"/>
                <w:sz w:val="24"/>
                <w:szCs w:val="24"/>
              </w:rPr>
            </w:pPr>
          </w:p>
        </w:tc>
        <w:tc>
          <w:tcPr>
            <w:tcW w:w="2379" w:type="dxa"/>
            <w:vAlign w:val="center"/>
          </w:tcPr>
          <w:p w14:paraId="7A5D1AE9">
            <w:pPr>
              <w:spacing w:line="288" w:lineRule="auto"/>
              <w:jc w:val="center"/>
              <w:rPr>
                <w:rFonts w:ascii="宋体" w:hAnsi="宋体" w:cs="宋体"/>
                <w:sz w:val="24"/>
                <w:szCs w:val="24"/>
              </w:rPr>
            </w:pPr>
          </w:p>
        </w:tc>
        <w:tc>
          <w:tcPr>
            <w:tcW w:w="1500" w:type="dxa"/>
            <w:vAlign w:val="center"/>
          </w:tcPr>
          <w:p w14:paraId="5FFED1D2">
            <w:pPr>
              <w:spacing w:line="288" w:lineRule="auto"/>
              <w:jc w:val="center"/>
              <w:rPr>
                <w:rFonts w:ascii="宋体" w:hAnsi="宋体" w:cs="宋体"/>
                <w:sz w:val="24"/>
                <w:szCs w:val="24"/>
              </w:rPr>
            </w:pPr>
          </w:p>
        </w:tc>
        <w:tc>
          <w:tcPr>
            <w:tcW w:w="2056" w:type="dxa"/>
            <w:vAlign w:val="center"/>
          </w:tcPr>
          <w:p w14:paraId="7413577D">
            <w:pPr>
              <w:spacing w:line="288" w:lineRule="auto"/>
              <w:jc w:val="center"/>
              <w:rPr>
                <w:rFonts w:ascii="宋体" w:hAnsi="宋体" w:cs="宋体"/>
                <w:sz w:val="24"/>
                <w:szCs w:val="24"/>
              </w:rPr>
            </w:pPr>
          </w:p>
        </w:tc>
      </w:tr>
      <w:tr w14:paraId="356F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7ECA19CB">
            <w:pPr>
              <w:spacing w:line="288" w:lineRule="auto"/>
              <w:jc w:val="center"/>
              <w:rPr>
                <w:rFonts w:ascii="宋体" w:hAnsi="宋体" w:cs="宋体"/>
                <w:sz w:val="24"/>
                <w:szCs w:val="24"/>
              </w:rPr>
            </w:pPr>
          </w:p>
        </w:tc>
        <w:tc>
          <w:tcPr>
            <w:tcW w:w="2352" w:type="dxa"/>
            <w:vAlign w:val="center"/>
          </w:tcPr>
          <w:p w14:paraId="2097F7B9">
            <w:pPr>
              <w:spacing w:line="288" w:lineRule="auto"/>
              <w:jc w:val="center"/>
              <w:rPr>
                <w:rFonts w:ascii="宋体" w:hAnsi="宋体" w:cs="宋体"/>
                <w:sz w:val="24"/>
                <w:szCs w:val="24"/>
              </w:rPr>
            </w:pPr>
          </w:p>
        </w:tc>
        <w:tc>
          <w:tcPr>
            <w:tcW w:w="2379" w:type="dxa"/>
            <w:vAlign w:val="center"/>
          </w:tcPr>
          <w:p w14:paraId="5419EC4F">
            <w:pPr>
              <w:spacing w:line="288" w:lineRule="auto"/>
              <w:jc w:val="center"/>
              <w:rPr>
                <w:rFonts w:ascii="宋体" w:hAnsi="宋体" w:cs="宋体"/>
                <w:sz w:val="24"/>
                <w:szCs w:val="24"/>
              </w:rPr>
            </w:pPr>
          </w:p>
        </w:tc>
        <w:tc>
          <w:tcPr>
            <w:tcW w:w="1500" w:type="dxa"/>
            <w:vAlign w:val="center"/>
          </w:tcPr>
          <w:p w14:paraId="498A7754">
            <w:pPr>
              <w:spacing w:line="288" w:lineRule="auto"/>
              <w:jc w:val="center"/>
              <w:rPr>
                <w:rFonts w:ascii="宋体" w:hAnsi="宋体" w:cs="宋体"/>
                <w:sz w:val="24"/>
                <w:szCs w:val="24"/>
              </w:rPr>
            </w:pPr>
          </w:p>
        </w:tc>
        <w:tc>
          <w:tcPr>
            <w:tcW w:w="2056" w:type="dxa"/>
            <w:vAlign w:val="center"/>
          </w:tcPr>
          <w:p w14:paraId="0B349933">
            <w:pPr>
              <w:spacing w:line="288" w:lineRule="auto"/>
              <w:jc w:val="center"/>
              <w:rPr>
                <w:rFonts w:ascii="宋体" w:hAnsi="宋体" w:cs="宋体"/>
                <w:sz w:val="24"/>
                <w:szCs w:val="24"/>
              </w:rPr>
            </w:pPr>
          </w:p>
        </w:tc>
      </w:tr>
      <w:tr w14:paraId="1814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7034E73F">
            <w:pPr>
              <w:spacing w:line="288" w:lineRule="auto"/>
              <w:jc w:val="center"/>
              <w:rPr>
                <w:rFonts w:ascii="宋体" w:hAnsi="宋体" w:cs="宋体"/>
                <w:sz w:val="24"/>
                <w:szCs w:val="24"/>
              </w:rPr>
            </w:pPr>
          </w:p>
        </w:tc>
        <w:tc>
          <w:tcPr>
            <w:tcW w:w="2352" w:type="dxa"/>
            <w:vAlign w:val="center"/>
          </w:tcPr>
          <w:p w14:paraId="66BCD41D">
            <w:pPr>
              <w:spacing w:line="288" w:lineRule="auto"/>
              <w:jc w:val="center"/>
              <w:rPr>
                <w:rFonts w:ascii="宋体" w:hAnsi="宋体" w:cs="宋体"/>
                <w:sz w:val="24"/>
                <w:szCs w:val="24"/>
              </w:rPr>
            </w:pPr>
          </w:p>
        </w:tc>
        <w:tc>
          <w:tcPr>
            <w:tcW w:w="2379" w:type="dxa"/>
            <w:vAlign w:val="center"/>
          </w:tcPr>
          <w:p w14:paraId="1F73C09D">
            <w:pPr>
              <w:spacing w:line="288" w:lineRule="auto"/>
              <w:jc w:val="center"/>
              <w:rPr>
                <w:rFonts w:ascii="宋体" w:hAnsi="宋体" w:cs="宋体"/>
                <w:sz w:val="24"/>
                <w:szCs w:val="24"/>
              </w:rPr>
            </w:pPr>
          </w:p>
        </w:tc>
        <w:tc>
          <w:tcPr>
            <w:tcW w:w="1500" w:type="dxa"/>
            <w:vAlign w:val="center"/>
          </w:tcPr>
          <w:p w14:paraId="18732927">
            <w:pPr>
              <w:spacing w:line="288" w:lineRule="auto"/>
              <w:jc w:val="center"/>
              <w:rPr>
                <w:rFonts w:ascii="宋体" w:hAnsi="宋体" w:cs="宋体"/>
                <w:sz w:val="24"/>
                <w:szCs w:val="24"/>
              </w:rPr>
            </w:pPr>
          </w:p>
        </w:tc>
        <w:tc>
          <w:tcPr>
            <w:tcW w:w="2056" w:type="dxa"/>
            <w:vAlign w:val="center"/>
          </w:tcPr>
          <w:p w14:paraId="3CEF23E6">
            <w:pPr>
              <w:spacing w:line="288" w:lineRule="auto"/>
              <w:jc w:val="center"/>
              <w:rPr>
                <w:rFonts w:ascii="宋体" w:hAnsi="宋体" w:cs="宋体"/>
                <w:sz w:val="24"/>
                <w:szCs w:val="24"/>
              </w:rPr>
            </w:pPr>
          </w:p>
        </w:tc>
      </w:tr>
      <w:tr w14:paraId="7710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78ED112A">
            <w:pPr>
              <w:spacing w:line="288" w:lineRule="auto"/>
              <w:jc w:val="center"/>
              <w:rPr>
                <w:rFonts w:ascii="宋体" w:hAnsi="宋体" w:cs="宋体"/>
                <w:sz w:val="24"/>
                <w:szCs w:val="24"/>
              </w:rPr>
            </w:pPr>
          </w:p>
        </w:tc>
        <w:tc>
          <w:tcPr>
            <w:tcW w:w="2352" w:type="dxa"/>
            <w:vAlign w:val="center"/>
          </w:tcPr>
          <w:p w14:paraId="792FB941">
            <w:pPr>
              <w:spacing w:line="288" w:lineRule="auto"/>
              <w:jc w:val="center"/>
              <w:rPr>
                <w:rFonts w:ascii="宋体" w:hAnsi="宋体" w:cs="宋体"/>
                <w:sz w:val="24"/>
                <w:szCs w:val="24"/>
              </w:rPr>
            </w:pPr>
          </w:p>
        </w:tc>
        <w:tc>
          <w:tcPr>
            <w:tcW w:w="2379" w:type="dxa"/>
            <w:vAlign w:val="center"/>
          </w:tcPr>
          <w:p w14:paraId="48D1A25B">
            <w:pPr>
              <w:spacing w:line="288" w:lineRule="auto"/>
              <w:jc w:val="center"/>
              <w:rPr>
                <w:rFonts w:ascii="宋体" w:hAnsi="宋体" w:cs="宋体"/>
                <w:sz w:val="24"/>
                <w:szCs w:val="24"/>
              </w:rPr>
            </w:pPr>
          </w:p>
        </w:tc>
        <w:tc>
          <w:tcPr>
            <w:tcW w:w="1500" w:type="dxa"/>
            <w:vAlign w:val="center"/>
          </w:tcPr>
          <w:p w14:paraId="557DC652">
            <w:pPr>
              <w:spacing w:line="288" w:lineRule="auto"/>
              <w:jc w:val="center"/>
              <w:rPr>
                <w:rFonts w:ascii="宋体" w:hAnsi="宋体" w:cs="宋体"/>
                <w:sz w:val="24"/>
                <w:szCs w:val="24"/>
              </w:rPr>
            </w:pPr>
          </w:p>
        </w:tc>
        <w:tc>
          <w:tcPr>
            <w:tcW w:w="2056" w:type="dxa"/>
            <w:vAlign w:val="center"/>
          </w:tcPr>
          <w:p w14:paraId="2C188F81">
            <w:pPr>
              <w:spacing w:line="288" w:lineRule="auto"/>
              <w:jc w:val="center"/>
              <w:rPr>
                <w:rFonts w:ascii="宋体" w:hAnsi="宋体" w:cs="宋体"/>
                <w:sz w:val="24"/>
                <w:szCs w:val="24"/>
              </w:rPr>
            </w:pPr>
          </w:p>
        </w:tc>
      </w:tr>
      <w:tr w14:paraId="4E7B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3D5AE42C">
            <w:pPr>
              <w:spacing w:line="288" w:lineRule="auto"/>
              <w:jc w:val="center"/>
              <w:rPr>
                <w:rFonts w:ascii="宋体" w:hAnsi="宋体" w:cs="宋体"/>
                <w:sz w:val="24"/>
                <w:szCs w:val="24"/>
              </w:rPr>
            </w:pPr>
          </w:p>
        </w:tc>
        <w:tc>
          <w:tcPr>
            <w:tcW w:w="2352" w:type="dxa"/>
            <w:vAlign w:val="center"/>
          </w:tcPr>
          <w:p w14:paraId="19A774FE">
            <w:pPr>
              <w:spacing w:line="288" w:lineRule="auto"/>
              <w:jc w:val="center"/>
              <w:rPr>
                <w:rFonts w:ascii="宋体" w:hAnsi="宋体" w:cs="宋体"/>
                <w:sz w:val="24"/>
                <w:szCs w:val="24"/>
              </w:rPr>
            </w:pPr>
          </w:p>
        </w:tc>
        <w:tc>
          <w:tcPr>
            <w:tcW w:w="2379" w:type="dxa"/>
            <w:vAlign w:val="center"/>
          </w:tcPr>
          <w:p w14:paraId="7239B377">
            <w:pPr>
              <w:spacing w:line="288" w:lineRule="auto"/>
              <w:jc w:val="center"/>
              <w:rPr>
                <w:rFonts w:ascii="宋体" w:hAnsi="宋体" w:cs="宋体"/>
                <w:sz w:val="24"/>
                <w:szCs w:val="24"/>
              </w:rPr>
            </w:pPr>
          </w:p>
        </w:tc>
        <w:tc>
          <w:tcPr>
            <w:tcW w:w="1500" w:type="dxa"/>
            <w:vAlign w:val="center"/>
          </w:tcPr>
          <w:p w14:paraId="2C49A661">
            <w:pPr>
              <w:spacing w:line="288" w:lineRule="auto"/>
              <w:jc w:val="center"/>
              <w:rPr>
                <w:rFonts w:ascii="宋体" w:hAnsi="宋体" w:cs="宋体"/>
                <w:sz w:val="24"/>
                <w:szCs w:val="24"/>
              </w:rPr>
            </w:pPr>
          </w:p>
        </w:tc>
        <w:tc>
          <w:tcPr>
            <w:tcW w:w="2056" w:type="dxa"/>
            <w:vAlign w:val="center"/>
          </w:tcPr>
          <w:p w14:paraId="09A66333">
            <w:pPr>
              <w:spacing w:line="288" w:lineRule="auto"/>
              <w:jc w:val="center"/>
              <w:rPr>
                <w:rFonts w:ascii="宋体" w:hAnsi="宋体" w:cs="宋体"/>
                <w:sz w:val="24"/>
                <w:szCs w:val="24"/>
              </w:rPr>
            </w:pPr>
          </w:p>
        </w:tc>
      </w:tr>
    </w:tbl>
    <w:p w14:paraId="498797A3">
      <w:pPr>
        <w:spacing w:before="120" w:beforeLines="50" w:line="288" w:lineRule="auto"/>
        <w:rPr>
          <w:rFonts w:ascii="宋体" w:hAnsi="宋体" w:cs="宋体"/>
          <w:sz w:val="24"/>
          <w:szCs w:val="24"/>
        </w:rPr>
      </w:pPr>
      <w:r>
        <w:rPr>
          <w:rFonts w:hint="eastAsia" w:ascii="宋体" w:hAnsi="宋体" w:cs="宋体"/>
          <w:sz w:val="24"/>
          <w:szCs w:val="24"/>
        </w:rPr>
        <w:t>注明：</w:t>
      </w:r>
    </w:p>
    <w:p w14:paraId="3F8D74B8">
      <w:pPr>
        <w:pStyle w:val="95"/>
        <w:numPr>
          <w:ilvl w:val="0"/>
          <w:numId w:val="8"/>
        </w:numPr>
        <w:spacing w:line="288" w:lineRule="auto"/>
        <w:ind w:firstLineChars="0"/>
        <w:rPr>
          <w:rFonts w:ascii="宋体" w:hAnsi="宋体" w:cs="宋体"/>
          <w:sz w:val="24"/>
          <w:szCs w:val="24"/>
        </w:rPr>
      </w:pPr>
      <w:r>
        <w:rPr>
          <w:rFonts w:hint="eastAsia" w:ascii="宋体" w:hAnsi="宋体" w:cs="宋体"/>
          <w:sz w:val="24"/>
          <w:szCs w:val="24"/>
        </w:rPr>
        <w:t>偏离情况项填写“正”、“负”或“无”，说明项中填写原因。</w:t>
      </w:r>
    </w:p>
    <w:p w14:paraId="128BFF45">
      <w:pPr>
        <w:pStyle w:val="95"/>
        <w:numPr>
          <w:ilvl w:val="0"/>
          <w:numId w:val="8"/>
        </w:numPr>
        <w:spacing w:line="288" w:lineRule="auto"/>
        <w:ind w:firstLineChars="0"/>
        <w:rPr>
          <w:rFonts w:ascii="宋体" w:hAnsi="宋体" w:cs="宋体"/>
          <w:sz w:val="24"/>
          <w:szCs w:val="24"/>
        </w:rPr>
      </w:pPr>
      <w:r>
        <w:rPr>
          <w:rFonts w:hint="eastAsia" w:ascii="宋体" w:hAnsi="宋体" w:cs="宋体"/>
          <w:sz w:val="24"/>
          <w:szCs w:val="24"/>
        </w:rPr>
        <w:t>供应商应按照招标文件要求作出全面响应。对响应有偏离的，则说明偏离的内容。若有要求提供相关证明资料的，须按要求提供，否则视为负偏离。</w:t>
      </w:r>
    </w:p>
    <w:p w14:paraId="2ADD08D9">
      <w:pPr>
        <w:spacing w:line="288" w:lineRule="auto"/>
        <w:rPr>
          <w:rFonts w:ascii="宋体" w:hAnsi="宋体" w:cs="宋体"/>
          <w:sz w:val="24"/>
          <w:szCs w:val="24"/>
        </w:rPr>
      </w:pPr>
    </w:p>
    <w:p w14:paraId="7389EF33">
      <w:pPr>
        <w:spacing w:line="288" w:lineRule="auto"/>
        <w:rPr>
          <w:rFonts w:ascii="宋体" w:hAnsi="宋体" w:cs="宋体"/>
          <w:sz w:val="24"/>
          <w:szCs w:val="24"/>
        </w:rPr>
      </w:pPr>
    </w:p>
    <w:p w14:paraId="195CCB3D">
      <w:pPr>
        <w:spacing w:line="288" w:lineRule="auto"/>
        <w:rPr>
          <w:rFonts w:ascii="宋体" w:hAnsi="宋体" w:cs="宋体"/>
          <w:sz w:val="24"/>
          <w:szCs w:val="24"/>
        </w:rPr>
      </w:pPr>
    </w:p>
    <w:p w14:paraId="3CE6F212">
      <w:pPr>
        <w:spacing w:line="288" w:lineRule="auto"/>
        <w:rPr>
          <w:rFonts w:ascii="宋体" w:hAnsi="宋体" w:cs="宋体"/>
          <w:sz w:val="24"/>
          <w:szCs w:val="24"/>
        </w:rPr>
      </w:pPr>
    </w:p>
    <w:p w14:paraId="1EAC57BB">
      <w:pPr>
        <w:spacing w:line="288" w:lineRule="auto"/>
        <w:rPr>
          <w:rFonts w:ascii="宋体" w:hAnsi="宋体" w:cs="宋体"/>
          <w:sz w:val="24"/>
          <w:szCs w:val="24"/>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483A24C7">
        <w:tblPrEx>
          <w:tblCellMar>
            <w:top w:w="0" w:type="dxa"/>
            <w:left w:w="108" w:type="dxa"/>
            <w:bottom w:w="0" w:type="dxa"/>
            <w:right w:w="108" w:type="dxa"/>
          </w:tblCellMar>
        </w:tblPrEx>
        <w:tc>
          <w:tcPr>
            <w:tcW w:w="5353" w:type="dxa"/>
            <w:shd w:val="clear" w:color="auto" w:fill="auto"/>
          </w:tcPr>
          <w:p w14:paraId="27FF646E">
            <w:pPr>
              <w:overflowPunct w:val="0"/>
              <w:adjustRightInd w:val="0"/>
              <w:spacing w:line="288" w:lineRule="auto"/>
              <w:rPr>
                <w:rFonts w:ascii="宋体" w:hAnsi="宋体" w:cs="宋体"/>
                <w:sz w:val="24"/>
                <w:szCs w:val="24"/>
              </w:rPr>
            </w:pPr>
            <w:r>
              <w:rPr>
                <w:rFonts w:hint="eastAsia" w:ascii="宋体" w:hAnsi="宋体" w:cs="宋体"/>
                <w:sz w:val="24"/>
                <w:szCs w:val="24"/>
              </w:rPr>
              <w:t>供应商名称（加盖公章）：</w:t>
            </w:r>
          </w:p>
        </w:tc>
        <w:tc>
          <w:tcPr>
            <w:tcW w:w="3175" w:type="dxa"/>
            <w:shd w:val="clear" w:color="auto" w:fill="auto"/>
          </w:tcPr>
          <w:p w14:paraId="45EBBCEA">
            <w:pPr>
              <w:spacing w:line="288" w:lineRule="auto"/>
              <w:rPr>
                <w:rFonts w:ascii="宋体" w:hAnsi="宋体" w:cs="宋体"/>
                <w:sz w:val="24"/>
                <w:szCs w:val="24"/>
              </w:rPr>
            </w:pPr>
          </w:p>
        </w:tc>
      </w:tr>
      <w:tr w14:paraId="73B7C472">
        <w:tc>
          <w:tcPr>
            <w:tcW w:w="5353" w:type="dxa"/>
            <w:shd w:val="clear" w:color="auto" w:fill="auto"/>
          </w:tcPr>
          <w:p w14:paraId="4240D5EA">
            <w:pPr>
              <w:spacing w:line="288" w:lineRule="auto"/>
              <w:rPr>
                <w:rFonts w:ascii="宋体" w:hAnsi="宋体" w:cs="宋体"/>
                <w:sz w:val="24"/>
                <w:szCs w:val="24"/>
              </w:rPr>
            </w:pPr>
          </w:p>
          <w:p w14:paraId="03120729">
            <w:pPr>
              <w:spacing w:line="288" w:lineRule="auto"/>
              <w:rPr>
                <w:rFonts w:ascii="宋体" w:hAnsi="宋体" w:cs="宋体"/>
                <w:sz w:val="24"/>
                <w:szCs w:val="24"/>
              </w:rPr>
            </w:pPr>
            <w:r>
              <w:rPr>
                <w:rFonts w:hint="eastAsia" w:ascii="宋体" w:hAnsi="宋体" w:cs="宋体"/>
                <w:sz w:val="24"/>
                <w:szCs w:val="24"/>
              </w:rPr>
              <w:t>日期：      年      月        日</w:t>
            </w:r>
          </w:p>
        </w:tc>
        <w:tc>
          <w:tcPr>
            <w:tcW w:w="3175" w:type="dxa"/>
            <w:shd w:val="clear" w:color="auto" w:fill="auto"/>
          </w:tcPr>
          <w:p w14:paraId="0AE888C4">
            <w:pPr>
              <w:spacing w:line="288" w:lineRule="auto"/>
              <w:rPr>
                <w:rFonts w:ascii="宋体" w:hAnsi="宋体" w:cs="宋体"/>
                <w:sz w:val="24"/>
                <w:szCs w:val="24"/>
              </w:rPr>
            </w:pPr>
          </w:p>
        </w:tc>
      </w:tr>
    </w:tbl>
    <w:p w14:paraId="731B971E">
      <w:pPr>
        <w:spacing w:line="360" w:lineRule="auto"/>
        <w:rPr>
          <w:rFonts w:ascii="宋体" w:hAnsi="宋体" w:cs="宋体"/>
          <w:szCs w:val="21"/>
        </w:rPr>
      </w:pPr>
    </w:p>
    <w:p w14:paraId="0CB719DC">
      <w:pPr>
        <w:spacing w:line="360" w:lineRule="auto"/>
        <w:rPr>
          <w:rFonts w:ascii="宋体" w:hAnsi="宋体" w:cs="宋体"/>
          <w:szCs w:val="21"/>
        </w:rPr>
      </w:pPr>
    </w:p>
    <w:p w14:paraId="2140F311">
      <w:pPr>
        <w:rPr>
          <w:rStyle w:val="47"/>
          <w:rFonts w:ascii="宋体" w:hAnsi="宋体" w:cs="宋体"/>
          <w:bCs w:val="0"/>
          <w:spacing w:val="12"/>
        </w:rPr>
      </w:pPr>
      <w:bookmarkStart w:id="55" w:name="_Toc3236439"/>
      <w:bookmarkStart w:id="56" w:name="_Toc494567328"/>
      <w:bookmarkStart w:id="57" w:name="_Toc391627770"/>
      <w:bookmarkStart w:id="58" w:name="_Toc405313974"/>
      <w:r>
        <w:rPr>
          <w:rStyle w:val="47"/>
          <w:rFonts w:hint="eastAsia" w:ascii="宋体" w:hAnsi="宋体" w:cs="宋体"/>
          <w:spacing w:val="12"/>
        </w:rPr>
        <w:br w:type="page"/>
      </w:r>
    </w:p>
    <w:p w14:paraId="575AA626">
      <w:pPr>
        <w:spacing w:line="360" w:lineRule="auto"/>
        <w:jc w:val="center"/>
        <w:rPr>
          <w:rFonts w:ascii="宋体" w:hAnsi="宋体" w:cs="宋体"/>
          <w:b/>
          <w:sz w:val="36"/>
          <w:szCs w:val="36"/>
        </w:rPr>
      </w:pPr>
      <w:r>
        <w:rPr>
          <w:rFonts w:hint="eastAsia" w:ascii="宋体" w:hAnsi="宋体" w:cs="宋体"/>
          <w:b/>
          <w:sz w:val="36"/>
          <w:szCs w:val="36"/>
        </w:rPr>
        <w:t>十二、技术参数承诺书</w:t>
      </w:r>
    </w:p>
    <w:p w14:paraId="5966D1CF">
      <w:pPr>
        <w:rPr>
          <w:rStyle w:val="47"/>
          <w:rFonts w:ascii="宋体" w:hAnsi="宋体" w:cs="宋体"/>
          <w:spacing w:val="12"/>
        </w:rPr>
      </w:pPr>
    </w:p>
    <w:p w14:paraId="614393FC">
      <w:pPr>
        <w:spacing w:line="288" w:lineRule="auto"/>
        <w:rPr>
          <w:rStyle w:val="47"/>
          <w:rFonts w:ascii="宋体" w:hAnsi="宋体" w:cs="宋体"/>
          <w:b w:val="0"/>
          <w:spacing w:val="12"/>
          <w:sz w:val="24"/>
          <w:szCs w:val="24"/>
        </w:rPr>
      </w:pPr>
      <w:r>
        <w:rPr>
          <w:rStyle w:val="47"/>
          <w:rFonts w:hint="eastAsia" w:ascii="宋体" w:hAnsi="宋体" w:cs="宋体"/>
          <w:spacing w:val="12"/>
          <w:sz w:val="24"/>
          <w:szCs w:val="24"/>
        </w:rPr>
        <w:t>致：（采购人名称）</w:t>
      </w:r>
    </w:p>
    <w:p w14:paraId="2F758186">
      <w:pPr>
        <w:pStyle w:val="4"/>
        <w:spacing w:line="288" w:lineRule="auto"/>
        <w:rPr>
          <w:rStyle w:val="47"/>
          <w:rFonts w:ascii="宋体" w:hAnsi="宋体" w:eastAsia="宋体" w:cs="宋体"/>
          <w:b w:val="0"/>
          <w:bCs w:val="0"/>
          <w:spacing w:val="12"/>
          <w:sz w:val="24"/>
          <w:szCs w:val="24"/>
        </w:rPr>
      </w:pPr>
      <w:r>
        <w:rPr>
          <w:rStyle w:val="47"/>
          <w:rFonts w:hint="eastAsia" w:ascii="宋体" w:hAnsi="宋体" w:eastAsia="宋体" w:cs="宋体"/>
          <w:b w:val="0"/>
          <w:bCs w:val="0"/>
          <w:spacing w:val="12"/>
          <w:sz w:val="24"/>
          <w:szCs w:val="24"/>
        </w:rPr>
        <w:t xml:space="preserve">    我公司承诺：如我公司在参与</w:t>
      </w:r>
      <w:r>
        <w:rPr>
          <w:rStyle w:val="47"/>
          <w:rFonts w:hint="eastAsia" w:ascii="宋体" w:hAnsi="宋体" w:eastAsia="宋体" w:cs="宋体"/>
          <w:b w:val="0"/>
          <w:bCs w:val="0"/>
          <w:spacing w:val="12"/>
          <w:sz w:val="24"/>
          <w:szCs w:val="24"/>
          <w:u w:val="single"/>
        </w:rPr>
        <w:t xml:space="preserve">   （项目名称）    </w:t>
      </w:r>
      <w:r>
        <w:rPr>
          <w:rStyle w:val="47"/>
          <w:rFonts w:hint="eastAsia" w:ascii="宋体" w:hAnsi="宋体" w:eastAsia="宋体" w:cs="宋体"/>
          <w:b w:val="0"/>
          <w:bCs w:val="0"/>
          <w:spacing w:val="12"/>
          <w:sz w:val="24"/>
          <w:szCs w:val="24"/>
        </w:rPr>
        <w:t>中标后，所投货物经采购人验收后若与技术参数偏离表上偏离情况不符合，出现的所有后果由我公司自行承担。</w:t>
      </w:r>
    </w:p>
    <w:p w14:paraId="4FD49109">
      <w:pPr>
        <w:spacing w:line="288" w:lineRule="auto"/>
        <w:rPr>
          <w:rStyle w:val="47"/>
          <w:rFonts w:ascii="宋体" w:hAnsi="宋体" w:cs="宋体"/>
          <w:b w:val="0"/>
          <w:spacing w:val="12"/>
          <w:sz w:val="24"/>
          <w:szCs w:val="24"/>
        </w:rPr>
      </w:pPr>
    </w:p>
    <w:p w14:paraId="1518ACD3">
      <w:pPr>
        <w:pStyle w:val="4"/>
        <w:spacing w:line="288" w:lineRule="auto"/>
        <w:rPr>
          <w:rStyle w:val="47"/>
          <w:rFonts w:ascii="宋体" w:hAnsi="宋体" w:eastAsia="宋体" w:cs="宋体"/>
          <w:b w:val="0"/>
          <w:bCs w:val="0"/>
          <w:spacing w:val="12"/>
          <w:sz w:val="24"/>
          <w:szCs w:val="24"/>
        </w:rPr>
      </w:pPr>
    </w:p>
    <w:p w14:paraId="5621D2E1">
      <w:pPr>
        <w:wordWrap w:val="0"/>
        <w:spacing w:line="288" w:lineRule="auto"/>
        <w:jc w:val="right"/>
        <w:rPr>
          <w:rStyle w:val="47"/>
          <w:rFonts w:ascii="宋体" w:hAnsi="宋体" w:cs="宋体"/>
          <w:b w:val="0"/>
          <w:spacing w:val="12"/>
          <w:sz w:val="24"/>
          <w:szCs w:val="24"/>
          <w:u w:val="single"/>
        </w:rPr>
      </w:pPr>
      <w:r>
        <w:rPr>
          <w:rStyle w:val="47"/>
          <w:rFonts w:hint="eastAsia" w:ascii="宋体" w:hAnsi="宋体" w:cs="宋体"/>
          <w:b w:val="0"/>
          <w:spacing w:val="12"/>
          <w:sz w:val="24"/>
          <w:szCs w:val="24"/>
        </w:rPr>
        <w:t>供应商名称：       （盖单位章）</w:t>
      </w:r>
    </w:p>
    <w:p w14:paraId="1F353575">
      <w:pPr>
        <w:pStyle w:val="4"/>
        <w:wordWrap w:val="0"/>
        <w:spacing w:line="288" w:lineRule="auto"/>
        <w:ind w:right="-1" w:firstLine="264" w:firstLineChars="100"/>
        <w:jc w:val="right"/>
        <w:rPr>
          <w:rFonts w:ascii="宋体" w:hAnsi="宋体" w:eastAsia="宋体" w:cs="宋体"/>
          <w:b w:val="0"/>
          <w:sz w:val="24"/>
          <w:szCs w:val="24"/>
        </w:rPr>
      </w:pPr>
      <w:r>
        <w:rPr>
          <w:rStyle w:val="47"/>
          <w:rFonts w:hint="eastAsia" w:ascii="宋体" w:hAnsi="宋体" w:eastAsia="宋体" w:cs="宋体"/>
          <w:b w:val="0"/>
          <w:bCs w:val="0"/>
          <w:spacing w:val="12"/>
          <w:sz w:val="24"/>
          <w:szCs w:val="24"/>
        </w:rPr>
        <w:t>日     期：     年   月   日</w:t>
      </w:r>
    </w:p>
    <w:bookmarkEnd w:id="55"/>
    <w:bookmarkEnd w:id="56"/>
    <w:p w14:paraId="2AB12BDE">
      <w:pPr>
        <w:rPr>
          <w:rFonts w:ascii="宋体" w:hAnsi="宋体" w:cs="宋体"/>
          <w:sz w:val="32"/>
          <w:szCs w:val="32"/>
        </w:rPr>
      </w:pPr>
      <w:r>
        <w:rPr>
          <w:rFonts w:hint="eastAsia" w:ascii="宋体" w:hAnsi="宋体" w:cs="宋体"/>
          <w:sz w:val="32"/>
          <w:szCs w:val="32"/>
        </w:rPr>
        <w:br w:type="page"/>
      </w:r>
    </w:p>
    <w:p w14:paraId="0AEB3E3B">
      <w:pPr>
        <w:spacing w:line="360" w:lineRule="auto"/>
        <w:jc w:val="center"/>
        <w:rPr>
          <w:rFonts w:ascii="宋体" w:hAnsi="宋体" w:cs="宋体"/>
          <w:b/>
          <w:sz w:val="36"/>
          <w:szCs w:val="36"/>
        </w:rPr>
      </w:pPr>
      <w:r>
        <w:rPr>
          <w:rFonts w:hint="eastAsia" w:ascii="宋体" w:hAnsi="宋体" w:cs="宋体"/>
          <w:b/>
          <w:sz w:val="36"/>
          <w:szCs w:val="36"/>
        </w:rPr>
        <w:t>十三、投标货物详细说明</w:t>
      </w:r>
    </w:p>
    <w:tbl>
      <w:tblPr>
        <w:tblStyle w:val="44"/>
        <w:tblW w:w="911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01"/>
        <w:gridCol w:w="993"/>
        <w:gridCol w:w="1417"/>
        <w:gridCol w:w="2408"/>
        <w:gridCol w:w="1871"/>
      </w:tblGrid>
      <w:tr w14:paraId="2288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13" w:type="dxa"/>
            <w:gridSpan w:val="6"/>
            <w:vAlign w:val="center"/>
          </w:tcPr>
          <w:p w14:paraId="737F9991">
            <w:pPr>
              <w:spacing w:line="288" w:lineRule="auto"/>
              <w:rPr>
                <w:rFonts w:ascii="宋体" w:hAnsi="宋体" w:cs="宋体"/>
                <w:b/>
                <w:sz w:val="24"/>
                <w:szCs w:val="24"/>
              </w:rPr>
            </w:pPr>
            <w:r>
              <w:rPr>
                <w:rFonts w:hint="eastAsia" w:ascii="宋体" w:hAnsi="宋体" w:cs="宋体"/>
                <w:b/>
                <w:bCs/>
                <w:sz w:val="24"/>
                <w:szCs w:val="24"/>
              </w:rPr>
              <w:t xml:space="preserve">项目名称：                                              </w:t>
            </w:r>
            <w:r>
              <w:rPr>
                <w:rFonts w:hint="eastAsia" w:ascii="宋体" w:hAnsi="宋体" w:cs="宋体"/>
                <w:b/>
                <w:sz w:val="24"/>
                <w:szCs w:val="24"/>
              </w:rPr>
              <w:t>项目编号：</w:t>
            </w:r>
          </w:p>
        </w:tc>
      </w:tr>
      <w:tr w14:paraId="33C8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3" w:type="dxa"/>
            <w:vAlign w:val="center"/>
          </w:tcPr>
          <w:p w14:paraId="352D983A">
            <w:pPr>
              <w:spacing w:line="288" w:lineRule="auto"/>
              <w:jc w:val="center"/>
              <w:rPr>
                <w:rFonts w:ascii="宋体" w:hAnsi="宋体" w:cs="宋体"/>
                <w:sz w:val="24"/>
                <w:szCs w:val="24"/>
              </w:rPr>
            </w:pPr>
            <w:r>
              <w:rPr>
                <w:rFonts w:hint="eastAsia" w:ascii="宋体" w:hAnsi="宋体" w:cs="宋体"/>
                <w:sz w:val="24"/>
                <w:szCs w:val="24"/>
              </w:rPr>
              <w:t>序号</w:t>
            </w:r>
          </w:p>
        </w:tc>
        <w:tc>
          <w:tcPr>
            <w:tcW w:w="1701" w:type="dxa"/>
            <w:vAlign w:val="center"/>
          </w:tcPr>
          <w:p w14:paraId="41EE6951">
            <w:pPr>
              <w:spacing w:line="288" w:lineRule="auto"/>
              <w:jc w:val="center"/>
              <w:rPr>
                <w:rFonts w:ascii="宋体" w:hAnsi="宋体" w:cs="宋体"/>
                <w:sz w:val="24"/>
                <w:szCs w:val="24"/>
              </w:rPr>
            </w:pPr>
            <w:r>
              <w:rPr>
                <w:rFonts w:hint="eastAsia" w:ascii="宋体" w:hAnsi="宋体" w:cs="宋体"/>
                <w:sz w:val="24"/>
                <w:szCs w:val="24"/>
              </w:rPr>
              <w:t>货物名称</w:t>
            </w:r>
          </w:p>
        </w:tc>
        <w:tc>
          <w:tcPr>
            <w:tcW w:w="993" w:type="dxa"/>
            <w:vAlign w:val="center"/>
          </w:tcPr>
          <w:p w14:paraId="66A454D0">
            <w:pPr>
              <w:spacing w:line="288" w:lineRule="auto"/>
              <w:jc w:val="center"/>
              <w:rPr>
                <w:rFonts w:ascii="宋体" w:hAnsi="宋体" w:cs="宋体"/>
                <w:sz w:val="24"/>
                <w:szCs w:val="24"/>
              </w:rPr>
            </w:pPr>
            <w:r>
              <w:rPr>
                <w:rFonts w:hint="eastAsia" w:ascii="宋体" w:hAnsi="宋体" w:cs="宋体"/>
                <w:sz w:val="24"/>
                <w:szCs w:val="24"/>
              </w:rPr>
              <w:t>数量</w:t>
            </w:r>
          </w:p>
        </w:tc>
        <w:tc>
          <w:tcPr>
            <w:tcW w:w="1417" w:type="dxa"/>
            <w:vAlign w:val="center"/>
          </w:tcPr>
          <w:p w14:paraId="35D9B15E">
            <w:pPr>
              <w:spacing w:line="288" w:lineRule="auto"/>
              <w:jc w:val="center"/>
              <w:rPr>
                <w:rFonts w:ascii="宋体" w:hAnsi="宋体" w:cs="宋体"/>
                <w:sz w:val="24"/>
                <w:szCs w:val="24"/>
              </w:rPr>
            </w:pPr>
            <w:r>
              <w:rPr>
                <w:rFonts w:hint="eastAsia" w:ascii="宋体" w:hAnsi="宋体" w:cs="宋体"/>
                <w:sz w:val="24"/>
                <w:szCs w:val="24"/>
              </w:rPr>
              <w:t>品牌型号</w:t>
            </w:r>
          </w:p>
        </w:tc>
        <w:tc>
          <w:tcPr>
            <w:tcW w:w="2408" w:type="dxa"/>
            <w:vAlign w:val="center"/>
          </w:tcPr>
          <w:p w14:paraId="39E39BF4">
            <w:pPr>
              <w:spacing w:line="288" w:lineRule="auto"/>
              <w:jc w:val="center"/>
              <w:rPr>
                <w:rFonts w:ascii="宋体" w:hAnsi="宋体" w:cs="宋体"/>
                <w:sz w:val="24"/>
                <w:szCs w:val="24"/>
              </w:rPr>
            </w:pPr>
            <w:r>
              <w:rPr>
                <w:rFonts w:hint="eastAsia" w:ascii="宋体" w:hAnsi="宋体" w:cs="宋体"/>
                <w:sz w:val="24"/>
                <w:szCs w:val="24"/>
              </w:rPr>
              <w:t>性能及技术参数</w:t>
            </w:r>
          </w:p>
        </w:tc>
        <w:tc>
          <w:tcPr>
            <w:tcW w:w="1871" w:type="dxa"/>
            <w:vAlign w:val="center"/>
          </w:tcPr>
          <w:p w14:paraId="2E586734">
            <w:pPr>
              <w:spacing w:line="288" w:lineRule="auto"/>
              <w:jc w:val="center"/>
              <w:rPr>
                <w:rFonts w:ascii="宋体" w:hAnsi="宋体" w:cs="宋体"/>
                <w:sz w:val="24"/>
                <w:szCs w:val="24"/>
              </w:rPr>
            </w:pPr>
            <w:r>
              <w:rPr>
                <w:rFonts w:hint="eastAsia" w:ascii="宋体" w:hAnsi="宋体" w:cs="宋体"/>
                <w:sz w:val="24"/>
                <w:szCs w:val="24"/>
              </w:rPr>
              <w:t>备注</w:t>
            </w:r>
          </w:p>
        </w:tc>
      </w:tr>
      <w:tr w14:paraId="2FEF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16DA907E">
            <w:pPr>
              <w:spacing w:line="288" w:lineRule="auto"/>
              <w:jc w:val="center"/>
              <w:rPr>
                <w:rFonts w:ascii="宋体" w:hAnsi="宋体" w:cs="宋体"/>
                <w:sz w:val="24"/>
                <w:szCs w:val="24"/>
              </w:rPr>
            </w:pPr>
          </w:p>
        </w:tc>
        <w:tc>
          <w:tcPr>
            <w:tcW w:w="1701" w:type="dxa"/>
            <w:vAlign w:val="center"/>
          </w:tcPr>
          <w:p w14:paraId="65142A13">
            <w:pPr>
              <w:spacing w:line="288" w:lineRule="auto"/>
              <w:jc w:val="center"/>
              <w:rPr>
                <w:rFonts w:ascii="宋体" w:hAnsi="宋体" w:cs="宋体"/>
                <w:sz w:val="24"/>
                <w:szCs w:val="24"/>
              </w:rPr>
            </w:pPr>
          </w:p>
        </w:tc>
        <w:tc>
          <w:tcPr>
            <w:tcW w:w="993" w:type="dxa"/>
            <w:vAlign w:val="center"/>
          </w:tcPr>
          <w:p w14:paraId="5903DDC7">
            <w:pPr>
              <w:spacing w:line="288" w:lineRule="auto"/>
              <w:jc w:val="center"/>
              <w:rPr>
                <w:rFonts w:ascii="宋体" w:hAnsi="宋体" w:cs="宋体"/>
                <w:sz w:val="24"/>
                <w:szCs w:val="24"/>
              </w:rPr>
            </w:pPr>
          </w:p>
        </w:tc>
        <w:tc>
          <w:tcPr>
            <w:tcW w:w="1417" w:type="dxa"/>
            <w:vAlign w:val="center"/>
          </w:tcPr>
          <w:p w14:paraId="028E7511">
            <w:pPr>
              <w:spacing w:line="288" w:lineRule="auto"/>
              <w:jc w:val="center"/>
              <w:rPr>
                <w:rFonts w:ascii="宋体" w:hAnsi="宋体" w:cs="宋体"/>
                <w:sz w:val="24"/>
                <w:szCs w:val="24"/>
              </w:rPr>
            </w:pPr>
          </w:p>
        </w:tc>
        <w:tc>
          <w:tcPr>
            <w:tcW w:w="2408" w:type="dxa"/>
            <w:vAlign w:val="center"/>
          </w:tcPr>
          <w:p w14:paraId="63FC6BFA">
            <w:pPr>
              <w:spacing w:line="288" w:lineRule="auto"/>
              <w:jc w:val="center"/>
              <w:rPr>
                <w:rFonts w:ascii="宋体" w:hAnsi="宋体" w:cs="宋体"/>
                <w:sz w:val="24"/>
                <w:szCs w:val="24"/>
              </w:rPr>
            </w:pPr>
          </w:p>
        </w:tc>
        <w:tc>
          <w:tcPr>
            <w:tcW w:w="1871" w:type="dxa"/>
            <w:vAlign w:val="center"/>
          </w:tcPr>
          <w:p w14:paraId="085DFAC6">
            <w:pPr>
              <w:spacing w:line="288" w:lineRule="auto"/>
              <w:jc w:val="center"/>
              <w:rPr>
                <w:rFonts w:ascii="宋体" w:hAnsi="宋体" w:cs="宋体"/>
                <w:sz w:val="24"/>
                <w:szCs w:val="24"/>
              </w:rPr>
            </w:pPr>
          </w:p>
        </w:tc>
      </w:tr>
      <w:tr w14:paraId="3C7F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4F6C86D2">
            <w:pPr>
              <w:spacing w:line="288" w:lineRule="auto"/>
              <w:jc w:val="center"/>
              <w:rPr>
                <w:rFonts w:ascii="宋体" w:hAnsi="宋体" w:cs="宋体"/>
                <w:sz w:val="24"/>
                <w:szCs w:val="24"/>
              </w:rPr>
            </w:pPr>
          </w:p>
        </w:tc>
        <w:tc>
          <w:tcPr>
            <w:tcW w:w="1701" w:type="dxa"/>
            <w:vAlign w:val="center"/>
          </w:tcPr>
          <w:p w14:paraId="4F45E771">
            <w:pPr>
              <w:spacing w:line="288" w:lineRule="auto"/>
              <w:jc w:val="center"/>
              <w:rPr>
                <w:rFonts w:ascii="宋体" w:hAnsi="宋体" w:cs="宋体"/>
                <w:sz w:val="24"/>
                <w:szCs w:val="24"/>
              </w:rPr>
            </w:pPr>
          </w:p>
        </w:tc>
        <w:tc>
          <w:tcPr>
            <w:tcW w:w="993" w:type="dxa"/>
            <w:vAlign w:val="center"/>
          </w:tcPr>
          <w:p w14:paraId="48BD890B">
            <w:pPr>
              <w:spacing w:line="288" w:lineRule="auto"/>
              <w:jc w:val="center"/>
              <w:rPr>
                <w:rFonts w:ascii="宋体" w:hAnsi="宋体" w:cs="宋体"/>
                <w:sz w:val="24"/>
                <w:szCs w:val="24"/>
              </w:rPr>
            </w:pPr>
          </w:p>
        </w:tc>
        <w:tc>
          <w:tcPr>
            <w:tcW w:w="1417" w:type="dxa"/>
            <w:vAlign w:val="center"/>
          </w:tcPr>
          <w:p w14:paraId="09A8B662">
            <w:pPr>
              <w:spacing w:line="288" w:lineRule="auto"/>
              <w:jc w:val="center"/>
              <w:rPr>
                <w:rFonts w:ascii="宋体" w:hAnsi="宋体" w:cs="宋体"/>
                <w:sz w:val="24"/>
                <w:szCs w:val="24"/>
              </w:rPr>
            </w:pPr>
          </w:p>
        </w:tc>
        <w:tc>
          <w:tcPr>
            <w:tcW w:w="2408" w:type="dxa"/>
            <w:vAlign w:val="center"/>
          </w:tcPr>
          <w:p w14:paraId="3F724C1C">
            <w:pPr>
              <w:spacing w:line="288" w:lineRule="auto"/>
              <w:jc w:val="center"/>
              <w:rPr>
                <w:rFonts w:ascii="宋体" w:hAnsi="宋体" w:cs="宋体"/>
                <w:sz w:val="24"/>
                <w:szCs w:val="24"/>
              </w:rPr>
            </w:pPr>
          </w:p>
        </w:tc>
        <w:tc>
          <w:tcPr>
            <w:tcW w:w="1871" w:type="dxa"/>
            <w:vAlign w:val="center"/>
          </w:tcPr>
          <w:p w14:paraId="5FCE833C">
            <w:pPr>
              <w:spacing w:line="288" w:lineRule="auto"/>
              <w:jc w:val="center"/>
              <w:rPr>
                <w:rFonts w:ascii="宋体" w:hAnsi="宋体" w:cs="宋体"/>
                <w:sz w:val="24"/>
                <w:szCs w:val="24"/>
              </w:rPr>
            </w:pPr>
          </w:p>
        </w:tc>
      </w:tr>
      <w:tr w14:paraId="7879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73D13923">
            <w:pPr>
              <w:spacing w:line="288" w:lineRule="auto"/>
              <w:jc w:val="center"/>
              <w:rPr>
                <w:rFonts w:ascii="宋体" w:hAnsi="宋体" w:cs="宋体"/>
                <w:sz w:val="24"/>
                <w:szCs w:val="24"/>
              </w:rPr>
            </w:pPr>
          </w:p>
        </w:tc>
        <w:tc>
          <w:tcPr>
            <w:tcW w:w="1701" w:type="dxa"/>
            <w:vAlign w:val="center"/>
          </w:tcPr>
          <w:p w14:paraId="16C7D7F2">
            <w:pPr>
              <w:spacing w:line="288" w:lineRule="auto"/>
              <w:jc w:val="center"/>
              <w:rPr>
                <w:rFonts w:ascii="宋体" w:hAnsi="宋体" w:cs="宋体"/>
                <w:sz w:val="24"/>
                <w:szCs w:val="24"/>
              </w:rPr>
            </w:pPr>
          </w:p>
        </w:tc>
        <w:tc>
          <w:tcPr>
            <w:tcW w:w="993" w:type="dxa"/>
            <w:vAlign w:val="center"/>
          </w:tcPr>
          <w:p w14:paraId="34D6079C">
            <w:pPr>
              <w:spacing w:line="288" w:lineRule="auto"/>
              <w:jc w:val="center"/>
              <w:rPr>
                <w:rFonts w:ascii="宋体" w:hAnsi="宋体" w:cs="宋体"/>
                <w:sz w:val="24"/>
                <w:szCs w:val="24"/>
              </w:rPr>
            </w:pPr>
          </w:p>
        </w:tc>
        <w:tc>
          <w:tcPr>
            <w:tcW w:w="1417" w:type="dxa"/>
            <w:vAlign w:val="center"/>
          </w:tcPr>
          <w:p w14:paraId="4EA6E9E6">
            <w:pPr>
              <w:spacing w:line="288" w:lineRule="auto"/>
              <w:jc w:val="center"/>
              <w:rPr>
                <w:rFonts w:ascii="宋体" w:hAnsi="宋体" w:cs="宋体"/>
                <w:sz w:val="24"/>
                <w:szCs w:val="24"/>
              </w:rPr>
            </w:pPr>
          </w:p>
        </w:tc>
        <w:tc>
          <w:tcPr>
            <w:tcW w:w="2408" w:type="dxa"/>
            <w:vAlign w:val="center"/>
          </w:tcPr>
          <w:p w14:paraId="2288BF04">
            <w:pPr>
              <w:spacing w:line="288" w:lineRule="auto"/>
              <w:jc w:val="center"/>
              <w:rPr>
                <w:rFonts w:ascii="宋体" w:hAnsi="宋体" w:cs="宋体"/>
                <w:sz w:val="24"/>
                <w:szCs w:val="24"/>
              </w:rPr>
            </w:pPr>
          </w:p>
        </w:tc>
        <w:tc>
          <w:tcPr>
            <w:tcW w:w="1871" w:type="dxa"/>
            <w:vAlign w:val="center"/>
          </w:tcPr>
          <w:p w14:paraId="64F1696F">
            <w:pPr>
              <w:spacing w:line="288" w:lineRule="auto"/>
              <w:jc w:val="center"/>
              <w:rPr>
                <w:rFonts w:ascii="宋体" w:hAnsi="宋体" w:cs="宋体"/>
                <w:sz w:val="24"/>
                <w:szCs w:val="24"/>
              </w:rPr>
            </w:pPr>
          </w:p>
        </w:tc>
      </w:tr>
      <w:tr w14:paraId="08EA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023882BF">
            <w:pPr>
              <w:spacing w:line="288" w:lineRule="auto"/>
              <w:jc w:val="center"/>
              <w:rPr>
                <w:rFonts w:ascii="宋体" w:hAnsi="宋体" w:cs="宋体"/>
                <w:sz w:val="24"/>
                <w:szCs w:val="24"/>
              </w:rPr>
            </w:pPr>
          </w:p>
        </w:tc>
        <w:tc>
          <w:tcPr>
            <w:tcW w:w="1701" w:type="dxa"/>
            <w:vAlign w:val="center"/>
          </w:tcPr>
          <w:p w14:paraId="53B0B653">
            <w:pPr>
              <w:spacing w:line="288" w:lineRule="auto"/>
              <w:jc w:val="center"/>
              <w:rPr>
                <w:rFonts w:ascii="宋体" w:hAnsi="宋体" w:cs="宋体"/>
                <w:sz w:val="24"/>
                <w:szCs w:val="24"/>
              </w:rPr>
            </w:pPr>
          </w:p>
        </w:tc>
        <w:tc>
          <w:tcPr>
            <w:tcW w:w="993" w:type="dxa"/>
            <w:vAlign w:val="center"/>
          </w:tcPr>
          <w:p w14:paraId="126F6802">
            <w:pPr>
              <w:spacing w:line="288" w:lineRule="auto"/>
              <w:jc w:val="center"/>
              <w:rPr>
                <w:rFonts w:ascii="宋体" w:hAnsi="宋体" w:cs="宋体"/>
                <w:sz w:val="24"/>
                <w:szCs w:val="24"/>
              </w:rPr>
            </w:pPr>
          </w:p>
        </w:tc>
        <w:tc>
          <w:tcPr>
            <w:tcW w:w="1417" w:type="dxa"/>
            <w:vAlign w:val="center"/>
          </w:tcPr>
          <w:p w14:paraId="4EB1F363">
            <w:pPr>
              <w:spacing w:line="288" w:lineRule="auto"/>
              <w:jc w:val="center"/>
              <w:rPr>
                <w:rFonts w:ascii="宋体" w:hAnsi="宋体" w:cs="宋体"/>
                <w:sz w:val="24"/>
                <w:szCs w:val="24"/>
              </w:rPr>
            </w:pPr>
          </w:p>
        </w:tc>
        <w:tc>
          <w:tcPr>
            <w:tcW w:w="2408" w:type="dxa"/>
            <w:vAlign w:val="center"/>
          </w:tcPr>
          <w:p w14:paraId="10166F07">
            <w:pPr>
              <w:spacing w:line="288" w:lineRule="auto"/>
              <w:jc w:val="center"/>
              <w:rPr>
                <w:rFonts w:ascii="宋体" w:hAnsi="宋体" w:cs="宋体"/>
                <w:sz w:val="24"/>
                <w:szCs w:val="24"/>
              </w:rPr>
            </w:pPr>
          </w:p>
        </w:tc>
        <w:tc>
          <w:tcPr>
            <w:tcW w:w="1871" w:type="dxa"/>
            <w:vAlign w:val="center"/>
          </w:tcPr>
          <w:p w14:paraId="7111AB4C">
            <w:pPr>
              <w:spacing w:line="288" w:lineRule="auto"/>
              <w:jc w:val="center"/>
              <w:rPr>
                <w:rFonts w:ascii="宋体" w:hAnsi="宋体" w:cs="宋体"/>
                <w:sz w:val="24"/>
                <w:szCs w:val="24"/>
              </w:rPr>
            </w:pPr>
          </w:p>
        </w:tc>
      </w:tr>
      <w:tr w14:paraId="0832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34F47C6D">
            <w:pPr>
              <w:spacing w:line="288" w:lineRule="auto"/>
              <w:jc w:val="center"/>
              <w:rPr>
                <w:rFonts w:ascii="宋体" w:hAnsi="宋体" w:cs="宋体"/>
                <w:sz w:val="24"/>
                <w:szCs w:val="24"/>
              </w:rPr>
            </w:pPr>
          </w:p>
        </w:tc>
        <w:tc>
          <w:tcPr>
            <w:tcW w:w="1701" w:type="dxa"/>
            <w:vAlign w:val="center"/>
          </w:tcPr>
          <w:p w14:paraId="5F560A41">
            <w:pPr>
              <w:spacing w:line="288" w:lineRule="auto"/>
              <w:jc w:val="center"/>
              <w:rPr>
                <w:rFonts w:ascii="宋体" w:hAnsi="宋体" w:cs="宋体"/>
                <w:sz w:val="24"/>
                <w:szCs w:val="24"/>
              </w:rPr>
            </w:pPr>
          </w:p>
        </w:tc>
        <w:tc>
          <w:tcPr>
            <w:tcW w:w="993" w:type="dxa"/>
            <w:vAlign w:val="center"/>
          </w:tcPr>
          <w:p w14:paraId="1B257CD5">
            <w:pPr>
              <w:spacing w:line="288" w:lineRule="auto"/>
              <w:jc w:val="center"/>
              <w:rPr>
                <w:rFonts w:ascii="宋体" w:hAnsi="宋体" w:cs="宋体"/>
                <w:sz w:val="24"/>
                <w:szCs w:val="24"/>
              </w:rPr>
            </w:pPr>
          </w:p>
        </w:tc>
        <w:tc>
          <w:tcPr>
            <w:tcW w:w="1417" w:type="dxa"/>
            <w:vAlign w:val="center"/>
          </w:tcPr>
          <w:p w14:paraId="2AA196D7">
            <w:pPr>
              <w:spacing w:line="288" w:lineRule="auto"/>
              <w:jc w:val="center"/>
              <w:rPr>
                <w:rFonts w:ascii="宋体" w:hAnsi="宋体" w:cs="宋体"/>
                <w:sz w:val="24"/>
                <w:szCs w:val="24"/>
              </w:rPr>
            </w:pPr>
          </w:p>
        </w:tc>
        <w:tc>
          <w:tcPr>
            <w:tcW w:w="2408" w:type="dxa"/>
            <w:vAlign w:val="center"/>
          </w:tcPr>
          <w:p w14:paraId="54F02E69">
            <w:pPr>
              <w:spacing w:line="288" w:lineRule="auto"/>
              <w:jc w:val="center"/>
              <w:rPr>
                <w:rFonts w:ascii="宋体" w:hAnsi="宋体" w:cs="宋体"/>
                <w:sz w:val="24"/>
                <w:szCs w:val="24"/>
              </w:rPr>
            </w:pPr>
          </w:p>
        </w:tc>
        <w:tc>
          <w:tcPr>
            <w:tcW w:w="1871" w:type="dxa"/>
            <w:vAlign w:val="center"/>
          </w:tcPr>
          <w:p w14:paraId="6AEB46E1">
            <w:pPr>
              <w:spacing w:line="288" w:lineRule="auto"/>
              <w:jc w:val="center"/>
              <w:rPr>
                <w:rFonts w:ascii="宋体" w:hAnsi="宋体" w:cs="宋体"/>
                <w:sz w:val="24"/>
                <w:szCs w:val="24"/>
              </w:rPr>
            </w:pPr>
          </w:p>
        </w:tc>
      </w:tr>
      <w:tr w14:paraId="3B8C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34CE8E02">
            <w:pPr>
              <w:spacing w:line="288" w:lineRule="auto"/>
              <w:jc w:val="center"/>
              <w:rPr>
                <w:rFonts w:ascii="宋体" w:hAnsi="宋体" w:cs="宋体"/>
                <w:sz w:val="24"/>
                <w:szCs w:val="24"/>
              </w:rPr>
            </w:pPr>
          </w:p>
        </w:tc>
        <w:tc>
          <w:tcPr>
            <w:tcW w:w="1701" w:type="dxa"/>
            <w:vAlign w:val="center"/>
          </w:tcPr>
          <w:p w14:paraId="450703A5">
            <w:pPr>
              <w:spacing w:line="288" w:lineRule="auto"/>
              <w:jc w:val="center"/>
              <w:rPr>
                <w:rFonts w:ascii="宋体" w:hAnsi="宋体" w:cs="宋体"/>
                <w:sz w:val="24"/>
                <w:szCs w:val="24"/>
              </w:rPr>
            </w:pPr>
          </w:p>
        </w:tc>
        <w:tc>
          <w:tcPr>
            <w:tcW w:w="993" w:type="dxa"/>
            <w:vAlign w:val="center"/>
          </w:tcPr>
          <w:p w14:paraId="314EC319">
            <w:pPr>
              <w:spacing w:line="288" w:lineRule="auto"/>
              <w:jc w:val="center"/>
              <w:rPr>
                <w:rFonts w:ascii="宋体" w:hAnsi="宋体" w:cs="宋体"/>
                <w:sz w:val="24"/>
                <w:szCs w:val="24"/>
              </w:rPr>
            </w:pPr>
          </w:p>
        </w:tc>
        <w:tc>
          <w:tcPr>
            <w:tcW w:w="1417" w:type="dxa"/>
            <w:vAlign w:val="center"/>
          </w:tcPr>
          <w:p w14:paraId="5AEA4FBE">
            <w:pPr>
              <w:spacing w:line="288" w:lineRule="auto"/>
              <w:jc w:val="center"/>
              <w:rPr>
                <w:rFonts w:ascii="宋体" w:hAnsi="宋体" w:cs="宋体"/>
                <w:sz w:val="24"/>
                <w:szCs w:val="24"/>
              </w:rPr>
            </w:pPr>
          </w:p>
        </w:tc>
        <w:tc>
          <w:tcPr>
            <w:tcW w:w="2408" w:type="dxa"/>
            <w:vAlign w:val="center"/>
          </w:tcPr>
          <w:p w14:paraId="7ECC3FE8">
            <w:pPr>
              <w:spacing w:line="288" w:lineRule="auto"/>
              <w:jc w:val="center"/>
              <w:rPr>
                <w:rFonts w:ascii="宋体" w:hAnsi="宋体" w:cs="宋体"/>
                <w:sz w:val="24"/>
                <w:szCs w:val="24"/>
              </w:rPr>
            </w:pPr>
          </w:p>
        </w:tc>
        <w:tc>
          <w:tcPr>
            <w:tcW w:w="1871" w:type="dxa"/>
            <w:vAlign w:val="center"/>
          </w:tcPr>
          <w:p w14:paraId="7775A9AA">
            <w:pPr>
              <w:spacing w:line="288" w:lineRule="auto"/>
              <w:jc w:val="center"/>
              <w:rPr>
                <w:rFonts w:ascii="宋体" w:hAnsi="宋体" w:cs="宋体"/>
                <w:sz w:val="24"/>
                <w:szCs w:val="24"/>
              </w:rPr>
            </w:pPr>
          </w:p>
        </w:tc>
      </w:tr>
      <w:tr w14:paraId="5179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7A918B91">
            <w:pPr>
              <w:spacing w:line="288" w:lineRule="auto"/>
              <w:jc w:val="center"/>
              <w:rPr>
                <w:rFonts w:ascii="宋体" w:hAnsi="宋体" w:cs="宋体"/>
                <w:sz w:val="24"/>
                <w:szCs w:val="24"/>
              </w:rPr>
            </w:pPr>
          </w:p>
        </w:tc>
        <w:tc>
          <w:tcPr>
            <w:tcW w:w="1701" w:type="dxa"/>
            <w:vAlign w:val="center"/>
          </w:tcPr>
          <w:p w14:paraId="14718519">
            <w:pPr>
              <w:spacing w:line="288" w:lineRule="auto"/>
              <w:jc w:val="center"/>
              <w:rPr>
                <w:rFonts w:ascii="宋体" w:hAnsi="宋体" w:cs="宋体"/>
                <w:sz w:val="24"/>
                <w:szCs w:val="24"/>
              </w:rPr>
            </w:pPr>
          </w:p>
        </w:tc>
        <w:tc>
          <w:tcPr>
            <w:tcW w:w="993" w:type="dxa"/>
            <w:vAlign w:val="center"/>
          </w:tcPr>
          <w:p w14:paraId="7EEAB1CF">
            <w:pPr>
              <w:spacing w:line="288" w:lineRule="auto"/>
              <w:jc w:val="center"/>
              <w:rPr>
                <w:rFonts w:ascii="宋体" w:hAnsi="宋体" w:cs="宋体"/>
                <w:sz w:val="24"/>
                <w:szCs w:val="24"/>
              </w:rPr>
            </w:pPr>
          </w:p>
        </w:tc>
        <w:tc>
          <w:tcPr>
            <w:tcW w:w="1417" w:type="dxa"/>
            <w:vAlign w:val="center"/>
          </w:tcPr>
          <w:p w14:paraId="0806AC89">
            <w:pPr>
              <w:spacing w:line="288" w:lineRule="auto"/>
              <w:jc w:val="center"/>
              <w:rPr>
                <w:rFonts w:ascii="宋体" w:hAnsi="宋体" w:cs="宋体"/>
                <w:sz w:val="24"/>
                <w:szCs w:val="24"/>
              </w:rPr>
            </w:pPr>
          </w:p>
        </w:tc>
        <w:tc>
          <w:tcPr>
            <w:tcW w:w="2408" w:type="dxa"/>
            <w:vAlign w:val="center"/>
          </w:tcPr>
          <w:p w14:paraId="76BEFA51">
            <w:pPr>
              <w:spacing w:line="288" w:lineRule="auto"/>
              <w:jc w:val="center"/>
              <w:rPr>
                <w:rFonts w:ascii="宋体" w:hAnsi="宋体" w:cs="宋体"/>
                <w:sz w:val="24"/>
                <w:szCs w:val="24"/>
              </w:rPr>
            </w:pPr>
          </w:p>
        </w:tc>
        <w:tc>
          <w:tcPr>
            <w:tcW w:w="1871" w:type="dxa"/>
            <w:vAlign w:val="center"/>
          </w:tcPr>
          <w:p w14:paraId="45ACC98D">
            <w:pPr>
              <w:spacing w:line="288" w:lineRule="auto"/>
              <w:jc w:val="center"/>
              <w:rPr>
                <w:rFonts w:ascii="宋体" w:hAnsi="宋体" w:cs="宋体"/>
                <w:sz w:val="24"/>
                <w:szCs w:val="24"/>
              </w:rPr>
            </w:pPr>
          </w:p>
        </w:tc>
      </w:tr>
      <w:tr w14:paraId="2B6F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2EE81ECE">
            <w:pPr>
              <w:spacing w:line="288" w:lineRule="auto"/>
              <w:jc w:val="center"/>
              <w:rPr>
                <w:rFonts w:ascii="宋体" w:hAnsi="宋体" w:cs="宋体"/>
                <w:sz w:val="24"/>
                <w:szCs w:val="24"/>
              </w:rPr>
            </w:pPr>
          </w:p>
        </w:tc>
        <w:tc>
          <w:tcPr>
            <w:tcW w:w="1701" w:type="dxa"/>
            <w:vAlign w:val="center"/>
          </w:tcPr>
          <w:p w14:paraId="58A8CBEB">
            <w:pPr>
              <w:spacing w:line="288" w:lineRule="auto"/>
              <w:jc w:val="center"/>
              <w:rPr>
                <w:rFonts w:ascii="宋体" w:hAnsi="宋体" w:cs="宋体"/>
                <w:sz w:val="24"/>
                <w:szCs w:val="24"/>
              </w:rPr>
            </w:pPr>
          </w:p>
        </w:tc>
        <w:tc>
          <w:tcPr>
            <w:tcW w:w="993" w:type="dxa"/>
            <w:vAlign w:val="center"/>
          </w:tcPr>
          <w:p w14:paraId="6AA32930">
            <w:pPr>
              <w:spacing w:line="288" w:lineRule="auto"/>
              <w:jc w:val="center"/>
              <w:rPr>
                <w:rFonts w:ascii="宋体" w:hAnsi="宋体" w:cs="宋体"/>
                <w:sz w:val="24"/>
                <w:szCs w:val="24"/>
              </w:rPr>
            </w:pPr>
          </w:p>
        </w:tc>
        <w:tc>
          <w:tcPr>
            <w:tcW w:w="1417" w:type="dxa"/>
            <w:vAlign w:val="center"/>
          </w:tcPr>
          <w:p w14:paraId="727A8EFD">
            <w:pPr>
              <w:spacing w:line="288" w:lineRule="auto"/>
              <w:jc w:val="center"/>
              <w:rPr>
                <w:rFonts w:ascii="宋体" w:hAnsi="宋体" w:cs="宋体"/>
                <w:sz w:val="24"/>
                <w:szCs w:val="24"/>
              </w:rPr>
            </w:pPr>
          </w:p>
        </w:tc>
        <w:tc>
          <w:tcPr>
            <w:tcW w:w="2408" w:type="dxa"/>
            <w:vAlign w:val="center"/>
          </w:tcPr>
          <w:p w14:paraId="1E04CF6A">
            <w:pPr>
              <w:spacing w:line="288" w:lineRule="auto"/>
              <w:jc w:val="center"/>
              <w:rPr>
                <w:rFonts w:ascii="宋体" w:hAnsi="宋体" w:cs="宋体"/>
                <w:sz w:val="24"/>
                <w:szCs w:val="24"/>
              </w:rPr>
            </w:pPr>
          </w:p>
        </w:tc>
        <w:tc>
          <w:tcPr>
            <w:tcW w:w="1871" w:type="dxa"/>
            <w:vAlign w:val="center"/>
          </w:tcPr>
          <w:p w14:paraId="43A13F08">
            <w:pPr>
              <w:spacing w:line="288" w:lineRule="auto"/>
              <w:jc w:val="center"/>
              <w:rPr>
                <w:rFonts w:ascii="宋体" w:hAnsi="宋体" w:cs="宋体"/>
                <w:sz w:val="24"/>
                <w:szCs w:val="24"/>
              </w:rPr>
            </w:pPr>
          </w:p>
        </w:tc>
      </w:tr>
    </w:tbl>
    <w:p w14:paraId="7F457F13">
      <w:pPr>
        <w:pStyle w:val="17"/>
        <w:overflowPunct w:val="0"/>
        <w:spacing w:before="120" w:beforeLines="50" w:after="0" w:line="288" w:lineRule="auto"/>
        <w:rPr>
          <w:rFonts w:ascii="宋体" w:hAnsi="宋体" w:cs="宋体"/>
          <w:sz w:val="24"/>
          <w:szCs w:val="24"/>
        </w:rPr>
      </w:pPr>
      <w:r>
        <w:rPr>
          <w:rFonts w:hint="eastAsia" w:ascii="宋体" w:hAnsi="宋体" w:cs="宋体"/>
          <w:sz w:val="24"/>
          <w:szCs w:val="24"/>
        </w:rPr>
        <w:t>注明：供应商应按招标文件要求，根据“采购需求”详细列出产品的各项技术要求、技术措施或处理（须提供“采购需求”中要求提交的证明资料）</w:t>
      </w:r>
    </w:p>
    <w:p w14:paraId="6C01F4AC">
      <w:pPr>
        <w:spacing w:line="288" w:lineRule="auto"/>
        <w:rPr>
          <w:rFonts w:ascii="宋体" w:hAnsi="宋体" w:cs="宋体"/>
          <w:sz w:val="24"/>
          <w:szCs w:val="24"/>
        </w:rPr>
      </w:pPr>
    </w:p>
    <w:p w14:paraId="436CEF2E">
      <w:pPr>
        <w:spacing w:line="288" w:lineRule="auto"/>
        <w:rPr>
          <w:rFonts w:ascii="宋体" w:hAnsi="宋体" w:cs="宋体"/>
          <w:sz w:val="24"/>
          <w:szCs w:val="24"/>
        </w:rPr>
      </w:pPr>
    </w:p>
    <w:p w14:paraId="0F59B6C8">
      <w:pPr>
        <w:spacing w:line="288" w:lineRule="auto"/>
        <w:rPr>
          <w:rFonts w:ascii="宋体" w:hAnsi="宋体" w:cs="宋体"/>
          <w:sz w:val="24"/>
          <w:szCs w:val="24"/>
        </w:rPr>
      </w:pPr>
    </w:p>
    <w:tbl>
      <w:tblPr>
        <w:tblStyle w:val="44"/>
        <w:tblW w:w="5353" w:type="dxa"/>
        <w:tblInd w:w="0" w:type="dxa"/>
        <w:tblLayout w:type="fixed"/>
        <w:tblCellMar>
          <w:top w:w="0" w:type="dxa"/>
          <w:left w:w="108" w:type="dxa"/>
          <w:bottom w:w="0" w:type="dxa"/>
          <w:right w:w="108" w:type="dxa"/>
        </w:tblCellMar>
      </w:tblPr>
      <w:tblGrid>
        <w:gridCol w:w="5353"/>
      </w:tblGrid>
      <w:tr w14:paraId="02471FB3">
        <w:tblPrEx>
          <w:tblCellMar>
            <w:top w:w="0" w:type="dxa"/>
            <w:left w:w="108" w:type="dxa"/>
            <w:bottom w:w="0" w:type="dxa"/>
            <w:right w:w="108" w:type="dxa"/>
          </w:tblCellMar>
        </w:tblPrEx>
        <w:tc>
          <w:tcPr>
            <w:tcW w:w="5353" w:type="dxa"/>
            <w:shd w:val="clear" w:color="auto" w:fill="auto"/>
          </w:tcPr>
          <w:p w14:paraId="59F01AAB">
            <w:pPr>
              <w:overflowPunct w:val="0"/>
              <w:adjustRightInd w:val="0"/>
              <w:spacing w:line="288" w:lineRule="auto"/>
              <w:rPr>
                <w:rFonts w:ascii="宋体" w:hAnsi="宋体" w:cs="宋体"/>
                <w:sz w:val="24"/>
                <w:szCs w:val="24"/>
              </w:rPr>
            </w:pPr>
            <w:r>
              <w:rPr>
                <w:rFonts w:hint="eastAsia" w:ascii="宋体" w:hAnsi="宋体" w:cs="宋体"/>
                <w:sz w:val="24"/>
                <w:szCs w:val="24"/>
              </w:rPr>
              <w:t>供应商名称（加盖公章）：</w:t>
            </w:r>
          </w:p>
        </w:tc>
      </w:tr>
      <w:tr w14:paraId="240830C4">
        <w:tblPrEx>
          <w:tblCellMar>
            <w:top w:w="0" w:type="dxa"/>
            <w:left w:w="108" w:type="dxa"/>
            <w:bottom w:w="0" w:type="dxa"/>
            <w:right w:w="108" w:type="dxa"/>
          </w:tblCellMar>
        </w:tblPrEx>
        <w:tc>
          <w:tcPr>
            <w:tcW w:w="5353" w:type="dxa"/>
            <w:shd w:val="clear" w:color="auto" w:fill="auto"/>
          </w:tcPr>
          <w:p w14:paraId="41B2E54E">
            <w:pPr>
              <w:spacing w:line="288" w:lineRule="auto"/>
              <w:rPr>
                <w:rFonts w:ascii="宋体" w:hAnsi="宋体" w:cs="宋体"/>
                <w:sz w:val="24"/>
                <w:szCs w:val="24"/>
              </w:rPr>
            </w:pPr>
          </w:p>
          <w:p w14:paraId="5688C151">
            <w:pPr>
              <w:spacing w:line="288" w:lineRule="auto"/>
              <w:rPr>
                <w:rFonts w:ascii="宋体" w:hAnsi="宋体" w:cs="宋体"/>
                <w:sz w:val="24"/>
                <w:szCs w:val="24"/>
              </w:rPr>
            </w:pPr>
            <w:r>
              <w:rPr>
                <w:rFonts w:hint="eastAsia" w:ascii="宋体" w:hAnsi="宋体" w:cs="宋体"/>
                <w:sz w:val="24"/>
                <w:szCs w:val="24"/>
              </w:rPr>
              <w:t>日     期：     年      月       日</w:t>
            </w:r>
          </w:p>
        </w:tc>
      </w:tr>
    </w:tbl>
    <w:p w14:paraId="07142ADB">
      <w:pPr>
        <w:spacing w:line="288" w:lineRule="auto"/>
        <w:rPr>
          <w:rFonts w:ascii="宋体" w:hAnsi="宋体" w:cs="宋体"/>
          <w:sz w:val="24"/>
          <w:szCs w:val="24"/>
        </w:rPr>
      </w:pPr>
    </w:p>
    <w:bookmarkEnd w:id="57"/>
    <w:bookmarkEnd w:id="58"/>
    <w:p w14:paraId="75133DD5">
      <w:pPr>
        <w:rPr>
          <w:rFonts w:ascii="宋体" w:hAnsi="宋体" w:cs="宋体"/>
          <w:bCs/>
          <w:sz w:val="32"/>
          <w:szCs w:val="32"/>
        </w:rPr>
      </w:pPr>
      <w:r>
        <w:rPr>
          <w:rFonts w:hint="eastAsia" w:ascii="宋体" w:hAnsi="宋体" w:cs="宋体"/>
          <w:bCs/>
          <w:sz w:val="32"/>
          <w:szCs w:val="32"/>
        </w:rPr>
        <w:br w:type="page"/>
      </w:r>
    </w:p>
    <w:p w14:paraId="4237BCAF">
      <w:pPr>
        <w:jc w:val="center"/>
        <w:rPr>
          <w:rFonts w:ascii="宋体" w:hAnsi="宋体" w:cs="宋体"/>
          <w:b/>
          <w:sz w:val="36"/>
          <w:szCs w:val="36"/>
        </w:rPr>
      </w:pPr>
      <w:r>
        <w:rPr>
          <w:rFonts w:hint="eastAsia" w:ascii="宋体" w:hAnsi="宋体" w:cs="宋体"/>
          <w:b/>
          <w:sz w:val="36"/>
          <w:szCs w:val="36"/>
        </w:rPr>
        <w:t>十四、售后服务承诺书</w:t>
      </w:r>
    </w:p>
    <w:p w14:paraId="1AD4384F">
      <w:pPr>
        <w:pStyle w:val="17"/>
      </w:pPr>
    </w:p>
    <w:p w14:paraId="48D04099">
      <w:pPr>
        <w:pStyle w:val="17"/>
      </w:pPr>
    </w:p>
    <w:p w14:paraId="0FB30B4E">
      <w:pPr>
        <w:pStyle w:val="62"/>
      </w:pPr>
    </w:p>
    <w:p w14:paraId="05C69A04">
      <w:pPr>
        <w:pStyle w:val="17"/>
        <w:overflowPunct w:val="0"/>
        <w:spacing w:before="120" w:beforeLines="50" w:after="0" w:line="288" w:lineRule="auto"/>
        <w:rPr>
          <w:rFonts w:ascii="宋体" w:hAnsi="宋体" w:cs="宋体"/>
          <w:sz w:val="24"/>
          <w:szCs w:val="24"/>
        </w:rPr>
      </w:pPr>
      <w:r>
        <w:rPr>
          <w:rFonts w:hint="eastAsia" w:ascii="宋体" w:hAnsi="宋体" w:cs="宋体"/>
          <w:b/>
          <w:spacing w:val="10"/>
          <w:sz w:val="24"/>
          <w:szCs w:val="24"/>
        </w:rPr>
        <w:t>供应商需提供售后服务承诺书，格式自拟。</w:t>
      </w:r>
    </w:p>
    <w:p w14:paraId="365ACE74"/>
    <w:p w14:paraId="1342DE01">
      <w:pPr>
        <w:pStyle w:val="17"/>
      </w:pPr>
    </w:p>
    <w:p w14:paraId="5AFBA522">
      <w:pPr>
        <w:pStyle w:val="62"/>
      </w:pPr>
    </w:p>
    <w:p w14:paraId="5879A8E4"/>
    <w:p w14:paraId="21034042">
      <w:pPr>
        <w:pStyle w:val="17"/>
      </w:pPr>
    </w:p>
    <w:p w14:paraId="0B4DDDE7">
      <w:pPr>
        <w:pStyle w:val="62"/>
      </w:pPr>
    </w:p>
    <w:p w14:paraId="23138CAB"/>
    <w:p w14:paraId="1CD74605">
      <w:pPr>
        <w:pStyle w:val="17"/>
      </w:pPr>
    </w:p>
    <w:p w14:paraId="5B7E4459">
      <w:pPr>
        <w:pStyle w:val="62"/>
      </w:pPr>
    </w:p>
    <w:p w14:paraId="754E4AD5"/>
    <w:p w14:paraId="0254CC2C">
      <w:pPr>
        <w:pStyle w:val="17"/>
      </w:pPr>
    </w:p>
    <w:p w14:paraId="613C81DC">
      <w:pPr>
        <w:pStyle w:val="62"/>
      </w:pPr>
    </w:p>
    <w:p w14:paraId="70C44C5D"/>
    <w:p w14:paraId="50B6D80D">
      <w:pPr>
        <w:pStyle w:val="17"/>
      </w:pPr>
    </w:p>
    <w:p w14:paraId="72669419">
      <w:pPr>
        <w:pStyle w:val="62"/>
      </w:pPr>
    </w:p>
    <w:p w14:paraId="52194251"/>
    <w:p w14:paraId="639F0878">
      <w:pPr>
        <w:pStyle w:val="17"/>
      </w:pPr>
    </w:p>
    <w:p w14:paraId="3E6DF4FF">
      <w:pPr>
        <w:pStyle w:val="62"/>
      </w:pPr>
    </w:p>
    <w:p w14:paraId="799EAF74"/>
    <w:p w14:paraId="61DF4042">
      <w:pPr>
        <w:pStyle w:val="17"/>
      </w:pPr>
    </w:p>
    <w:tbl>
      <w:tblPr>
        <w:tblStyle w:val="44"/>
        <w:tblW w:w="8528" w:type="dxa"/>
        <w:tblInd w:w="0" w:type="dxa"/>
        <w:tblLayout w:type="fixed"/>
        <w:tblCellMar>
          <w:top w:w="0" w:type="dxa"/>
          <w:left w:w="108" w:type="dxa"/>
          <w:bottom w:w="0" w:type="dxa"/>
          <w:right w:w="108" w:type="dxa"/>
        </w:tblCellMar>
      </w:tblPr>
      <w:tblGrid>
        <w:gridCol w:w="5353"/>
        <w:gridCol w:w="3175"/>
      </w:tblGrid>
      <w:tr w14:paraId="19F1462F">
        <w:tblPrEx>
          <w:tblCellMar>
            <w:top w:w="0" w:type="dxa"/>
            <w:left w:w="108" w:type="dxa"/>
            <w:bottom w:w="0" w:type="dxa"/>
            <w:right w:w="108" w:type="dxa"/>
          </w:tblCellMar>
        </w:tblPrEx>
        <w:tc>
          <w:tcPr>
            <w:tcW w:w="5353" w:type="dxa"/>
            <w:shd w:val="clear" w:color="auto" w:fill="auto"/>
          </w:tcPr>
          <w:p w14:paraId="20A1639D">
            <w:pPr>
              <w:spacing w:line="288" w:lineRule="auto"/>
              <w:rPr>
                <w:rFonts w:ascii="宋体" w:hAnsi="宋体" w:cs="宋体"/>
                <w:sz w:val="24"/>
                <w:szCs w:val="24"/>
              </w:rPr>
            </w:pPr>
            <w:r>
              <w:rPr>
                <w:rFonts w:hint="eastAsia" w:ascii="宋体" w:hAnsi="宋体" w:cs="宋体"/>
                <w:sz w:val="24"/>
                <w:szCs w:val="24"/>
              </w:rPr>
              <w:t>供应商名称（加盖公章）：</w:t>
            </w:r>
          </w:p>
        </w:tc>
        <w:tc>
          <w:tcPr>
            <w:tcW w:w="3175" w:type="dxa"/>
            <w:shd w:val="clear" w:color="auto" w:fill="auto"/>
          </w:tcPr>
          <w:p w14:paraId="7A7594B9">
            <w:pPr>
              <w:spacing w:line="288" w:lineRule="auto"/>
              <w:rPr>
                <w:rFonts w:ascii="宋体" w:hAnsi="宋体" w:cs="宋体"/>
                <w:sz w:val="24"/>
                <w:szCs w:val="24"/>
              </w:rPr>
            </w:pPr>
          </w:p>
        </w:tc>
      </w:tr>
      <w:tr w14:paraId="6EA44253">
        <w:tblPrEx>
          <w:tblCellMar>
            <w:top w:w="0" w:type="dxa"/>
            <w:left w:w="108" w:type="dxa"/>
            <w:bottom w:w="0" w:type="dxa"/>
            <w:right w:w="108" w:type="dxa"/>
          </w:tblCellMar>
        </w:tblPrEx>
        <w:tc>
          <w:tcPr>
            <w:tcW w:w="5353" w:type="dxa"/>
            <w:shd w:val="clear" w:color="auto" w:fill="auto"/>
          </w:tcPr>
          <w:p w14:paraId="1E480FCD">
            <w:pPr>
              <w:spacing w:line="288" w:lineRule="auto"/>
              <w:rPr>
                <w:rFonts w:ascii="宋体" w:hAnsi="宋体" w:cs="宋体"/>
                <w:sz w:val="24"/>
                <w:szCs w:val="24"/>
              </w:rPr>
            </w:pPr>
            <w:r>
              <w:rPr>
                <w:rFonts w:hint="eastAsia" w:ascii="宋体" w:hAnsi="宋体" w:cs="宋体"/>
                <w:sz w:val="24"/>
                <w:szCs w:val="24"/>
              </w:rPr>
              <w:t>法定代表人（签字）：</w:t>
            </w:r>
          </w:p>
        </w:tc>
        <w:tc>
          <w:tcPr>
            <w:tcW w:w="3175" w:type="dxa"/>
            <w:shd w:val="clear" w:color="auto" w:fill="auto"/>
          </w:tcPr>
          <w:p w14:paraId="13F0260B">
            <w:pPr>
              <w:spacing w:line="288" w:lineRule="auto"/>
              <w:rPr>
                <w:rFonts w:ascii="宋体" w:hAnsi="宋体" w:cs="宋体"/>
                <w:sz w:val="24"/>
                <w:szCs w:val="24"/>
              </w:rPr>
            </w:pPr>
          </w:p>
        </w:tc>
      </w:tr>
      <w:tr w14:paraId="6A8DADCC">
        <w:tblPrEx>
          <w:tblCellMar>
            <w:top w:w="0" w:type="dxa"/>
            <w:left w:w="108" w:type="dxa"/>
            <w:bottom w:w="0" w:type="dxa"/>
            <w:right w:w="108" w:type="dxa"/>
          </w:tblCellMar>
        </w:tblPrEx>
        <w:tc>
          <w:tcPr>
            <w:tcW w:w="5353" w:type="dxa"/>
            <w:shd w:val="clear" w:color="auto" w:fill="auto"/>
          </w:tcPr>
          <w:p w14:paraId="3A920063">
            <w:pPr>
              <w:spacing w:line="288" w:lineRule="auto"/>
              <w:rPr>
                <w:rFonts w:ascii="宋体" w:hAnsi="宋体" w:cs="宋体"/>
                <w:sz w:val="24"/>
                <w:szCs w:val="24"/>
              </w:rPr>
            </w:pPr>
          </w:p>
          <w:p w14:paraId="3612CCB0">
            <w:pPr>
              <w:spacing w:line="288" w:lineRule="auto"/>
              <w:rPr>
                <w:rFonts w:ascii="宋体" w:hAnsi="宋体" w:cs="宋体"/>
                <w:sz w:val="24"/>
                <w:szCs w:val="24"/>
              </w:rPr>
            </w:pPr>
          </w:p>
          <w:p w14:paraId="0028075D">
            <w:pPr>
              <w:spacing w:line="288" w:lineRule="auto"/>
              <w:rPr>
                <w:rFonts w:ascii="宋体" w:hAnsi="宋体" w:cs="宋体"/>
                <w:sz w:val="24"/>
                <w:szCs w:val="24"/>
              </w:rPr>
            </w:pPr>
            <w:r>
              <w:rPr>
                <w:rFonts w:hint="eastAsia" w:ascii="宋体" w:hAnsi="宋体" w:cs="宋体"/>
                <w:sz w:val="24"/>
                <w:szCs w:val="24"/>
              </w:rPr>
              <w:t>日期：    年      月      日</w:t>
            </w:r>
          </w:p>
        </w:tc>
        <w:tc>
          <w:tcPr>
            <w:tcW w:w="3175" w:type="dxa"/>
            <w:shd w:val="clear" w:color="auto" w:fill="auto"/>
          </w:tcPr>
          <w:p w14:paraId="2D6EADDF">
            <w:pPr>
              <w:spacing w:line="288" w:lineRule="auto"/>
              <w:rPr>
                <w:rFonts w:ascii="宋体" w:hAnsi="宋体" w:cs="宋体"/>
                <w:sz w:val="24"/>
                <w:szCs w:val="24"/>
              </w:rPr>
            </w:pPr>
          </w:p>
        </w:tc>
      </w:tr>
    </w:tbl>
    <w:p w14:paraId="4291362B">
      <w:pPr>
        <w:rPr>
          <w:rFonts w:ascii="宋体" w:hAnsi="宋体" w:cs="宋体"/>
          <w:b/>
          <w:sz w:val="36"/>
          <w:szCs w:val="36"/>
        </w:rPr>
      </w:pPr>
      <w:r>
        <w:rPr>
          <w:rFonts w:hint="eastAsia" w:ascii="宋体" w:hAnsi="宋体" w:cs="宋体"/>
          <w:b/>
          <w:sz w:val="36"/>
          <w:szCs w:val="36"/>
        </w:rPr>
        <w:br w:type="page"/>
      </w:r>
    </w:p>
    <w:p w14:paraId="20B5082E">
      <w:pPr>
        <w:pStyle w:val="17"/>
        <w:jc w:val="center"/>
      </w:pPr>
    </w:p>
    <w:p w14:paraId="5C1554A3">
      <w:pPr>
        <w:spacing w:line="360" w:lineRule="auto"/>
        <w:jc w:val="center"/>
        <w:rPr>
          <w:rFonts w:ascii="宋体" w:hAnsi="宋体" w:cs="宋体"/>
          <w:b/>
          <w:sz w:val="36"/>
          <w:szCs w:val="36"/>
        </w:rPr>
      </w:pPr>
      <w:r>
        <w:rPr>
          <w:rFonts w:hint="eastAsia" w:ascii="宋体" w:hAnsi="宋体" w:cs="宋体"/>
          <w:b/>
          <w:sz w:val="36"/>
          <w:szCs w:val="36"/>
        </w:rPr>
        <w:t>十五、具备履行合同所必需设备和专业技术能力承诺书</w:t>
      </w:r>
    </w:p>
    <w:p w14:paraId="7C10898F">
      <w:pPr>
        <w:autoSpaceDE w:val="0"/>
        <w:autoSpaceDN w:val="0"/>
        <w:adjustRightInd w:val="0"/>
        <w:spacing w:before="120" w:beforeLines="50" w:after="120" w:afterLines="50" w:line="288" w:lineRule="auto"/>
        <w:jc w:val="center"/>
        <w:rPr>
          <w:rFonts w:ascii="宋体" w:hAnsi="宋体" w:cs="宋体"/>
          <w:b/>
          <w:sz w:val="24"/>
          <w:szCs w:val="24"/>
        </w:rPr>
      </w:pPr>
    </w:p>
    <w:p w14:paraId="4CE2D636">
      <w:pPr>
        <w:pStyle w:val="17"/>
        <w:overflowPunct w:val="0"/>
        <w:spacing w:before="120" w:beforeLines="50" w:after="0" w:line="288" w:lineRule="auto"/>
        <w:rPr>
          <w:rFonts w:ascii="宋体" w:hAnsi="宋体" w:cs="宋体"/>
          <w:b/>
          <w:spacing w:val="10"/>
          <w:sz w:val="24"/>
          <w:szCs w:val="24"/>
        </w:rPr>
      </w:pPr>
    </w:p>
    <w:p w14:paraId="570BA25F">
      <w:pPr>
        <w:pStyle w:val="17"/>
        <w:overflowPunct w:val="0"/>
        <w:spacing w:before="120" w:beforeLines="50" w:after="0" w:line="288" w:lineRule="auto"/>
        <w:rPr>
          <w:rFonts w:ascii="宋体" w:hAnsi="宋体" w:cs="宋体"/>
          <w:sz w:val="24"/>
          <w:szCs w:val="24"/>
        </w:rPr>
      </w:pPr>
      <w:r>
        <w:rPr>
          <w:rFonts w:hint="eastAsia" w:ascii="宋体" w:hAnsi="宋体" w:cs="宋体"/>
          <w:b/>
          <w:spacing w:val="10"/>
          <w:sz w:val="24"/>
          <w:szCs w:val="24"/>
        </w:rPr>
        <w:t>供应商需提供承诺书，格式自拟。</w:t>
      </w:r>
    </w:p>
    <w:p w14:paraId="7719E6AC">
      <w:pPr>
        <w:pStyle w:val="17"/>
        <w:overflowPunct w:val="0"/>
        <w:spacing w:before="120" w:beforeLines="50" w:after="0" w:line="288" w:lineRule="auto"/>
        <w:rPr>
          <w:rFonts w:ascii="宋体" w:hAnsi="宋体" w:cs="宋体"/>
          <w:sz w:val="24"/>
          <w:szCs w:val="24"/>
        </w:rPr>
      </w:pPr>
    </w:p>
    <w:p w14:paraId="7FCB1C46">
      <w:pPr>
        <w:pStyle w:val="17"/>
        <w:overflowPunct w:val="0"/>
        <w:spacing w:before="120" w:beforeLines="50" w:after="0" w:line="288" w:lineRule="auto"/>
        <w:rPr>
          <w:rFonts w:ascii="宋体" w:hAnsi="宋体" w:cs="宋体"/>
          <w:sz w:val="24"/>
          <w:szCs w:val="24"/>
        </w:rPr>
      </w:pPr>
    </w:p>
    <w:p w14:paraId="68A86505">
      <w:pPr>
        <w:spacing w:line="288" w:lineRule="auto"/>
        <w:rPr>
          <w:rFonts w:ascii="宋体" w:hAnsi="宋体" w:cs="宋体"/>
          <w:sz w:val="24"/>
          <w:szCs w:val="24"/>
        </w:rPr>
      </w:pPr>
    </w:p>
    <w:p w14:paraId="25236F99">
      <w:pPr>
        <w:spacing w:line="288" w:lineRule="auto"/>
        <w:rPr>
          <w:rFonts w:ascii="宋体" w:hAnsi="宋体" w:cs="宋体"/>
          <w:sz w:val="24"/>
          <w:szCs w:val="24"/>
        </w:rPr>
      </w:pPr>
    </w:p>
    <w:p w14:paraId="21C2463D">
      <w:pPr>
        <w:spacing w:line="288" w:lineRule="auto"/>
        <w:rPr>
          <w:rFonts w:ascii="宋体" w:hAnsi="宋体" w:cs="宋体"/>
          <w:sz w:val="24"/>
          <w:szCs w:val="24"/>
        </w:rPr>
      </w:pPr>
    </w:p>
    <w:tbl>
      <w:tblPr>
        <w:tblStyle w:val="44"/>
        <w:tblW w:w="8528" w:type="dxa"/>
        <w:tblInd w:w="0" w:type="dxa"/>
        <w:tblLayout w:type="fixed"/>
        <w:tblCellMar>
          <w:top w:w="0" w:type="dxa"/>
          <w:left w:w="108" w:type="dxa"/>
          <w:bottom w:w="0" w:type="dxa"/>
          <w:right w:w="108" w:type="dxa"/>
        </w:tblCellMar>
      </w:tblPr>
      <w:tblGrid>
        <w:gridCol w:w="8528"/>
      </w:tblGrid>
      <w:tr w14:paraId="297934AB">
        <w:tblPrEx>
          <w:tblCellMar>
            <w:top w:w="0" w:type="dxa"/>
            <w:left w:w="108" w:type="dxa"/>
            <w:bottom w:w="0" w:type="dxa"/>
            <w:right w:w="108" w:type="dxa"/>
          </w:tblCellMar>
        </w:tblPrEx>
        <w:tc>
          <w:tcPr>
            <w:tcW w:w="5726" w:type="dxa"/>
            <w:shd w:val="clear" w:color="auto" w:fill="auto"/>
          </w:tcPr>
          <w:p w14:paraId="17A51B45">
            <w:pPr>
              <w:spacing w:line="288" w:lineRule="auto"/>
              <w:rPr>
                <w:rFonts w:ascii="宋体" w:hAnsi="宋体" w:cs="宋体"/>
                <w:sz w:val="24"/>
                <w:szCs w:val="24"/>
              </w:rPr>
            </w:pPr>
            <w:r>
              <w:rPr>
                <w:rFonts w:hint="eastAsia" w:ascii="宋体" w:hAnsi="宋体" w:cs="宋体"/>
                <w:sz w:val="24"/>
                <w:szCs w:val="24"/>
              </w:rPr>
              <w:t>供应商名称（加盖公章）：</w:t>
            </w:r>
          </w:p>
        </w:tc>
      </w:tr>
      <w:tr w14:paraId="2E42B3EF">
        <w:tc>
          <w:tcPr>
            <w:tcW w:w="5726" w:type="dxa"/>
            <w:shd w:val="clear" w:color="auto" w:fill="auto"/>
          </w:tcPr>
          <w:p w14:paraId="58005C1C">
            <w:pPr>
              <w:spacing w:line="288" w:lineRule="auto"/>
              <w:rPr>
                <w:rFonts w:ascii="宋体" w:hAnsi="宋体" w:cs="宋体"/>
                <w:sz w:val="24"/>
                <w:szCs w:val="24"/>
              </w:rPr>
            </w:pPr>
          </w:p>
          <w:p w14:paraId="7371D71D">
            <w:pPr>
              <w:spacing w:line="288" w:lineRule="auto"/>
              <w:rPr>
                <w:rFonts w:ascii="宋体" w:hAnsi="宋体" w:cs="宋体"/>
                <w:sz w:val="24"/>
                <w:szCs w:val="24"/>
              </w:rPr>
            </w:pPr>
            <w:r>
              <w:rPr>
                <w:rFonts w:hint="eastAsia" w:ascii="宋体" w:hAnsi="宋体" w:cs="宋体"/>
                <w:sz w:val="24"/>
                <w:szCs w:val="24"/>
              </w:rPr>
              <w:t>法定代表人或被授权人（签名或盖章）：</w:t>
            </w:r>
          </w:p>
        </w:tc>
      </w:tr>
      <w:tr w14:paraId="30D041FB">
        <w:tblPrEx>
          <w:tblCellMar>
            <w:top w:w="0" w:type="dxa"/>
            <w:left w:w="108" w:type="dxa"/>
            <w:bottom w:w="0" w:type="dxa"/>
            <w:right w:w="108" w:type="dxa"/>
          </w:tblCellMar>
        </w:tblPrEx>
        <w:tc>
          <w:tcPr>
            <w:tcW w:w="5726" w:type="dxa"/>
            <w:shd w:val="clear" w:color="auto" w:fill="auto"/>
          </w:tcPr>
          <w:p w14:paraId="17348EF5">
            <w:pPr>
              <w:spacing w:line="288" w:lineRule="auto"/>
              <w:rPr>
                <w:rFonts w:ascii="宋体" w:hAnsi="宋体" w:cs="宋体"/>
                <w:sz w:val="24"/>
                <w:szCs w:val="24"/>
              </w:rPr>
            </w:pPr>
          </w:p>
          <w:p w14:paraId="5115AC5F">
            <w:pPr>
              <w:spacing w:line="288" w:lineRule="auto"/>
              <w:rPr>
                <w:rFonts w:ascii="宋体" w:hAnsi="宋体" w:cs="宋体"/>
                <w:sz w:val="24"/>
                <w:szCs w:val="24"/>
              </w:rPr>
            </w:pPr>
            <w:r>
              <w:rPr>
                <w:rFonts w:hint="eastAsia" w:ascii="宋体" w:hAnsi="宋体" w:cs="宋体"/>
                <w:sz w:val="24"/>
                <w:szCs w:val="24"/>
              </w:rPr>
              <w:t>日期：     年     月       日</w:t>
            </w:r>
          </w:p>
        </w:tc>
      </w:tr>
    </w:tbl>
    <w:p w14:paraId="637BC961">
      <w:pPr>
        <w:spacing w:line="288" w:lineRule="auto"/>
        <w:rPr>
          <w:rFonts w:ascii="宋体" w:hAnsi="宋体" w:cs="宋体"/>
          <w:sz w:val="24"/>
          <w:szCs w:val="24"/>
        </w:rPr>
      </w:pPr>
    </w:p>
    <w:p w14:paraId="16622411">
      <w:pPr>
        <w:spacing w:line="360" w:lineRule="auto"/>
        <w:rPr>
          <w:rFonts w:ascii="宋体" w:hAnsi="宋体" w:cs="宋体"/>
          <w:szCs w:val="21"/>
        </w:rPr>
      </w:pPr>
    </w:p>
    <w:p w14:paraId="636A0C35">
      <w:pPr>
        <w:spacing w:line="360" w:lineRule="auto"/>
        <w:rPr>
          <w:rFonts w:ascii="宋体" w:hAnsi="宋体" w:cs="宋体"/>
          <w:szCs w:val="21"/>
        </w:rPr>
      </w:pPr>
    </w:p>
    <w:p w14:paraId="58D81ED0">
      <w:pPr>
        <w:rPr>
          <w:rFonts w:ascii="宋体" w:hAnsi="宋体" w:cs="宋体"/>
          <w:b/>
          <w:sz w:val="32"/>
          <w:szCs w:val="32"/>
        </w:rPr>
      </w:pPr>
      <w:r>
        <w:rPr>
          <w:rFonts w:hint="eastAsia" w:ascii="宋体" w:hAnsi="宋体" w:cs="宋体"/>
          <w:b/>
          <w:sz w:val="32"/>
          <w:szCs w:val="32"/>
        </w:rPr>
        <w:br w:type="page"/>
      </w:r>
    </w:p>
    <w:p w14:paraId="67C57467">
      <w:pPr>
        <w:spacing w:line="360" w:lineRule="auto"/>
        <w:jc w:val="center"/>
        <w:rPr>
          <w:rFonts w:ascii="宋体" w:hAnsi="宋体" w:cs="宋体"/>
          <w:b/>
          <w:sz w:val="36"/>
          <w:szCs w:val="36"/>
        </w:rPr>
      </w:pPr>
    </w:p>
    <w:p w14:paraId="6C95214F">
      <w:pPr>
        <w:spacing w:line="360" w:lineRule="auto"/>
        <w:jc w:val="center"/>
        <w:rPr>
          <w:rFonts w:ascii="宋体" w:hAnsi="宋体" w:cs="宋体"/>
          <w:b/>
          <w:sz w:val="36"/>
          <w:szCs w:val="36"/>
        </w:rPr>
      </w:pPr>
      <w:r>
        <w:rPr>
          <w:rFonts w:hint="eastAsia" w:ascii="宋体" w:hAnsi="宋体" w:cs="宋体"/>
          <w:b/>
          <w:sz w:val="36"/>
          <w:szCs w:val="36"/>
        </w:rPr>
        <w:t>十六、项目实施方案</w:t>
      </w:r>
    </w:p>
    <w:p w14:paraId="49059F9B">
      <w:pPr>
        <w:rPr>
          <w:rFonts w:ascii="宋体" w:hAnsi="宋体" w:cs="宋体"/>
          <w:sz w:val="32"/>
          <w:szCs w:val="32"/>
        </w:rPr>
      </w:pPr>
    </w:p>
    <w:p w14:paraId="34118481">
      <w:pPr>
        <w:rPr>
          <w:rFonts w:ascii="宋体" w:hAnsi="宋体" w:cs="宋体"/>
          <w:b/>
          <w:spacing w:val="20"/>
          <w:sz w:val="30"/>
          <w:szCs w:val="30"/>
        </w:rPr>
      </w:pPr>
      <w:r>
        <w:rPr>
          <w:rFonts w:hint="eastAsia" w:ascii="宋体" w:hAnsi="宋体" w:cs="宋体"/>
          <w:b/>
          <w:spacing w:val="20"/>
          <w:sz w:val="30"/>
          <w:szCs w:val="30"/>
        </w:rPr>
        <w:br w:type="page"/>
      </w:r>
    </w:p>
    <w:p w14:paraId="74F1D7C4">
      <w:pPr>
        <w:spacing w:line="360" w:lineRule="auto"/>
        <w:jc w:val="center"/>
        <w:rPr>
          <w:rFonts w:ascii="宋体" w:hAnsi="宋体" w:cs="宋体"/>
          <w:b/>
          <w:sz w:val="36"/>
          <w:szCs w:val="36"/>
        </w:rPr>
      </w:pPr>
    </w:p>
    <w:p w14:paraId="511D3BA0">
      <w:pPr>
        <w:spacing w:line="360" w:lineRule="auto"/>
        <w:jc w:val="center"/>
        <w:rPr>
          <w:rFonts w:hint="eastAsia" w:ascii="宋体" w:hAnsi="宋体" w:eastAsia="宋体" w:cs="宋体"/>
          <w:b/>
          <w:sz w:val="36"/>
          <w:szCs w:val="36"/>
          <w:lang w:eastAsia="zh-CN"/>
        </w:rPr>
      </w:pPr>
    </w:p>
    <w:p w14:paraId="6985ED45">
      <w:pPr>
        <w:spacing w:line="360" w:lineRule="auto"/>
        <w:jc w:val="center"/>
        <w:rPr>
          <w:rFonts w:ascii="宋体" w:hAnsi="宋体" w:cs="宋体"/>
          <w:b/>
          <w:sz w:val="36"/>
          <w:szCs w:val="36"/>
        </w:rPr>
      </w:pPr>
      <w:r>
        <w:rPr>
          <w:rFonts w:hint="eastAsia" w:ascii="宋体" w:hAnsi="宋体" w:cs="宋体"/>
          <w:b/>
          <w:sz w:val="36"/>
          <w:szCs w:val="36"/>
        </w:rPr>
        <w:t>十</w:t>
      </w:r>
      <w:r>
        <w:rPr>
          <w:rFonts w:hint="eastAsia" w:ascii="宋体" w:hAnsi="宋体" w:cs="宋体"/>
          <w:b/>
          <w:sz w:val="36"/>
          <w:szCs w:val="36"/>
          <w:lang w:val="en-US" w:eastAsia="zh-CN"/>
        </w:rPr>
        <w:t>七</w:t>
      </w:r>
      <w:r>
        <w:rPr>
          <w:rFonts w:hint="eastAsia" w:ascii="宋体" w:hAnsi="宋体" w:cs="宋体"/>
          <w:b/>
          <w:sz w:val="36"/>
          <w:szCs w:val="36"/>
        </w:rPr>
        <w:t>、供应商认为有必要提供的其他材料</w:t>
      </w:r>
    </w:p>
    <w:p w14:paraId="2B4DA248">
      <w:pPr>
        <w:rPr>
          <w:rFonts w:ascii="宋体" w:hAnsi="宋体" w:cs="宋体"/>
          <w:b/>
          <w:szCs w:val="21"/>
        </w:rPr>
      </w:pPr>
    </w:p>
    <w:p w14:paraId="0DAAC3D4">
      <w:pPr>
        <w:jc w:val="center"/>
        <w:rPr>
          <w:rFonts w:ascii="宋体" w:hAnsi="宋体" w:cs="宋体"/>
          <w:b/>
          <w:szCs w:val="21"/>
        </w:rPr>
      </w:pPr>
    </w:p>
    <w:p w14:paraId="17924E40">
      <w:pPr>
        <w:spacing w:line="288" w:lineRule="auto"/>
        <w:jc w:val="center"/>
        <w:rPr>
          <w:rFonts w:ascii="宋体" w:hAnsi="宋体" w:cs="宋体"/>
          <w:b/>
          <w:sz w:val="24"/>
          <w:szCs w:val="24"/>
        </w:rPr>
      </w:pPr>
      <w:r>
        <w:rPr>
          <w:rFonts w:hint="eastAsia" w:ascii="宋体" w:hAnsi="宋体" w:cs="宋体"/>
          <w:b/>
          <w:sz w:val="24"/>
          <w:szCs w:val="24"/>
        </w:rPr>
        <w:t>供应商按招标文件要求自行填写，不作统一格式要求。</w:t>
      </w:r>
    </w:p>
    <w:p w14:paraId="7E379824">
      <w:pPr>
        <w:rPr>
          <w:rFonts w:ascii="宋体" w:hAnsi="宋体" w:cs="宋体"/>
          <w:b/>
          <w:sz w:val="24"/>
          <w:szCs w:val="24"/>
        </w:rPr>
      </w:pPr>
      <w:r>
        <w:rPr>
          <w:rFonts w:hint="eastAsia" w:ascii="宋体" w:hAnsi="宋体" w:cs="宋体"/>
          <w:b/>
          <w:sz w:val="24"/>
          <w:szCs w:val="24"/>
        </w:rPr>
        <w:br w:type="page"/>
      </w:r>
    </w:p>
    <w:p w14:paraId="3C41E697">
      <w:pPr>
        <w:jc w:val="both"/>
        <w:rPr>
          <w:rFonts w:ascii="宋体" w:hAnsi="宋体" w:cs="宋体"/>
          <w:b/>
          <w:sz w:val="24"/>
          <w:szCs w:val="24"/>
        </w:rPr>
      </w:pPr>
      <w:r>
        <w:rPr>
          <w:rFonts w:hint="eastAsia" w:ascii="宋体" w:hAnsi="宋体" w:cs="宋体"/>
          <w:b/>
          <w:sz w:val="24"/>
          <w:szCs w:val="24"/>
        </w:rPr>
        <w:t>附件</w:t>
      </w:r>
    </w:p>
    <w:p w14:paraId="61ECF9E2">
      <w:pPr>
        <w:jc w:val="center"/>
        <w:rPr>
          <w:rFonts w:ascii="宋体" w:hAnsi="宋体" w:cs="宋体"/>
          <w:b/>
          <w:sz w:val="32"/>
          <w:szCs w:val="32"/>
        </w:rPr>
      </w:pPr>
      <w:r>
        <w:rPr>
          <w:rFonts w:ascii="宋体" w:hAnsi="宋体" w:cs="宋体"/>
          <w:b/>
          <w:sz w:val="32"/>
          <w:szCs w:val="32"/>
        </w:rPr>
        <w:t>中小企业声明函（货物）</w:t>
      </w:r>
    </w:p>
    <w:p w14:paraId="38BBDC23">
      <w:pPr>
        <w:pStyle w:val="43"/>
        <w:rPr>
          <w:rFonts w:ascii="宋体" w:hAnsi="宋体"/>
          <w:szCs w:val="21"/>
          <w:u w:val="single"/>
        </w:rPr>
      </w:pPr>
    </w:p>
    <w:p w14:paraId="4137F666">
      <w:pPr>
        <w:pStyle w:val="17"/>
        <w:spacing w:after="0" w:line="440" w:lineRule="exact"/>
        <w:ind w:firstLine="400" w:firstLineChars="200"/>
        <w:rPr>
          <w:rFonts w:ascii="宋体" w:hAnsi="宋体"/>
          <w:szCs w:val="21"/>
        </w:rPr>
      </w:pPr>
    </w:p>
    <w:p w14:paraId="13048305">
      <w:pPr>
        <w:pStyle w:val="17"/>
        <w:spacing w:after="0" w:line="400" w:lineRule="exact"/>
        <w:ind w:firstLine="420" w:firstLineChars="200"/>
        <w:rPr>
          <w:rFonts w:ascii="宋体" w:hAnsi="宋体"/>
          <w:sz w:val="21"/>
          <w:szCs w:val="21"/>
        </w:rPr>
      </w:pPr>
      <w:r>
        <w:rPr>
          <w:rFonts w:ascii="宋体" w:hAnsi="宋体"/>
          <w:sz w:val="21"/>
          <w:szCs w:val="21"/>
        </w:rPr>
        <w:t>本公司</w:t>
      </w:r>
      <w:r>
        <w:rPr>
          <w:rFonts w:hint="eastAsia" w:ascii="宋体" w:hAnsi="宋体"/>
          <w:sz w:val="21"/>
          <w:szCs w:val="21"/>
          <w:u w:val="single"/>
        </w:rPr>
        <w:t xml:space="preserve">                    </w:t>
      </w:r>
      <w:r>
        <w:rPr>
          <w:rFonts w:ascii="宋体" w:hAnsi="宋体"/>
          <w:sz w:val="21"/>
          <w:szCs w:val="21"/>
        </w:rPr>
        <w:t>（联合体）郑重声明，根据《政府采购促进中小企业发展管理办法》（财库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w:t>
      </w:r>
      <w:r>
        <w:rPr>
          <w:rFonts w:hint="eastAsia" w:ascii="宋体" w:hAnsi="宋体"/>
          <w:sz w:val="21"/>
          <w:szCs w:val="21"/>
          <w:u w:val="single"/>
        </w:rPr>
        <w:t xml:space="preserve">                    </w:t>
      </w:r>
      <w:r>
        <w:rPr>
          <w:rFonts w:ascii="宋体" w:hAnsi="宋体"/>
          <w:sz w:val="21"/>
          <w:szCs w:val="21"/>
        </w:rPr>
        <w:t>（联合体）参加</w:t>
      </w:r>
      <w:r>
        <w:rPr>
          <w:rFonts w:ascii="宋体" w:hAnsi="宋体"/>
          <w:i/>
          <w:sz w:val="21"/>
          <w:szCs w:val="21"/>
          <w:u w:val="single"/>
        </w:rPr>
        <w:t>（单位名称）</w:t>
      </w:r>
      <w:r>
        <w:rPr>
          <w:rFonts w:ascii="宋体" w:hAnsi="宋体"/>
          <w:sz w:val="21"/>
          <w:szCs w:val="21"/>
        </w:rPr>
        <w:t>的</w:t>
      </w:r>
      <w:r>
        <w:rPr>
          <w:rFonts w:ascii="宋体" w:hAnsi="宋体"/>
          <w:i/>
          <w:sz w:val="21"/>
          <w:szCs w:val="21"/>
          <w:u w:val="single"/>
        </w:rPr>
        <w:t>（项目名称）</w:t>
      </w:r>
      <w:r>
        <w:rPr>
          <w:rFonts w:ascii="宋体" w:hAnsi="宋体"/>
          <w:sz w:val="21"/>
          <w:szCs w:val="21"/>
        </w:rPr>
        <w:t>采购活动，提供的货物全部由符合政策要求的中小企业制造。相关企业（含联合体中的中小企业、签订分包意向协议的中小企业） 的具体情况如下：</w:t>
      </w:r>
    </w:p>
    <w:p w14:paraId="50C36242">
      <w:pPr>
        <w:pStyle w:val="95"/>
        <w:tabs>
          <w:tab w:val="left" w:pos="1183"/>
          <w:tab w:val="left" w:pos="1484"/>
          <w:tab w:val="left" w:pos="4662"/>
          <w:tab w:val="left" w:pos="6903"/>
        </w:tabs>
        <w:spacing w:line="400" w:lineRule="exact"/>
        <w:ind w:left="0"/>
        <w:rPr>
          <w:rFonts w:ascii="宋体" w:hAnsi="宋体"/>
          <w:iCs/>
          <w:szCs w:val="21"/>
        </w:rPr>
      </w:pPr>
      <w:r>
        <w:rPr>
          <w:rFonts w:hint="eastAsia" w:ascii="宋体" w:hAnsi="宋体"/>
          <w:iCs/>
          <w:szCs w:val="21"/>
        </w:rPr>
        <w:t>1.</w:t>
      </w:r>
      <w:r>
        <w:rPr>
          <w:rFonts w:ascii="宋体" w:hAnsi="宋体"/>
          <w:i/>
          <w:szCs w:val="21"/>
          <w:u w:val="single"/>
        </w:rPr>
        <w:t xml:space="preserve"> （ 标 的 名 称 ）</w:t>
      </w:r>
      <w:r>
        <w:rPr>
          <w:rFonts w:ascii="宋体" w:hAnsi="宋体"/>
          <w:iCs/>
          <w:szCs w:val="21"/>
        </w:rPr>
        <w:t xml:space="preserve"> ， 属 于</w:t>
      </w:r>
      <w:r>
        <w:rPr>
          <w:rFonts w:ascii="宋体" w:hAnsi="宋体"/>
          <w:i/>
          <w:kern w:val="0"/>
          <w:szCs w:val="21"/>
          <w:u w:val="single"/>
        </w:rPr>
        <w:t>（采购文件中明确的所属行业）</w:t>
      </w:r>
      <w:r>
        <w:rPr>
          <w:rFonts w:ascii="宋体" w:hAnsi="宋体"/>
          <w:iCs/>
          <w:szCs w:val="21"/>
        </w:rPr>
        <w:t>；制造商为</w:t>
      </w:r>
      <w:r>
        <w:rPr>
          <w:rFonts w:ascii="宋体" w:hAnsi="宋体"/>
          <w:i/>
          <w:szCs w:val="21"/>
          <w:u w:val="single"/>
        </w:rPr>
        <w:t>（企业名称）</w:t>
      </w:r>
      <w:r>
        <w:rPr>
          <w:rFonts w:ascii="宋体" w:hAnsi="宋体"/>
          <w:iCs/>
          <w:szCs w:val="21"/>
        </w:rPr>
        <w:t>，从业人员</w:t>
      </w:r>
      <w:r>
        <w:rPr>
          <w:rFonts w:ascii="宋体" w:hAnsi="宋体"/>
          <w:iCs/>
          <w:szCs w:val="21"/>
          <w:u w:val="single"/>
        </w:rPr>
        <w:t xml:space="preserve"> </w:t>
      </w:r>
      <w:r>
        <w:rPr>
          <w:rFonts w:hint="eastAsia" w:ascii="宋体" w:hAnsi="宋体"/>
          <w:iCs/>
          <w:szCs w:val="21"/>
          <w:u w:val="single"/>
        </w:rPr>
        <w:t xml:space="preserve">   </w:t>
      </w:r>
      <w:r>
        <w:rPr>
          <w:rFonts w:ascii="宋体" w:hAnsi="宋体"/>
          <w:iCs/>
          <w:szCs w:val="21"/>
        </w:rPr>
        <w:t>人，营业收入为</w:t>
      </w:r>
      <w:r>
        <w:rPr>
          <w:rFonts w:ascii="宋体" w:hAnsi="宋体"/>
          <w:iCs/>
          <w:szCs w:val="21"/>
          <w:u w:val="single"/>
        </w:rPr>
        <w:t xml:space="preserve"> </w:t>
      </w:r>
      <w:r>
        <w:rPr>
          <w:rFonts w:hint="eastAsia" w:ascii="宋体" w:hAnsi="宋体"/>
          <w:iCs/>
          <w:szCs w:val="21"/>
          <w:u w:val="single"/>
        </w:rPr>
        <w:t xml:space="preserve">  </w:t>
      </w:r>
      <w:r>
        <w:rPr>
          <w:rFonts w:ascii="宋体" w:hAnsi="宋体"/>
          <w:iCs/>
          <w:szCs w:val="21"/>
        </w:rPr>
        <w:t>万元，资产总额为</w:t>
      </w:r>
      <w:r>
        <w:rPr>
          <w:rFonts w:ascii="宋体" w:hAnsi="宋体"/>
          <w:iCs/>
          <w:szCs w:val="21"/>
          <w:u w:val="single"/>
        </w:rPr>
        <w:t xml:space="preserve"> </w:t>
      </w:r>
      <w:r>
        <w:rPr>
          <w:rFonts w:ascii="宋体" w:hAnsi="宋体"/>
          <w:iCs/>
          <w:szCs w:val="21"/>
          <w:u w:val="single"/>
        </w:rPr>
        <w:tab/>
      </w:r>
      <w:r>
        <w:rPr>
          <w:rFonts w:ascii="宋体" w:hAnsi="宋体"/>
          <w:iCs/>
          <w:szCs w:val="21"/>
        </w:rPr>
        <w:t>万元，属于</w:t>
      </w:r>
      <w:r>
        <w:rPr>
          <w:rFonts w:ascii="宋体" w:hAnsi="宋体"/>
          <w:i/>
          <w:szCs w:val="21"/>
          <w:u w:val="single"/>
        </w:rPr>
        <w:t>（中型企业、小型企业、微型企业）</w:t>
      </w:r>
      <w:r>
        <w:rPr>
          <w:rFonts w:ascii="宋体" w:hAnsi="宋体"/>
          <w:iCs/>
          <w:szCs w:val="21"/>
        </w:rPr>
        <w:t>；</w:t>
      </w:r>
    </w:p>
    <w:p w14:paraId="0B46391E">
      <w:pPr>
        <w:pStyle w:val="95"/>
        <w:tabs>
          <w:tab w:val="left" w:pos="1183"/>
          <w:tab w:val="left" w:pos="1484"/>
          <w:tab w:val="left" w:pos="4662"/>
          <w:tab w:val="left" w:pos="6903"/>
        </w:tabs>
        <w:spacing w:line="400" w:lineRule="exact"/>
        <w:ind w:left="0"/>
        <w:rPr>
          <w:rFonts w:ascii="宋体" w:hAnsi="宋体"/>
          <w:iCs/>
          <w:szCs w:val="21"/>
        </w:rPr>
      </w:pPr>
      <w:r>
        <w:rPr>
          <w:rFonts w:hint="eastAsia" w:ascii="宋体" w:hAnsi="宋体"/>
          <w:iCs/>
          <w:szCs w:val="21"/>
        </w:rPr>
        <w:t>2.</w:t>
      </w:r>
      <w:r>
        <w:rPr>
          <w:rFonts w:ascii="宋体" w:hAnsi="宋体"/>
          <w:i/>
          <w:szCs w:val="21"/>
          <w:u w:val="single"/>
        </w:rPr>
        <w:t xml:space="preserve"> （ 标 的 名 称 ）</w:t>
      </w:r>
      <w:r>
        <w:rPr>
          <w:rFonts w:ascii="宋体" w:hAnsi="宋体"/>
          <w:iCs/>
          <w:szCs w:val="21"/>
        </w:rPr>
        <w:t xml:space="preserve"> ， 属 于</w:t>
      </w:r>
      <w:r>
        <w:rPr>
          <w:rFonts w:ascii="宋体" w:hAnsi="宋体"/>
          <w:i/>
          <w:kern w:val="0"/>
          <w:szCs w:val="21"/>
          <w:u w:val="single"/>
        </w:rPr>
        <w:t>（采购文件中明确的所属行业）</w:t>
      </w:r>
      <w:r>
        <w:rPr>
          <w:rFonts w:ascii="宋体" w:hAnsi="宋体"/>
          <w:iCs/>
          <w:szCs w:val="21"/>
        </w:rPr>
        <w:t>；制造商为</w:t>
      </w:r>
      <w:r>
        <w:rPr>
          <w:rFonts w:ascii="宋体" w:hAnsi="宋体"/>
          <w:i/>
          <w:szCs w:val="21"/>
          <w:u w:val="single"/>
        </w:rPr>
        <w:t>（企业名称）</w:t>
      </w:r>
      <w:r>
        <w:rPr>
          <w:rFonts w:ascii="宋体" w:hAnsi="宋体"/>
          <w:iCs/>
          <w:szCs w:val="21"/>
        </w:rPr>
        <w:t>，从业人员</w:t>
      </w:r>
      <w:r>
        <w:rPr>
          <w:rFonts w:ascii="宋体" w:hAnsi="宋体"/>
          <w:iCs/>
          <w:szCs w:val="21"/>
          <w:u w:val="single"/>
        </w:rPr>
        <w:t xml:space="preserve"> </w:t>
      </w:r>
      <w:r>
        <w:rPr>
          <w:rFonts w:hint="eastAsia" w:ascii="宋体" w:hAnsi="宋体"/>
          <w:iCs/>
          <w:szCs w:val="21"/>
          <w:u w:val="single"/>
        </w:rPr>
        <w:t xml:space="preserve">   </w:t>
      </w:r>
      <w:r>
        <w:rPr>
          <w:rFonts w:ascii="宋体" w:hAnsi="宋体"/>
          <w:iCs/>
          <w:szCs w:val="21"/>
        </w:rPr>
        <w:t>人，营业收入为</w:t>
      </w:r>
      <w:r>
        <w:rPr>
          <w:rFonts w:ascii="宋体" w:hAnsi="宋体"/>
          <w:iCs/>
          <w:szCs w:val="21"/>
          <w:u w:val="single"/>
        </w:rPr>
        <w:t xml:space="preserve"> </w:t>
      </w:r>
      <w:r>
        <w:rPr>
          <w:rFonts w:hint="eastAsia" w:ascii="宋体" w:hAnsi="宋体"/>
          <w:iCs/>
          <w:szCs w:val="21"/>
          <w:u w:val="single"/>
        </w:rPr>
        <w:t xml:space="preserve">  </w:t>
      </w:r>
      <w:r>
        <w:rPr>
          <w:rFonts w:ascii="宋体" w:hAnsi="宋体"/>
          <w:iCs/>
          <w:szCs w:val="21"/>
        </w:rPr>
        <w:t>万元，资产总额为</w:t>
      </w:r>
      <w:r>
        <w:rPr>
          <w:rFonts w:ascii="宋体" w:hAnsi="宋体"/>
          <w:iCs/>
          <w:szCs w:val="21"/>
          <w:u w:val="single"/>
        </w:rPr>
        <w:t xml:space="preserve"> </w:t>
      </w:r>
      <w:r>
        <w:rPr>
          <w:rFonts w:ascii="宋体" w:hAnsi="宋体"/>
          <w:iCs/>
          <w:szCs w:val="21"/>
          <w:u w:val="single"/>
        </w:rPr>
        <w:tab/>
      </w:r>
      <w:r>
        <w:rPr>
          <w:rFonts w:ascii="宋体" w:hAnsi="宋体"/>
          <w:iCs/>
          <w:szCs w:val="21"/>
        </w:rPr>
        <w:t>万元，属于</w:t>
      </w:r>
      <w:r>
        <w:rPr>
          <w:rFonts w:ascii="宋体" w:hAnsi="宋体"/>
          <w:i/>
          <w:szCs w:val="21"/>
          <w:u w:val="single"/>
        </w:rPr>
        <w:t>（中型企业、小型企业、微型企业）</w:t>
      </w:r>
      <w:r>
        <w:rPr>
          <w:rFonts w:ascii="宋体" w:hAnsi="宋体"/>
          <w:iCs/>
          <w:szCs w:val="21"/>
        </w:rPr>
        <w:t>；</w:t>
      </w:r>
    </w:p>
    <w:p w14:paraId="64AB8026">
      <w:pPr>
        <w:pStyle w:val="17"/>
        <w:spacing w:after="0" w:line="400" w:lineRule="exact"/>
        <w:ind w:firstLine="420" w:firstLineChars="200"/>
        <w:rPr>
          <w:rFonts w:ascii="宋体" w:hAnsi="宋体"/>
          <w:sz w:val="21"/>
          <w:szCs w:val="21"/>
        </w:rPr>
      </w:pPr>
      <w:r>
        <w:rPr>
          <w:rFonts w:ascii="宋体" w:hAnsi="宋体"/>
          <w:sz w:val="21"/>
          <w:szCs w:val="21"/>
        </w:rPr>
        <w:t>……</w:t>
      </w:r>
    </w:p>
    <w:p w14:paraId="66217B08">
      <w:pPr>
        <w:pStyle w:val="17"/>
        <w:spacing w:after="0" w:line="400" w:lineRule="exact"/>
        <w:ind w:firstLine="420" w:firstLineChars="200"/>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14:paraId="1637914C">
      <w:pPr>
        <w:pStyle w:val="17"/>
        <w:spacing w:after="0" w:line="400" w:lineRule="exact"/>
        <w:ind w:firstLine="420" w:firstLineChars="200"/>
        <w:rPr>
          <w:rFonts w:ascii="宋体" w:hAnsi="宋体"/>
          <w:sz w:val="21"/>
          <w:szCs w:val="21"/>
        </w:rPr>
      </w:pPr>
      <w:r>
        <w:rPr>
          <w:rFonts w:ascii="宋体" w:hAnsi="宋体"/>
          <w:sz w:val="21"/>
          <w:szCs w:val="21"/>
        </w:rPr>
        <w:t>本企业对上述声明内容的真实性负责。如有虚假，将依法承担相应责任。</w:t>
      </w:r>
    </w:p>
    <w:p w14:paraId="036A178E">
      <w:pPr>
        <w:spacing w:line="400" w:lineRule="exact"/>
        <w:ind w:firstLine="420" w:firstLineChars="200"/>
        <w:rPr>
          <w:rFonts w:ascii="宋体" w:hAnsi="宋体"/>
          <w:sz w:val="21"/>
          <w:szCs w:val="21"/>
        </w:rPr>
      </w:pPr>
      <w:r>
        <w:rPr>
          <w:rFonts w:ascii="宋体" w:hAnsi="宋体"/>
          <w:sz w:val="21"/>
          <w:szCs w:val="21"/>
        </w:rPr>
        <w:t>企业名称（盖章）：</w:t>
      </w:r>
    </w:p>
    <w:p w14:paraId="23F2A528">
      <w:pPr>
        <w:spacing w:line="400" w:lineRule="exact"/>
        <w:ind w:firstLine="420" w:firstLineChars="200"/>
        <w:rPr>
          <w:rFonts w:ascii="宋体" w:hAnsi="宋体"/>
          <w:sz w:val="21"/>
          <w:szCs w:val="21"/>
        </w:rPr>
      </w:pPr>
      <w:r>
        <w:rPr>
          <w:rFonts w:ascii="宋体" w:hAnsi="宋体"/>
          <w:sz w:val="21"/>
          <w:szCs w:val="21"/>
        </w:rPr>
        <w:t>日期：</w:t>
      </w:r>
    </w:p>
    <w:p w14:paraId="7B64DAC4">
      <w:pPr>
        <w:spacing w:line="225" w:lineRule="exact"/>
        <w:ind w:left="20"/>
        <w:rPr>
          <w:rFonts w:ascii="宋体" w:hAnsi="宋体"/>
          <w:sz w:val="18"/>
        </w:rPr>
      </w:pPr>
    </w:p>
    <w:p w14:paraId="3EEBA791">
      <w:pPr>
        <w:spacing w:line="225" w:lineRule="exact"/>
        <w:ind w:left="20"/>
        <w:rPr>
          <w:rFonts w:ascii="宋体" w:hAnsi="宋体"/>
          <w:sz w:val="18"/>
        </w:rPr>
      </w:pPr>
    </w:p>
    <w:p w14:paraId="3C406C5E">
      <w:pPr>
        <w:spacing w:line="225" w:lineRule="exact"/>
        <w:ind w:left="20"/>
        <w:rPr>
          <w:rFonts w:ascii="宋体" w:hAnsi="宋体"/>
          <w:sz w:val="18"/>
        </w:rPr>
      </w:pPr>
    </w:p>
    <w:p w14:paraId="586BFFE5">
      <w:pPr>
        <w:spacing w:line="225" w:lineRule="exact"/>
        <w:ind w:left="20"/>
        <w:rPr>
          <w:rFonts w:ascii="宋体" w:hAnsi="宋体"/>
          <w:sz w:val="18"/>
        </w:rPr>
      </w:pPr>
    </w:p>
    <w:p w14:paraId="5F8CD0E9">
      <w:pPr>
        <w:spacing w:line="225" w:lineRule="exact"/>
        <w:ind w:left="20"/>
        <w:rPr>
          <w:rFonts w:ascii="宋体" w:hAnsi="宋体"/>
          <w:sz w:val="18"/>
        </w:rPr>
      </w:pPr>
    </w:p>
    <w:p w14:paraId="30138E9A">
      <w:pPr>
        <w:spacing w:line="225" w:lineRule="exact"/>
        <w:ind w:left="20"/>
        <w:rPr>
          <w:rFonts w:ascii="宋体" w:hAnsi="宋体"/>
          <w:sz w:val="18"/>
        </w:rPr>
      </w:pPr>
    </w:p>
    <w:p w14:paraId="7BC8E9B2">
      <w:pPr>
        <w:pStyle w:val="17"/>
        <w:spacing w:after="0" w:line="360" w:lineRule="auto"/>
        <w:ind w:firstLine="360" w:firstLineChars="200"/>
        <w:rPr>
          <w:rFonts w:ascii="宋体" w:hAnsi="宋体"/>
          <w:sz w:val="18"/>
        </w:rPr>
      </w:pPr>
      <w:r>
        <w:rPr>
          <w:rFonts w:hint="eastAsia" w:ascii="宋体" w:hAnsi="宋体"/>
          <w:sz w:val="18"/>
        </w:rPr>
        <w:t>注：1.从业人员、营业收入、资产总额填报上一年度数据，无上一年度数据的新成立企业可不填报。</w:t>
      </w:r>
    </w:p>
    <w:p w14:paraId="68F7141C">
      <w:pPr>
        <w:pStyle w:val="17"/>
        <w:spacing w:after="0" w:line="360" w:lineRule="auto"/>
        <w:ind w:firstLine="720" w:firstLineChars="400"/>
        <w:rPr>
          <w:rFonts w:ascii="宋体" w:hAnsi="宋体"/>
          <w:sz w:val="18"/>
        </w:rPr>
      </w:pPr>
      <w:r>
        <w:rPr>
          <w:rFonts w:hint="eastAsia" w:ascii="宋体" w:hAnsi="宋体"/>
          <w:sz w:val="18"/>
        </w:rPr>
        <w:t>2.根据《政府采购促进中小企业发展管理办法》，在货物采购项目中，供应商提供的货物既有中小企业制造货物，也有大型企业制造货物的，不享受本办法规定的中小企业扶持政策。</w:t>
      </w:r>
    </w:p>
    <w:p w14:paraId="4D7A4C64">
      <w:pPr>
        <w:ind w:firstLine="720" w:firstLineChars="400"/>
        <w:rPr>
          <w:rFonts w:hint="eastAsia" w:ascii="宋体" w:hAnsi="宋体" w:eastAsia="宋体"/>
          <w:sz w:val="18"/>
        </w:rPr>
      </w:pPr>
      <w:r>
        <w:rPr>
          <w:rFonts w:hint="eastAsia" w:ascii="宋体" w:hAnsi="宋体"/>
          <w:sz w:val="18"/>
        </w:rPr>
        <w:t>3.本项目企业划</w:t>
      </w:r>
      <w:r>
        <w:rPr>
          <w:rFonts w:hint="eastAsia" w:ascii="宋体" w:hAnsi="宋体" w:eastAsia="宋体"/>
          <w:sz w:val="18"/>
        </w:rPr>
        <w:t>分标准为“制造业”行业。</w:t>
      </w:r>
    </w:p>
    <w:p w14:paraId="09C5EAFC">
      <w:pPr>
        <w:ind w:firstLine="720" w:firstLineChars="400"/>
        <w:rPr>
          <w:rFonts w:hint="eastAsia" w:ascii="宋体" w:hAnsi="宋体" w:eastAsia="宋体"/>
          <w:sz w:val="18"/>
        </w:rPr>
      </w:pPr>
      <w:r>
        <w:rPr>
          <w:rFonts w:hint="eastAsia" w:ascii="宋体" w:hAnsi="宋体" w:eastAsia="宋体"/>
          <w:sz w:val="18"/>
        </w:rPr>
        <w:br w:type="page"/>
      </w:r>
    </w:p>
    <w:p w14:paraId="7248CA0B">
      <w:pPr>
        <w:spacing w:line="360" w:lineRule="auto"/>
        <w:jc w:val="center"/>
        <w:rPr>
          <w:rFonts w:ascii="宋体" w:hAnsi="宋体" w:cs="宋体"/>
          <w:b/>
          <w:sz w:val="36"/>
          <w:szCs w:val="36"/>
        </w:rPr>
      </w:pPr>
    </w:p>
    <w:p w14:paraId="3FE6344F">
      <w:pPr>
        <w:spacing w:line="360" w:lineRule="auto"/>
        <w:rPr>
          <w:rFonts w:ascii="宋体" w:hAnsi="宋体" w:cs="宋体"/>
          <w:b/>
          <w:bCs/>
          <w:sz w:val="28"/>
          <w:szCs w:val="28"/>
        </w:rPr>
      </w:pPr>
      <w:r>
        <w:rPr>
          <w:rFonts w:hint="eastAsia" w:ascii="宋体" w:hAnsi="宋体" w:cs="宋体"/>
          <w:b/>
          <w:bCs/>
          <w:sz w:val="28"/>
          <w:szCs w:val="28"/>
        </w:rPr>
        <w:t>附件：</w:t>
      </w:r>
    </w:p>
    <w:p w14:paraId="27A8F094">
      <w:pPr>
        <w:spacing w:line="360" w:lineRule="auto"/>
        <w:jc w:val="center"/>
        <w:rPr>
          <w:rFonts w:ascii="宋体" w:hAnsi="宋体" w:cs="宋体"/>
          <w:b/>
          <w:sz w:val="32"/>
          <w:szCs w:val="32"/>
        </w:rPr>
      </w:pPr>
      <w:r>
        <w:rPr>
          <w:rFonts w:hint="eastAsia" w:ascii="宋体" w:hAnsi="宋体" w:cs="宋体"/>
          <w:b/>
          <w:sz w:val="32"/>
          <w:szCs w:val="32"/>
        </w:rPr>
        <w:t>政府采购促进中小企业发展管理办法</w:t>
      </w:r>
    </w:p>
    <w:p w14:paraId="12C577BB">
      <w:pPr>
        <w:spacing w:line="288" w:lineRule="auto"/>
        <w:jc w:val="center"/>
        <w:rPr>
          <w:rFonts w:ascii="宋体" w:hAnsi="宋体" w:cs="宋体"/>
          <w:sz w:val="24"/>
          <w:szCs w:val="24"/>
        </w:rPr>
      </w:pPr>
      <w:r>
        <w:rPr>
          <w:rFonts w:hint="eastAsia" w:ascii="宋体" w:hAnsi="宋体" w:cs="宋体"/>
          <w:sz w:val="24"/>
          <w:szCs w:val="24"/>
          <w:lang w:bidi="ar"/>
        </w:rPr>
        <w:t>财库〔2020〕46号</w:t>
      </w:r>
    </w:p>
    <w:p w14:paraId="016F60F1">
      <w:pPr>
        <w:spacing w:line="288" w:lineRule="auto"/>
        <w:rPr>
          <w:rFonts w:ascii="宋体" w:hAnsi="宋体" w:cs="宋体"/>
          <w:sz w:val="21"/>
          <w:szCs w:val="21"/>
        </w:rPr>
      </w:pPr>
      <w:r>
        <w:rPr>
          <w:rFonts w:hint="eastAsia" w:ascii="宋体" w:hAnsi="宋体" w:cs="宋体"/>
          <w:sz w:val="24"/>
          <w:szCs w:val="24"/>
          <w:lang w:bidi="ar"/>
        </w:rPr>
        <w:t xml:space="preserve"> </w:t>
      </w:r>
      <w:r>
        <w:rPr>
          <w:rFonts w:hint="eastAsia" w:ascii="宋体" w:hAnsi="宋体" w:cs="宋体"/>
          <w:sz w:val="21"/>
          <w:szCs w:val="21"/>
          <w:lang w:bidi="ar"/>
        </w:rPr>
        <w:t xml:space="preserve">   </w:t>
      </w:r>
      <w:r>
        <w:rPr>
          <w:rStyle w:val="47"/>
          <w:rFonts w:hint="eastAsia" w:ascii="宋体" w:hAnsi="宋体" w:cs="宋体"/>
          <w:bCs w:val="0"/>
          <w:sz w:val="21"/>
          <w:szCs w:val="21"/>
          <w:lang w:bidi="ar"/>
        </w:rPr>
        <w:t>第一条</w:t>
      </w:r>
      <w:r>
        <w:rPr>
          <w:rFonts w:hint="eastAsia" w:ascii="宋体" w:hAnsi="宋体" w:cs="宋体"/>
          <w:sz w:val="21"/>
          <w:szCs w:val="21"/>
          <w:lang w:bidi="ar"/>
        </w:rPr>
        <w:t xml:space="preserve">  为了发挥政府采购的政策功能，促进中小企业健康发展，根据《中华人民共和国政府采购法》、《中华人民共和国中小企业促进法》等有关法律法规，制定本办法。</w:t>
      </w:r>
    </w:p>
    <w:p w14:paraId="256CA212">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第二条</w:t>
      </w:r>
      <w:r>
        <w:rPr>
          <w:rFonts w:hint="eastAsia" w:ascii="宋体" w:hAnsi="宋体" w:cs="宋体"/>
          <w:sz w:val="21"/>
          <w:szCs w:val="21"/>
          <w:lang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E211393">
      <w:pPr>
        <w:spacing w:line="288" w:lineRule="auto"/>
        <w:ind w:firstLine="420" w:firstLineChars="200"/>
        <w:rPr>
          <w:rFonts w:ascii="宋体" w:hAnsi="宋体" w:cs="宋体"/>
          <w:sz w:val="21"/>
          <w:szCs w:val="21"/>
        </w:rPr>
      </w:pPr>
      <w:r>
        <w:rPr>
          <w:rFonts w:hint="eastAsia" w:ascii="宋体" w:hAnsi="宋体" w:cs="宋体"/>
          <w:sz w:val="21"/>
          <w:szCs w:val="21"/>
          <w:lang w:bidi="ar"/>
        </w:rPr>
        <w:t>符合中小企业划分标准的个体工商户，在政府采购活动中视同中小企业。</w:t>
      </w:r>
    </w:p>
    <w:p w14:paraId="0D80C5F2">
      <w:pPr>
        <w:spacing w:line="288" w:lineRule="auto"/>
        <w:rPr>
          <w:rFonts w:ascii="宋体" w:hAnsi="宋体" w:cs="宋体"/>
          <w:sz w:val="21"/>
          <w:szCs w:val="21"/>
        </w:rPr>
      </w:pPr>
      <w:r>
        <w:rPr>
          <w:rFonts w:hint="eastAsia" w:ascii="宋体" w:hAnsi="宋体" w:cs="宋体"/>
          <w:sz w:val="21"/>
          <w:szCs w:val="21"/>
          <w:lang w:bidi="ar"/>
        </w:rPr>
        <w:t xml:space="preserve">   </w:t>
      </w:r>
      <w:r>
        <w:rPr>
          <w:rStyle w:val="47"/>
          <w:rFonts w:hint="eastAsia" w:ascii="宋体" w:hAnsi="宋体" w:cs="宋体"/>
          <w:bCs w:val="0"/>
          <w:sz w:val="21"/>
          <w:szCs w:val="21"/>
          <w:lang w:bidi="ar"/>
        </w:rPr>
        <w:t xml:space="preserve"> 第三条</w:t>
      </w:r>
      <w:r>
        <w:rPr>
          <w:rFonts w:hint="eastAsia" w:ascii="宋体" w:hAnsi="宋体" w:cs="宋体"/>
          <w:sz w:val="21"/>
          <w:szCs w:val="21"/>
          <w:lang w:bidi="ar"/>
        </w:rPr>
        <w:t xml:space="preserve">  采购人在政府采购活动中应当通过加强采购需求管理，落实预留采购份额、价格评审优惠、优先采购等措施，提高中小企业在政府采购中的份额，支持中小企业发展。</w:t>
      </w:r>
    </w:p>
    <w:p w14:paraId="3DB89D28">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第四条</w:t>
      </w:r>
      <w:r>
        <w:rPr>
          <w:rFonts w:hint="eastAsia" w:ascii="宋体" w:hAnsi="宋体" w:cs="宋体"/>
          <w:sz w:val="21"/>
          <w:szCs w:val="21"/>
          <w:lang w:bidi="ar"/>
        </w:rPr>
        <w:t xml:space="preserve">  在政府采购活动中，供应商提供的货物、工程或者服务符合下列情形的，享受本办法规定的中小企业扶持政策：</w:t>
      </w:r>
    </w:p>
    <w:p w14:paraId="78E665F2">
      <w:pPr>
        <w:spacing w:line="288" w:lineRule="auto"/>
        <w:ind w:firstLine="420" w:firstLineChars="200"/>
        <w:rPr>
          <w:rFonts w:ascii="宋体" w:hAnsi="宋体" w:cs="宋体"/>
          <w:sz w:val="21"/>
          <w:szCs w:val="21"/>
        </w:rPr>
      </w:pPr>
      <w:r>
        <w:rPr>
          <w:rFonts w:hint="eastAsia" w:ascii="宋体" w:hAnsi="宋体" w:cs="宋体"/>
          <w:sz w:val="21"/>
          <w:szCs w:val="21"/>
          <w:lang w:bidi="ar"/>
        </w:rPr>
        <w:t>（一）在货物采购项目中，货物由中小企业制造，即货物由中小企业生产且使用该中小企业商号或者注册商标；</w:t>
      </w:r>
    </w:p>
    <w:p w14:paraId="5B23DD99">
      <w:pPr>
        <w:spacing w:line="288" w:lineRule="auto"/>
        <w:ind w:firstLine="420" w:firstLineChars="200"/>
        <w:rPr>
          <w:rFonts w:ascii="宋体" w:hAnsi="宋体" w:cs="宋体"/>
          <w:sz w:val="21"/>
          <w:szCs w:val="21"/>
        </w:rPr>
      </w:pPr>
      <w:r>
        <w:rPr>
          <w:rFonts w:hint="eastAsia" w:ascii="宋体" w:hAnsi="宋体" w:cs="宋体"/>
          <w:sz w:val="21"/>
          <w:szCs w:val="21"/>
          <w:lang w:bidi="ar"/>
        </w:rPr>
        <w:t>（二）在工程采购项目中，工程由中小企业承建，即工程施工单位为中小企业；</w:t>
      </w:r>
    </w:p>
    <w:p w14:paraId="0541B181">
      <w:pPr>
        <w:spacing w:line="288" w:lineRule="auto"/>
        <w:ind w:firstLine="420" w:firstLineChars="200"/>
        <w:rPr>
          <w:rFonts w:ascii="宋体" w:hAnsi="宋体" w:cs="宋体"/>
          <w:sz w:val="21"/>
          <w:szCs w:val="21"/>
        </w:rPr>
      </w:pPr>
      <w:r>
        <w:rPr>
          <w:rFonts w:hint="eastAsia" w:ascii="宋体" w:hAnsi="宋体" w:cs="宋体"/>
          <w:sz w:val="21"/>
          <w:szCs w:val="21"/>
          <w:lang w:bidi="ar"/>
        </w:rPr>
        <w:t>（三）在服务采购项目中，服务由中小企业承接，即提供服务的人员为中小企业依照《中华人民共和国劳动合同法》订立劳动合同的从业人员。</w:t>
      </w:r>
    </w:p>
    <w:p w14:paraId="4EED015C">
      <w:pPr>
        <w:spacing w:line="288" w:lineRule="auto"/>
        <w:ind w:firstLine="420" w:firstLineChars="200"/>
        <w:rPr>
          <w:rFonts w:ascii="宋体" w:hAnsi="宋体" w:cs="宋体"/>
          <w:sz w:val="21"/>
          <w:szCs w:val="21"/>
        </w:rPr>
      </w:pPr>
      <w:r>
        <w:rPr>
          <w:rFonts w:hint="eastAsia" w:ascii="宋体" w:hAnsi="宋体" w:cs="宋体"/>
          <w:sz w:val="21"/>
          <w:szCs w:val="21"/>
          <w:lang w:bidi="ar"/>
        </w:rPr>
        <w:t>在货物采购项目中，供应商提供的货物既有中小企业制造货物，也有大型企业制造货物的，不享受本办法规定的中小企业扶持政策。</w:t>
      </w:r>
    </w:p>
    <w:p w14:paraId="637E98AF">
      <w:pPr>
        <w:spacing w:line="288" w:lineRule="auto"/>
        <w:ind w:firstLine="420" w:firstLineChars="200"/>
        <w:rPr>
          <w:rFonts w:ascii="宋体" w:hAnsi="宋体" w:cs="宋体"/>
          <w:sz w:val="21"/>
          <w:szCs w:val="21"/>
        </w:rPr>
      </w:pPr>
      <w:r>
        <w:rPr>
          <w:rFonts w:hint="eastAsia" w:ascii="宋体" w:hAnsi="宋体" w:cs="宋体"/>
          <w:sz w:val="21"/>
          <w:szCs w:val="21"/>
          <w:lang w:bidi="ar"/>
        </w:rPr>
        <w:t>以联合体形式参加政府采购活动，联合体各方均为中小企业的，联合体视同中小企业。其中，联合体各方均为小微企业的，联合体视同小微企业。</w:t>
      </w:r>
    </w:p>
    <w:p w14:paraId="65E1847F">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第五条</w:t>
      </w:r>
      <w:r>
        <w:rPr>
          <w:rFonts w:hint="eastAsia" w:ascii="宋体" w:hAnsi="宋体" w:cs="宋体"/>
          <w:sz w:val="21"/>
          <w:szCs w:val="21"/>
          <w:lang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2276758">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第六条</w:t>
      </w:r>
      <w:r>
        <w:rPr>
          <w:rFonts w:hint="eastAsia" w:ascii="宋体" w:hAnsi="宋体" w:cs="宋体"/>
          <w:sz w:val="21"/>
          <w:szCs w:val="21"/>
          <w:lang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3A586EE">
      <w:pPr>
        <w:spacing w:line="288" w:lineRule="auto"/>
        <w:ind w:firstLine="420" w:firstLineChars="200"/>
        <w:rPr>
          <w:rFonts w:ascii="宋体" w:hAnsi="宋体" w:cs="宋体"/>
          <w:sz w:val="21"/>
          <w:szCs w:val="21"/>
        </w:rPr>
      </w:pPr>
      <w:r>
        <w:rPr>
          <w:rFonts w:hint="eastAsia" w:ascii="宋体" w:hAnsi="宋体" w:cs="宋体"/>
          <w:sz w:val="21"/>
          <w:szCs w:val="21"/>
          <w:lang w:bidi="ar"/>
        </w:rPr>
        <w:t>符合下列情形之一的，可不专门面向中小企业预留采购份额：</w:t>
      </w:r>
    </w:p>
    <w:p w14:paraId="4CEAD400">
      <w:pPr>
        <w:spacing w:line="288" w:lineRule="auto"/>
        <w:ind w:firstLine="420" w:firstLineChars="200"/>
        <w:rPr>
          <w:rFonts w:ascii="宋体" w:hAnsi="宋体" w:cs="宋体"/>
          <w:sz w:val="21"/>
          <w:szCs w:val="21"/>
        </w:rPr>
      </w:pPr>
      <w:r>
        <w:rPr>
          <w:rFonts w:hint="eastAsia" w:ascii="宋体" w:hAnsi="宋体" w:cs="宋体"/>
          <w:sz w:val="21"/>
          <w:szCs w:val="21"/>
          <w:lang w:bidi="ar"/>
        </w:rPr>
        <w:t>（一）法律法规和国家有关政策明确规定优先或者应当面向事业单位、社会组织等非企业主体采购的；</w:t>
      </w:r>
    </w:p>
    <w:p w14:paraId="4A95E8DC">
      <w:pPr>
        <w:spacing w:line="288" w:lineRule="auto"/>
        <w:ind w:firstLine="420" w:firstLineChars="200"/>
        <w:rPr>
          <w:rFonts w:ascii="宋体" w:hAnsi="宋体" w:cs="宋体"/>
          <w:sz w:val="21"/>
          <w:szCs w:val="21"/>
        </w:rPr>
      </w:pPr>
      <w:r>
        <w:rPr>
          <w:rFonts w:hint="eastAsia" w:ascii="宋体" w:hAnsi="宋体" w:cs="宋体"/>
          <w:sz w:val="21"/>
          <w:szCs w:val="21"/>
          <w:lang w:bidi="ar"/>
        </w:rPr>
        <w:t>（二）因确需使用不可替代的专利、专有技术，基础设施限制，或者提供特定公共服务等原因，只能从中小企业之外的供应商处采购的；</w:t>
      </w:r>
    </w:p>
    <w:p w14:paraId="55CAFBBA">
      <w:pPr>
        <w:spacing w:line="288" w:lineRule="auto"/>
        <w:ind w:firstLine="420" w:firstLineChars="200"/>
        <w:rPr>
          <w:rFonts w:ascii="宋体" w:hAnsi="宋体" w:cs="宋体"/>
          <w:sz w:val="21"/>
          <w:szCs w:val="21"/>
        </w:rPr>
      </w:pPr>
      <w:r>
        <w:rPr>
          <w:rFonts w:hint="eastAsia" w:ascii="宋体" w:hAnsi="宋体" w:cs="宋体"/>
          <w:sz w:val="21"/>
          <w:szCs w:val="21"/>
          <w:lang w:bidi="ar"/>
        </w:rPr>
        <w:t>（三）按照本办法规定预留采购份额无法确保充分供应、充分竞争，或者存在可能影响政府采购目标实现的情形；</w:t>
      </w:r>
    </w:p>
    <w:p w14:paraId="3C710CA3">
      <w:pPr>
        <w:spacing w:line="288" w:lineRule="auto"/>
        <w:ind w:firstLine="420" w:firstLineChars="200"/>
        <w:rPr>
          <w:rFonts w:ascii="宋体" w:hAnsi="宋体" w:cs="宋体"/>
          <w:sz w:val="21"/>
          <w:szCs w:val="21"/>
        </w:rPr>
      </w:pPr>
      <w:r>
        <w:rPr>
          <w:rFonts w:hint="eastAsia" w:ascii="宋体" w:hAnsi="宋体" w:cs="宋体"/>
          <w:sz w:val="21"/>
          <w:szCs w:val="21"/>
          <w:lang w:bidi="ar"/>
        </w:rPr>
        <w:t>（四）框架协议采购项目；</w:t>
      </w:r>
    </w:p>
    <w:p w14:paraId="5026F253">
      <w:pPr>
        <w:spacing w:line="288" w:lineRule="auto"/>
        <w:ind w:firstLine="420" w:firstLineChars="200"/>
        <w:rPr>
          <w:rFonts w:ascii="宋体" w:hAnsi="宋体" w:cs="宋体"/>
          <w:sz w:val="21"/>
          <w:szCs w:val="21"/>
        </w:rPr>
      </w:pPr>
      <w:r>
        <w:rPr>
          <w:rFonts w:hint="eastAsia" w:ascii="宋体" w:hAnsi="宋体" w:cs="宋体"/>
          <w:sz w:val="21"/>
          <w:szCs w:val="21"/>
          <w:lang w:bidi="ar"/>
        </w:rPr>
        <w:t>（五）省级以上人民政府财政部门规定的其他情形。</w:t>
      </w:r>
    </w:p>
    <w:p w14:paraId="525707E0">
      <w:pPr>
        <w:spacing w:line="288" w:lineRule="auto"/>
        <w:ind w:firstLine="420" w:firstLineChars="200"/>
        <w:rPr>
          <w:rFonts w:ascii="宋体" w:hAnsi="宋体" w:cs="宋体"/>
          <w:sz w:val="21"/>
          <w:szCs w:val="21"/>
        </w:rPr>
      </w:pPr>
      <w:r>
        <w:rPr>
          <w:rFonts w:hint="eastAsia" w:ascii="宋体" w:hAnsi="宋体" w:cs="宋体"/>
          <w:sz w:val="21"/>
          <w:szCs w:val="21"/>
          <w:lang w:bidi="ar"/>
        </w:rPr>
        <w:t>除上述情形外，其他均为适宜由中小企业提供的情形。</w:t>
      </w:r>
    </w:p>
    <w:p w14:paraId="62B27878">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第七条</w:t>
      </w:r>
      <w:r>
        <w:rPr>
          <w:rFonts w:hint="eastAsia" w:ascii="宋体" w:hAnsi="宋体" w:cs="宋体"/>
          <w:sz w:val="21"/>
          <w:szCs w:val="21"/>
          <w:lang w:bidi="ar"/>
        </w:rPr>
        <w:t xml:space="preserve">  采购限额标准以上，200 万元以下的货物和服务采购项目、400 万元以下的工程采购项目，适宜由中小企业提供的，采购人应当专门面向中小企业采购。</w:t>
      </w:r>
    </w:p>
    <w:p w14:paraId="4BA2D59A">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第八条</w:t>
      </w:r>
      <w:r>
        <w:rPr>
          <w:rFonts w:hint="eastAsia" w:ascii="宋体" w:hAnsi="宋体" w:cs="宋体"/>
          <w:sz w:val="21"/>
          <w:szCs w:val="21"/>
          <w:lang w:bidi="ar"/>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5397AB10">
      <w:pPr>
        <w:spacing w:line="288" w:lineRule="auto"/>
        <w:ind w:firstLine="420" w:firstLineChars="200"/>
        <w:rPr>
          <w:rFonts w:ascii="宋体" w:hAnsi="宋体" w:cs="宋体"/>
          <w:sz w:val="21"/>
          <w:szCs w:val="21"/>
        </w:rPr>
      </w:pPr>
      <w:r>
        <w:rPr>
          <w:rFonts w:hint="eastAsia" w:ascii="宋体" w:hAnsi="宋体" w:cs="宋体"/>
          <w:sz w:val="21"/>
          <w:szCs w:val="21"/>
          <w:lang w:bidi="ar"/>
        </w:rPr>
        <w:t>（一）将采购项目整体或者设置采购包专门面向中小企业采购；</w:t>
      </w:r>
    </w:p>
    <w:p w14:paraId="5A12F866">
      <w:pPr>
        <w:spacing w:line="288" w:lineRule="auto"/>
        <w:ind w:firstLine="420" w:firstLineChars="200"/>
        <w:rPr>
          <w:rFonts w:ascii="宋体" w:hAnsi="宋体" w:cs="宋体"/>
          <w:sz w:val="21"/>
          <w:szCs w:val="21"/>
        </w:rPr>
      </w:pPr>
      <w:r>
        <w:rPr>
          <w:rFonts w:hint="eastAsia" w:ascii="宋体" w:hAnsi="宋体" w:cs="宋体"/>
          <w:sz w:val="21"/>
          <w:szCs w:val="21"/>
          <w:lang w:bidi="ar"/>
        </w:rPr>
        <w:t>（二）要求供应商以联合体形式参加采购活动，且联合体中中小企业承担的部分达到一定比例；</w:t>
      </w:r>
    </w:p>
    <w:p w14:paraId="67DEAD2C">
      <w:pPr>
        <w:spacing w:line="288" w:lineRule="auto"/>
        <w:ind w:firstLine="420" w:firstLineChars="200"/>
        <w:rPr>
          <w:rFonts w:ascii="宋体" w:hAnsi="宋体" w:cs="宋体"/>
          <w:sz w:val="21"/>
          <w:szCs w:val="21"/>
        </w:rPr>
      </w:pPr>
      <w:r>
        <w:rPr>
          <w:rFonts w:hint="eastAsia" w:ascii="宋体" w:hAnsi="宋体" w:cs="宋体"/>
          <w:sz w:val="21"/>
          <w:szCs w:val="21"/>
          <w:lang w:bidi="ar"/>
        </w:rPr>
        <w:t>（三）要求获得采购合同的供应商将采购项目中的一定比例分包给一家或者多家中小企业。</w:t>
      </w:r>
    </w:p>
    <w:p w14:paraId="0AEA45B0">
      <w:pPr>
        <w:spacing w:line="288" w:lineRule="auto"/>
        <w:ind w:firstLine="420" w:firstLineChars="200"/>
        <w:rPr>
          <w:rFonts w:ascii="宋体" w:hAnsi="宋体" w:cs="宋体"/>
          <w:sz w:val="21"/>
          <w:szCs w:val="21"/>
        </w:rPr>
      </w:pPr>
      <w:r>
        <w:rPr>
          <w:rFonts w:hint="eastAsia" w:ascii="宋体" w:hAnsi="宋体" w:cs="宋体"/>
          <w:sz w:val="21"/>
          <w:szCs w:val="21"/>
          <w:lang w:bidi="ar"/>
        </w:rPr>
        <w:t>组成联合体或者接受分包合同的中小企业与联合体内其他企业、分包企业之间不得存在直接控股、管理关系。</w:t>
      </w:r>
    </w:p>
    <w:p w14:paraId="620BCD08">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第九条</w:t>
      </w:r>
      <w:r>
        <w:rPr>
          <w:rFonts w:hint="eastAsia" w:ascii="宋体" w:hAnsi="宋体" w:cs="宋体"/>
          <w:sz w:val="21"/>
          <w:szCs w:val="21"/>
          <w:lang w:bidi="ar"/>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19A16276">
      <w:pPr>
        <w:spacing w:line="288" w:lineRule="auto"/>
        <w:ind w:firstLine="420" w:firstLineChars="200"/>
        <w:rPr>
          <w:rFonts w:ascii="宋体" w:hAnsi="宋体" w:cs="宋体"/>
          <w:sz w:val="21"/>
          <w:szCs w:val="21"/>
        </w:rPr>
      </w:pPr>
      <w:r>
        <w:rPr>
          <w:rFonts w:hint="eastAsia" w:ascii="宋体" w:hAnsi="宋体" w:cs="宋体"/>
          <w:sz w:val="21"/>
          <w:szCs w:val="21"/>
          <w:lang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25D82D1">
      <w:pPr>
        <w:spacing w:line="288" w:lineRule="auto"/>
        <w:ind w:firstLine="420" w:firstLineChars="200"/>
        <w:rPr>
          <w:rFonts w:ascii="宋体" w:hAnsi="宋体" w:cs="宋体"/>
          <w:sz w:val="21"/>
          <w:szCs w:val="21"/>
        </w:rPr>
      </w:pPr>
      <w:r>
        <w:rPr>
          <w:rFonts w:hint="eastAsia" w:ascii="宋体" w:hAnsi="宋体" w:cs="宋体"/>
          <w:sz w:val="21"/>
          <w:szCs w:val="21"/>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AADF872">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第十条</w:t>
      </w:r>
      <w:r>
        <w:rPr>
          <w:rFonts w:hint="eastAsia" w:ascii="宋体" w:hAnsi="宋体" w:cs="宋体"/>
          <w:sz w:val="21"/>
          <w:szCs w:val="21"/>
          <w:lang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392023CA">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第十一条</w:t>
      </w:r>
      <w:r>
        <w:rPr>
          <w:rFonts w:hint="eastAsia" w:ascii="宋体" w:hAnsi="宋体" w:cs="宋体"/>
          <w:sz w:val="21"/>
          <w:szCs w:val="21"/>
          <w:lang w:bidi="ar"/>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3704ED37">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第十二条</w:t>
      </w:r>
      <w:r>
        <w:rPr>
          <w:rFonts w:hint="eastAsia" w:ascii="宋体" w:hAnsi="宋体" w:cs="宋体"/>
          <w:sz w:val="21"/>
          <w:szCs w:val="21"/>
          <w:lang w:bidi="ar"/>
        </w:rPr>
        <w:t xml:space="preserve">  采购项目涉及中小企业采购的，采购文件应当明确以下内容：</w:t>
      </w:r>
    </w:p>
    <w:p w14:paraId="30D50306">
      <w:pPr>
        <w:spacing w:line="288" w:lineRule="auto"/>
        <w:ind w:firstLine="420" w:firstLineChars="200"/>
        <w:rPr>
          <w:rFonts w:ascii="宋体" w:hAnsi="宋体" w:cs="宋体"/>
          <w:sz w:val="21"/>
          <w:szCs w:val="21"/>
        </w:rPr>
      </w:pPr>
      <w:r>
        <w:rPr>
          <w:rFonts w:hint="eastAsia" w:ascii="宋体" w:hAnsi="宋体" w:cs="宋体"/>
          <w:sz w:val="21"/>
          <w:szCs w:val="21"/>
          <w:lang w:bidi="ar"/>
        </w:rPr>
        <w:t>（一）预留份额的采购项目或者采购包，明确该项目或相关采购包专门面向中小企业采购，以及相关标的及预算金额；</w:t>
      </w:r>
    </w:p>
    <w:p w14:paraId="1D321CAC">
      <w:pPr>
        <w:spacing w:line="288" w:lineRule="auto"/>
        <w:ind w:firstLine="420" w:firstLineChars="200"/>
        <w:rPr>
          <w:rFonts w:ascii="宋体" w:hAnsi="宋体" w:cs="宋体"/>
          <w:sz w:val="21"/>
          <w:szCs w:val="21"/>
        </w:rPr>
      </w:pPr>
      <w:r>
        <w:rPr>
          <w:rFonts w:hint="eastAsia" w:ascii="宋体" w:hAnsi="宋体" w:cs="宋体"/>
          <w:sz w:val="21"/>
          <w:szCs w:val="21"/>
          <w:lang w:bidi="ar"/>
        </w:rPr>
        <w:t>（二）要求以联合体形式参加或者合同分包的，明确联合协议或者分包意向协议中中小企业合同金额应当达到的比例，并作为供应商资格条件；</w:t>
      </w:r>
    </w:p>
    <w:p w14:paraId="2E5EF1C6">
      <w:pPr>
        <w:spacing w:line="288" w:lineRule="auto"/>
        <w:ind w:firstLine="420" w:firstLineChars="200"/>
        <w:rPr>
          <w:rFonts w:ascii="宋体" w:hAnsi="宋体" w:cs="宋体"/>
          <w:sz w:val="21"/>
          <w:szCs w:val="21"/>
        </w:rPr>
      </w:pPr>
      <w:r>
        <w:rPr>
          <w:rFonts w:hint="eastAsia" w:ascii="宋体" w:hAnsi="宋体" w:cs="宋体"/>
          <w:sz w:val="21"/>
          <w:szCs w:val="21"/>
          <w:lang w:bidi="ar"/>
        </w:rPr>
        <w:t>（三）非预留份额的采购项目或者采购包，明确有关价格扣除比例或者价格分加分比例；</w:t>
      </w:r>
    </w:p>
    <w:p w14:paraId="6AC6B4A6">
      <w:pPr>
        <w:spacing w:line="288" w:lineRule="auto"/>
        <w:ind w:firstLine="420" w:firstLineChars="200"/>
        <w:rPr>
          <w:rFonts w:ascii="宋体" w:hAnsi="宋体" w:cs="宋体"/>
          <w:sz w:val="21"/>
          <w:szCs w:val="21"/>
        </w:rPr>
      </w:pPr>
      <w:r>
        <w:rPr>
          <w:rFonts w:hint="eastAsia" w:ascii="宋体" w:hAnsi="宋体" w:cs="宋体"/>
          <w:sz w:val="21"/>
          <w:szCs w:val="21"/>
          <w:lang w:bidi="ar"/>
        </w:rPr>
        <w:t>（四）规定依据本办法规定享受扶持政策获得政府采购合同的，小微企业不得将合同分包给大中型企业，中型企业不得将合同分包给大型企业；</w:t>
      </w:r>
    </w:p>
    <w:p w14:paraId="02CAF661">
      <w:pPr>
        <w:spacing w:line="288" w:lineRule="auto"/>
        <w:ind w:firstLine="420" w:firstLineChars="200"/>
        <w:rPr>
          <w:rFonts w:ascii="宋体" w:hAnsi="宋体" w:cs="宋体"/>
          <w:sz w:val="21"/>
          <w:szCs w:val="21"/>
        </w:rPr>
      </w:pPr>
      <w:r>
        <w:rPr>
          <w:rFonts w:hint="eastAsia" w:ascii="宋体" w:hAnsi="宋体" w:cs="宋体"/>
          <w:sz w:val="21"/>
          <w:szCs w:val="21"/>
          <w:lang w:bidi="ar"/>
        </w:rPr>
        <w:t>（五）采购人认为具备相关条件的，明确对中小企业在资金支付期限、预付款比例等方面的优惠措施；</w:t>
      </w:r>
    </w:p>
    <w:p w14:paraId="7AA5AE1D">
      <w:pPr>
        <w:spacing w:line="288" w:lineRule="auto"/>
        <w:ind w:firstLine="420" w:firstLineChars="200"/>
        <w:rPr>
          <w:rFonts w:ascii="宋体" w:hAnsi="宋体" w:cs="宋体"/>
          <w:sz w:val="21"/>
          <w:szCs w:val="21"/>
        </w:rPr>
      </w:pPr>
      <w:r>
        <w:rPr>
          <w:rFonts w:hint="eastAsia" w:ascii="宋体" w:hAnsi="宋体" w:cs="宋体"/>
          <w:sz w:val="21"/>
          <w:szCs w:val="21"/>
          <w:lang w:bidi="ar"/>
        </w:rPr>
        <w:t>（六）明确采购标的对应的中小企业划分标准所属行业；</w:t>
      </w:r>
    </w:p>
    <w:p w14:paraId="4537187F">
      <w:pPr>
        <w:spacing w:line="288" w:lineRule="auto"/>
        <w:ind w:firstLine="420" w:firstLineChars="200"/>
        <w:rPr>
          <w:rFonts w:ascii="宋体" w:hAnsi="宋体" w:cs="宋体"/>
          <w:sz w:val="21"/>
          <w:szCs w:val="21"/>
        </w:rPr>
      </w:pPr>
      <w:r>
        <w:rPr>
          <w:rFonts w:hint="eastAsia" w:ascii="宋体" w:hAnsi="宋体" w:cs="宋体"/>
          <w:sz w:val="21"/>
          <w:szCs w:val="21"/>
          <w:lang w:bidi="ar"/>
        </w:rPr>
        <w:t>（七）法律法规和省级以上人民政府财政部门规定的其他事项。</w:t>
      </w:r>
    </w:p>
    <w:p w14:paraId="483CD93A">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第十三条</w:t>
      </w:r>
      <w:r>
        <w:rPr>
          <w:rFonts w:hint="eastAsia" w:ascii="宋体" w:hAnsi="宋体" w:cs="宋体"/>
          <w:sz w:val="21"/>
          <w:szCs w:val="21"/>
          <w:lang w:bidi="ar"/>
        </w:rPr>
        <w:t xml:space="preserve">  中标、成交供应商享受本办法规定的中小企业扶持政策的，采购人、采购代理机构应当随中标、成交结果公开中标、成交供应商的《中小企业声明函》。</w:t>
      </w:r>
    </w:p>
    <w:p w14:paraId="7FAF3C0E">
      <w:pPr>
        <w:spacing w:line="288" w:lineRule="auto"/>
        <w:ind w:firstLine="420" w:firstLineChars="200"/>
        <w:rPr>
          <w:rFonts w:ascii="宋体" w:hAnsi="宋体" w:cs="宋体"/>
          <w:sz w:val="21"/>
          <w:szCs w:val="21"/>
        </w:rPr>
      </w:pPr>
      <w:r>
        <w:rPr>
          <w:rFonts w:hint="eastAsia" w:ascii="宋体" w:hAnsi="宋体" w:cs="宋体"/>
          <w:sz w:val="21"/>
          <w:szCs w:val="21"/>
          <w:lang w:bidi="ar"/>
        </w:rPr>
        <w:t>适用招标投标法的政府采购工程建设项目，应当在公示中标候选人时公开中标候选人的《中小企业声明函》。</w:t>
      </w:r>
    </w:p>
    <w:p w14:paraId="57CDE37F">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第十四条</w:t>
      </w:r>
      <w:r>
        <w:rPr>
          <w:rFonts w:hint="eastAsia" w:ascii="宋体" w:hAnsi="宋体" w:cs="宋体"/>
          <w:sz w:val="21"/>
          <w:szCs w:val="21"/>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AF1A204">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第十五条</w:t>
      </w:r>
      <w:r>
        <w:rPr>
          <w:rFonts w:hint="eastAsia" w:ascii="宋体" w:hAnsi="宋体" w:cs="宋体"/>
          <w:sz w:val="21"/>
          <w:szCs w:val="21"/>
          <w:lang w:bidi="ar"/>
        </w:rPr>
        <w:t xml:space="preserve">  鼓励各地区、各部门在采购活动中允许中小企业引入信用担保手段，为中小企业在投标（响应）保证、履约保证等方面提供专业化服务。鼓励中小企业依法合规通过政府采购合同融资。</w:t>
      </w:r>
    </w:p>
    <w:p w14:paraId="7FB3487F">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第十六条</w:t>
      </w:r>
      <w:r>
        <w:rPr>
          <w:rFonts w:hint="eastAsia" w:ascii="宋体" w:hAnsi="宋体" w:cs="宋体"/>
          <w:sz w:val="21"/>
          <w:szCs w:val="21"/>
          <w:lang w:bidi="ar"/>
        </w:rPr>
        <w:t xml:space="preserve">  政府采购监督检查、投诉处理及政府采购行政处罚中对中小企业的认定，由货物制造商或者工程、服务供应商注册登记所在地的县级以上人民政府中小企业主管部门负责。</w:t>
      </w:r>
    </w:p>
    <w:p w14:paraId="79060576">
      <w:pPr>
        <w:spacing w:line="288" w:lineRule="auto"/>
        <w:ind w:firstLine="420" w:firstLineChars="200"/>
        <w:rPr>
          <w:rFonts w:ascii="宋体" w:hAnsi="宋体" w:cs="宋体"/>
          <w:sz w:val="21"/>
          <w:szCs w:val="21"/>
        </w:rPr>
      </w:pPr>
      <w:r>
        <w:rPr>
          <w:rFonts w:hint="eastAsia" w:ascii="宋体" w:hAnsi="宋体" w:cs="宋体"/>
          <w:sz w:val="21"/>
          <w:szCs w:val="21"/>
          <w:lang w:bidi="ar"/>
        </w:rPr>
        <w:t>中小企业主管部门应当在收到财政部门或者有关招标投标行政监督部门关于协助开展中小企业认定函后 10 个工作日内做出书面答复。</w:t>
      </w:r>
    </w:p>
    <w:p w14:paraId="27776110">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第十七条</w:t>
      </w:r>
      <w:r>
        <w:rPr>
          <w:rFonts w:hint="eastAsia" w:ascii="宋体" w:hAnsi="宋体" w:cs="宋体"/>
          <w:sz w:val="21"/>
          <w:szCs w:val="21"/>
          <w:lang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40530901">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第十八条</w:t>
      </w:r>
      <w:r>
        <w:rPr>
          <w:rFonts w:hint="eastAsia" w:ascii="宋体" w:hAnsi="宋体" w:cs="宋体"/>
          <w:sz w:val="21"/>
          <w:szCs w:val="21"/>
          <w:lang w:bidi="ar"/>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3C7ABC5F">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第十九条</w:t>
      </w:r>
      <w:r>
        <w:rPr>
          <w:rFonts w:hint="eastAsia" w:ascii="宋体" w:hAnsi="宋体" w:cs="宋体"/>
          <w:sz w:val="21"/>
          <w:szCs w:val="21"/>
          <w:lang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2C5CF44">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第二十条</w:t>
      </w:r>
      <w:r>
        <w:rPr>
          <w:rFonts w:hint="eastAsia" w:ascii="宋体" w:hAnsi="宋体" w:cs="宋体"/>
          <w:sz w:val="21"/>
          <w:szCs w:val="21"/>
          <w:lang w:bidi="ar"/>
        </w:rPr>
        <w:t xml:space="preserve">  供应商按照本办法规定提供声明函内容不实的，属于提供虚假材料谋取中标、成交，依照《中华人民共和国政府采购法》等国家有关规定追究相应责任。</w:t>
      </w:r>
    </w:p>
    <w:p w14:paraId="349F9EF1">
      <w:pPr>
        <w:spacing w:line="288" w:lineRule="auto"/>
        <w:ind w:firstLine="420" w:firstLineChars="200"/>
        <w:rPr>
          <w:rFonts w:ascii="宋体" w:hAnsi="宋体" w:cs="宋体"/>
          <w:sz w:val="21"/>
          <w:szCs w:val="21"/>
        </w:rPr>
      </w:pPr>
      <w:r>
        <w:rPr>
          <w:rFonts w:hint="eastAsia" w:ascii="宋体" w:hAnsi="宋体" w:cs="宋体"/>
          <w:sz w:val="21"/>
          <w:szCs w:val="21"/>
          <w:lang w:bidi="ar"/>
        </w:rPr>
        <w:t>适用招标投标法的政府采购工程建设项目，供应商按照本办法规定提供声明函内容不实的，属于弄虚作假骗取中标，依照《中华人民共和国招标投标法》等国家有关规定追究相应责任。</w:t>
      </w:r>
    </w:p>
    <w:p w14:paraId="345FF35F">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第二十一条</w:t>
      </w:r>
      <w:r>
        <w:rPr>
          <w:rFonts w:hint="eastAsia" w:ascii="宋体" w:hAnsi="宋体" w:cs="宋体"/>
          <w:sz w:val="21"/>
          <w:szCs w:val="21"/>
          <w:lang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C2D56B1">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第二十二条</w:t>
      </w:r>
      <w:r>
        <w:rPr>
          <w:rFonts w:hint="eastAsia" w:ascii="宋体" w:hAnsi="宋体" w:cs="宋体"/>
          <w:sz w:val="21"/>
          <w:szCs w:val="21"/>
          <w:lang w:bidi="ar"/>
        </w:rPr>
        <w:t xml:space="preserve">  对外援助项目、国家相关资格或者资质管理制度另有规定的项目，不适用本办法。</w:t>
      </w:r>
    </w:p>
    <w:p w14:paraId="654545DA">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第二十三条</w:t>
      </w:r>
      <w:r>
        <w:rPr>
          <w:rFonts w:hint="eastAsia" w:ascii="宋体" w:hAnsi="宋体" w:cs="宋体"/>
          <w:sz w:val="21"/>
          <w:szCs w:val="21"/>
          <w:lang w:bidi="ar"/>
        </w:rPr>
        <w:t xml:space="preserve">  关于视同中小企业的其他主体的政府采购扶持政策，由财政部会同有关部门另行规定。</w:t>
      </w:r>
    </w:p>
    <w:p w14:paraId="5C47DF37">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第二十四条</w:t>
      </w:r>
      <w:r>
        <w:rPr>
          <w:rFonts w:hint="eastAsia" w:ascii="宋体" w:hAnsi="宋体" w:cs="宋体"/>
          <w:sz w:val="21"/>
          <w:szCs w:val="21"/>
          <w:lang w:bidi="ar"/>
        </w:rPr>
        <w:t xml:space="preserve">  省级财政部门可以会同中小企业主管部门根据本办法的规定制定具体实施办法。</w:t>
      </w:r>
    </w:p>
    <w:p w14:paraId="18AF3A23">
      <w:pPr>
        <w:spacing w:line="288" w:lineRule="auto"/>
        <w:ind w:firstLine="422" w:firstLineChars="200"/>
        <w:rPr>
          <w:rFonts w:ascii="宋体" w:hAnsi="宋体" w:cs="宋体"/>
          <w:sz w:val="21"/>
          <w:szCs w:val="21"/>
        </w:rPr>
      </w:pPr>
      <w:r>
        <w:rPr>
          <w:rStyle w:val="47"/>
          <w:rFonts w:hint="eastAsia" w:ascii="宋体" w:hAnsi="宋体" w:cs="宋体"/>
          <w:bCs w:val="0"/>
          <w:sz w:val="21"/>
          <w:szCs w:val="21"/>
          <w:lang w:bidi="ar"/>
        </w:rPr>
        <w:t>第二十五条</w:t>
      </w:r>
      <w:r>
        <w:rPr>
          <w:rFonts w:hint="eastAsia" w:ascii="宋体" w:hAnsi="宋体" w:cs="宋体"/>
          <w:sz w:val="21"/>
          <w:szCs w:val="21"/>
          <w:lang w:bidi="ar"/>
        </w:rPr>
        <w:t xml:space="preserve">  本办法自 2021 年 1 月 1 日起施行。 财政部 工业和信息化部关于印发〈政府采购促进中小企业发展暂行办法〉的通知》（财库﹝2011﹞181 号）同时废止。</w:t>
      </w:r>
    </w:p>
    <w:p w14:paraId="5AF9615E">
      <w:pPr>
        <w:spacing w:before="100" w:beforeAutospacing="1" w:after="100" w:afterAutospacing="1" w:line="288" w:lineRule="auto"/>
        <w:rPr>
          <w:rFonts w:ascii="宋体" w:hAnsi="宋体" w:cs="宋体"/>
          <w:sz w:val="24"/>
          <w:szCs w:val="24"/>
        </w:rPr>
      </w:pPr>
      <w:r>
        <w:rPr>
          <w:rFonts w:hint="eastAsia" w:ascii="宋体" w:hAnsi="宋体" w:cs="宋体"/>
          <w:sz w:val="24"/>
          <w:szCs w:val="24"/>
          <w:lang w:bidi="ar"/>
        </w:rPr>
        <w:t> </w:t>
      </w:r>
    </w:p>
    <w:p w14:paraId="73603322">
      <w:pPr>
        <w:spacing w:line="360" w:lineRule="auto"/>
        <w:jc w:val="center"/>
        <w:rPr>
          <w:rFonts w:ascii="宋体" w:hAnsi="宋体" w:cs="宋体"/>
          <w:b/>
          <w:sz w:val="32"/>
          <w:szCs w:val="32"/>
        </w:rPr>
      </w:pPr>
      <w:r>
        <w:rPr>
          <w:rFonts w:hint="eastAsia" w:ascii="宋体" w:hAnsi="宋体" w:cs="宋体"/>
          <w:b/>
          <w:bCs/>
          <w:sz w:val="21"/>
          <w:szCs w:val="21"/>
        </w:rPr>
        <w:br w:type="page"/>
      </w:r>
      <w:r>
        <w:rPr>
          <w:rFonts w:hint="eastAsia" w:ascii="宋体" w:hAnsi="宋体" w:cs="宋体"/>
          <w:b/>
          <w:sz w:val="32"/>
          <w:szCs w:val="32"/>
        </w:rPr>
        <w:t>财政部关于进一步加大政府采购支持中小企业力度的通知</w:t>
      </w:r>
    </w:p>
    <w:p w14:paraId="601FF25F">
      <w:pPr>
        <w:spacing w:line="360" w:lineRule="auto"/>
        <w:jc w:val="center"/>
        <w:rPr>
          <w:rFonts w:ascii="宋体" w:hAnsi="宋体" w:cs="宋体"/>
          <w:bCs/>
          <w:sz w:val="21"/>
          <w:szCs w:val="21"/>
        </w:rPr>
      </w:pPr>
      <w:r>
        <w:rPr>
          <w:rFonts w:hint="eastAsia" w:ascii="宋体" w:hAnsi="宋体" w:cs="宋体"/>
          <w:b/>
          <w:sz w:val="32"/>
          <w:szCs w:val="32"/>
        </w:rPr>
        <w:t>（财库〔2022〕19号）</w:t>
      </w:r>
    </w:p>
    <w:p w14:paraId="5A95D84E">
      <w:pPr>
        <w:pStyle w:val="17"/>
        <w:spacing w:after="0" w:line="340" w:lineRule="exact"/>
        <w:rPr>
          <w:rFonts w:ascii="宋体" w:hAnsi="宋体" w:cs="宋体"/>
          <w:bCs/>
          <w:sz w:val="21"/>
          <w:szCs w:val="21"/>
        </w:rPr>
      </w:pPr>
      <w:r>
        <w:rPr>
          <w:rFonts w:hint="eastAsia" w:ascii="宋体" w:hAnsi="宋体" w:cs="宋体"/>
          <w:bCs/>
          <w:sz w:val="21"/>
          <w:szCs w:val="21"/>
        </w:rPr>
        <w:t>各中央预算单位，各省、自治区、直辖市、计划单列市财政厅（局），新疆生产建设兵团财政局：</w:t>
      </w:r>
    </w:p>
    <w:p w14:paraId="396B2E46">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0EC87CA">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7CD3570">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B3B11C3">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EB55756">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四、认真做好组织实施。各地区、各部门应当加强组织领导，明确工作责任，细化执行要求，强化监督检查，确保国务院部署落实到位，对通知执行中出现的问题要及时向财政部报告。</w:t>
      </w:r>
    </w:p>
    <w:p w14:paraId="5B042D7C">
      <w:pPr>
        <w:pStyle w:val="17"/>
        <w:spacing w:after="0" w:line="340" w:lineRule="exact"/>
        <w:ind w:firstLine="420" w:firstLineChars="200"/>
        <w:rPr>
          <w:rFonts w:ascii="宋体" w:hAnsi="宋体" w:cs="宋体"/>
          <w:bCs/>
          <w:sz w:val="21"/>
          <w:szCs w:val="21"/>
        </w:rPr>
      </w:pPr>
      <w:r>
        <w:rPr>
          <w:rFonts w:hint="eastAsia" w:ascii="宋体" w:hAnsi="宋体" w:cs="宋体"/>
          <w:bCs/>
          <w:sz w:val="21"/>
          <w:szCs w:val="21"/>
        </w:rPr>
        <w:t>本通知自2022年7月1日起执行。</w:t>
      </w:r>
    </w:p>
    <w:p w14:paraId="1A60A190">
      <w:pPr>
        <w:pStyle w:val="20"/>
        <w:ind w:right="38"/>
        <w:rPr>
          <w:rFonts w:ascii="宋体" w:hAnsi="宋体" w:cs="宋体"/>
          <w:bCs/>
          <w:szCs w:val="21"/>
        </w:rPr>
      </w:pPr>
    </w:p>
    <w:p w14:paraId="7FA270C2">
      <w:pPr>
        <w:rPr>
          <w:rFonts w:ascii="宋体" w:hAnsi="宋体" w:cs="宋体"/>
          <w:bCs/>
          <w:sz w:val="21"/>
          <w:szCs w:val="21"/>
        </w:rPr>
      </w:pPr>
    </w:p>
    <w:p w14:paraId="13D00CA7">
      <w:pPr>
        <w:rPr>
          <w:rFonts w:ascii="宋体" w:hAnsi="宋体" w:cs="宋体"/>
          <w:sz w:val="21"/>
          <w:szCs w:val="21"/>
        </w:rPr>
      </w:pPr>
    </w:p>
    <w:p w14:paraId="2DF49820">
      <w:pPr>
        <w:pStyle w:val="17"/>
        <w:spacing w:after="0" w:line="340" w:lineRule="exact"/>
        <w:ind w:firstLine="420" w:firstLineChars="200"/>
        <w:jc w:val="right"/>
        <w:rPr>
          <w:rFonts w:ascii="宋体" w:hAnsi="宋体" w:cs="宋体"/>
          <w:bCs/>
          <w:sz w:val="21"/>
          <w:szCs w:val="21"/>
        </w:rPr>
      </w:pPr>
      <w:r>
        <w:rPr>
          <w:rFonts w:hint="eastAsia" w:ascii="宋体" w:hAnsi="宋体" w:cs="宋体"/>
          <w:bCs/>
          <w:sz w:val="21"/>
          <w:szCs w:val="21"/>
        </w:rPr>
        <w:t xml:space="preserve">                                                                        财政部</w:t>
      </w:r>
    </w:p>
    <w:p w14:paraId="227B5F8F">
      <w:pPr>
        <w:spacing w:line="400" w:lineRule="exact"/>
        <w:jc w:val="left"/>
        <w:rPr>
          <w:rFonts w:ascii="黑体" w:hAnsi="黑体" w:eastAsia="黑体" w:cs="宋体"/>
          <w:bCs/>
          <w:sz w:val="28"/>
          <w:szCs w:val="28"/>
          <w:shd w:val="clear" w:color="auto" w:fill="FFFFFF"/>
        </w:rPr>
      </w:pPr>
      <w:r>
        <w:rPr>
          <w:rFonts w:hint="eastAsia" w:ascii="宋体" w:hAnsi="宋体" w:cs="宋体"/>
          <w:bCs/>
          <w:sz w:val="21"/>
          <w:szCs w:val="21"/>
        </w:rPr>
        <w:t>2022年5月30日</w:t>
      </w:r>
      <w:r>
        <w:rPr>
          <w:rFonts w:hint="eastAsia" w:ascii="宋体" w:hAnsi="宋体" w:cs="宋体"/>
          <w:bCs/>
          <w:sz w:val="21"/>
          <w:szCs w:val="21"/>
        </w:rPr>
        <w:br w:type="page"/>
      </w:r>
      <w:r>
        <w:rPr>
          <w:rFonts w:hint="eastAsia" w:ascii="黑体" w:hAnsi="黑体" w:eastAsia="黑体" w:cs="宋体"/>
          <w:bCs/>
          <w:sz w:val="32"/>
          <w:szCs w:val="32"/>
          <w:shd w:val="clear" w:color="auto" w:fill="FFFFFF"/>
        </w:rPr>
        <w:t>关于印发《吉林省强化政府采购政策支持中小企业发展落实举措》的通知</w:t>
      </w:r>
    </w:p>
    <w:p w14:paraId="04044A31">
      <w:pPr>
        <w:pStyle w:val="38"/>
        <w:spacing w:before="120" w:beforeLines="50" w:after="120" w:afterLines="50" w:line="400" w:lineRule="exact"/>
        <w:jc w:val="center"/>
      </w:pPr>
      <w:r>
        <w:rPr>
          <w:rFonts w:ascii="宋体" w:hAnsi="宋体" w:cs="宋体"/>
        </w:rPr>
        <w:t>吉财采购〔2022〕478号</w:t>
      </w:r>
      <w:r>
        <w:t xml:space="preserve"> </w:t>
      </w:r>
    </w:p>
    <w:p w14:paraId="4DE539A8">
      <w:pPr>
        <w:pStyle w:val="38"/>
        <w:spacing w:line="400" w:lineRule="exact"/>
      </w:pPr>
      <w:r>
        <w:rPr>
          <w:rFonts w:hint="eastAsia" w:ascii="宋体" w:hAnsi="宋体" w:cs="宋体"/>
        </w:rPr>
        <w:t>各省级主管预算单位，各市（州）、县（市、区）财政局，长白山管委会、长春新区、中韩（长春）国际合作示范区管委会财政局，各政府采购代理机构：</w:t>
      </w:r>
      <w:r>
        <w:t xml:space="preserve"> </w:t>
      </w:r>
    </w:p>
    <w:p w14:paraId="255CF49E">
      <w:pPr>
        <w:pStyle w:val="38"/>
        <w:spacing w:line="400" w:lineRule="exact"/>
        <w:ind w:firstLine="480" w:firstLineChars="200"/>
      </w:pPr>
      <w:r>
        <w:rPr>
          <w:rFonts w:hint="eastAsia" w:ascii="宋体" w:hAnsi="宋体" w:cs="宋体"/>
        </w:rPr>
        <w:t>现将《吉林省强化政府采购政策支持中小企业发展落实举措》印发给你们，请遵照执行。</w:t>
      </w:r>
      <w:r>
        <w:t xml:space="preserve"> </w:t>
      </w:r>
    </w:p>
    <w:p w14:paraId="5D15D3D5">
      <w:pPr>
        <w:pStyle w:val="38"/>
        <w:spacing w:line="400" w:lineRule="exact"/>
        <w:ind w:firstLine="480" w:firstLineChars="200"/>
      </w:pPr>
      <w:r>
        <w:rPr>
          <w:rFonts w:hint="eastAsia" w:ascii="宋体" w:hAnsi="宋体" w:cs="宋体"/>
        </w:rPr>
        <w:t>附件：吉林省强化政府采购政策支持中小企业发展落实举措</w:t>
      </w:r>
      <w:r>
        <w:t xml:space="preserve"> </w:t>
      </w:r>
    </w:p>
    <w:p w14:paraId="529279E3">
      <w:pPr>
        <w:pStyle w:val="38"/>
        <w:spacing w:line="400" w:lineRule="exact"/>
        <w:ind w:firstLine="645"/>
        <w:jc w:val="right"/>
      </w:pPr>
      <w:r>
        <w:rPr>
          <w:rFonts w:hint="eastAsia" w:ascii="宋体" w:hAnsi="宋体" w:cs="宋体"/>
        </w:rPr>
        <w:t>吉林省财政厅</w:t>
      </w:r>
      <w:r>
        <w:t xml:space="preserve"> </w:t>
      </w:r>
    </w:p>
    <w:p w14:paraId="351C8B11">
      <w:pPr>
        <w:pStyle w:val="38"/>
        <w:spacing w:line="400" w:lineRule="exact"/>
        <w:ind w:firstLine="645"/>
        <w:jc w:val="right"/>
      </w:pPr>
      <w:r>
        <w:rPr>
          <w:rFonts w:ascii="宋体" w:hAnsi="宋体" w:cs="宋体"/>
        </w:rPr>
        <w:t>2022年6月6日</w:t>
      </w:r>
      <w:r>
        <w:t xml:space="preserve"> </w:t>
      </w:r>
    </w:p>
    <w:p w14:paraId="14F63E7E">
      <w:pPr>
        <w:pStyle w:val="38"/>
        <w:spacing w:line="400" w:lineRule="exact"/>
      </w:pPr>
      <w:r>
        <w:rPr>
          <w:rFonts w:hint="eastAsia" w:ascii="宋体" w:hAnsi="宋体" w:cs="宋体"/>
        </w:rPr>
        <w:t>附件：</w:t>
      </w:r>
      <w:r>
        <w:t xml:space="preserve"> </w:t>
      </w:r>
    </w:p>
    <w:p w14:paraId="536BB407">
      <w:pPr>
        <w:pStyle w:val="38"/>
        <w:spacing w:line="400" w:lineRule="exact"/>
        <w:ind w:firstLine="645"/>
      </w:pPr>
      <w:r>
        <w:rPr>
          <w:rFonts w:hint="eastAsia" w:ascii="宋体" w:hAnsi="宋体" w:cs="宋体"/>
        </w:rPr>
        <w:t> </w:t>
      </w:r>
      <w:r>
        <w:t xml:space="preserve"> </w:t>
      </w:r>
    </w:p>
    <w:p w14:paraId="5CC8A429">
      <w:pPr>
        <w:pStyle w:val="38"/>
        <w:spacing w:line="400" w:lineRule="exact"/>
        <w:jc w:val="center"/>
        <w:rPr>
          <w:sz w:val="28"/>
          <w:szCs w:val="28"/>
        </w:rPr>
      </w:pPr>
      <w:r>
        <w:rPr>
          <w:rFonts w:hint="eastAsia" w:ascii="宋体" w:hAnsi="宋体" w:cs="宋体"/>
          <w:sz w:val="28"/>
          <w:szCs w:val="28"/>
        </w:rPr>
        <w:t>吉林省强化政府采购政策支持中小企业发展落实举措</w:t>
      </w:r>
      <w:r>
        <w:rPr>
          <w:sz w:val="28"/>
          <w:szCs w:val="28"/>
        </w:rPr>
        <w:t xml:space="preserve"> </w:t>
      </w:r>
    </w:p>
    <w:p w14:paraId="18061C1C">
      <w:pPr>
        <w:pStyle w:val="38"/>
        <w:spacing w:line="400" w:lineRule="exact"/>
        <w:ind w:firstLine="645"/>
      </w:pPr>
      <w:r>
        <w:rPr>
          <w:rFonts w:hint="eastAsia" w:ascii="宋体" w:hAnsi="宋体" w:cs="宋体"/>
        </w:rPr>
        <w:t> </w:t>
      </w:r>
      <w:r>
        <w:t xml:space="preserve"> </w:t>
      </w:r>
    </w:p>
    <w:p w14:paraId="39489F07">
      <w:pPr>
        <w:pStyle w:val="38"/>
        <w:spacing w:line="400" w:lineRule="exact"/>
        <w:ind w:firstLine="645"/>
        <w:rPr>
          <w:sz w:val="21"/>
          <w:szCs w:val="21"/>
        </w:rPr>
      </w:pPr>
      <w:r>
        <w:rPr>
          <w:rFonts w:ascii="宋体" w:hAnsi="宋体" w:cs="宋体"/>
          <w:sz w:val="21"/>
          <w:szCs w:val="21"/>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sz w:val="21"/>
          <w:szCs w:val="21"/>
        </w:rPr>
        <w:t xml:space="preserve"> </w:t>
      </w:r>
    </w:p>
    <w:p w14:paraId="1778B410">
      <w:pPr>
        <w:pStyle w:val="38"/>
        <w:spacing w:line="400" w:lineRule="exact"/>
        <w:ind w:firstLine="645"/>
        <w:rPr>
          <w:b/>
          <w:bCs/>
          <w:sz w:val="21"/>
          <w:szCs w:val="21"/>
        </w:rPr>
      </w:pPr>
      <w:r>
        <w:rPr>
          <w:rFonts w:hint="eastAsia" w:ascii="宋体" w:hAnsi="宋体" w:cs="宋体"/>
          <w:b/>
          <w:bCs/>
          <w:sz w:val="21"/>
          <w:szCs w:val="21"/>
        </w:rPr>
        <w:t>一、强化政策落实支持中小企业发展</w:t>
      </w:r>
      <w:r>
        <w:rPr>
          <w:b/>
          <w:bCs/>
          <w:sz w:val="21"/>
          <w:szCs w:val="21"/>
        </w:rPr>
        <w:t xml:space="preserve"> </w:t>
      </w:r>
    </w:p>
    <w:p w14:paraId="40681528">
      <w:pPr>
        <w:pStyle w:val="38"/>
        <w:spacing w:line="400" w:lineRule="exact"/>
        <w:ind w:firstLine="645"/>
        <w:rPr>
          <w:sz w:val="21"/>
          <w:szCs w:val="21"/>
        </w:rPr>
      </w:pPr>
      <w:r>
        <w:rPr>
          <w:rFonts w:ascii="宋体" w:hAnsi="宋体" w:cs="宋体"/>
          <w:sz w:val="21"/>
          <w:szCs w:val="21"/>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sz w:val="21"/>
          <w:szCs w:val="21"/>
        </w:rPr>
        <w:t xml:space="preserve"> </w:t>
      </w:r>
    </w:p>
    <w:p w14:paraId="2459CAC9">
      <w:pPr>
        <w:pStyle w:val="38"/>
        <w:spacing w:line="400" w:lineRule="exact"/>
        <w:ind w:firstLine="645"/>
        <w:rPr>
          <w:b/>
          <w:bCs/>
          <w:sz w:val="21"/>
          <w:szCs w:val="21"/>
        </w:rPr>
      </w:pPr>
      <w:r>
        <w:rPr>
          <w:rFonts w:hint="eastAsia" w:ascii="宋体" w:hAnsi="宋体" w:cs="宋体"/>
          <w:b/>
          <w:bCs/>
          <w:sz w:val="21"/>
          <w:szCs w:val="21"/>
        </w:rPr>
        <w:t>二、提高政府采购项目价格评审优惠幅度</w:t>
      </w:r>
      <w:r>
        <w:rPr>
          <w:b/>
          <w:bCs/>
          <w:sz w:val="21"/>
          <w:szCs w:val="21"/>
        </w:rPr>
        <w:t xml:space="preserve"> </w:t>
      </w:r>
    </w:p>
    <w:p w14:paraId="2E84B805">
      <w:pPr>
        <w:pStyle w:val="38"/>
        <w:spacing w:line="400" w:lineRule="exact"/>
        <w:ind w:firstLine="645"/>
        <w:rPr>
          <w:sz w:val="21"/>
          <w:szCs w:val="21"/>
        </w:rPr>
      </w:pPr>
      <w:r>
        <w:rPr>
          <w:rFonts w:ascii="宋体" w:hAnsi="宋体" w:cs="宋体"/>
          <w:sz w:val="21"/>
          <w:szCs w:val="21"/>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sz w:val="21"/>
          <w:szCs w:val="21"/>
        </w:rPr>
        <w:t xml:space="preserve"> </w:t>
      </w:r>
    </w:p>
    <w:p w14:paraId="7A5593F6">
      <w:pPr>
        <w:pStyle w:val="38"/>
        <w:spacing w:line="400" w:lineRule="exact"/>
        <w:ind w:firstLine="645"/>
        <w:rPr>
          <w:b/>
          <w:bCs/>
          <w:sz w:val="21"/>
          <w:szCs w:val="21"/>
        </w:rPr>
      </w:pPr>
      <w:r>
        <w:rPr>
          <w:rFonts w:hint="eastAsia" w:ascii="宋体" w:hAnsi="宋体" w:cs="宋体"/>
          <w:b/>
          <w:bCs/>
          <w:sz w:val="21"/>
          <w:szCs w:val="21"/>
        </w:rPr>
        <w:t>三、提高政府采购工程项目预留份额比例</w:t>
      </w:r>
      <w:r>
        <w:rPr>
          <w:b/>
          <w:bCs/>
          <w:sz w:val="21"/>
          <w:szCs w:val="21"/>
        </w:rPr>
        <w:t xml:space="preserve"> </w:t>
      </w:r>
    </w:p>
    <w:p w14:paraId="2F699024">
      <w:pPr>
        <w:pStyle w:val="38"/>
        <w:spacing w:line="400" w:lineRule="exact"/>
        <w:ind w:firstLine="645"/>
        <w:rPr>
          <w:sz w:val="21"/>
          <w:szCs w:val="21"/>
        </w:rPr>
      </w:pPr>
      <w:r>
        <w:rPr>
          <w:rFonts w:ascii="宋体" w:hAnsi="宋体" w:cs="宋体"/>
          <w:sz w:val="21"/>
          <w:szCs w:val="21"/>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sz w:val="21"/>
          <w:szCs w:val="21"/>
        </w:rPr>
        <w:t xml:space="preserve"> </w:t>
      </w:r>
    </w:p>
    <w:p w14:paraId="712A2010">
      <w:pPr>
        <w:pStyle w:val="38"/>
        <w:spacing w:line="400" w:lineRule="exact"/>
        <w:ind w:firstLine="645"/>
        <w:rPr>
          <w:b/>
          <w:bCs/>
          <w:sz w:val="21"/>
          <w:szCs w:val="21"/>
        </w:rPr>
      </w:pPr>
      <w:r>
        <w:rPr>
          <w:rFonts w:hint="eastAsia" w:ascii="宋体" w:hAnsi="宋体" w:cs="宋体"/>
          <w:b/>
          <w:bCs/>
          <w:sz w:val="21"/>
          <w:szCs w:val="21"/>
        </w:rPr>
        <w:t>四、降低经营成本提高履约能力</w:t>
      </w:r>
      <w:r>
        <w:rPr>
          <w:b/>
          <w:bCs/>
          <w:sz w:val="21"/>
          <w:szCs w:val="21"/>
        </w:rPr>
        <w:t xml:space="preserve"> </w:t>
      </w:r>
    </w:p>
    <w:p w14:paraId="21A4EE13">
      <w:pPr>
        <w:pStyle w:val="38"/>
        <w:spacing w:line="400" w:lineRule="exact"/>
        <w:ind w:firstLine="645"/>
        <w:rPr>
          <w:sz w:val="21"/>
          <w:szCs w:val="21"/>
        </w:rPr>
      </w:pPr>
      <w:r>
        <w:rPr>
          <w:rFonts w:ascii="宋体" w:hAnsi="宋体" w:cs="宋体"/>
          <w:sz w:val="21"/>
          <w:szCs w:val="21"/>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sz w:val="21"/>
          <w:szCs w:val="21"/>
        </w:rPr>
        <w:t xml:space="preserve"> </w:t>
      </w:r>
    </w:p>
    <w:p w14:paraId="1E9ACB86">
      <w:pPr>
        <w:pStyle w:val="38"/>
        <w:spacing w:line="400" w:lineRule="exact"/>
        <w:ind w:firstLine="645"/>
        <w:rPr>
          <w:b/>
          <w:bCs/>
          <w:sz w:val="21"/>
          <w:szCs w:val="21"/>
        </w:rPr>
      </w:pPr>
      <w:r>
        <w:rPr>
          <w:rFonts w:hint="eastAsia" w:ascii="宋体" w:hAnsi="宋体" w:cs="宋体"/>
          <w:b/>
          <w:bCs/>
          <w:sz w:val="21"/>
          <w:szCs w:val="21"/>
        </w:rPr>
        <w:t>五、优化政府采购程序推进全流程电子化</w:t>
      </w:r>
      <w:r>
        <w:rPr>
          <w:b/>
          <w:bCs/>
          <w:sz w:val="21"/>
          <w:szCs w:val="21"/>
        </w:rPr>
        <w:t xml:space="preserve"> </w:t>
      </w:r>
    </w:p>
    <w:p w14:paraId="3DA35F2F">
      <w:pPr>
        <w:pStyle w:val="38"/>
        <w:spacing w:line="400" w:lineRule="exact"/>
        <w:ind w:firstLine="645"/>
        <w:rPr>
          <w:sz w:val="21"/>
          <w:szCs w:val="21"/>
        </w:rPr>
      </w:pPr>
      <w:r>
        <w:rPr>
          <w:rFonts w:hint="eastAsia" w:ascii="宋体" w:hAnsi="宋体" w:cs="宋体"/>
          <w:sz w:val="21"/>
          <w:szCs w:val="21"/>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sz w:val="21"/>
          <w:szCs w:val="21"/>
        </w:rPr>
        <w:t xml:space="preserve"> </w:t>
      </w:r>
    </w:p>
    <w:p w14:paraId="083938CF">
      <w:pPr>
        <w:pStyle w:val="38"/>
        <w:spacing w:line="400" w:lineRule="exact"/>
        <w:ind w:firstLine="645"/>
        <w:rPr>
          <w:b/>
          <w:bCs/>
          <w:sz w:val="21"/>
          <w:szCs w:val="21"/>
        </w:rPr>
      </w:pPr>
      <w:r>
        <w:rPr>
          <w:rFonts w:hint="eastAsia" w:ascii="宋体" w:hAnsi="宋体" w:cs="宋体"/>
          <w:b/>
          <w:bCs/>
          <w:sz w:val="21"/>
          <w:szCs w:val="21"/>
        </w:rPr>
        <w:t>六、加强项目执行管理提升政府采购透明度</w:t>
      </w:r>
      <w:r>
        <w:rPr>
          <w:b/>
          <w:bCs/>
          <w:sz w:val="21"/>
          <w:szCs w:val="21"/>
        </w:rPr>
        <w:t xml:space="preserve"> </w:t>
      </w:r>
    </w:p>
    <w:p w14:paraId="67CB26EC">
      <w:pPr>
        <w:pStyle w:val="38"/>
        <w:spacing w:line="400" w:lineRule="exact"/>
        <w:ind w:firstLine="645"/>
        <w:rPr>
          <w:sz w:val="21"/>
          <w:szCs w:val="21"/>
        </w:rPr>
      </w:pPr>
      <w:r>
        <w:rPr>
          <w:rFonts w:hint="eastAsia" w:ascii="宋体" w:hAnsi="宋体" w:cs="宋体"/>
          <w:sz w:val="21"/>
          <w:szCs w:val="21"/>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sz w:val="21"/>
          <w:szCs w:val="21"/>
        </w:rPr>
        <w:t xml:space="preserve"> </w:t>
      </w:r>
    </w:p>
    <w:p w14:paraId="03DA316E">
      <w:pPr>
        <w:pStyle w:val="38"/>
        <w:spacing w:line="400" w:lineRule="exact"/>
        <w:ind w:firstLine="645"/>
        <w:rPr>
          <w:sz w:val="21"/>
          <w:szCs w:val="21"/>
        </w:rPr>
      </w:pPr>
      <w:r>
        <w:rPr>
          <w:rFonts w:hint="eastAsia" w:ascii="宋体" w:hAnsi="宋体" w:cs="宋体"/>
          <w:sz w:val="21"/>
          <w:szCs w:val="21"/>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4C55C227">
      <w:pPr>
        <w:rPr>
          <w:rFonts w:ascii="宋体" w:hAnsi="宋体" w:cs="宋体"/>
          <w:b/>
          <w:bCs/>
          <w:sz w:val="21"/>
          <w:szCs w:val="21"/>
        </w:rPr>
      </w:pPr>
      <w:r>
        <w:rPr>
          <w:rFonts w:ascii="宋体" w:hAnsi="宋体" w:cs="宋体"/>
          <w:b/>
          <w:bCs/>
          <w:sz w:val="21"/>
          <w:szCs w:val="21"/>
        </w:rPr>
        <w:br w:type="page"/>
      </w:r>
    </w:p>
    <w:p w14:paraId="638A033E">
      <w:pPr>
        <w:rPr>
          <w:rFonts w:ascii="宋体" w:hAnsi="宋体" w:cs="宋体"/>
          <w:b/>
          <w:bCs/>
          <w:sz w:val="21"/>
          <w:szCs w:val="21"/>
        </w:rPr>
      </w:pPr>
    </w:p>
    <w:p w14:paraId="68DA174A">
      <w:pPr>
        <w:spacing w:before="120" w:beforeLines="50" w:after="120" w:afterLines="50"/>
        <w:jc w:val="center"/>
        <w:textAlignment w:val="baseline"/>
        <w:rPr>
          <w:rFonts w:ascii="宋体" w:hAnsi="宋体" w:cs="宋体"/>
          <w:b/>
          <w:sz w:val="32"/>
          <w:szCs w:val="32"/>
        </w:rPr>
      </w:pPr>
      <w:r>
        <w:rPr>
          <w:rFonts w:hint="eastAsia" w:ascii="宋体" w:hAnsi="宋体" w:cs="宋体"/>
          <w:b/>
          <w:sz w:val="32"/>
          <w:szCs w:val="32"/>
        </w:rPr>
        <w:t>财政部 司法部关于政府采购支持监狱企业发展有关问题的通知</w:t>
      </w:r>
    </w:p>
    <w:p w14:paraId="4FA3EA41">
      <w:pPr>
        <w:pStyle w:val="4"/>
        <w:keepNext w:val="0"/>
        <w:keepLines w:val="0"/>
        <w:spacing w:before="120" w:beforeLines="50" w:after="120" w:afterLines="50" w:line="288" w:lineRule="auto"/>
        <w:jc w:val="center"/>
        <w:textAlignment w:val="baseline"/>
        <w:rPr>
          <w:rFonts w:ascii="宋体" w:hAnsi="宋体" w:eastAsia="宋体" w:cs="宋体"/>
          <w:b w:val="0"/>
          <w:bCs/>
          <w:sz w:val="24"/>
          <w:szCs w:val="24"/>
        </w:rPr>
      </w:pPr>
      <w:bookmarkStart w:id="59" w:name="_Toc21391"/>
      <w:r>
        <w:rPr>
          <w:rFonts w:hint="eastAsia" w:ascii="宋体" w:hAnsi="宋体" w:eastAsia="宋体" w:cs="宋体"/>
          <w:b w:val="0"/>
          <w:bCs/>
          <w:sz w:val="24"/>
          <w:szCs w:val="24"/>
          <w:shd w:val="clear" w:color="auto" w:fill="FFFFFF"/>
        </w:rPr>
        <w:t>财库〔2014〕68号</w:t>
      </w:r>
      <w:bookmarkEnd w:id="59"/>
    </w:p>
    <w:p w14:paraId="281207BE">
      <w:pPr>
        <w:pStyle w:val="38"/>
        <w:spacing w:line="288" w:lineRule="auto"/>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F9924E5">
      <w:pPr>
        <w:pStyle w:val="38"/>
        <w:spacing w:line="288" w:lineRule="auto"/>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024A8EA">
      <w:pPr>
        <w:pStyle w:val="38"/>
        <w:spacing w:line="288" w:lineRule="auto"/>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372B0A1">
      <w:pPr>
        <w:pStyle w:val="38"/>
        <w:spacing w:line="288" w:lineRule="auto"/>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217F549C">
      <w:pPr>
        <w:pStyle w:val="38"/>
        <w:spacing w:line="288" w:lineRule="auto"/>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0D0D45D">
      <w:pPr>
        <w:pStyle w:val="38"/>
        <w:spacing w:line="288" w:lineRule="auto"/>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17C3642B">
      <w:pPr>
        <w:pStyle w:val="38"/>
        <w:spacing w:line="288" w:lineRule="auto"/>
        <w:textAlignment w:val="baseline"/>
        <w:rPr>
          <w:rFonts w:ascii="宋体" w:hAnsi="宋体" w:cs="宋体"/>
          <w:sz w:val="21"/>
          <w:szCs w:val="21"/>
        </w:rPr>
      </w:pPr>
      <w:r>
        <w:rPr>
          <w:rFonts w:hint="eastAsia" w:ascii="宋体" w:hAnsi="宋体" w:cs="宋体"/>
          <w:sz w:val="21"/>
          <w:szCs w:val="21"/>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CC66096">
      <w:pPr>
        <w:pStyle w:val="38"/>
        <w:spacing w:line="288" w:lineRule="auto"/>
        <w:jc w:val="right"/>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中华人民共和国财政部</w:t>
      </w:r>
    </w:p>
    <w:p w14:paraId="35F849E0">
      <w:pPr>
        <w:pStyle w:val="38"/>
        <w:spacing w:line="288" w:lineRule="auto"/>
        <w:jc w:val="right"/>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中华人民共和国司法部</w:t>
      </w:r>
    </w:p>
    <w:p w14:paraId="76FCBE35">
      <w:pPr>
        <w:pStyle w:val="38"/>
        <w:spacing w:line="288" w:lineRule="auto"/>
        <w:jc w:val="right"/>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2014年6月10日</w:t>
      </w:r>
    </w:p>
    <w:p w14:paraId="4710DE6B">
      <w:pPr>
        <w:spacing w:before="120" w:beforeLines="50" w:after="120" w:afterLines="50"/>
        <w:jc w:val="center"/>
        <w:textAlignment w:val="baseline"/>
        <w:rPr>
          <w:rFonts w:ascii="宋体" w:hAnsi="宋体" w:cs="宋体"/>
          <w:b/>
          <w:sz w:val="32"/>
          <w:szCs w:val="32"/>
        </w:rPr>
      </w:pPr>
      <w:r>
        <w:rPr>
          <w:rFonts w:hint="eastAsia" w:ascii="宋体" w:hAnsi="宋体" w:cs="宋体"/>
          <w:szCs w:val="21"/>
          <w:shd w:val="clear" w:color="auto" w:fill="FFFFFF"/>
        </w:rPr>
        <w:br w:type="page"/>
      </w:r>
      <w:r>
        <w:rPr>
          <w:rFonts w:hint="eastAsia" w:ascii="宋体" w:hAnsi="宋体" w:cs="宋体"/>
          <w:b/>
          <w:sz w:val="32"/>
          <w:szCs w:val="32"/>
        </w:rPr>
        <w:t>关于促进残疾人就业政府采购政策的通知</w:t>
      </w:r>
    </w:p>
    <w:p w14:paraId="5DB2456B">
      <w:pPr>
        <w:pStyle w:val="38"/>
        <w:spacing w:before="48" w:beforeLines="20" w:after="48" w:afterLines="20" w:line="288" w:lineRule="auto"/>
        <w:jc w:val="center"/>
        <w:textAlignment w:val="baseline"/>
        <w:rPr>
          <w:rFonts w:ascii="宋体" w:hAnsi="宋体" w:cs="宋体"/>
          <w:bCs/>
        </w:rPr>
      </w:pPr>
      <w:r>
        <w:rPr>
          <w:rStyle w:val="47"/>
          <w:rFonts w:hint="eastAsia" w:ascii="宋体" w:hAnsi="宋体" w:cs="宋体"/>
          <w:bCs w:val="0"/>
          <w:shd w:val="clear" w:color="auto" w:fill="FFFFFF"/>
        </w:rPr>
        <w:t>财库〔2017〕141号</w:t>
      </w:r>
    </w:p>
    <w:p w14:paraId="0CA94662">
      <w:pPr>
        <w:pStyle w:val="38"/>
        <w:spacing w:line="288" w:lineRule="auto"/>
        <w:jc w:val="both"/>
        <w:textAlignment w:val="baseline"/>
        <w:rPr>
          <w:rFonts w:ascii="宋体" w:hAnsi="宋体" w:cs="宋体"/>
          <w:sz w:val="21"/>
          <w:szCs w:val="21"/>
        </w:rPr>
      </w:pPr>
      <w:bookmarkStart w:id="60" w:name="toDeptId"/>
      <w:r>
        <w:rPr>
          <w:rFonts w:hint="eastAsia" w:ascii="宋体" w:hAnsi="宋体" w:cs="宋体"/>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0"/>
      <w:r>
        <w:rPr>
          <w:rFonts w:hint="eastAsia" w:ascii="宋体" w:hAnsi="宋体" w:cs="宋体"/>
          <w:sz w:val="21"/>
          <w:szCs w:val="21"/>
          <w:shd w:val="clear" w:color="auto" w:fill="FFFFFF"/>
        </w:rPr>
        <w:t>：</w:t>
      </w:r>
    </w:p>
    <w:p w14:paraId="73F2AA95">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为了发挥政府采购促进残疾人就业的作用，进一步保障残疾人权益，依照《政府采购法》、《残疾人保障法》等法律法规及相关规定，现就促进残疾人就业政府采购政策通知如下：</w:t>
      </w:r>
    </w:p>
    <w:p w14:paraId="63D1010B">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一、享受政府采购支持政策的残疾人福利性单位应当同时满足以下条件：</w:t>
      </w:r>
    </w:p>
    <w:p w14:paraId="14400401">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（一）安置的残疾人占本单位在职职工人数的比例不低于25%（含25%），并且安置的残疾人人数不少于10人（含10人）；</w:t>
      </w:r>
    </w:p>
    <w:p w14:paraId="3BBDA9C1">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（二）依法与安置的每位残疾人签订了一年以上（含一年）的劳动合同或服务协议；</w:t>
      </w:r>
    </w:p>
    <w:p w14:paraId="6C8CF5B0">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（三）为安置的每位残疾人按月足额缴纳了基本养老保险、基本医疗保险、失业保险、工伤保险和生育保险等社会保险费；</w:t>
      </w:r>
    </w:p>
    <w:p w14:paraId="6CCFBEDE">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（四）通过银行等金融机构向安置的每位残疾人，按月支付了不低于单位所在区县适用的经省级人民政府批准的月最低工资标准的工资；</w:t>
      </w:r>
    </w:p>
    <w:p w14:paraId="734CA875">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（五）提供本单位制造的货物、承担的工程或者服务（以下简称产品），或者提供其他残疾人福利性单位制造的货物（不包括使用非残疾人福利性单位注册商标的货物）。</w:t>
      </w:r>
    </w:p>
    <w:p w14:paraId="6BC6C9FE">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85A3EE">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DB65351">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中标、成交供应商为残疾人福利性单位的，采购人或者其委托的采购代理机构应当随中标、成交结果同时公告其《残疾人福利性单位声明函》，接受社会监督。</w:t>
      </w:r>
    </w:p>
    <w:p w14:paraId="0F52F236">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供应商提供的《残疾人福利性单位声明函》与事实不符的，依照《政府采购法》第七十七条第一款的规定追究法律责任。</w:t>
      </w:r>
    </w:p>
    <w:p w14:paraId="36E7472B">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8C63327">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四、采购人采购公开招标数额标准以上的货物或者服务，因落实促进残疾人就业政策的需要，依法履行有关报批程序后，可采用公开招标以外的采购方式。</w:t>
      </w:r>
    </w:p>
    <w:p w14:paraId="3DC3484B">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6E8879F">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D35A5C7">
      <w:pPr>
        <w:pStyle w:val="38"/>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七、本通知自2017年10月1日起执行。</w:t>
      </w:r>
    </w:p>
    <w:p w14:paraId="3B70BF54">
      <w:pPr>
        <w:pStyle w:val="38"/>
        <w:spacing w:line="288" w:lineRule="auto"/>
        <w:jc w:val="right"/>
        <w:textAlignment w:val="baseline"/>
        <w:rPr>
          <w:rFonts w:ascii="宋体" w:hAnsi="宋体" w:cs="宋体"/>
          <w:sz w:val="21"/>
          <w:szCs w:val="21"/>
        </w:rPr>
      </w:pPr>
      <w:r>
        <w:rPr>
          <w:rFonts w:hint="eastAsia" w:ascii="宋体" w:hAnsi="宋体" w:cs="宋体"/>
          <w:sz w:val="21"/>
          <w:szCs w:val="21"/>
          <w:shd w:val="clear" w:color="auto" w:fill="FFFFFF"/>
        </w:rPr>
        <w:t>　　财政部 民政部 中国残疾人联合会</w:t>
      </w:r>
    </w:p>
    <w:p w14:paraId="5C3AF296">
      <w:pPr>
        <w:pStyle w:val="38"/>
        <w:spacing w:line="288" w:lineRule="auto"/>
        <w:jc w:val="right"/>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　　2017年8月22日</w:t>
      </w:r>
    </w:p>
    <w:p w14:paraId="248D7181">
      <w:pPr>
        <w:pStyle w:val="38"/>
        <w:spacing w:line="340" w:lineRule="exact"/>
        <w:jc w:val="center"/>
        <w:textAlignment w:val="baseline"/>
        <w:rPr>
          <w:rFonts w:ascii="宋体" w:hAnsi="宋体" w:cs="宋体"/>
          <w:b/>
          <w:sz w:val="32"/>
          <w:szCs w:val="32"/>
        </w:rPr>
      </w:pPr>
      <w:r>
        <w:rPr>
          <w:rFonts w:hint="eastAsia" w:ascii="宋体" w:hAnsi="宋体" w:cs="宋体"/>
          <w:sz w:val="21"/>
          <w:szCs w:val="21"/>
          <w:shd w:val="clear" w:color="auto" w:fill="FFFFFF"/>
        </w:rPr>
        <w:br w:type="page"/>
      </w:r>
      <w:r>
        <w:rPr>
          <w:rFonts w:hint="eastAsia" w:ascii="宋体" w:hAnsi="宋体" w:cs="宋体"/>
          <w:b/>
          <w:sz w:val="32"/>
          <w:szCs w:val="32"/>
        </w:rPr>
        <w:t>《统计上大中小微型企业划分办法（2017）》修订说明</w:t>
      </w:r>
    </w:p>
    <w:p w14:paraId="3E03192B">
      <w:pPr>
        <w:spacing w:line="288" w:lineRule="auto"/>
        <w:ind w:firstLine="420" w:firstLineChars="200"/>
        <w:rPr>
          <w:rFonts w:ascii="宋体" w:hAnsi="宋体" w:cs="宋体"/>
          <w:sz w:val="21"/>
          <w:szCs w:val="21"/>
        </w:rPr>
      </w:pPr>
      <w:r>
        <w:rPr>
          <w:rFonts w:hint="eastAsia" w:ascii="宋体" w:hAnsi="宋体" w:cs="宋体"/>
          <w:sz w:val="21"/>
          <w:szCs w:val="21"/>
        </w:rPr>
        <w:t>一、修订背景</w:t>
      </w:r>
    </w:p>
    <w:p w14:paraId="5B2315FB">
      <w:pPr>
        <w:spacing w:line="288" w:lineRule="auto"/>
        <w:ind w:firstLine="420" w:firstLineChars="200"/>
        <w:rPr>
          <w:rFonts w:ascii="宋体" w:hAnsi="宋体" w:cs="宋体"/>
          <w:sz w:val="21"/>
          <w:szCs w:val="21"/>
        </w:rPr>
      </w:pPr>
      <w:r>
        <w:rPr>
          <w:rFonts w:hint="eastAsia" w:ascii="宋体" w:hAnsi="宋体" w:cs="宋体"/>
          <w:sz w:val="21"/>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A89A4B5">
      <w:pPr>
        <w:spacing w:line="288" w:lineRule="auto"/>
        <w:ind w:firstLine="420" w:firstLineChars="200"/>
        <w:rPr>
          <w:rFonts w:ascii="宋体" w:hAnsi="宋体" w:cs="宋体"/>
          <w:sz w:val="21"/>
          <w:szCs w:val="21"/>
        </w:rPr>
      </w:pPr>
      <w:r>
        <w:rPr>
          <w:rFonts w:hint="eastAsia" w:ascii="宋体" w:hAnsi="宋体" w:cs="宋体"/>
          <w:sz w:val="21"/>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38E040">
      <w:pPr>
        <w:spacing w:line="288" w:lineRule="auto"/>
        <w:ind w:firstLine="420" w:firstLineChars="200"/>
        <w:rPr>
          <w:rFonts w:ascii="宋体" w:hAnsi="宋体" w:cs="宋体"/>
          <w:sz w:val="21"/>
          <w:szCs w:val="21"/>
        </w:rPr>
      </w:pPr>
      <w:r>
        <w:rPr>
          <w:rFonts w:hint="eastAsia" w:ascii="宋体" w:hAnsi="宋体" w:cs="宋体"/>
          <w:sz w:val="21"/>
          <w:szCs w:val="21"/>
        </w:rPr>
        <w:t>二、修订主要内容</w:t>
      </w:r>
    </w:p>
    <w:p w14:paraId="6EF6585A">
      <w:pPr>
        <w:spacing w:line="288" w:lineRule="auto"/>
        <w:ind w:firstLine="420" w:firstLineChars="200"/>
        <w:rPr>
          <w:rFonts w:ascii="宋体" w:hAnsi="宋体" w:cs="宋体"/>
          <w:sz w:val="21"/>
          <w:szCs w:val="21"/>
        </w:rPr>
      </w:pPr>
      <w:r>
        <w:rPr>
          <w:rFonts w:hint="eastAsia" w:ascii="宋体" w:hAnsi="宋体" w:cs="宋体"/>
          <w:sz w:val="21"/>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73C8EA1">
      <w:pPr>
        <w:spacing w:line="288" w:lineRule="auto"/>
        <w:ind w:firstLine="420" w:firstLineChars="200"/>
        <w:rPr>
          <w:rFonts w:ascii="宋体" w:hAnsi="宋体" w:cs="宋体"/>
          <w:sz w:val="21"/>
          <w:szCs w:val="21"/>
        </w:rPr>
      </w:pPr>
      <w:r>
        <w:rPr>
          <w:rFonts w:hint="eastAsia" w:ascii="宋体" w:hAnsi="宋体" w:cs="宋体"/>
          <w:sz w:val="21"/>
          <w:szCs w:val="21"/>
        </w:rPr>
        <w:t>将交通运输业中包括的“装卸搬运和运输代理业”修改为“多式联运和运输代理业、装卸搬运”。</w:t>
      </w:r>
    </w:p>
    <w:p w14:paraId="1EA747A1">
      <w:pPr>
        <w:spacing w:line="288" w:lineRule="auto"/>
        <w:ind w:firstLine="452" w:firstLineChars="200"/>
        <w:rPr>
          <w:rFonts w:ascii="宋体" w:hAnsi="宋体" w:cs="宋体"/>
          <w:spacing w:val="8"/>
          <w:sz w:val="21"/>
          <w:szCs w:val="21"/>
        </w:rPr>
      </w:pPr>
      <w:r>
        <w:rPr>
          <w:rFonts w:hint="eastAsia" w:ascii="宋体" w:hAnsi="宋体" w:cs="宋体"/>
          <w:spacing w:val="8"/>
          <w:sz w:val="21"/>
          <w:szCs w:val="21"/>
        </w:rPr>
        <w:t>仓储业所包括的行业中类，根据《国民经济行业分类》</w:t>
      </w:r>
      <w:r>
        <w:rPr>
          <w:rFonts w:hint="eastAsia" w:ascii="宋体" w:hAnsi="宋体" w:cs="宋体"/>
          <w:sz w:val="21"/>
          <w:szCs w:val="21"/>
        </w:rPr>
        <w:t>（GB/T 4754—2017）</w:t>
      </w:r>
      <w:r>
        <w:rPr>
          <w:rFonts w:hint="eastAsia" w:ascii="宋体" w:hAnsi="宋体" w:cs="宋体"/>
          <w:spacing w:val="8"/>
          <w:sz w:val="21"/>
          <w:szCs w:val="21"/>
        </w:rPr>
        <w:t>调整为“通用仓储，低温仓储，危险品仓储，谷物、棉花等农产品仓储，中药材仓储和其他仓储业”。</w:t>
      </w:r>
    </w:p>
    <w:p w14:paraId="4C23A806">
      <w:pPr>
        <w:spacing w:line="288" w:lineRule="auto"/>
        <w:rPr>
          <w:rFonts w:ascii="宋体" w:hAnsi="宋体" w:cs="宋体"/>
          <w:sz w:val="21"/>
          <w:szCs w:val="21"/>
        </w:rPr>
      </w:pPr>
      <w:r>
        <w:rPr>
          <w:rFonts w:hint="eastAsia" w:ascii="宋体" w:hAnsi="宋体" w:cs="宋体"/>
          <w:sz w:val="21"/>
          <w:szCs w:val="21"/>
        </w:rPr>
        <w:t>附表</w:t>
      </w:r>
    </w:p>
    <w:p w14:paraId="58440F72">
      <w:pPr>
        <w:spacing w:line="288" w:lineRule="auto"/>
        <w:rPr>
          <w:rFonts w:ascii="宋体" w:hAnsi="宋体" w:cs="宋体"/>
          <w:sz w:val="21"/>
          <w:szCs w:val="21"/>
        </w:rPr>
      </w:pPr>
      <w:r>
        <w:rPr>
          <w:rFonts w:hint="eastAsia" w:ascii="宋体" w:hAnsi="宋体" w:cs="宋体"/>
          <w:sz w:val="21"/>
          <w:szCs w:val="21"/>
        </w:rPr>
        <w:t>统计上大中小微型企业划分标准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568"/>
        <w:gridCol w:w="709"/>
        <w:gridCol w:w="1125"/>
        <w:gridCol w:w="1701"/>
        <w:gridCol w:w="1426"/>
        <w:gridCol w:w="992"/>
      </w:tblGrid>
      <w:tr w14:paraId="77F3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914" w:type="dxa"/>
            <w:vAlign w:val="center"/>
          </w:tcPr>
          <w:p w14:paraId="5E2B6BD9">
            <w:pPr>
              <w:spacing w:line="288" w:lineRule="auto"/>
              <w:rPr>
                <w:rFonts w:ascii="宋体" w:hAnsi="宋体" w:cs="宋体"/>
                <w:b/>
                <w:bCs/>
                <w:sz w:val="21"/>
                <w:szCs w:val="21"/>
              </w:rPr>
            </w:pPr>
            <w:r>
              <w:rPr>
                <w:rFonts w:hint="eastAsia" w:ascii="宋体" w:hAnsi="宋体" w:cs="宋体"/>
                <w:b/>
                <w:bCs/>
                <w:sz w:val="21"/>
                <w:szCs w:val="21"/>
              </w:rPr>
              <w:t>行业名称</w:t>
            </w:r>
          </w:p>
        </w:tc>
        <w:tc>
          <w:tcPr>
            <w:tcW w:w="1568" w:type="dxa"/>
            <w:vAlign w:val="center"/>
          </w:tcPr>
          <w:p w14:paraId="6326657F">
            <w:pPr>
              <w:spacing w:line="288" w:lineRule="auto"/>
              <w:rPr>
                <w:rFonts w:ascii="宋体" w:hAnsi="宋体" w:cs="宋体"/>
                <w:b/>
                <w:bCs/>
                <w:sz w:val="21"/>
                <w:szCs w:val="21"/>
              </w:rPr>
            </w:pPr>
            <w:r>
              <w:rPr>
                <w:rFonts w:hint="eastAsia" w:ascii="宋体" w:hAnsi="宋体" w:cs="宋体"/>
                <w:b/>
                <w:bCs/>
                <w:sz w:val="21"/>
                <w:szCs w:val="21"/>
              </w:rPr>
              <w:t>指标名称</w:t>
            </w:r>
          </w:p>
        </w:tc>
        <w:tc>
          <w:tcPr>
            <w:tcW w:w="709" w:type="dxa"/>
            <w:vAlign w:val="center"/>
          </w:tcPr>
          <w:p w14:paraId="1C145815">
            <w:pPr>
              <w:spacing w:line="288" w:lineRule="auto"/>
              <w:rPr>
                <w:rFonts w:ascii="宋体" w:hAnsi="宋体" w:cs="宋体"/>
                <w:b/>
                <w:bCs/>
                <w:sz w:val="21"/>
                <w:szCs w:val="21"/>
              </w:rPr>
            </w:pPr>
            <w:r>
              <w:rPr>
                <w:rFonts w:hint="eastAsia" w:ascii="宋体" w:hAnsi="宋体" w:cs="宋体"/>
                <w:b/>
                <w:bCs/>
                <w:sz w:val="21"/>
                <w:szCs w:val="21"/>
              </w:rPr>
              <w:t>计量</w:t>
            </w:r>
          </w:p>
          <w:p w14:paraId="6172436B">
            <w:pPr>
              <w:spacing w:line="288" w:lineRule="auto"/>
              <w:rPr>
                <w:rFonts w:ascii="宋体" w:hAnsi="宋体" w:cs="宋体"/>
                <w:b/>
                <w:bCs/>
                <w:sz w:val="21"/>
                <w:szCs w:val="21"/>
              </w:rPr>
            </w:pPr>
            <w:r>
              <w:rPr>
                <w:rFonts w:hint="eastAsia" w:ascii="宋体" w:hAnsi="宋体" w:cs="宋体"/>
                <w:b/>
                <w:bCs/>
                <w:sz w:val="21"/>
                <w:szCs w:val="21"/>
              </w:rPr>
              <w:t>单位</w:t>
            </w:r>
          </w:p>
        </w:tc>
        <w:tc>
          <w:tcPr>
            <w:tcW w:w="1125" w:type="dxa"/>
            <w:vAlign w:val="center"/>
          </w:tcPr>
          <w:p w14:paraId="45F803FD">
            <w:pPr>
              <w:spacing w:line="288" w:lineRule="auto"/>
              <w:rPr>
                <w:rFonts w:ascii="宋体" w:hAnsi="宋体" w:cs="宋体"/>
                <w:b/>
                <w:bCs/>
                <w:sz w:val="21"/>
                <w:szCs w:val="21"/>
              </w:rPr>
            </w:pPr>
            <w:r>
              <w:rPr>
                <w:rFonts w:hint="eastAsia" w:ascii="宋体" w:hAnsi="宋体" w:cs="宋体"/>
                <w:b/>
                <w:bCs/>
                <w:sz w:val="21"/>
                <w:szCs w:val="21"/>
              </w:rPr>
              <w:t>大型</w:t>
            </w:r>
          </w:p>
        </w:tc>
        <w:tc>
          <w:tcPr>
            <w:tcW w:w="1701" w:type="dxa"/>
            <w:vAlign w:val="center"/>
          </w:tcPr>
          <w:p w14:paraId="203721EA">
            <w:pPr>
              <w:spacing w:line="288" w:lineRule="auto"/>
              <w:rPr>
                <w:rFonts w:ascii="宋体" w:hAnsi="宋体" w:cs="宋体"/>
                <w:b/>
                <w:bCs/>
                <w:sz w:val="21"/>
                <w:szCs w:val="21"/>
              </w:rPr>
            </w:pPr>
            <w:r>
              <w:rPr>
                <w:rFonts w:hint="eastAsia" w:ascii="宋体" w:hAnsi="宋体" w:cs="宋体"/>
                <w:b/>
                <w:bCs/>
                <w:sz w:val="21"/>
                <w:szCs w:val="21"/>
              </w:rPr>
              <w:t>中型</w:t>
            </w:r>
          </w:p>
        </w:tc>
        <w:tc>
          <w:tcPr>
            <w:tcW w:w="1426" w:type="dxa"/>
            <w:vAlign w:val="center"/>
          </w:tcPr>
          <w:p w14:paraId="3A90D1F2">
            <w:pPr>
              <w:spacing w:line="288" w:lineRule="auto"/>
              <w:rPr>
                <w:rFonts w:ascii="宋体" w:hAnsi="宋体" w:cs="宋体"/>
                <w:b/>
                <w:bCs/>
                <w:sz w:val="21"/>
                <w:szCs w:val="21"/>
              </w:rPr>
            </w:pPr>
            <w:r>
              <w:rPr>
                <w:rFonts w:hint="eastAsia" w:ascii="宋体" w:hAnsi="宋体" w:cs="宋体"/>
                <w:b/>
                <w:bCs/>
                <w:sz w:val="21"/>
                <w:szCs w:val="21"/>
              </w:rPr>
              <w:t>小型</w:t>
            </w:r>
          </w:p>
        </w:tc>
        <w:tc>
          <w:tcPr>
            <w:tcW w:w="992" w:type="dxa"/>
            <w:vAlign w:val="center"/>
          </w:tcPr>
          <w:p w14:paraId="3DFC7E9D">
            <w:pPr>
              <w:spacing w:line="288" w:lineRule="auto"/>
              <w:rPr>
                <w:rFonts w:ascii="宋体" w:hAnsi="宋体" w:cs="宋体"/>
                <w:b/>
                <w:bCs/>
                <w:sz w:val="21"/>
                <w:szCs w:val="21"/>
              </w:rPr>
            </w:pPr>
            <w:r>
              <w:rPr>
                <w:rFonts w:hint="eastAsia" w:ascii="宋体" w:hAnsi="宋体" w:cs="宋体"/>
                <w:b/>
                <w:bCs/>
                <w:sz w:val="21"/>
                <w:szCs w:val="21"/>
              </w:rPr>
              <w:t>微型</w:t>
            </w:r>
          </w:p>
        </w:tc>
      </w:tr>
      <w:tr w14:paraId="7339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Align w:val="center"/>
          </w:tcPr>
          <w:p w14:paraId="50EBACDC">
            <w:pPr>
              <w:spacing w:line="288" w:lineRule="auto"/>
              <w:rPr>
                <w:rFonts w:ascii="宋体" w:hAnsi="宋体" w:cs="宋体"/>
                <w:b/>
                <w:sz w:val="21"/>
                <w:szCs w:val="21"/>
              </w:rPr>
            </w:pPr>
            <w:r>
              <w:rPr>
                <w:rFonts w:hint="eastAsia" w:ascii="宋体" w:hAnsi="宋体" w:cs="宋体"/>
                <w:b/>
                <w:sz w:val="21"/>
                <w:szCs w:val="21"/>
              </w:rPr>
              <w:t>农、林、牧、渔业</w:t>
            </w:r>
          </w:p>
        </w:tc>
        <w:tc>
          <w:tcPr>
            <w:tcW w:w="1568" w:type="dxa"/>
            <w:vAlign w:val="center"/>
          </w:tcPr>
          <w:p w14:paraId="227FB9C4">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186394C0">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165AAD0A">
            <w:pPr>
              <w:spacing w:line="288" w:lineRule="auto"/>
              <w:rPr>
                <w:rFonts w:ascii="宋体" w:hAnsi="宋体" w:cs="宋体"/>
                <w:b/>
                <w:sz w:val="21"/>
                <w:szCs w:val="21"/>
              </w:rPr>
            </w:pPr>
            <w:r>
              <w:rPr>
                <w:rFonts w:hint="eastAsia" w:ascii="宋体" w:hAnsi="宋体" w:cs="宋体"/>
                <w:b/>
                <w:sz w:val="21"/>
                <w:szCs w:val="21"/>
              </w:rPr>
              <w:t>Y≥20000</w:t>
            </w:r>
          </w:p>
        </w:tc>
        <w:tc>
          <w:tcPr>
            <w:tcW w:w="1701" w:type="dxa"/>
            <w:vAlign w:val="center"/>
          </w:tcPr>
          <w:p w14:paraId="35110E57">
            <w:pPr>
              <w:spacing w:line="288" w:lineRule="auto"/>
              <w:rPr>
                <w:rFonts w:ascii="宋体" w:hAnsi="宋体" w:cs="宋体"/>
                <w:b/>
                <w:sz w:val="21"/>
                <w:szCs w:val="21"/>
              </w:rPr>
            </w:pPr>
            <w:r>
              <w:rPr>
                <w:rFonts w:hint="eastAsia" w:ascii="宋体" w:hAnsi="宋体" w:cs="宋体"/>
                <w:b/>
                <w:sz w:val="21"/>
                <w:szCs w:val="21"/>
              </w:rPr>
              <w:t xml:space="preserve"> 500≤Y＜20000</w:t>
            </w:r>
          </w:p>
        </w:tc>
        <w:tc>
          <w:tcPr>
            <w:tcW w:w="1426" w:type="dxa"/>
            <w:vAlign w:val="center"/>
          </w:tcPr>
          <w:p w14:paraId="0365839B">
            <w:pPr>
              <w:spacing w:line="288" w:lineRule="auto"/>
              <w:rPr>
                <w:rFonts w:ascii="宋体" w:hAnsi="宋体" w:cs="宋体"/>
                <w:b/>
                <w:sz w:val="21"/>
                <w:szCs w:val="21"/>
              </w:rPr>
            </w:pPr>
            <w:r>
              <w:rPr>
                <w:rFonts w:hint="eastAsia" w:ascii="宋体" w:hAnsi="宋体" w:cs="宋体"/>
                <w:b/>
                <w:sz w:val="21"/>
                <w:szCs w:val="21"/>
              </w:rPr>
              <w:t xml:space="preserve"> 50≤Y＜500</w:t>
            </w:r>
          </w:p>
        </w:tc>
        <w:tc>
          <w:tcPr>
            <w:tcW w:w="992" w:type="dxa"/>
            <w:vAlign w:val="center"/>
          </w:tcPr>
          <w:p w14:paraId="05F123CE">
            <w:pPr>
              <w:spacing w:line="288" w:lineRule="auto"/>
              <w:rPr>
                <w:rFonts w:ascii="宋体" w:hAnsi="宋体" w:cs="宋体"/>
                <w:b/>
                <w:sz w:val="21"/>
                <w:szCs w:val="21"/>
              </w:rPr>
            </w:pPr>
            <w:r>
              <w:rPr>
                <w:rFonts w:hint="eastAsia" w:ascii="宋体" w:hAnsi="宋体" w:cs="宋体"/>
                <w:b/>
                <w:sz w:val="21"/>
                <w:szCs w:val="21"/>
              </w:rPr>
              <w:t>Y＜50</w:t>
            </w:r>
          </w:p>
        </w:tc>
      </w:tr>
      <w:tr w14:paraId="7CC9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49766772">
            <w:pPr>
              <w:spacing w:line="288" w:lineRule="auto"/>
              <w:rPr>
                <w:rFonts w:ascii="宋体" w:hAnsi="宋体" w:cs="宋体"/>
                <w:b/>
                <w:sz w:val="21"/>
                <w:szCs w:val="21"/>
              </w:rPr>
            </w:pPr>
            <w:r>
              <w:rPr>
                <w:rFonts w:hint="eastAsia" w:ascii="宋体" w:hAnsi="宋体" w:cs="宋体"/>
                <w:b/>
                <w:sz w:val="21"/>
                <w:szCs w:val="21"/>
              </w:rPr>
              <w:t>工业 *</w:t>
            </w:r>
          </w:p>
        </w:tc>
        <w:tc>
          <w:tcPr>
            <w:tcW w:w="1568" w:type="dxa"/>
            <w:vAlign w:val="center"/>
          </w:tcPr>
          <w:p w14:paraId="64FE7E6B">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0092AF78">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27D66205">
            <w:pPr>
              <w:spacing w:line="288" w:lineRule="auto"/>
              <w:rPr>
                <w:rFonts w:ascii="宋体" w:hAnsi="宋体" w:cs="宋体"/>
                <w:b/>
                <w:sz w:val="21"/>
                <w:szCs w:val="21"/>
              </w:rPr>
            </w:pPr>
            <w:r>
              <w:rPr>
                <w:rFonts w:hint="eastAsia" w:ascii="宋体" w:hAnsi="宋体" w:cs="宋体"/>
                <w:b/>
                <w:sz w:val="21"/>
                <w:szCs w:val="21"/>
              </w:rPr>
              <w:t>X≥1000</w:t>
            </w:r>
          </w:p>
        </w:tc>
        <w:tc>
          <w:tcPr>
            <w:tcW w:w="1701" w:type="dxa"/>
            <w:vAlign w:val="center"/>
          </w:tcPr>
          <w:p w14:paraId="0E37D6F3">
            <w:pPr>
              <w:spacing w:line="288" w:lineRule="auto"/>
              <w:rPr>
                <w:rFonts w:ascii="宋体" w:hAnsi="宋体" w:cs="宋体"/>
                <w:b/>
                <w:sz w:val="21"/>
                <w:szCs w:val="21"/>
              </w:rPr>
            </w:pPr>
            <w:r>
              <w:rPr>
                <w:rFonts w:hint="eastAsia" w:ascii="宋体" w:hAnsi="宋体" w:cs="宋体"/>
                <w:b/>
                <w:sz w:val="21"/>
                <w:szCs w:val="21"/>
              </w:rPr>
              <w:t>300≤X＜1000</w:t>
            </w:r>
          </w:p>
        </w:tc>
        <w:tc>
          <w:tcPr>
            <w:tcW w:w="1426" w:type="dxa"/>
            <w:vAlign w:val="center"/>
          </w:tcPr>
          <w:p w14:paraId="445D4481">
            <w:pPr>
              <w:spacing w:line="288" w:lineRule="auto"/>
              <w:rPr>
                <w:rFonts w:ascii="宋体" w:hAnsi="宋体" w:cs="宋体"/>
                <w:b/>
                <w:sz w:val="21"/>
                <w:szCs w:val="21"/>
              </w:rPr>
            </w:pPr>
            <w:r>
              <w:rPr>
                <w:rFonts w:hint="eastAsia" w:ascii="宋体" w:hAnsi="宋体" w:cs="宋体"/>
                <w:b/>
                <w:sz w:val="21"/>
                <w:szCs w:val="21"/>
              </w:rPr>
              <w:t xml:space="preserve"> 20≤X＜300</w:t>
            </w:r>
          </w:p>
        </w:tc>
        <w:tc>
          <w:tcPr>
            <w:tcW w:w="992" w:type="dxa"/>
            <w:vAlign w:val="center"/>
          </w:tcPr>
          <w:p w14:paraId="79BEE9FF">
            <w:pPr>
              <w:spacing w:line="288" w:lineRule="auto"/>
              <w:rPr>
                <w:rFonts w:ascii="宋体" w:hAnsi="宋体" w:cs="宋体"/>
                <w:b/>
                <w:sz w:val="21"/>
                <w:szCs w:val="21"/>
              </w:rPr>
            </w:pPr>
            <w:r>
              <w:rPr>
                <w:rFonts w:hint="eastAsia" w:ascii="宋体" w:hAnsi="宋体" w:cs="宋体"/>
                <w:b/>
                <w:sz w:val="21"/>
                <w:szCs w:val="21"/>
              </w:rPr>
              <w:t>X＜20</w:t>
            </w:r>
          </w:p>
        </w:tc>
      </w:tr>
      <w:tr w14:paraId="53D7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1F9EC42F">
            <w:pPr>
              <w:spacing w:line="288" w:lineRule="auto"/>
              <w:rPr>
                <w:rFonts w:ascii="宋体" w:hAnsi="宋体" w:cs="宋体"/>
                <w:b/>
                <w:sz w:val="21"/>
                <w:szCs w:val="21"/>
              </w:rPr>
            </w:pPr>
          </w:p>
        </w:tc>
        <w:tc>
          <w:tcPr>
            <w:tcW w:w="1568" w:type="dxa"/>
            <w:vAlign w:val="center"/>
          </w:tcPr>
          <w:p w14:paraId="0FA10E23">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5ACDBEE5">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2C425BD7">
            <w:pPr>
              <w:spacing w:line="288" w:lineRule="auto"/>
              <w:rPr>
                <w:rFonts w:ascii="宋体" w:hAnsi="宋体" w:cs="宋体"/>
                <w:b/>
                <w:sz w:val="21"/>
                <w:szCs w:val="21"/>
              </w:rPr>
            </w:pPr>
            <w:r>
              <w:rPr>
                <w:rFonts w:hint="eastAsia" w:ascii="宋体" w:hAnsi="宋体" w:cs="宋体"/>
                <w:b/>
                <w:sz w:val="21"/>
                <w:szCs w:val="21"/>
              </w:rPr>
              <w:t>Y≥40000</w:t>
            </w:r>
          </w:p>
        </w:tc>
        <w:tc>
          <w:tcPr>
            <w:tcW w:w="1701" w:type="dxa"/>
            <w:vAlign w:val="center"/>
          </w:tcPr>
          <w:p w14:paraId="5E3011AC">
            <w:pPr>
              <w:spacing w:line="288" w:lineRule="auto"/>
              <w:rPr>
                <w:rFonts w:ascii="宋体" w:hAnsi="宋体" w:cs="宋体"/>
                <w:b/>
                <w:sz w:val="21"/>
                <w:szCs w:val="21"/>
              </w:rPr>
            </w:pPr>
            <w:r>
              <w:rPr>
                <w:rFonts w:hint="eastAsia" w:ascii="宋体" w:hAnsi="宋体" w:cs="宋体"/>
                <w:b/>
                <w:sz w:val="21"/>
                <w:szCs w:val="21"/>
              </w:rPr>
              <w:t>2000≤Y＜40000</w:t>
            </w:r>
          </w:p>
        </w:tc>
        <w:tc>
          <w:tcPr>
            <w:tcW w:w="1426" w:type="dxa"/>
            <w:vAlign w:val="center"/>
          </w:tcPr>
          <w:p w14:paraId="1AE599E6">
            <w:pPr>
              <w:spacing w:line="288" w:lineRule="auto"/>
              <w:rPr>
                <w:rFonts w:ascii="宋体" w:hAnsi="宋体" w:cs="宋体"/>
                <w:b/>
                <w:sz w:val="21"/>
                <w:szCs w:val="21"/>
              </w:rPr>
            </w:pPr>
            <w:r>
              <w:rPr>
                <w:rFonts w:hint="eastAsia" w:ascii="宋体" w:hAnsi="宋体" w:cs="宋体"/>
                <w:b/>
                <w:sz w:val="21"/>
                <w:szCs w:val="21"/>
              </w:rPr>
              <w:t xml:space="preserve"> 300≤Y＜2000</w:t>
            </w:r>
          </w:p>
        </w:tc>
        <w:tc>
          <w:tcPr>
            <w:tcW w:w="992" w:type="dxa"/>
            <w:vAlign w:val="center"/>
          </w:tcPr>
          <w:p w14:paraId="0A1DAD8D">
            <w:pPr>
              <w:spacing w:line="288" w:lineRule="auto"/>
              <w:rPr>
                <w:rFonts w:ascii="宋体" w:hAnsi="宋体" w:cs="宋体"/>
                <w:b/>
                <w:sz w:val="21"/>
                <w:szCs w:val="21"/>
              </w:rPr>
            </w:pPr>
            <w:r>
              <w:rPr>
                <w:rFonts w:hint="eastAsia" w:ascii="宋体" w:hAnsi="宋体" w:cs="宋体"/>
                <w:b/>
                <w:sz w:val="21"/>
                <w:szCs w:val="21"/>
              </w:rPr>
              <w:t>Y＜300</w:t>
            </w:r>
          </w:p>
        </w:tc>
      </w:tr>
      <w:tr w14:paraId="1D58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5A1F40F9">
            <w:pPr>
              <w:spacing w:line="288" w:lineRule="auto"/>
              <w:rPr>
                <w:rFonts w:ascii="宋体" w:hAnsi="宋体" w:cs="宋体"/>
                <w:b/>
                <w:sz w:val="21"/>
                <w:szCs w:val="21"/>
              </w:rPr>
            </w:pPr>
            <w:r>
              <w:rPr>
                <w:rFonts w:hint="eastAsia" w:ascii="宋体" w:hAnsi="宋体" w:cs="宋体"/>
                <w:b/>
                <w:sz w:val="21"/>
                <w:szCs w:val="21"/>
              </w:rPr>
              <w:t>建筑业</w:t>
            </w:r>
          </w:p>
        </w:tc>
        <w:tc>
          <w:tcPr>
            <w:tcW w:w="1568" w:type="dxa"/>
            <w:vAlign w:val="center"/>
          </w:tcPr>
          <w:p w14:paraId="45A3AB7E">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12455DB4">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11F828F1">
            <w:pPr>
              <w:spacing w:line="288" w:lineRule="auto"/>
              <w:rPr>
                <w:rFonts w:ascii="宋体" w:hAnsi="宋体" w:cs="宋体"/>
                <w:b/>
                <w:sz w:val="21"/>
                <w:szCs w:val="21"/>
              </w:rPr>
            </w:pPr>
            <w:r>
              <w:rPr>
                <w:rFonts w:hint="eastAsia" w:ascii="宋体" w:hAnsi="宋体" w:cs="宋体"/>
                <w:b/>
                <w:sz w:val="21"/>
                <w:szCs w:val="21"/>
              </w:rPr>
              <w:t>Y≥80000</w:t>
            </w:r>
          </w:p>
        </w:tc>
        <w:tc>
          <w:tcPr>
            <w:tcW w:w="1701" w:type="dxa"/>
            <w:vAlign w:val="center"/>
          </w:tcPr>
          <w:p w14:paraId="772100A3">
            <w:pPr>
              <w:spacing w:line="288" w:lineRule="auto"/>
              <w:rPr>
                <w:rFonts w:ascii="宋体" w:hAnsi="宋体" w:cs="宋体"/>
                <w:b/>
                <w:sz w:val="21"/>
                <w:szCs w:val="21"/>
              </w:rPr>
            </w:pPr>
            <w:r>
              <w:rPr>
                <w:rFonts w:hint="eastAsia" w:ascii="宋体" w:hAnsi="宋体" w:cs="宋体"/>
                <w:b/>
                <w:sz w:val="21"/>
                <w:szCs w:val="21"/>
              </w:rPr>
              <w:t>6000≤Y＜80000</w:t>
            </w:r>
          </w:p>
        </w:tc>
        <w:tc>
          <w:tcPr>
            <w:tcW w:w="1426" w:type="dxa"/>
            <w:vAlign w:val="center"/>
          </w:tcPr>
          <w:p w14:paraId="00497C7A">
            <w:pPr>
              <w:spacing w:line="288" w:lineRule="auto"/>
              <w:rPr>
                <w:rFonts w:ascii="宋体" w:hAnsi="宋体" w:cs="宋体"/>
                <w:b/>
                <w:sz w:val="21"/>
                <w:szCs w:val="21"/>
              </w:rPr>
            </w:pPr>
            <w:r>
              <w:rPr>
                <w:rFonts w:hint="eastAsia" w:ascii="宋体" w:hAnsi="宋体" w:cs="宋体"/>
                <w:b/>
                <w:sz w:val="21"/>
                <w:szCs w:val="21"/>
              </w:rPr>
              <w:t xml:space="preserve"> 300≤Y＜6000</w:t>
            </w:r>
          </w:p>
        </w:tc>
        <w:tc>
          <w:tcPr>
            <w:tcW w:w="992" w:type="dxa"/>
            <w:vAlign w:val="center"/>
          </w:tcPr>
          <w:p w14:paraId="528328A7">
            <w:pPr>
              <w:spacing w:line="288" w:lineRule="auto"/>
              <w:rPr>
                <w:rFonts w:ascii="宋体" w:hAnsi="宋体" w:cs="宋体"/>
                <w:b/>
                <w:sz w:val="21"/>
                <w:szCs w:val="21"/>
              </w:rPr>
            </w:pPr>
            <w:r>
              <w:rPr>
                <w:rFonts w:hint="eastAsia" w:ascii="宋体" w:hAnsi="宋体" w:cs="宋体"/>
                <w:b/>
                <w:sz w:val="21"/>
                <w:szCs w:val="21"/>
              </w:rPr>
              <w:t>Y＜300</w:t>
            </w:r>
          </w:p>
        </w:tc>
      </w:tr>
      <w:tr w14:paraId="741F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52392CF5">
            <w:pPr>
              <w:spacing w:line="288" w:lineRule="auto"/>
              <w:rPr>
                <w:rFonts w:ascii="宋体" w:hAnsi="宋体" w:cs="宋体"/>
                <w:b/>
                <w:sz w:val="21"/>
                <w:szCs w:val="21"/>
              </w:rPr>
            </w:pPr>
          </w:p>
        </w:tc>
        <w:tc>
          <w:tcPr>
            <w:tcW w:w="1568" w:type="dxa"/>
            <w:vAlign w:val="center"/>
          </w:tcPr>
          <w:p w14:paraId="2515AF67">
            <w:pPr>
              <w:spacing w:line="288" w:lineRule="auto"/>
              <w:rPr>
                <w:rFonts w:ascii="宋体" w:hAnsi="宋体" w:cs="宋体"/>
                <w:b/>
                <w:sz w:val="21"/>
                <w:szCs w:val="21"/>
              </w:rPr>
            </w:pPr>
            <w:r>
              <w:rPr>
                <w:rFonts w:hint="eastAsia" w:ascii="宋体" w:hAnsi="宋体" w:cs="宋体"/>
                <w:b/>
                <w:sz w:val="21"/>
                <w:szCs w:val="21"/>
              </w:rPr>
              <w:t>资产总额(Z)</w:t>
            </w:r>
          </w:p>
        </w:tc>
        <w:tc>
          <w:tcPr>
            <w:tcW w:w="709" w:type="dxa"/>
            <w:vAlign w:val="center"/>
          </w:tcPr>
          <w:p w14:paraId="11FD7BED">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14A5CCEC">
            <w:pPr>
              <w:spacing w:line="288" w:lineRule="auto"/>
              <w:rPr>
                <w:rFonts w:ascii="宋体" w:hAnsi="宋体" w:cs="宋体"/>
                <w:b/>
                <w:sz w:val="21"/>
                <w:szCs w:val="21"/>
              </w:rPr>
            </w:pPr>
            <w:r>
              <w:rPr>
                <w:rFonts w:hint="eastAsia" w:ascii="宋体" w:hAnsi="宋体" w:cs="宋体"/>
                <w:b/>
                <w:sz w:val="21"/>
                <w:szCs w:val="21"/>
              </w:rPr>
              <w:t>Z≥80000</w:t>
            </w:r>
          </w:p>
        </w:tc>
        <w:tc>
          <w:tcPr>
            <w:tcW w:w="1701" w:type="dxa"/>
            <w:vAlign w:val="center"/>
          </w:tcPr>
          <w:p w14:paraId="2CCFBA68">
            <w:pPr>
              <w:spacing w:line="288" w:lineRule="auto"/>
              <w:rPr>
                <w:rFonts w:ascii="宋体" w:hAnsi="宋体" w:cs="宋体"/>
                <w:b/>
                <w:sz w:val="21"/>
                <w:szCs w:val="21"/>
              </w:rPr>
            </w:pPr>
            <w:r>
              <w:rPr>
                <w:rFonts w:hint="eastAsia" w:ascii="宋体" w:hAnsi="宋体" w:cs="宋体"/>
                <w:b/>
                <w:sz w:val="21"/>
                <w:szCs w:val="21"/>
              </w:rPr>
              <w:t>5000≤Z＜80000</w:t>
            </w:r>
          </w:p>
        </w:tc>
        <w:tc>
          <w:tcPr>
            <w:tcW w:w="1426" w:type="dxa"/>
            <w:vAlign w:val="center"/>
          </w:tcPr>
          <w:p w14:paraId="54BA5166">
            <w:pPr>
              <w:spacing w:line="288" w:lineRule="auto"/>
              <w:rPr>
                <w:rFonts w:ascii="宋体" w:hAnsi="宋体" w:cs="宋体"/>
                <w:b/>
                <w:sz w:val="21"/>
                <w:szCs w:val="21"/>
              </w:rPr>
            </w:pPr>
            <w:r>
              <w:rPr>
                <w:rFonts w:hint="eastAsia" w:ascii="宋体" w:hAnsi="宋体" w:cs="宋体"/>
                <w:b/>
                <w:sz w:val="21"/>
                <w:szCs w:val="21"/>
              </w:rPr>
              <w:t xml:space="preserve"> 300≤Z＜5000</w:t>
            </w:r>
          </w:p>
        </w:tc>
        <w:tc>
          <w:tcPr>
            <w:tcW w:w="992" w:type="dxa"/>
            <w:vAlign w:val="center"/>
          </w:tcPr>
          <w:p w14:paraId="03ADEDDA">
            <w:pPr>
              <w:spacing w:line="288" w:lineRule="auto"/>
              <w:rPr>
                <w:rFonts w:ascii="宋体" w:hAnsi="宋体" w:cs="宋体"/>
                <w:b/>
                <w:sz w:val="21"/>
                <w:szCs w:val="21"/>
              </w:rPr>
            </w:pPr>
            <w:r>
              <w:rPr>
                <w:rFonts w:hint="eastAsia" w:ascii="宋体" w:hAnsi="宋体" w:cs="宋体"/>
                <w:b/>
                <w:sz w:val="21"/>
                <w:szCs w:val="21"/>
              </w:rPr>
              <w:t>Z＜300</w:t>
            </w:r>
          </w:p>
        </w:tc>
      </w:tr>
      <w:tr w14:paraId="0B12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0C07652F">
            <w:pPr>
              <w:spacing w:line="288" w:lineRule="auto"/>
              <w:rPr>
                <w:rFonts w:ascii="宋体" w:hAnsi="宋体" w:cs="宋体"/>
                <w:b/>
                <w:sz w:val="21"/>
                <w:szCs w:val="21"/>
              </w:rPr>
            </w:pPr>
            <w:r>
              <w:rPr>
                <w:rFonts w:hint="eastAsia" w:ascii="宋体" w:hAnsi="宋体" w:cs="宋体"/>
                <w:b/>
                <w:sz w:val="21"/>
                <w:szCs w:val="21"/>
              </w:rPr>
              <w:t>批发业</w:t>
            </w:r>
          </w:p>
        </w:tc>
        <w:tc>
          <w:tcPr>
            <w:tcW w:w="1568" w:type="dxa"/>
            <w:vAlign w:val="center"/>
          </w:tcPr>
          <w:p w14:paraId="729C65A6">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406739E8">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30306772">
            <w:pPr>
              <w:spacing w:line="288" w:lineRule="auto"/>
              <w:rPr>
                <w:rFonts w:ascii="宋体" w:hAnsi="宋体" w:cs="宋体"/>
                <w:b/>
                <w:sz w:val="21"/>
                <w:szCs w:val="21"/>
              </w:rPr>
            </w:pPr>
            <w:r>
              <w:rPr>
                <w:rFonts w:hint="eastAsia" w:ascii="宋体" w:hAnsi="宋体" w:cs="宋体"/>
                <w:b/>
                <w:sz w:val="21"/>
                <w:szCs w:val="21"/>
              </w:rPr>
              <w:t>X≥200</w:t>
            </w:r>
          </w:p>
        </w:tc>
        <w:tc>
          <w:tcPr>
            <w:tcW w:w="1701" w:type="dxa"/>
            <w:vAlign w:val="center"/>
          </w:tcPr>
          <w:p w14:paraId="7DB6F3B0">
            <w:pPr>
              <w:spacing w:line="288" w:lineRule="auto"/>
              <w:rPr>
                <w:rFonts w:ascii="宋体" w:hAnsi="宋体" w:cs="宋体"/>
                <w:b/>
                <w:sz w:val="21"/>
                <w:szCs w:val="21"/>
              </w:rPr>
            </w:pPr>
            <w:r>
              <w:rPr>
                <w:rFonts w:hint="eastAsia" w:ascii="宋体" w:hAnsi="宋体" w:cs="宋体"/>
                <w:b/>
                <w:sz w:val="21"/>
                <w:szCs w:val="21"/>
              </w:rPr>
              <w:t>20≤X＜200</w:t>
            </w:r>
          </w:p>
        </w:tc>
        <w:tc>
          <w:tcPr>
            <w:tcW w:w="1426" w:type="dxa"/>
            <w:vAlign w:val="center"/>
          </w:tcPr>
          <w:p w14:paraId="61949F40">
            <w:pPr>
              <w:spacing w:line="288" w:lineRule="auto"/>
              <w:rPr>
                <w:rFonts w:ascii="宋体" w:hAnsi="宋体" w:cs="宋体"/>
                <w:b/>
                <w:sz w:val="21"/>
                <w:szCs w:val="21"/>
              </w:rPr>
            </w:pPr>
            <w:r>
              <w:rPr>
                <w:rFonts w:hint="eastAsia" w:ascii="宋体" w:hAnsi="宋体" w:cs="宋体"/>
                <w:b/>
                <w:sz w:val="21"/>
                <w:szCs w:val="21"/>
              </w:rPr>
              <w:t xml:space="preserve"> 5≤X＜20</w:t>
            </w:r>
          </w:p>
        </w:tc>
        <w:tc>
          <w:tcPr>
            <w:tcW w:w="992" w:type="dxa"/>
            <w:vAlign w:val="center"/>
          </w:tcPr>
          <w:p w14:paraId="2593DD9A">
            <w:pPr>
              <w:spacing w:line="288" w:lineRule="auto"/>
              <w:rPr>
                <w:rFonts w:ascii="宋体" w:hAnsi="宋体" w:cs="宋体"/>
                <w:b/>
                <w:sz w:val="21"/>
                <w:szCs w:val="21"/>
              </w:rPr>
            </w:pPr>
            <w:r>
              <w:rPr>
                <w:rFonts w:hint="eastAsia" w:ascii="宋体" w:hAnsi="宋体" w:cs="宋体"/>
                <w:b/>
                <w:sz w:val="21"/>
                <w:szCs w:val="21"/>
              </w:rPr>
              <w:t>X＜5</w:t>
            </w:r>
          </w:p>
        </w:tc>
      </w:tr>
      <w:tr w14:paraId="28DE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56A2B3FC">
            <w:pPr>
              <w:spacing w:line="288" w:lineRule="auto"/>
              <w:rPr>
                <w:rFonts w:ascii="宋体" w:hAnsi="宋体" w:cs="宋体"/>
                <w:b/>
                <w:sz w:val="21"/>
                <w:szCs w:val="21"/>
              </w:rPr>
            </w:pPr>
          </w:p>
        </w:tc>
        <w:tc>
          <w:tcPr>
            <w:tcW w:w="1568" w:type="dxa"/>
            <w:vAlign w:val="center"/>
          </w:tcPr>
          <w:p w14:paraId="78D70877">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4E92D90F">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24F4B2E4">
            <w:pPr>
              <w:spacing w:line="288" w:lineRule="auto"/>
              <w:rPr>
                <w:rFonts w:ascii="宋体" w:hAnsi="宋体" w:cs="宋体"/>
                <w:b/>
                <w:sz w:val="21"/>
                <w:szCs w:val="21"/>
              </w:rPr>
            </w:pPr>
            <w:r>
              <w:rPr>
                <w:rFonts w:hint="eastAsia" w:ascii="宋体" w:hAnsi="宋体" w:cs="宋体"/>
                <w:b/>
                <w:sz w:val="21"/>
                <w:szCs w:val="21"/>
              </w:rPr>
              <w:t>Y≥40000</w:t>
            </w:r>
          </w:p>
        </w:tc>
        <w:tc>
          <w:tcPr>
            <w:tcW w:w="1701" w:type="dxa"/>
            <w:vAlign w:val="center"/>
          </w:tcPr>
          <w:p w14:paraId="117CD941">
            <w:pPr>
              <w:spacing w:line="288" w:lineRule="auto"/>
              <w:rPr>
                <w:rFonts w:ascii="宋体" w:hAnsi="宋体" w:cs="宋体"/>
                <w:b/>
                <w:sz w:val="21"/>
                <w:szCs w:val="21"/>
              </w:rPr>
            </w:pPr>
            <w:r>
              <w:rPr>
                <w:rFonts w:hint="eastAsia" w:ascii="宋体" w:hAnsi="宋体" w:cs="宋体"/>
                <w:b/>
                <w:sz w:val="21"/>
                <w:szCs w:val="21"/>
              </w:rPr>
              <w:t>5000≤Y＜40000</w:t>
            </w:r>
          </w:p>
        </w:tc>
        <w:tc>
          <w:tcPr>
            <w:tcW w:w="1426" w:type="dxa"/>
            <w:vAlign w:val="center"/>
          </w:tcPr>
          <w:p w14:paraId="0C11E256">
            <w:pPr>
              <w:spacing w:line="288" w:lineRule="auto"/>
              <w:ind w:left="-1" w:leftChars="-1" w:hanging="1"/>
              <w:rPr>
                <w:rFonts w:ascii="宋体" w:hAnsi="宋体" w:cs="宋体"/>
                <w:b/>
                <w:sz w:val="21"/>
                <w:szCs w:val="21"/>
              </w:rPr>
            </w:pPr>
            <w:r>
              <w:rPr>
                <w:rFonts w:hint="eastAsia" w:ascii="宋体" w:hAnsi="宋体" w:cs="宋体"/>
                <w:b/>
                <w:sz w:val="21"/>
                <w:szCs w:val="21"/>
              </w:rPr>
              <w:t>1000≤Y＜5000</w:t>
            </w:r>
          </w:p>
        </w:tc>
        <w:tc>
          <w:tcPr>
            <w:tcW w:w="992" w:type="dxa"/>
            <w:vAlign w:val="center"/>
          </w:tcPr>
          <w:p w14:paraId="6206C83E">
            <w:pPr>
              <w:spacing w:line="288" w:lineRule="auto"/>
              <w:rPr>
                <w:rFonts w:ascii="宋体" w:hAnsi="宋体" w:cs="宋体"/>
                <w:b/>
                <w:sz w:val="21"/>
                <w:szCs w:val="21"/>
              </w:rPr>
            </w:pPr>
            <w:r>
              <w:rPr>
                <w:rFonts w:hint="eastAsia" w:ascii="宋体" w:hAnsi="宋体" w:cs="宋体"/>
                <w:b/>
                <w:sz w:val="21"/>
                <w:szCs w:val="21"/>
              </w:rPr>
              <w:t>Y＜1000</w:t>
            </w:r>
          </w:p>
        </w:tc>
      </w:tr>
      <w:tr w14:paraId="68B7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1F51C14F">
            <w:pPr>
              <w:spacing w:line="288" w:lineRule="auto"/>
              <w:rPr>
                <w:rFonts w:ascii="宋体" w:hAnsi="宋体" w:cs="宋体"/>
                <w:b/>
                <w:sz w:val="21"/>
                <w:szCs w:val="21"/>
              </w:rPr>
            </w:pPr>
            <w:r>
              <w:rPr>
                <w:rFonts w:hint="eastAsia" w:ascii="宋体" w:hAnsi="宋体" w:cs="宋体"/>
                <w:b/>
                <w:sz w:val="21"/>
                <w:szCs w:val="21"/>
              </w:rPr>
              <w:t>零售业</w:t>
            </w:r>
          </w:p>
        </w:tc>
        <w:tc>
          <w:tcPr>
            <w:tcW w:w="1568" w:type="dxa"/>
            <w:vAlign w:val="center"/>
          </w:tcPr>
          <w:p w14:paraId="2AC1C9A1">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0E29DF0E">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74BC3AFA">
            <w:pPr>
              <w:spacing w:line="288" w:lineRule="auto"/>
              <w:rPr>
                <w:rFonts w:ascii="宋体" w:hAnsi="宋体" w:cs="宋体"/>
                <w:b/>
                <w:sz w:val="21"/>
                <w:szCs w:val="21"/>
              </w:rPr>
            </w:pPr>
            <w:r>
              <w:rPr>
                <w:rFonts w:hint="eastAsia" w:ascii="宋体" w:hAnsi="宋体" w:cs="宋体"/>
                <w:b/>
                <w:sz w:val="21"/>
                <w:szCs w:val="21"/>
              </w:rPr>
              <w:t>X≥300</w:t>
            </w:r>
          </w:p>
        </w:tc>
        <w:tc>
          <w:tcPr>
            <w:tcW w:w="1701" w:type="dxa"/>
            <w:vAlign w:val="center"/>
          </w:tcPr>
          <w:p w14:paraId="7B121561">
            <w:pPr>
              <w:spacing w:line="288" w:lineRule="auto"/>
              <w:rPr>
                <w:rFonts w:ascii="宋体" w:hAnsi="宋体" w:cs="宋体"/>
                <w:b/>
                <w:sz w:val="21"/>
                <w:szCs w:val="21"/>
              </w:rPr>
            </w:pPr>
            <w:r>
              <w:rPr>
                <w:rFonts w:hint="eastAsia" w:ascii="宋体" w:hAnsi="宋体" w:cs="宋体"/>
                <w:b/>
                <w:sz w:val="21"/>
                <w:szCs w:val="21"/>
              </w:rPr>
              <w:t>50≤X＜300</w:t>
            </w:r>
          </w:p>
        </w:tc>
        <w:tc>
          <w:tcPr>
            <w:tcW w:w="1426" w:type="dxa"/>
            <w:vAlign w:val="center"/>
          </w:tcPr>
          <w:p w14:paraId="2DECF882">
            <w:pPr>
              <w:spacing w:line="288" w:lineRule="auto"/>
              <w:ind w:left="-1" w:leftChars="-1" w:hanging="1"/>
              <w:rPr>
                <w:rFonts w:ascii="宋体" w:hAnsi="宋体" w:cs="宋体"/>
                <w:b/>
                <w:sz w:val="21"/>
                <w:szCs w:val="21"/>
              </w:rPr>
            </w:pPr>
            <w:r>
              <w:rPr>
                <w:rFonts w:hint="eastAsia" w:ascii="宋体" w:hAnsi="宋体" w:cs="宋体"/>
                <w:b/>
                <w:sz w:val="21"/>
                <w:szCs w:val="21"/>
              </w:rPr>
              <w:t xml:space="preserve">10≤X＜50 </w:t>
            </w:r>
          </w:p>
        </w:tc>
        <w:tc>
          <w:tcPr>
            <w:tcW w:w="992" w:type="dxa"/>
            <w:vAlign w:val="center"/>
          </w:tcPr>
          <w:p w14:paraId="3FAC2384">
            <w:pPr>
              <w:spacing w:line="288" w:lineRule="auto"/>
              <w:rPr>
                <w:rFonts w:ascii="宋体" w:hAnsi="宋体" w:cs="宋体"/>
                <w:b/>
                <w:sz w:val="21"/>
                <w:szCs w:val="21"/>
              </w:rPr>
            </w:pPr>
            <w:r>
              <w:rPr>
                <w:rFonts w:hint="eastAsia" w:ascii="宋体" w:hAnsi="宋体" w:cs="宋体"/>
                <w:b/>
                <w:sz w:val="21"/>
                <w:szCs w:val="21"/>
              </w:rPr>
              <w:t>X＜10</w:t>
            </w:r>
          </w:p>
        </w:tc>
      </w:tr>
      <w:tr w14:paraId="5300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404CE606">
            <w:pPr>
              <w:spacing w:line="288" w:lineRule="auto"/>
              <w:rPr>
                <w:rFonts w:ascii="宋体" w:hAnsi="宋体" w:cs="宋体"/>
                <w:b/>
                <w:sz w:val="21"/>
                <w:szCs w:val="21"/>
              </w:rPr>
            </w:pPr>
          </w:p>
        </w:tc>
        <w:tc>
          <w:tcPr>
            <w:tcW w:w="1568" w:type="dxa"/>
            <w:vAlign w:val="center"/>
          </w:tcPr>
          <w:p w14:paraId="34A5F673">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2C8A34A0">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11414C8D">
            <w:pPr>
              <w:spacing w:line="288" w:lineRule="auto"/>
              <w:rPr>
                <w:rFonts w:ascii="宋体" w:hAnsi="宋体" w:cs="宋体"/>
                <w:b/>
                <w:sz w:val="21"/>
                <w:szCs w:val="21"/>
              </w:rPr>
            </w:pPr>
            <w:r>
              <w:rPr>
                <w:rFonts w:hint="eastAsia" w:ascii="宋体" w:hAnsi="宋体" w:cs="宋体"/>
                <w:b/>
                <w:sz w:val="21"/>
                <w:szCs w:val="21"/>
              </w:rPr>
              <w:t>Y≥20000</w:t>
            </w:r>
          </w:p>
        </w:tc>
        <w:tc>
          <w:tcPr>
            <w:tcW w:w="1701" w:type="dxa"/>
            <w:vAlign w:val="center"/>
          </w:tcPr>
          <w:p w14:paraId="6620FBEC">
            <w:pPr>
              <w:spacing w:line="288" w:lineRule="auto"/>
              <w:rPr>
                <w:rFonts w:ascii="宋体" w:hAnsi="宋体" w:cs="宋体"/>
                <w:b/>
                <w:sz w:val="21"/>
                <w:szCs w:val="21"/>
              </w:rPr>
            </w:pPr>
            <w:r>
              <w:rPr>
                <w:rFonts w:hint="eastAsia" w:ascii="宋体" w:hAnsi="宋体" w:cs="宋体"/>
                <w:b/>
                <w:sz w:val="21"/>
                <w:szCs w:val="21"/>
              </w:rPr>
              <w:t xml:space="preserve"> 500≤Y＜20000</w:t>
            </w:r>
          </w:p>
        </w:tc>
        <w:tc>
          <w:tcPr>
            <w:tcW w:w="1426" w:type="dxa"/>
            <w:vAlign w:val="center"/>
          </w:tcPr>
          <w:p w14:paraId="1ED51510">
            <w:pPr>
              <w:spacing w:line="288" w:lineRule="auto"/>
              <w:ind w:left="-1" w:leftChars="-1" w:hanging="1"/>
              <w:rPr>
                <w:rFonts w:ascii="宋体" w:hAnsi="宋体" w:cs="宋体"/>
                <w:b/>
                <w:sz w:val="21"/>
                <w:szCs w:val="21"/>
              </w:rPr>
            </w:pPr>
            <w:r>
              <w:rPr>
                <w:rFonts w:hint="eastAsia" w:ascii="宋体" w:hAnsi="宋体" w:cs="宋体"/>
                <w:b/>
                <w:sz w:val="21"/>
                <w:szCs w:val="21"/>
              </w:rPr>
              <w:t xml:space="preserve">100≤Y＜500 </w:t>
            </w:r>
          </w:p>
        </w:tc>
        <w:tc>
          <w:tcPr>
            <w:tcW w:w="992" w:type="dxa"/>
            <w:vAlign w:val="center"/>
          </w:tcPr>
          <w:p w14:paraId="794C2DDB">
            <w:pPr>
              <w:spacing w:line="288" w:lineRule="auto"/>
              <w:rPr>
                <w:rFonts w:ascii="宋体" w:hAnsi="宋体" w:cs="宋体"/>
                <w:b/>
                <w:sz w:val="21"/>
                <w:szCs w:val="21"/>
              </w:rPr>
            </w:pPr>
            <w:r>
              <w:rPr>
                <w:rFonts w:hint="eastAsia" w:ascii="宋体" w:hAnsi="宋体" w:cs="宋体"/>
                <w:b/>
                <w:sz w:val="21"/>
                <w:szCs w:val="21"/>
              </w:rPr>
              <w:t>Y＜100</w:t>
            </w:r>
          </w:p>
        </w:tc>
      </w:tr>
      <w:tr w14:paraId="7FF4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16E625C0">
            <w:pPr>
              <w:spacing w:line="288" w:lineRule="auto"/>
              <w:rPr>
                <w:rFonts w:ascii="宋体" w:hAnsi="宋体" w:cs="宋体"/>
                <w:b/>
                <w:sz w:val="21"/>
                <w:szCs w:val="21"/>
              </w:rPr>
            </w:pPr>
            <w:r>
              <w:rPr>
                <w:rFonts w:hint="eastAsia" w:ascii="宋体" w:hAnsi="宋体" w:cs="宋体"/>
                <w:b/>
                <w:sz w:val="21"/>
                <w:szCs w:val="21"/>
              </w:rPr>
              <w:t>交通运输业 *</w:t>
            </w:r>
          </w:p>
        </w:tc>
        <w:tc>
          <w:tcPr>
            <w:tcW w:w="1568" w:type="dxa"/>
            <w:vAlign w:val="center"/>
          </w:tcPr>
          <w:p w14:paraId="083D2567">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07910604">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4BD5CB00">
            <w:pPr>
              <w:spacing w:line="288" w:lineRule="auto"/>
              <w:rPr>
                <w:rFonts w:ascii="宋体" w:hAnsi="宋体" w:cs="宋体"/>
                <w:b/>
                <w:sz w:val="21"/>
                <w:szCs w:val="21"/>
              </w:rPr>
            </w:pPr>
            <w:r>
              <w:rPr>
                <w:rFonts w:hint="eastAsia" w:ascii="宋体" w:hAnsi="宋体" w:cs="宋体"/>
                <w:b/>
                <w:sz w:val="21"/>
                <w:szCs w:val="21"/>
              </w:rPr>
              <w:t>X≥1000</w:t>
            </w:r>
          </w:p>
        </w:tc>
        <w:tc>
          <w:tcPr>
            <w:tcW w:w="1701" w:type="dxa"/>
            <w:vAlign w:val="center"/>
          </w:tcPr>
          <w:p w14:paraId="683B8027">
            <w:pPr>
              <w:spacing w:line="288" w:lineRule="auto"/>
              <w:rPr>
                <w:rFonts w:ascii="宋体" w:hAnsi="宋体" w:cs="宋体"/>
                <w:b/>
                <w:sz w:val="21"/>
                <w:szCs w:val="21"/>
              </w:rPr>
            </w:pPr>
            <w:r>
              <w:rPr>
                <w:rFonts w:hint="eastAsia" w:ascii="宋体" w:hAnsi="宋体" w:cs="宋体"/>
                <w:b/>
                <w:sz w:val="21"/>
                <w:szCs w:val="21"/>
              </w:rPr>
              <w:t>300≤X＜1000</w:t>
            </w:r>
          </w:p>
        </w:tc>
        <w:tc>
          <w:tcPr>
            <w:tcW w:w="1426" w:type="dxa"/>
            <w:vAlign w:val="center"/>
          </w:tcPr>
          <w:p w14:paraId="1632A213">
            <w:pPr>
              <w:spacing w:line="288" w:lineRule="auto"/>
              <w:rPr>
                <w:rFonts w:ascii="宋体" w:hAnsi="宋体" w:cs="宋体"/>
                <w:b/>
                <w:sz w:val="21"/>
                <w:szCs w:val="21"/>
              </w:rPr>
            </w:pPr>
            <w:r>
              <w:rPr>
                <w:rFonts w:hint="eastAsia" w:ascii="宋体" w:hAnsi="宋体" w:cs="宋体"/>
                <w:b/>
                <w:sz w:val="21"/>
                <w:szCs w:val="21"/>
              </w:rPr>
              <w:t xml:space="preserve"> 20≤X＜300</w:t>
            </w:r>
          </w:p>
        </w:tc>
        <w:tc>
          <w:tcPr>
            <w:tcW w:w="992" w:type="dxa"/>
            <w:vAlign w:val="center"/>
          </w:tcPr>
          <w:p w14:paraId="760B87EC">
            <w:pPr>
              <w:spacing w:line="288" w:lineRule="auto"/>
              <w:rPr>
                <w:rFonts w:ascii="宋体" w:hAnsi="宋体" w:cs="宋体"/>
                <w:b/>
                <w:sz w:val="21"/>
                <w:szCs w:val="21"/>
              </w:rPr>
            </w:pPr>
            <w:r>
              <w:rPr>
                <w:rFonts w:hint="eastAsia" w:ascii="宋体" w:hAnsi="宋体" w:cs="宋体"/>
                <w:b/>
                <w:sz w:val="21"/>
                <w:szCs w:val="21"/>
              </w:rPr>
              <w:t>X＜20</w:t>
            </w:r>
          </w:p>
        </w:tc>
      </w:tr>
      <w:tr w14:paraId="08F1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6B148226">
            <w:pPr>
              <w:spacing w:line="288" w:lineRule="auto"/>
              <w:rPr>
                <w:rFonts w:ascii="宋体" w:hAnsi="宋体" w:cs="宋体"/>
                <w:b/>
                <w:sz w:val="21"/>
                <w:szCs w:val="21"/>
              </w:rPr>
            </w:pPr>
          </w:p>
        </w:tc>
        <w:tc>
          <w:tcPr>
            <w:tcW w:w="1568" w:type="dxa"/>
            <w:vAlign w:val="center"/>
          </w:tcPr>
          <w:p w14:paraId="544EB7AF">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266E7AFD">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43B1A008">
            <w:pPr>
              <w:spacing w:line="288" w:lineRule="auto"/>
              <w:rPr>
                <w:rFonts w:ascii="宋体" w:hAnsi="宋体" w:cs="宋体"/>
                <w:b/>
                <w:sz w:val="21"/>
                <w:szCs w:val="21"/>
              </w:rPr>
            </w:pPr>
            <w:r>
              <w:rPr>
                <w:rFonts w:hint="eastAsia" w:ascii="宋体" w:hAnsi="宋体" w:cs="宋体"/>
                <w:b/>
                <w:sz w:val="21"/>
                <w:szCs w:val="21"/>
              </w:rPr>
              <w:t>Y≥30000</w:t>
            </w:r>
          </w:p>
        </w:tc>
        <w:tc>
          <w:tcPr>
            <w:tcW w:w="1701" w:type="dxa"/>
            <w:vAlign w:val="center"/>
          </w:tcPr>
          <w:p w14:paraId="15A8CD31">
            <w:pPr>
              <w:spacing w:line="288" w:lineRule="auto"/>
              <w:rPr>
                <w:rFonts w:ascii="宋体" w:hAnsi="宋体" w:cs="宋体"/>
                <w:b/>
                <w:sz w:val="21"/>
                <w:szCs w:val="21"/>
              </w:rPr>
            </w:pPr>
            <w:r>
              <w:rPr>
                <w:rFonts w:hint="eastAsia" w:ascii="宋体" w:hAnsi="宋体" w:cs="宋体"/>
                <w:b/>
                <w:sz w:val="21"/>
                <w:szCs w:val="21"/>
              </w:rPr>
              <w:t>3000≤Y＜30000</w:t>
            </w:r>
          </w:p>
        </w:tc>
        <w:tc>
          <w:tcPr>
            <w:tcW w:w="1426" w:type="dxa"/>
            <w:vAlign w:val="center"/>
          </w:tcPr>
          <w:p w14:paraId="07C880AA">
            <w:pPr>
              <w:spacing w:line="288" w:lineRule="auto"/>
              <w:rPr>
                <w:rFonts w:ascii="宋体" w:hAnsi="宋体" w:cs="宋体"/>
                <w:b/>
                <w:sz w:val="21"/>
                <w:szCs w:val="21"/>
              </w:rPr>
            </w:pPr>
            <w:r>
              <w:rPr>
                <w:rFonts w:hint="eastAsia" w:ascii="宋体" w:hAnsi="宋体" w:cs="宋体"/>
                <w:b/>
                <w:sz w:val="21"/>
                <w:szCs w:val="21"/>
              </w:rPr>
              <w:t xml:space="preserve"> 200≤Y＜3000</w:t>
            </w:r>
          </w:p>
        </w:tc>
        <w:tc>
          <w:tcPr>
            <w:tcW w:w="992" w:type="dxa"/>
            <w:vAlign w:val="center"/>
          </w:tcPr>
          <w:p w14:paraId="4DCD26AE">
            <w:pPr>
              <w:spacing w:line="288" w:lineRule="auto"/>
              <w:rPr>
                <w:rFonts w:ascii="宋体" w:hAnsi="宋体" w:cs="宋体"/>
                <w:b/>
                <w:sz w:val="21"/>
                <w:szCs w:val="21"/>
              </w:rPr>
            </w:pPr>
            <w:r>
              <w:rPr>
                <w:rFonts w:hint="eastAsia" w:ascii="宋体" w:hAnsi="宋体" w:cs="宋体"/>
                <w:b/>
                <w:sz w:val="21"/>
                <w:szCs w:val="21"/>
              </w:rPr>
              <w:t>Y＜200</w:t>
            </w:r>
          </w:p>
        </w:tc>
      </w:tr>
      <w:tr w14:paraId="190C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16792FCC">
            <w:pPr>
              <w:spacing w:line="288" w:lineRule="auto"/>
              <w:rPr>
                <w:rFonts w:ascii="宋体" w:hAnsi="宋体" w:cs="宋体"/>
                <w:b/>
                <w:sz w:val="21"/>
                <w:szCs w:val="21"/>
              </w:rPr>
            </w:pPr>
            <w:r>
              <w:rPr>
                <w:rFonts w:hint="eastAsia" w:ascii="宋体" w:hAnsi="宋体" w:cs="宋体"/>
                <w:b/>
                <w:sz w:val="21"/>
                <w:szCs w:val="21"/>
              </w:rPr>
              <w:t>仓储业*</w:t>
            </w:r>
          </w:p>
        </w:tc>
        <w:tc>
          <w:tcPr>
            <w:tcW w:w="1568" w:type="dxa"/>
            <w:vAlign w:val="center"/>
          </w:tcPr>
          <w:p w14:paraId="711D1814">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661C0FEE">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20153B98">
            <w:pPr>
              <w:spacing w:line="288" w:lineRule="auto"/>
              <w:rPr>
                <w:rFonts w:ascii="宋体" w:hAnsi="宋体" w:cs="宋体"/>
                <w:b/>
                <w:sz w:val="21"/>
                <w:szCs w:val="21"/>
              </w:rPr>
            </w:pPr>
            <w:r>
              <w:rPr>
                <w:rFonts w:hint="eastAsia" w:ascii="宋体" w:hAnsi="宋体" w:cs="宋体"/>
                <w:b/>
                <w:sz w:val="21"/>
                <w:szCs w:val="21"/>
              </w:rPr>
              <w:t>X≥200</w:t>
            </w:r>
          </w:p>
        </w:tc>
        <w:tc>
          <w:tcPr>
            <w:tcW w:w="1701" w:type="dxa"/>
            <w:vAlign w:val="center"/>
          </w:tcPr>
          <w:p w14:paraId="21D43408">
            <w:pPr>
              <w:spacing w:line="288" w:lineRule="auto"/>
              <w:ind w:left="24" w:leftChars="-51" w:hanging="126" w:hangingChars="60"/>
              <w:rPr>
                <w:rFonts w:ascii="宋体" w:hAnsi="宋体" w:cs="宋体"/>
                <w:b/>
                <w:sz w:val="21"/>
                <w:szCs w:val="21"/>
              </w:rPr>
            </w:pPr>
            <w:r>
              <w:rPr>
                <w:rFonts w:hint="eastAsia" w:ascii="宋体" w:hAnsi="宋体" w:cs="宋体"/>
                <w:b/>
                <w:sz w:val="21"/>
                <w:szCs w:val="21"/>
              </w:rPr>
              <w:t>100≤X＜200</w:t>
            </w:r>
          </w:p>
        </w:tc>
        <w:tc>
          <w:tcPr>
            <w:tcW w:w="1426" w:type="dxa"/>
            <w:vAlign w:val="center"/>
          </w:tcPr>
          <w:p w14:paraId="37982477">
            <w:pPr>
              <w:spacing w:line="288" w:lineRule="auto"/>
              <w:rPr>
                <w:rFonts w:ascii="宋体" w:hAnsi="宋体" w:cs="宋体"/>
                <w:b/>
                <w:sz w:val="21"/>
                <w:szCs w:val="21"/>
              </w:rPr>
            </w:pPr>
            <w:r>
              <w:rPr>
                <w:rFonts w:hint="eastAsia" w:ascii="宋体" w:hAnsi="宋体" w:cs="宋体"/>
                <w:b/>
                <w:sz w:val="21"/>
                <w:szCs w:val="21"/>
              </w:rPr>
              <w:t xml:space="preserve"> 20≤X＜100</w:t>
            </w:r>
          </w:p>
        </w:tc>
        <w:tc>
          <w:tcPr>
            <w:tcW w:w="992" w:type="dxa"/>
            <w:vAlign w:val="center"/>
          </w:tcPr>
          <w:p w14:paraId="448FA340">
            <w:pPr>
              <w:spacing w:line="288" w:lineRule="auto"/>
              <w:rPr>
                <w:rFonts w:ascii="宋体" w:hAnsi="宋体" w:cs="宋体"/>
                <w:b/>
                <w:sz w:val="21"/>
                <w:szCs w:val="21"/>
              </w:rPr>
            </w:pPr>
            <w:r>
              <w:rPr>
                <w:rFonts w:hint="eastAsia" w:ascii="宋体" w:hAnsi="宋体" w:cs="宋体"/>
                <w:b/>
                <w:sz w:val="21"/>
                <w:szCs w:val="21"/>
              </w:rPr>
              <w:t>X＜20</w:t>
            </w:r>
          </w:p>
        </w:tc>
      </w:tr>
      <w:tr w14:paraId="4F1A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4CD33976">
            <w:pPr>
              <w:spacing w:line="288" w:lineRule="auto"/>
              <w:rPr>
                <w:rFonts w:ascii="宋体" w:hAnsi="宋体" w:cs="宋体"/>
                <w:b/>
                <w:sz w:val="21"/>
                <w:szCs w:val="21"/>
              </w:rPr>
            </w:pPr>
          </w:p>
        </w:tc>
        <w:tc>
          <w:tcPr>
            <w:tcW w:w="1568" w:type="dxa"/>
            <w:vAlign w:val="center"/>
          </w:tcPr>
          <w:p w14:paraId="647E5A40">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0936628C">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6106A08D">
            <w:pPr>
              <w:spacing w:line="288" w:lineRule="auto"/>
              <w:rPr>
                <w:rFonts w:ascii="宋体" w:hAnsi="宋体" w:cs="宋体"/>
                <w:b/>
                <w:sz w:val="21"/>
                <w:szCs w:val="21"/>
              </w:rPr>
            </w:pPr>
            <w:r>
              <w:rPr>
                <w:rFonts w:hint="eastAsia" w:ascii="宋体" w:hAnsi="宋体" w:cs="宋体"/>
                <w:b/>
                <w:sz w:val="21"/>
                <w:szCs w:val="21"/>
              </w:rPr>
              <w:t>Y≥30000</w:t>
            </w:r>
          </w:p>
        </w:tc>
        <w:tc>
          <w:tcPr>
            <w:tcW w:w="1701" w:type="dxa"/>
            <w:vAlign w:val="center"/>
          </w:tcPr>
          <w:p w14:paraId="03F8782A">
            <w:pPr>
              <w:spacing w:line="288" w:lineRule="auto"/>
              <w:rPr>
                <w:rFonts w:ascii="宋体" w:hAnsi="宋体" w:cs="宋体"/>
                <w:b/>
                <w:sz w:val="21"/>
                <w:szCs w:val="21"/>
              </w:rPr>
            </w:pPr>
            <w:r>
              <w:rPr>
                <w:rFonts w:hint="eastAsia" w:ascii="宋体" w:hAnsi="宋体" w:cs="宋体"/>
                <w:b/>
                <w:sz w:val="21"/>
                <w:szCs w:val="21"/>
              </w:rPr>
              <w:t>1000≤Y＜30000</w:t>
            </w:r>
          </w:p>
        </w:tc>
        <w:tc>
          <w:tcPr>
            <w:tcW w:w="1426" w:type="dxa"/>
            <w:vAlign w:val="center"/>
          </w:tcPr>
          <w:p w14:paraId="64D5BC51">
            <w:pPr>
              <w:spacing w:line="288" w:lineRule="auto"/>
              <w:rPr>
                <w:rFonts w:ascii="宋体" w:hAnsi="宋体" w:cs="宋体"/>
                <w:b/>
                <w:sz w:val="21"/>
                <w:szCs w:val="21"/>
              </w:rPr>
            </w:pPr>
            <w:r>
              <w:rPr>
                <w:rFonts w:hint="eastAsia" w:ascii="宋体" w:hAnsi="宋体" w:cs="宋体"/>
                <w:b/>
                <w:sz w:val="21"/>
                <w:szCs w:val="21"/>
              </w:rPr>
              <w:t xml:space="preserve"> 100≤Y＜1000</w:t>
            </w:r>
          </w:p>
        </w:tc>
        <w:tc>
          <w:tcPr>
            <w:tcW w:w="992" w:type="dxa"/>
            <w:vAlign w:val="center"/>
          </w:tcPr>
          <w:p w14:paraId="770613A8">
            <w:pPr>
              <w:spacing w:line="288" w:lineRule="auto"/>
              <w:rPr>
                <w:rFonts w:ascii="宋体" w:hAnsi="宋体" w:cs="宋体"/>
                <w:b/>
                <w:sz w:val="21"/>
                <w:szCs w:val="21"/>
              </w:rPr>
            </w:pPr>
            <w:r>
              <w:rPr>
                <w:rFonts w:hint="eastAsia" w:ascii="宋体" w:hAnsi="宋体" w:cs="宋体"/>
                <w:b/>
                <w:sz w:val="21"/>
                <w:szCs w:val="21"/>
              </w:rPr>
              <w:t>Y＜100</w:t>
            </w:r>
          </w:p>
        </w:tc>
      </w:tr>
      <w:tr w14:paraId="69C3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0D58EFE9">
            <w:pPr>
              <w:spacing w:line="288" w:lineRule="auto"/>
              <w:rPr>
                <w:rFonts w:ascii="宋体" w:hAnsi="宋体" w:cs="宋体"/>
                <w:b/>
                <w:sz w:val="21"/>
                <w:szCs w:val="21"/>
              </w:rPr>
            </w:pPr>
            <w:r>
              <w:rPr>
                <w:rFonts w:hint="eastAsia" w:ascii="宋体" w:hAnsi="宋体" w:cs="宋体"/>
                <w:b/>
                <w:sz w:val="21"/>
                <w:szCs w:val="21"/>
              </w:rPr>
              <w:t>邮政业</w:t>
            </w:r>
          </w:p>
        </w:tc>
        <w:tc>
          <w:tcPr>
            <w:tcW w:w="1568" w:type="dxa"/>
            <w:vAlign w:val="center"/>
          </w:tcPr>
          <w:p w14:paraId="50621C41">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0D91B130">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2BCB828D">
            <w:pPr>
              <w:spacing w:line="288" w:lineRule="auto"/>
              <w:rPr>
                <w:rFonts w:ascii="宋体" w:hAnsi="宋体" w:cs="宋体"/>
                <w:b/>
                <w:sz w:val="21"/>
                <w:szCs w:val="21"/>
              </w:rPr>
            </w:pPr>
            <w:r>
              <w:rPr>
                <w:rFonts w:hint="eastAsia" w:ascii="宋体" w:hAnsi="宋体" w:cs="宋体"/>
                <w:b/>
                <w:sz w:val="21"/>
                <w:szCs w:val="21"/>
              </w:rPr>
              <w:t>X≥1000</w:t>
            </w:r>
          </w:p>
        </w:tc>
        <w:tc>
          <w:tcPr>
            <w:tcW w:w="1701" w:type="dxa"/>
            <w:vAlign w:val="center"/>
          </w:tcPr>
          <w:p w14:paraId="1293BD75">
            <w:pPr>
              <w:spacing w:line="288" w:lineRule="auto"/>
              <w:rPr>
                <w:rFonts w:ascii="宋体" w:hAnsi="宋体" w:cs="宋体"/>
                <w:b/>
                <w:sz w:val="21"/>
                <w:szCs w:val="21"/>
              </w:rPr>
            </w:pPr>
            <w:r>
              <w:rPr>
                <w:rFonts w:hint="eastAsia" w:ascii="宋体" w:hAnsi="宋体" w:cs="宋体"/>
                <w:b/>
                <w:sz w:val="21"/>
                <w:szCs w:val="21"/>
              </w:rPr>
              <w:t>300≤X＜1000</w:t>
            </w:r>
          </w:p>
        </w:tc>
        <w:tc>
          <w:tcPr>
            <w:tcW w:w="1426" w:type="dxa"/>
            <w:vAlign w:val="center"/>
          </w:tcPr>
          <w:p w14:paraId="338460BC">
            <w:pPr>
              <w:spacing w:line="288" w:lineRule="auto"/>
              <w:rPr>
                <w:rFonts w:ascii="宋体" w:hAnsi="宋体" w:cs="宋体"/>
                <w:b/>
                <w:sz w:val="21"/>
                <w:szCs w:val="21"/>
              </w:rPr>
            </w:pPr>
            <w:r>
              <w:rPr>
                <w:rFonts w:hint="eastAsia" w:ascii="宋体" w:hAnsi="宋体" w:cs="宋体"/>
                <w:b/>
                <w:sz w:val="21"/>
                <w:szCs w:val="21"/>
              </w:rPr>
              <w:t xml:space="preserve"> 20≤X＜300</w:t>
            </w:r>
          </w:p>
        </w:tc>
        <w:tc>
          <w:tcPr>
            <w:tcW w:w="992" w:type="dxa"/>
            <w:vAlign w:val="center"/>
          </w:tcPr>
          <w:p w14:paraId="2E4106C6">
            <w:pPr>
              <w:spacing w:line="288" w:lineRule="auto"/>
              <w:rPr>
                <w:rFonts w:ascii="宋体" w:hAnsi="宋体" w:cs="宋体"/>
                <w:b/>
                <w:sz w:val="21"/>
                <w:szCs w:val="21"/>
              </w:rPr>
            </w:pPr>
            <w:r>
              <w:rPr>
                <w:rFonts w:hint="eastAsia" w:ascii="宋体" w:hAnsi="宋体" w:cs="宋体"/>
                <w:b/>
                <w:sz w:val="21"/>
                <w:szCs w:val="21"/>
              </w:rPr>
              <w:t>X＜20</w:t>
            </w:r>
          </w:p>
        </w:tc>
      </w:tr>
      <w:tr w14:paraId="4F71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1EC4E965">
            <w:pPr>
              <w:spacing w:line="288" w:lineRule="auto"/>
              <w:rPr>
                <w:rFonts w:ascii="宋体" w:hAnsi="宋体" w:cs="宋体"/>
                <w:b/>
                <w:sz w:val="21"/>
                <w:szCs w:val="21"/>
              </w:rPr>
            </w:pPr>
          </w:p>
        </w:tc>
        <w:tc>
          <w:tcPr>
            <w:tcW w:w="1568" w:type="dxa"/>
            <w:vAlign w:val="center"/>
          </w:tcPr>
          <w:p w14:paraId="122B3014">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4025AD2B">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37D19AC1">
            <w:pPr>
              <w:spacing w:line="288" w:lineRule="auto"/>
              <w:rPr>
                <w:rFonts w:ascii="宋体" w:hAnsi="宋体" w:cs="宋体"/>
                <w:b/>
                <w:sz w:val="21"/>
                <w:szCs w:val="21"/>
              </w:rPr>
            </w:pPr>
            <w:r>
              <w:rPr>
                <w:rFonts w:hint="eastAsia" w:ascii="宋体" w:hAnsi="宋体" w:cs="宋体"/>
                <w:b/>
                <w:sz w:val="21"/>
                <w:szCs w:val="21"/>
              </w:rPr>
              <w:t>Y≥30000</w:t>
            </w:r>
          </w:p>
        </w:tc>
        <w:tc>
          <w:tcPr>
            <w:tcW w:w="1701" w:type="dxa"/>
            <w:vAlign w:val="center"/>
          </w:tcPr>
          <w:p w14:paraId="0F346702">
            <w:pPr>
              <w:spacing w:line="288" w:lineRule="auto"/>
              <w:rPr>
                <w:rFonts w:ascii="宋体" w:hAnsi="宋体" w:cs="宋体"/>
                <w:b/>
                <w:sz w:val="21"/>
                <w:szCs w:val="21"/>
              </w:rPr>
            </w:pPr>
            <w:r>
              <w:rPr>
                <w:rFonts w:hint="eastAsia" w:ascii="宋体" w:hAnsi="宋体" w:cs="宋体"/>
                <w:b/>
                <w:sz w:val="21"/>
                <w:szCs w:val="21"/>
              </w:rPr>
              <w:t>2000≤Y＜30000</w:t>
            </w:r>
          </w:p>
        </w:tc>
        <w:tc>
          <w:tcPr>
            <w:tcW w:w="1426" w:type="dxa"/>
            <w:vAlign w:val="center"/>
          </w:tcPr>
          <w:p w14:paraId="41E8B3EE">
            <w:pPr>
              <w:spacing w:line="288" w:lineRule="auto"/>
              <w:rPr>
                <w:rFonts w:ascii="宋体" w:hAnsi="宋体" w:cs="宋体"/>
                <w:b/>
                <w:sz w:val="21"/>
                <w:szCs w:val="21"/>
              </w:rPr>
            </w:pPr>
            <w:r>
              <w:rPr>
                <w:rFonts w:hint="eastAsia" w:ascii="宋体" w:hAnsi="宋体" w:cs="宋体"/>
                <w:b/>
                <w:sz w:val="21"/>
                <w:szCs w:val="21"/>
              </w:rPr>
              <w:t xml:space="preserve"> 100≤Y＜2000</w:t>
            </w:r>
          </w:p>
        </w:tc>
        <w:tc>
          <w:tcPr>
            <w:tcW w:w="992" w:type="dxa"/>
            <w:vAlign w:val="center"/>
          </w:tcPr>
          <w:p w14:paraId="107E512D">
            <w:pPr>
              <w:spacing w:line="288" w:lineRule="auto"/>
              <w:rPr>
                <w:rFonts w:ascii="宋体" w:hAnsi="宋体" w:cs="宋体"/>
                <w:b/>
                <w:sz w:val="21"/>
                <w:szCs w:val="21"/>
              </w:rPr>
            </w:pPr>
            <w:r>
              <w:rPr>
                <w:rFonts w:hint="eastAsia" w:ascii="宋体" w:hAnsi="宋体" w:cs="宋体"/>
                <w:b/>
                <w:sz w:val="21"/>
                <w:szCs w:val="21"/>
              </w:rPr>
              <w:t>Y＜100</w:t>
            </w:r>
          </w:p>
        </w:tc>
      </w:tr>
      <w:tr w14:paraId="7750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75C05900">
            <w:pPr>
              <w:spacing w:line="288" w:lineRule="auto"/>
              <w:rPr>
                <w:rFonts w:ascii="宋体" w:hAnsi="宋体" w:cs="宋体"/>
                <w:b/>
                <w:sz w:val="21"/>
                <w:szCs w:val="21"/>
              </w:rPr>
            </w:pPr>
            <w:r>
              <w:rPr>
                <w:rFonts w:hint="eastAsia" w:ascii="宋体" w:hAnsi="宋体" w:cs="宋体"/>
                <w:b/>
                <w:sz w:val="21"/>
                <w:szCs w:val="21"/>
              </w:rPr>
              <w:t>住宿业</w:t>
            </w:r>
          </w:p>
        </w:tc>
        <w:tc>
          <w:tcPr>
            <w:tcW w:w="1568" w:type="dxa"/>
            <w:vAlign w:val="center"/>
          </w:tcPr>
          <w:p w14:paraId="366D2963">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49E845F9">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0C6300CA">
            <w:pPr>
              <w:spacing w:line="288" w:lineRule="auto"/>
              <w:rPr>
                <w:rFonts w:ascii="宋体" w:hAnsi="宋体" w:cs="宋体"/>
                <w:b/>
                <w:sz w:val="21"/>
                <w:szCs w:val="21"/>
              </w:rPr>
            </w:pPr>
            <w:r>
              <w:rPr>
                <w:rFonts w:hint="eastAsia" w:ascii="宋体" w:hAnsi="宋体" w:cs="宋体"/>
                <w:b/>
                <w:sz w:val="21"/>
                <w:szCs w:val="21"/>
              </w:rPr>
              <w:t>X≥300</w:t>
            </w:r>
          </w:p>
        </w:tc>
        <w:tc>
          <w:tcPr>
            <w:tcW w:w="1701" w:type="dxa"/>
            <w:vAlign w:val="center"/>
          </w:tcPr>
          <w:p w14:paraId="21004705">
            <w:pPr>
              <w:spacing w:line="288" w:lineRule="auto"/>
              <w:ind w:left="24" w:leftChars="-51" w:hanging="126" w:hangingChars="60"/>
              <w:rPr>
                <w:rFonts w:ascii="宋体" w:hAnsi="宋体" w:cs="宋体"/>
                <w:b/>
                <w:sz w:val="21"/>
                <w:szCs w:val="21"/>
              </w:rPr>
            </w:pPr>
            <w:r>
              <w:rPr>
                <w:rFonts w:hint="eastAsia" w:ascii="宋体" w:hAnsi="宋体" w:cs="宋体"/>
                <w:b/>
                <w:sz w:val="21"/>
                <w:szCs w:val="21"/>
              </w:rPr>
              <w:t xml:space="preserve">100≤X＜300 </w:t>
            </w:r>
          </w:p>
        </w:tc>
        <w:tc>
          <w:tcPr>
            <w:tcW w:w="1426" w:type="dxa"/>
            <w:vAlign w:val="center"/>
          </w:tcPr>
          <w:p w14:paraId="03326FCC">
            <w:pPr>
              <w:spacing w:line="288" w:lineRule="auto"/>
              <w:rPr>
                <w:rFonts w:ascii="宋体" w:hAnsi="宋体" w:cs="宋体"/>
                <w:b/>
                <w:sz w:val="21"/>
                <w:szCs w:val="21"/>
              </w:rPr>
            </w:pPr>
            <w:r>
              <w:rPr>
                <w:rFonts w:hint="eastAsia" w:ascii="宋体" w:hAnsi="宋体" w:cs="宋体"/>
                <w:b/>
                <w:sz w:val="21"/>
                <w:szCs w:val="21"/>
              </w:rPr>
              <w:t xml:space="preserve"> 10≤X＜100</w:t>
            </w:r>
          </w:p>
        </w:tc>
        <w:tc>
          <w:tcPr>
            <w:tcW w:w="992" w:type="dxa"/>
            <w:vAlign w:val="center"/>
          </w:tcPr>
          <w:p w14:paraId="50C9C6CE">
            <w:pPr>
              <w:spacing w:line="288" w:lineRule="auto"/>
              <w:rPr>
                <w:rFonts w:ascii="宋体" w:hAnsi="宋体" w:cs="宋体"/>
                <w:b/>
                <w:sz w:val="21"/>
                <w:szCs w:val="21"/>
              </w:rPr>
            </w:pPr>
            <w:r>
              <w:rPr>
                <w:rFonts w:hint="eastAsia" w:ascii="宋体" w:hAnsi="宋体" w:cs="宋体"/>
                <w:b/>
                <w:sz w:val="21"/>
                <w:szCs w:val="21"/>
              </w:rPr>
              <w:t>X＜10</w:t>
            </w:r>
          </w:p>
        </w:tc>
      </w:tr>
      <w:tr w14:paraId="5F5A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3212EA50">
            <w:pPr>
              <w:spacing w:line="288" w:lineRule="auto"/>
              <w:rPr>
                <w:rFonts w:ascii="宋体" w:hAnsi="宋体" w:cs="宋体"/>
                <w:b/>
                <w:sz w:val="21"/>
                <w:szCs w:val="21"/>
              </w:rPr>
            </w:pPr>
          </w:p>
        </w:tc>
        <w:tc>
          <w:tcPr>
            <w:tcW w:w="1568" w:type="dxa"/>
            <w:vAlign w:val="center"/>
          </w:tcPr>
          <w:p w14:paraId="20EBF6EC">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394071D8">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6F1FD4E0">
            <w:pPr>
              <w:spacing w:line="288" w:lineRule="auto"/>
              <w:rPr>
                <w:rFonts w:ascii="宋体" w:hAnsi="宋体" w:cs="宋体"/>
                <w:b/>
                <w:sz w:val="21"/>
                <w:szCs w:val="21"/>
              </w:rPr>
            </w:pPr>
            <w:r>
              <w:rPr>
                <w:rFonts w:hint="eastAsia" w:ascii="宋体" w:hAnsi="宋体" w:cs="宋体"/>
                <w:b/>
                <w:sz w:val="21"/>
                <w:szCs w:val="21"/>
              </w:rPr>
              <w:t>Y≥10000</w:t>
            </w:r>
          </w:p>
        </w:tc>
        <w:tc>
          <w:tcPr>
            <w:tcW w:w="1701" w:type="dxa"/>
            <w:vAlign w:val="center"/>
          </w:tcPr>
          <w:p w14:paraId="68C9BF6F">
            <w:pPr>
              <w:spacing w:line="288" w:lineRule="auto"/>
              <w:rPr>
                <w:rFonts w:ascii="宋体" w:hAnsi="宋体" w:cs="宋体"/>
                <w:b/>
                <w:sz w:val="21"/>
                <w:szCs w:val="21"/>
              </w:rPr>
            </w:pPr>
            <w:r>
              <w:rPr>
                <w:rFonts w:hint="eastAsia" w:ascii="宋体" w:hAnsi="宋体" w:cs="宋体"/>
                <w:b/>
                <w:sz w:val="21"/>
                <w:szCs w:val="21"/>
              </w:rPr>
              <w:t>2000≤Y＜10000</w:t>
            </w:r>
          </w:p>
        </w:tc>
        <w:tc>
          <w:tcPr>
            <w:tcW w:w="1426" w:type="dxa"/>
            <w:vAlign w:val="center"/>
          </w:tcPr>
          <w:p w14:paraId="7C527FDB">
            <w:pPr>
              <w:spacing w:line="288" w:lineRule="auto"/>
              <w:rPr>
                <w:rFonts w:ascii="宋体" w:hAnsi="宋体" w:cs="宋体"/>
                <w:b/>
                <w:sz w:val="21"/>
                <w:szCs w:val="21"/>
              </w:rPr>
            </w:pPr>
            <w:r>
              <w:rPr>
                <w:rFonts w:hint="eastAsia" w:ascii="宋体" w:hAnsi="宋体" w:cs="宋体"/>
                <w:b/>
                <w:sz w:val="21"/>
                <w:szCs w:val="21"/>
              </w:rPr>
              <w:t xml:space="preserve"> 100≤Y＜2000</w:t>
            </w:r>
          </w:p>
        </w:tc>
        <w:tc>
          <w:tcPr>
            <w:tcW w:w="992" w:type="dxa"/>
            <w:vAlign w:val="center"/>
          </w:tcPr>
          <w:p w14:paraId="5F3E15D8">
            <w:pPr>
              <w:spacing w:line="288" w:lineRule="auto"/>
              <w:rPr>
                <w:rFonts w:ascii="宋体" w:hAnsi="宋体" w:cs="宋体"/>
                <w:b/>
                <w:sz w:val="21"/>
                <w:szCs w:val="21"/>
              </w:rPr>
            </w:pPr>
            <w:r>
              <w:rPr>
                <w:rFonts w:hint="eastAsia" w:ascii="宋体" w:hAnsi="宋体" w:cs="宋体"/>
                <w:b/>
                <w:sz w:val="21"/>
                <w:szCs w:val="21"/>
              </w:rPr>
              <w:t>Y＜100</w:t>
            </w:r>
          </w:p>
        </w:tc>
      </w:tr>
      <w:tr w14:paraId="7E90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55471A05">
            <w:pPr>
              <w:spacing w:line="288" w:lineRule="auto"/>
              <w:rPr>
                <w:rFonts w:ascii="宋体" w:hAnsi="宋体" w:cs="宋体"/>
                <w:b/>
                <w:sz w:val="21"/>
                <w:szCs w:val="21"/>
              </w:rPr>
            </w:pPr>
            <w:r>
              <w:rPr>
                <w:rFonts w:hint="eastAsia" w:ascii="宋体" w:hAnsi="宋体" w:cs="宋体"/>
                <w:b/>
                <w:sz w:val="21"/>
                <w:szCs w:val="21"/>
              </w:rPr>
              <w:t>餐饮业</w:t>
            </w:r>
          </w:p>
        </w:tc>
        <w:tc>
          <w:tcPr>
            <w:tcW w:w="1568" w:type="dxa"/>
            <w:vAlign w:val="center"/>
          </w:tcPr>
          <w:p w14:paraId="76C2961C">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61960337">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3DACC359">
            <w:pPr>
              <w:spacing w:line="288" w:lineRule="auto"/>
              <w:rPr>
                <w:rFonts w:ascii="宋体" w:hAnsi="宋体" w:cs="宋体"/>
                <w:b/>
                <w:sz w:val="21"/>
                <w:szCs w:val="21"/>
              </w:rPr>
            </w:pPr>
            <w:r>
              <w:rPr>
                <w:rFonts w:hint="eastAsia" w:ascii="宋体" w:hAnsi="宋体" w:cs="宋体"/>
                <w:b/>
                <w:sz w:val="21"/>
                <w:szCs w:val="21"/>
              </w:rPr>
              <w:t>X≥300</w:t>
            </w:r>
          </w:p>
        </w:tc>
        <w:tc>
          <w:tcPr>
            <w:tcW w:w="1701" w:type="dxa"/>
            <w:vAlign w:val="center"/>
          </w:tcPr>
          <w:p w14:paraId="2E4BF898">
            <w:pPr>
              <w:spacing w:line="288" w:lineRule="auto"/>
              <w:ind w:left="24" w:leftChars="-51" w:hanging="126" w:hangingChars="60"/>
              <w:rPr>
                <w:rFonts w:ascii="宋体" w:hAnsi="宋体" w:cs="宋体"/>
                <w:b/>
                <w:sz w:val="21"/>
                <w:szCs w:val="21"/>
              </w:rPr>
            </w:pPr>
            <w:r>
              <w:rPr>
                <w:rFonts w:hint="eastAsia" w:ascii="宋体" w:hAnsi="宋体" w:cs="宋体"/>
                <w:b/>
                <w:sz w:val="21"/>
                <w:szCs w:val="21"/>
              </w:rPr>
              <w:t xml:space="preserve">100≤X＜300 </w:t>
            </w:r>
          </w:p>
        </w:tc>
        <w:tc>
          <w:tcPr>
            <w:tcW w:w="1426" w:type="dxa"/>
            <w:vAlign w:val="center"/>
          </w:tcPr>
          <w:p w14:paraId="1EE78299">
            <w:pPr>
              <w:spacing w:line="288" w:lineRule="auto"/>
              <w:rPr>
                <w:rFonts w:ascii="宋体" w:hAnsi="宋体" w:cs="宋体"/>
                <w:b/>
                <w:sz w:val="21"/>
                <w:szCs w:val="21"/>
              </w:rPr>
            </w:pPr>
            <w:r>
              <w:rPr>
                <w:rFonts w:hint="eastAsia" w:ascii="宋体" w:hAnsi="宋体" w:cs="宋体"/>
                <w:b/>
                <w:sz w:val="21"/>
                <w:szCs w:val="21"/>
              </w:rPr>
              <w:t xml:space="preserve"> 10≤X＜100</w:t>
            </w:r>
          </w:p>
        </w:tc>
        <w:tc>
          <w:tcPr>
            <w:tcW w:w="992" w:type="dxa"/>
            <w:vAlign w:val="center"/>
          </w:tcPr>
          <w:p w14:paraId="64395531">
            <w:pPr>
              <w:spacing w:line="288" w:lineRule="auto"/>
              <w:rPr>
                <w:rFonts w:ascii="宋体" w:hAnsi="宋体" w:cs="宋体"/>
                <w:b/>
                <w:sz w:val="21"/>
                <w:szCs w:val="21"/>
              </w:rPr>
            </w:pPr>
            <w:r>
              <w:rPr>
                <w:rFonts w:hint="eastAsia" w:ascii="宋体" w:hAnsi="宋体" w:cs="宋体"/>
                <w:b/>
                <w:sz w:val="21"/>
                <w:szCs w:val="21"/>
              </w:rPr>
              <w:t>X＜10</w:t>
            </w:r>
          </w:p>
        </w:tc>
      </w:tr>
      <w:tr w14:paraId="628C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5F4130F7">
            <w:pPr>
              <w:spacing w:line="288" w:lineRule="auto"/>
              <w:rPr>
                <w:rFonts w:ascii="宋体" w:hAnsi="宋体" w:cs="宋体"/>
                <w:b/>
                <w:sz w:val="21"/>
                <w:szCs w:val="21"/>
              </w:rPr>
            </w:pPr>
          </w:p>
        </w:tc>
        <w:tc>
          <w:tcPr>
            <w:tcW w:w="1568" w:type="dxa"/>
            <w:vAlign w:val="center"/>
          </w:tcPr>
          <w:p w14:paraId="2E42A746">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565B50B0">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38A71902">
            <w:pPr>
              <w:spacing w:line="288" w:lineRule="auto"/>
              <w:rPr>
                <w:rFonts w:ascii="宋体" w:hAnsi="宋体" w:cs="宋体"/>
                <w:b/>
                <w:sz w:val="21"/>
                <w:szCs w:val="21"/>
              </w:rPr>
            </w:pPr>
            <w:r>
              <w:rPr>
                <w:rFonts w:hint="eastAsia" w:ascii="宋体" w:hAnsi="宋体" w:cs="宋体"/>
                <w:b/>
                <w:sz w:val="21"/>
                <w:szCs w:val="21"/>
              </w:rPr>
              <w:t>Y≥10000</w:t>
            </w:r>
          </w:p>
        </w:tc>
        <w:tc>
          <w:tcPr>
            <w:tcW w:w="1701" w:type="dxa"/>
            <w:vAlign w:val="center"/>
          </w:tcPr>
          <w:p w14:paraId="17E67079">
            <w:pPr>
              <w:spacing w:line="288" w:lineRule="auto"/>
              <w:rPr>
                <w:rFonts w:ascii="宋体" w:hAnsi="宋体" w:cs="宋体"/>
                <w:b/>
                <w:sz w:val="21"/>
                <w:szCs w:val="21"/>
              </w:rPr>
            </w:pPr>
            <w:r>
              <w:rPr>
                <w:rFonts w:hint="eastAsia" w:ascii="宋体" w:hAnsi="宋体" w:cs="宋体"/>
                <w:b/>
                <w:sz w:val="21"/>
                <w:szCs w:val="21"/>
              </w:rPr>
              <w:t>2000≤Y＜10000</w:t>
            </w:r>
          </w:p>
        </w:tc>
        <w:tc>
          <w:tcPr>
            <w:tcW w:w="1426" w:type="dxa"/>
            <w:vAlign w:val="center"/>
          </w:tcPr>
          <w:p w14:paraId="575E81CC">
            <w:pPr>
              <w:spacing w:line="288" w:lineRule="auto"/>
              <w:rPr>
                <w:rFonts w:ascii="宋体" w:hAnsi="宋体" w:cs="宋体"/>
                <w:b/>
                <w:sz w:val="21"/>
                <w:szCs w:val="21"/>
              </w:rPr>
            </w:pPr>
            <w:r>
              <w:rPr>
                <w:rFonts w:hint="eastAsia" w:ascii="宋体" w:hAnsi="宋体" w:cs="宋体"/>
                <w:b/>
                <w:sz w:val="21"/>
                <w:szCs w:val="21"/>
              </w:rPr>
              <w:t xml:space="preserve"> 100≤Y＜2000</w:t>
            </w:r>
          </w:p>
        </w:tc>
        <w:tc>
          <w:tcPr>
            <w:tcW w:w="992" w:type="dxa"/>
            <w:vAlign w:val="center"/>
          </w:tcPr>
          <w:p w14:paraId="3915D341">
            <w:pPr>
              <w:spacing w:line="288" w:lineRule="auto"/>
              <w:rPr>
                <w:rFonts w:ascii="宋体" w:hAnsi="宋体" w:cs="宋体"/>
                <w:b/>
                <w:sz w:val="21"/>
                <w:szCs w:val="21"/>
              </w:rPr>
            </w:pPr>
            <w:r>
              <w:rPr>
                <w:rFonts w:hint="eastAsia" w:ascii="宋体" w:hAnsi="宋体" w:cs="宋体"/>
                <w:b/>
                <w:sz w:val="21"/>
                <w:szCs w:val="21"/>
              </w:rPr>
              <w:t>Y＜100</w:t>
            </w:r>
          </w:p>
        </w:tc>
      </w:tr>
      <w:tr w14:paraId="6795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20B9FE41">
            <w:pPr>
              <w:spacing w:line="288" w:lineRule="auto"/>
              <w:rPr>
                <w:rFonts w:ascii="宋体" w:hAnsi="宋体" w:cs="宋体"/>
                <w:b/>
                <w:sz w:val="21"/>
                <w:szCs w:val="21"/>
              </w:rPr>
            </w:pPr>
            <w:r>
              <w:rPr>
                <w:rFonts w:hint="eastAsia" w:ascii="宋体" w:hAnsi="宋体" w:cs="宋体"/>
                <w:b/>
                <w:sz w:val="21"/>
                <w:szCs w:val="21"/>
              </w:rPr>
              <w:t>信息传输业*</w:t>
            </w:r>
          </w:p>
        </w:tc>
        <w:tc>
          <w:tcPr>
            <w:tcW w:w="1568" w:type="dxa"/>
            <w:vAlign w:val="center"/>
          </w:tcPr>
          <w:p w14:paraId="6BCC30AA">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5C5F82EC">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4F4C0387">
            <w:pPr>
              <w:spacing w:line="288" w:lineRule="auto"/>
              <w:rPr>
                <w:rFonts w:ascii="宋体" w:hAnsi="宋体" w:cs="宋体"/>
                <w:b/>
                <w:sz w:val="21"/>
                <w:szCs w:val="21"/>
              </w:rPr>
            </w:pPr>
            <w:r>
              <w:rPr>
                <w:rFonts w:hint="eastAsia" w:ascii="宋体" w:hAnsi="宋体" w:cs="宋体"/>
                <w:b/>
                <w:sz w:val="21"/>
                <w:szCs w:val="21"/>
              </w:rPr>
              <w:t>X≥2000</w:t>
            </w:r>
          </w:p>
        </w:tc>
        <w:tc>
          <w:tcPr>
            <w:tcW w:w="1701" w:type="dxa"/>
            <w:vAlign w:val="center"/>
          </w:tcPr>
          <w:p w14:paraId="0B65165D">
            <w:pPr>
              <w:spacing w:line="288" w:lineRule="auto"/>
              <w:rPr>
                <w:rFonts w:ascii="宋体" w:hAnsi="宋体" w:cs="宋体"/>
                <w:b/>
                <w:sz w:val="21"/>
                <w:szCs w:val="21"/>
              </w:rPr>
            </w:pPr>
            <w:r>
              <w:rPr>
                <w:rFonts w:hint="eastAsia" w:ascii="宋体" w:hAnsi="宋体" w:cs="宋体"/>
                <w:b/>
                <w:sz w:val="21"/>
                <w:szCs w:val="21"/>
              </w:rPr>
              <w:t>100≤X＜2000</w:t>
            </w:r>
          </w:p>
        </w:tc>
        <w:tc>
          <w:tcPr>
            <w:tcW w:w="1426" w:type="dxa"/>
            <w:vAlign w:val="center"/>
          </w:tcPr>
          <w:p w14:paraId="611BE02C">
            <w:pPr>
              <w:spacing w:line="288" w:lineRule="auto"/>
              <w:rPr>
                <w:rFonts w:ascii="宋体" w:hAnsi="宋体" w:cs="宋体"/>
                <w:b/>
                <w:sz w:val="21"/>
                <w:szCs w:val="21"/>
              </w:rPr>
            </w:pPr>
            <w:r>
              <w:rPr>
                <w:rFonts w:hint="eastAsia" w:ascii="宋体" w:hAnsi="宋体" w:cs="宋体"/>
                <w:b/>
                <w:sz w:val="21"/>
                <w:szCs w:val="21"/>
              </w:rPr>
              <w:t xml:space="preserve"> 10≤X＜100</w:t>
            </w:r>
          </w:p>
        </w:tc>
        <w:tc>
          <w:tcPr>
            <w:tcW w:w="992" w:type="dxa"/>
            <w:vAlign w:val="center"/>
          </w:tcPr>
          <w:p w14:paraId="590593CB">
            <w:pPr>
              <w:spacing w:line="288" w:lineRule="auto"/>
              <w:rPr>
                <w:rFonts w:ascii="宋体" w:hAnsi="宋体" w:cs="宋体"/>
                <w:b/>
                <w:sz w:val="21"/>
                <w:szCs w:val="21"/>
              </w:rPr>
            </w:pPr>
            <w:r>
              <w:rPr>
                <w:rFonts w:hint="eastAsia" w:ascii="宋体" w:hAnsi="宋体" w:cs="宋体"/>
                <w:b/>
                <w:sz w:val="21"/>
                <w:szCs w:val="21"/>
              </w:rPr>
              <w:t>X＜10</w:t>
            </w:r>
          </w:p>
        </w:tc>
      </w:tr>
      <w:tr w14:paraId="4F3A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68C28FE4">
            <w:pPr>
              <w:spacing w:line="288" w:lineRule="auto"/>
              <w:rPr>
                <w:rFonts w:ascii="宋体" w:hAnsi="宋体" w:cs="宋体"/>
                <w:b/>
                <w:sz w:val="21"/>
                <w:szCs w:val="21"/>
              </w:rPr>
            </w:pPr>
          </w:p>
        </w:tc>
        <w:tc>
          <w:tcPr>
            <w:tcW w:w="1568" w:type="dxa"/>
            <w:vAlign w:val="center"/>
          </w:tcPr>
          <w:p w14:paraId="6D3EA794">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56F8437E">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6525765D">
            <w:pPr>
              <w:spacing w:line="288" w:lineRule="auto"/>
              <w:rPr>
                <w:rFonts w:ascii="宋体" w:hAnsi="宋体" w:cs="宋体"/>
                <w:b/>
                <w:sz w:val="21"/>
                <w:szCs w:val="21"/>
              </w:rPr>
            </w:pPr>
            <w:r>
              <w:rPr>
                <w:rFonts w:hint="eastAsia" w:ascii="宋体" w:hAnsi="宋体" w:cs="宋体"/>
                <w:b/>
                <w:sz w:val="21"/>
                <w:szCs w:val="21"/>
              </w:rPr>
              <w:t>Y≥100000</w:t>
            </w:r>
          </w:p>
        </w:tc>
        <w:tc>
          <w:tcPr>
            <w:tcW w:w="1701" w:type="dxa"/>
            <w:vAlign w:val="center"/>
          </w:tcPr>
          <w:p w14:paraId="11AA36FA">
            <w:pPr>
              <w:spacing w:line="288" w:lineRule="auto"/>
              <w:rPr>
                <w:rFonts w:ascii="宋体" w:hAnsi="宋体" w:cs="宋体"/>
                <w:b/>
                <w:sz w:val="21"/>
                <w:szCs w:val="21"/>
              </w:rPr>
            </w:pPr>
            <w:r>
              <w:rPr>
                <w:rFonts w:hint="eastAsia" w:ascii="宋体" w:hAnsi="宋体" w:cs="宋体"/>
                <w:b/>
                <w:sz w:val="21"/>
                <w:szCs w:val="21"/>
              </w:rPr>
              <w:t xml:space="preserve"> 1000≤Y＜100000</w:t>
            </w:r>
          </w:p>
        </w:tc>
        <w:tc>
          <w:tcPr>
            <w:tcW w:w="1426" w:type="dxa"/>
            <w:vAlign w:val="center"/>
          </w:tcPr>
          <w:p w14:paraId="0669DDE8">
            <w:pPr>
              <w:spacing w:line="288" w:lineRule="auto"/>
              <w:rPr>
                <w:rFonts w:ascii="宋体" w:hAnsi="宋体" w:cs="宋体"/>
                <w:b/>
                <w:sz w:val="21"/>
                <w:szCs w:val="21"/>
              </w:rPr>
            </w:pPr>
            <w:r>
              <w:rPr>
                <w:rFonts w:hint="eastAsia" w:ascii="宋体" w:hAnsi="宋体" w:cs="宋体"/>
                <w:b/>
                <w:sz w:val="21"/>
                <w:szCs w:val="21"/>
              </w:rPr>
              <w:t xml:space="preserve"> 100≤Y＜1000</w:t>
            </w:r>
          </w:p>
        </w:tc>
        <w:tc>
          <w:tcPr>
            <w:tcW w:w="992" w:type="dxa"/>
            <w:vAlign w:val="center"/>
          </w:tcPr>
          <w:p w14:paraId="34174BF7">
            <w:pPr>
              <w:spacing w:line="288" w:lineRule="auto"/>
              <w:rPr>
                <w:rFonts w:ascii="宋体" w:hAnsi="宋体" w:cs="宋体"/>
                <w:b/>
                <w:sz w:val="21"/>
                <w:szCs w:val="21"/>
              </w:rPr>
            </w:pPr>
            <w:r>
              <w:rPr>
                <w:rFonts w:hint="eastAsia" w:ascii="宋体" w:hAnsi="宋体" w:cs="宋体"/>
                <w:b/>
                <w:sz w:val="21"/>
                <w:szCs w:val="21"/>
              </w:rPr>
              <w:t>Y＜100</w:t>
            </w:r>
          </w:p>
        </w:tc>
      </w:tr>
      <w:tr w14:paraId="5581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11CE9891">
            <w:pPr>
              <w:spacing w:line="288" w:lineRule="auto"/>
              <w:rPr>
                <w:rFonts w:ascii="宋体" w:hAnsi="宋体" w:cs="宋体"/>
                <w:b/>
                <w:spacing w:val="-12"/>
                <w:sz w:val="21"/>
                <w:szCs w:val="21"/>
              </w:rPr>
            </w:pPr>
            <w:r>
              <w:rPr>
                <w:rFonts w:hint="eastAsia" w:ascii="宋体" w:hAnsi="宋体" w:cs="宋体"/>
                <w:b/>
                <w:spacing w:val="-12"/>
                <w:sz w:val="21"/>
                <w:szCs w:val="21"/>
              </w:rPr>
              <w:t>软件和信息技术服</w:t>
            </w:r>
            <w:r>
              <w:rPr>
                <w:rFonts w:hint="eastAsia" w:ascii="宋体" w:hAnsi="宋体" w:cs="宋体"/>
                <w:b/>
                <w:sz w:val="21"/>
                <w:szCs w:val="21"/>
              </w:rPr>
              <w:t>务业</w:t>
            </w:r>
          </w:p>
        </w:tc>
        <w:tc>
          <w:tcPr>
            <w:tcW w:w="1568" w:type="dxa"/>
            <w:vAlign w:val="center"/>
          </w:tcPr>
          <w:p w14:paraId="0BED30F5">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16B4D15B">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1331D1B7">
            <w:pPr>
              <w:spacing w:line="288" w:lineRule="auto"/>
              <w:rPr>
                <w:rFonts w:ascii="宋体" w:hAnsi="宋体" w:cs="宋体"/>
                <w:b/>
                <w:sz w:val="21"/>
                <w:szCs w:val="21"/>
              </w:rPr>
            </w:pPr>
            <w:r>
              <w:rPr>
                <w:rFonts w:hint="eastAsia" w:ascii="宋体" w:hAnsi="宋体" w:cs="宋体"/>
                <w:b/>
                <w:sz w:val="21"/>
                <w:szCs w:val="21"/>
              </w:rPr>
              <w:t>X≥300</w:t>
            </w:r>
          </w:p>
        </w:tc>
        <w:tc>
          <w:tcPr>
            <w:tcW w:w="1701" w:type="dxa"/>
            <w:vAlign w:val="center"/>
          </w:tcPr>
          <w:p w14:paraId="53D83663">
            <w:pPr>
              <w:spacing w:line="288" w:lineRule="auto"/>
              <w:ind w:left="24" w:leftChars="-51" w:hanging="126" w:hangingChars="60"/>
              <w:rPr>
                <w:rFonts w:ascii="宋体" w:hAnsi="宋体" w:cs="宋体"/>
                <w:b/>
                <w:sz w:val="21"/>
                <w:szCs w:val="21"/>
              </w:rPr>
            </w:pPr>
            <w:r>
              <w:rPr>
                <w:rFonts w:hint="eastAsia" w:ascii="宋体" w:hAnsi="宋体" w:cs="宋体"/>
                <w:b/>
                <w:sz w:val="21"/>
                <w:szCs w:val="21"/>
              </w:rPr>
              <w:t xml:space="preserve">100≤X＜300 </w:t>
            </w:r>
          </w:p>
        </w:tc>
        <w:tc>
          <w:tcPr>
            <w:tcW w:w="1426" w:type="dxa"/>
            <w:vAlign w:val="center"/>
          </w:tcPr>
          <w:p w14:paraId="40B898C7">
            <w:pPr>
              <w:spacing w:line="288" w:lineRule="auto"/>
              <w:rPr>
                <w:rFonts w:ascii="宋体" w:hAnsi="宋体" w:cs="宋体"/>
                <w:b/>
                <w:sz w:val="21"/>
                <w:szCs w:val="21"/>
              </w:rPr>
            </w:pPr>
            <w:r>
              <w:rPr>
                <w:rFonts w:hint="eastAsia" w:ascii="宋体" w:hAnsi="宋体" w:cs="宋体"/>
                <w:b/>
                <w:sz w:val="21"/>
                <w:szCs w:val="21"/>
              </w:rPr>
              <w:t xml:space="preserve"> 10≤X＜100</w:t>
            </w:r>
          </w:p>
        </w:tc>
        <w:tc>
          <w:tcPr>
            <w:tcW w:w="992" w:type="dxa"/>
            <w:vAlign w:val="center"/>
          </w:tcPr>
          <w:p w14:paraId="24FF1213">
            <w:pPr>
              <w:spacing w:line="288" w:lineRule="auto"/>
              <w:rPr>
                <w:rFonts w:ascii="宋体" w:hAnsi="宋体" w:cs="宋体"/>
                <w:b/>
                <w:sz w:val="21"/>
                <w:szCs w:val="21"/>
              </w:rPr>
            </w:pPr>
            <w:r>
              <w:rPr>
                <w:rFonts w:hint="eastAsia" w:ascii="宋体" w:hAnsi="宋体" w:cs="宋体"/>
                <w:b/>
                <w:sz w:val="21"/>
                <w:szCs w:val="21"/>
              </w:rPr>
              <w:t>X＜10</w:t>
            </w:r>
          </w:p>
        </w:tc>
      </w:tr>
      <w:tr w14:paraId="383A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2AC0423E">
            <w:pPr>
              <w:spacing w:line="288" w:lineRule="auto"/>
              <w:rPr>
                <w:rFonts w:ascii="宋体" w:hAnsi="宋体" w:cs="宋体"/>
                <w:b/>
                <w:spacing w:val="-12"/>
                <w:sz w:val="21"/>
                <w:szCs w:val="21"/>
              </w:rPr>
            </w:pPr>
          </w:p>
        </w:tc>
        <w:tc>
          <w:tcPr>
            <w:tcW w:w="1568" w:type="dxa"/>
            <w:vAlign w:val="center"/>
          </w:tcPr>
          <w:p w14:paraId="0187D00C">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4F2A8607">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6396BF2C">
            <w:pPr>
              <w:spacing w:line="288" w:lineRule="auto"/>
              <w:rPr>
                <w:rFonts w:ascii="宋体" w:hAnsi="宋体" w:cs="宋体"/>
                <w:b/>
                <w:sz w:val="21"/>
                <w:szCs w:val="21"/>
              </w:rPr>
            </w:pPr>
            <w:r>
              <w:rPr>
                <w:rFonts w:hint="eastAsia" w:ascii="宋体" w:hAnsi="宋体" w:cs="宋体"/>
                <w:b/>
                <w:sz w:val="21"/>
                <w:szCs w:val="21"/>
              </w:rPr>
              <w:t>Y≥10000</w:t>
            </w:r>
          </w:p>
        </w:tc>
        <w:tc>
          <w:tcPr>
            <w:tcW w:w="1701" w:type="dxa"/>
            <w:vAlign w:val="center"/>
          </w:tcPr>
          <w:p w14:paraId="1768C50A">
            <w:pPr>
              <w:spacing w:line="288" w:lineRule="auto"/>
              <w:rPr>
                <w:rFonts w:ascii="宋体" w:hAnsi="宋体" w:cs="宋体"/>
                <w:b/>
                <w:sz w:val="21"/>
                <w:szCs w:val="21"/>
              </w:rPr>
            </w:pPr>
            <w:r>
              <w:rPr>
                <w:rFonts w:hint="eastAsia" w:ascii="宋体" w:hAnsi="宋体" w:cs="宋体"/>
                <w:b/>
                <w:sz w:val="21"/>
                <w:szCs w:val="21"/>
              </w:rPr>
              <w:t>1000≤Y＜10000</w:t>
            </w:r>
          </w:p>
        </w:tc>
        <w:tc>
          <w:tcPr>
            <w:tcW w:w="1426" w:type="dxa"/>
            <w:vAlign w:val="center"/>
          </w:tcPr>
          <w:p w14:paraId="2F1DEABA">
            <w:pPr>
              <w:spacing w:line="288" w:lineRule="auto"/>
              <w:rPr>
                <w:rFonts w:ascii="宋体" w:hAnsi="宋体" w:cs="宋体"/>
                <w:b/>
                <w:sz w:val="21"/>
                <w:szCs w:val="21"/>
              </w:rPr>
            </w:pPr>
            <w:r>
              <w:rPr>
                <w:rFonts w:hint="eastAsia" w:ascii="宋体" w:hAnsi="宋体" w:cs="宋体"/>
                <w:b/>
                <w:sz w:val="21"/>
                <w:szCs w:val="21"/>
              </w:rPr>
              <w:t xml:space="preserve">  50≤Y＜1000</w:t>
            </w:r>
          </w:p>
        </w:tc>
        <w:tc>
          <w:tcPr>
            <w:tcW w:w="992" w:type="dxa"/>
            <w:vAlign w:val="center"/>
          </w:tcPr>
          <w:p w14:paraId="192EDA70">
            <w:pPr>
              <w:spacing w:line="288" w:lineRule="auto"/>
              <w:rPr>
                <w:rFonts w:ascii="宋体" w:hAnsi="宋体" w:cs="宋体"/>
                <w:b/>
                <w:sz w:val="21"/>
                <w:szCs w:val="21"/>
              </w:rPr>
            </w:pPr>
            <w:r>
              <w:rPr>
                <w:rFonts w:hint="eastAsia" w:ascii="宋体" w:hAnsi="宋体" w:cs="宋体"/>
                <w:b/>
                <w:sz w:val="21"/>
                <w:szCs w:val="21"/>
              </w:rPr>
              <w:t>Y＜50</w:t>
            </w:r>
          </w:p>
        </w:tc>
      </w:tr>
      <w:tr w14:paraId="2A5E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1984E3A7">
            <w:pPr>
              <w:spacing w:line="288" w:lineRule="auto"/>
              <w:rPr>
                <w:rFonts w:ascii="宋体" w:hAnsi="宋体" w:cs="宋体"/>
                <w:b/>
                <w:sz w:val="21"/>
                <w:szCs w:val="21"/>
              </w:rPr>
            </w:pPr>
            <w:r>
              <w:rPr>
                <w:rFonts w:hint="eastAsia" w:ascii="宋体" w:hAnsi="宋体" w:cs="宋体"/>
                <w:b/>
                <w:sz w:val="21"/>
                <w:szCs w:val="21"/>
              </w:rPr>
              <w:t>房地产开发经营</w:t>
            </w:r>
          </w:p>
        </w:tc>
        <w:tc>
          <w:tcPr>
            <w:tcW w:w="1568" w:type="dxa"/>
            <w:vAlign w:val="center"/>
          </w:tcPr>
          <w:p w14:paraId="6B3DA587">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63700F69">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11507F93">
            <w:pPr>
              <w:spacing w:line="288" w:lineRule="auto"/>
              <w:rPr>
                <w:rFonts w:ascii="宋体" w:hAnsi="宋体" w:cs="宋体"/>
                <w:b/>
                <w:sz w:val="21"/>
                <w:szCs w:val="21"/>
              </w:rPr>
            </w:pPr>
            <w:r>
              <w:rPr>
                <w:rFonts w:hint="eastAsia" w:ascii="宋体" w:hAnsi="宋体" w:cs="宋体"/>
                <w:b/>
                <w:sz w:val="21"/>
                <w:szCs w:val="21"/>
              </w:rPr>
              <w:t>Y≥200000</w:t>
            </w:r>
          </w:p>
        </w:tc>
        <w:tc>
          <w:tcPr>
            <w:tcW w:w="1701" w:type="dxa"/>
            <w:vAlign w:val="center"/>
          </w:tcPr>
          <w:p w14:paraId="1FEB65AB">
            <w:pPr>
              <w:spacing w:line="288" w:lineRule="auto"/>
              <w:rPr>
                <w:rFonts w:ascii="宋体" w:hAnsi="宋体" w:cs="宋体"/>
                <w:b/>
                <w:sz w:val="21"/>
                <w:szCs w:val="21"/>
              </w:rPr>
            </w:pPr>
            <w:r>
              <w:rPr>
                <w:rFonts w:hint="eastAsia" w:ascii="宋体" w:hAnsi="宋体" w:cs="宋体"/>
                <w:b/>
                <w:sz w:val="21"/>
                <w:szCs w:val="21"/>
              </w:rPr>
              <w:t xml:space="preserve"> 1000≤Y＜200000</w:t>
            </w:r>
          </w:p>
        </w:tc>
        <w:tc>
          <w:tcPr>
            <w:tcW w:w="1426" w:type="dxa"/>
            <w:vAlign w:val="center"/>
          </w:tcPr>
          <w:p w14:paraId="16D123B9">
            <w:pPr>
              <w:spacing w:line="288" w:lineRule="auto"/>
              <w:rPr>
                <w:rFonts w:ascii="宋体" w:hAnsi="宋体" w:cs="宋体"/>
                <w:b/>
                <w:sz w:val="21"/>
                <w:szCs w:val="21"/>
              </w:rPr>
            </w:pPr>
            <w:r>
              <w:rPr>
                <w:rFonts w:hint="eastAsia" w:ascii="宋体" w:hAnsi="宋体" w:cs="宋体"/>
                <w:b/>
                <w:sz w:val="21"/>
                <w:szCs w:val="21"/>
              </w:rPr>
              <w:t xml:space="preserve"> 100≤Y＜1000</w:t>
            </w:r>
          </w:p>
        </w:tc>
        <w:tc>
          <w:tcPr>
            <w:tcW w:w="992" w:type="dxa"/>
            <w:vAlign w:val="center"/>
          </w:tcPr>
          <w:p w14:paraId="22954888">
            <w:pPr>
              <w:spacing w:line="288" w:lineRule="auto"/>
              <w:rPr>
                <w:rFonts w:ascii="宋体" w:hAnsi="宋体" w:cs="宋体"/>
                <w:b/>
                <w:sz w:val="21"/>
                <w:szCs w:val="21"/>
              </w:rPr>
            </w:pPr>
            <w:r>
              <w:rPr>
                <w:rFonts w:hint="eastAsia" w:ascii="宋体" w:hAnsi="宋体" w:cs="宋体"/>
                <w:b/>
                <w:sz w:val="21"/>
                <w:szCs w:val="21"/>
              </w:rPr>
              <w:t>Y＜100</w:t>
            </w:r>
          </w:p>
        </w:tc>
      </w:tr>
      <w:tr w14:paraId="681E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594E17D2">
            <w:pPr>
              <w:spacing w:line="288" w:lineRule="auto"/>
              <w:rPr>
                <w:rFonts w:ascii="宋体" w:hAnsi="宋体" w:cs="宋体"/>
                <w:b/>
                <w:sz w:val="21"/>
                <w:szCs w:val="21"/>
              </w:rPr>
            </w:pPr>
          </w:p>
        </w:tc>
        <w:tc>
          <w:tcPr>
            <w:tcW w:w="1568" w:type="dxa"/>
            <w:vAlign w:val="center"/>
          </w:tcPr>
          <w:p w14:paraId="16E59665">
            <w:pPr>
              <w:spacing w:line="288" w:lineRule="auto"/>
              <w:rPr>
                <w:rFonts w:ascii="宋体" w:hAnsi="宋体" w:cs="宋体"/>
                <w:b/>
                <w:sz w:val="21"/>
                <w:szCs w:val="21"/>
              </w:rPr>
            </w:pPr>
            <w:r>
              <w:rPr>
                <w:rFonts w:hint="eastAsia" w:ascii="宋体" w:hAnsi="宋体" w:cs="宋体"/>
                <w:b/>
                <w:sz w:val="21"/>
                <w:szCs w:val="21"/>
              </w:rPr>
              <w:t>资产总额(Z)</w:t>
            </w:r>
          </w:p>
        </w:tc>
        <w:tc>
          <w:tcPr>
            <w:tcW w:w="709" w:type="dxa"/>
            <w:vAlign w:val="center"/>
          </w:tcPr>
          <w:p w14:paraId="0B01EF21">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4EC0BFC7">
            <w:pPr>
              <w:spacing w:line="288" w:lineRule="auto"/>
              <w:rPr>
                <w:rFonts w:ascii="宋体" w:hAnsi="宋体" w:cs="宋体"/>
                <w:b/>
                <w:sz w:val="21"/>
                <w:szCs w:val="21"/>
              </w:rPr>
            </w:pPr>
            <w:r>
              <w:rPr>
                <w:rFonts w:hint="eastAsia" w:ascii="宋体" w:hAnsi="宋体" w:cs="宋体"/>
                <w:b/>
                <w:sz w:val="21"/>
                <w:szCs w:val="21"/>
              </w:rPr>
              <w:t>Z≥10000</w:t>
            </w:r>
          </w:p>
        </w:tc>
        <w:tc>
          <w:tcPr>
            <w:tcW w:w="1701" w:type="dxa"/>
            <w:vAlign w:val="center"/>
          </w:tcPr>
          <w:p w14:paraId="10D23333">
            <w:pPr>
              <w:spacing w:line="288" w:lineRule="auto"/>
              <w:rPr>
                <w:rFonts w:ascii="宋体" w:hAnsi="宋体" w:cs="宋体"/>
                <w:b/>
                <w:sz w:val="21"/>
                <w:szCs w:val="21"/>
              </w:rPr>
            </w:pPr>
            <w:r>
              <w:rPr>
                <w:rFonts w:hint="eastAsia" w:ascii="宋体" w:hAnsi="宋体" w:cs="宋体"/>
                <w:b/>
                <w:sz w:val="21"/>
                <w:szCs w:val="21"/>
              </w:rPr>
              <w:t>5000≤Z＜10000</w:t>
            </w:r>
          </w:p>
        </w:tc>
        <w:tc>
          <w:tcPr>
            <w:tcW w:w="1426" w:type="dxa"/>
            <w:vAlign w:val="center"/>
          </w:tcPr>
          <w:p w14:paraId="1561D06A">
            <w:pPr>
              <w:spacing w:line="288" w:lineRule="auto"/>
              <w:rPr>
                <w:rFonts w:ascii="宋体" w:hAnsi="宋体" w:cs="宋体"/>
                <w:b/>
                <w:sz w:val="21"/>
                <w:szCs w:val="21"/>
              </w:rPr>
            </w:pPr>
            <w:r>
              <w:rPr>
                <w:rFonts w:hint="eastAsia" w:ascii="宋体" w:hAnsi="宋体" w:cs="宋体"/>
                <w:b/>
                <w:sz w:val="21"/>
                <w:szCs w:val="21"/>
              </w:rPr>
              <w:t xml:space="preserve">2000≤Z＜5000   </w:t>
            </w:r>
          </w:p>
        </w:tc>
        <w:tc>
          <w:tcPr>
            <w:tcW w:w="992" w:type="dxa"/>
            <w:vAlign w:val="center"/>
          </w:tcPr>
          <w:p w14:paraId="21160173">
            <w:pPr>
              <w:spacing w:line="288" w:lineRule="auto"/>
              <w:rPr>
                <w:rFonts w:ascii="宋体" w:hAnsi="宋体" w:cs="宋体"/>
                <w:b/>
                <w:sz w:val="21"/>
                <w:szCs w:val="21"/>
              </w:rPr>
            </w:pPr>
            <w:r>
              <w:rPr>
                <w:rFonts w:hint="eastAsia" w:ascii="宋体" w:hAnsi="宋体" w:cs="宋体"/>
                <w:b/>
                <w:sz w:val="21"/>
                <w:szCs w:val="21"/>
              </w:rPr>
              <w:t>Z＜2000</w:t>
            </w:r>
          </w:p>
        </w:tc>
      </w:tr>
      <w:tr w14:paraId="39A8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297AAA07">
            <w:pPr>
              <w:spacing w:line="288" w:lineRule="auto"/>
              <w:rPr>
                <w:rFonts w:ascii="宋体" w:hAnsi="宋体" w:cs="宋体"/>
                <w:b/>
                <w:sz w:val="21"/>
                <w:szCs w:val="21"/>
              </w:rPr>
            </w:pPr>
            <w:r>
              <w:rPr>
                <w:rFonts w:hint="eastAsia" w:ascii="宋体" w:hAnsi="宋体" w:cs="宋体"/>
                <w:b/>
                <w:sz w:val="21"/>
                <w:szCs w:val="21"/>
              </w:rPr>
              <w:t>物业管理</w:t>
            </w:r>
          </w:p>
        </w:tc>
        <w:tc>
          <w:tcPr>
            <w:tcW w:w="1568" w:type="dxa"/>
            <w:vAlign w:val="center"/>
          </w:tcPr>
          <w:p w14:paraId="77330D58">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7BE7254B">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65A2856D">
            <w:pPr>
              <w:spacing w:line="288" w:lineRule="auto"/>
              <w:rPr>
                <w:rFonts w:ascii="宋体" w:hAnsi="宋体" w:cs="宋体"/>
                <w:b/>
                <w:sz w:val="21"/>
                <w:szCs w:val="21"/>
              </w:rPr>
            </w:pPr>
            <w:r>
              <w:rPr>
                <w:rFonts w:hint="eastAsia" w:ascii="宋体" w:hAnsi="宋体" w:cs="宋体"/>
                <w:b/>
                <w:sz w:val="21"/>
                <w:szCs w:val="21"/>
              </w:rPr>
              <w:t>X≥1000</w:t>
            </w:r>
          </w:p>
        </w:tc>
        <w:tc>
          <w:tcPr>
            <w:tcW w:w="1701" w:type="dxa"/>
            <w:vAlign w:val="center"/>
          </w:tcPr>
          <w:p w14:paraId="3D2FFDC8">
            <w:pPr>
              <w:spacing w:line="288" w:lineRule="auto"/>
              <w:rPr>
                <w:rFonts w:ascii="宋体" w:hAnsi="宋体" w:cs="宋体"/>
                <w:b/>
                <w:sz w:val="21"/>
                <w:szCs w:val="21"/>
              </w:rPr>
            </w:pPr>
            <w:r>
              <w:rPr>
                <w:rFonts w:hint="eastAsia" w:ascii="宋体" w:hAnsi="宋体" w:cs="宋体"/>
                <w:b/>
                <w:sz w:val="21"/>
                <w:szCs w:val="21"/>
              </w:rPr>
              <w:t>300≤X＜1000</w:t>
            </w:r>
          </w:p>
        </w:tc>
        <w:tc>
          <w:tcPr>
            <w:tcW w:w="1426" w:type="dxa"/>
            <w:vAlign w:val="center"/>
          </w:tcPr>
          <w:p w14:paraId="1AE52FF5">
            <w:pPr>
              <w:spacing w:line="288" w:lineRule="auto"/>
              <w:rPr>
                <w:rFonts w:ascii="宋体" w:hAnsi="宋体" w:cs="宋体"/>
                <w:b/>
                <w:sz w:val="21"/>
                <w:szCs w:val="21"/>
              </w:rPr>
            </w:pPr>
            <w:r>
              <w:rPr>
                <w:rFonts w:hint="eastAsia" w:ascii="宋体" w:hAnsi="宋体" w:cs="宋体"/>
                <w:b/>
                <w:sz w:val="21"/>
                <w:szCs w:val="21"/>
              </w:rPr>
              <w:t xml:space="preserve">100≤X＜300 </w:t>
            </w:r>
          </w:p>
        </w:tc>
        <w:tc>
          <w:tcPr>
            <w:tcW w:w="992" w:type="dxa"/>
            <w:vAlign w:val="center"/>
          </w:tcPr>
          <w:p w14:paraId="28428F10">
            <w:pPr>
              <w:spacing w:line="288" w:lineRule="auto"/>
              <w:rPr>
                <w:rFonts w:ascii="宋体" w:hAnsi="宋体" w:cs="宋体"/>
                <w:b/>
                <w:sz w:val="21"/>
                <w:szCs w:val="21"/>
              </w:rPr>
            </w:pPr>
            <w:r>
              <w:rPr>
                <w:rFonts w:hint="eastAsia" w:ascii="宋体" w:hAnsi="宋体" w:cs="宋体"/>
                <w:b/>
                <w:sz w:val="21"/>
                <w:szCs w:val="21"/>
              </w:rPr>
              <w:t>X＜100</w:t>
            </w:r>
          </w:p>
        </w:tc>
      </w:tr>
      <w:tr w14:paraId="0870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5FAA0F2D">
            <w:pPr>
              <w:spacing w:line="288" w:lineRule="auto"/>
              <w:rPr>
                <w:rFonts w:ascii="宋体" w:hAnsi="宋体" w:cs="宋体"/>
                <w:b/>
                <w:sz w:val="21"/>
                <w:szCs w:val="21"/>
              </w:rPr>
            </w:pPr>
          </w:p>
        </w:tc>
        <w:tc>
          <w:tcPr>
            <w:tcW w:w="1568" w:type="dxa"/>
            <w:vAlign w:val="center"/>
          </w:tcPr>
          <w:p w14:paraId="1794B391">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661D366B">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71185C34">
            <w:pPr>
              <w:spacing w:line="288" w:lineRule="auto"/>
              <w:rPr>
                <w:rFonts w:ascii="宋体" w:hAnsi="宋体" w:cs="宋体"/>
                <w:b/>
                <w:sz w:val="21"/>
                <w:szCs w:val="21"/>
              </w:rPr>
            </w:pPr>
            <w:r>
              <w:rPr>
                <w:rFonts w:hint="eastAsia" w:ascii="宋体" w:hAnsi="宋体" w:cs="宋体"/>
                <w:b/>
                <w:sz w:val="21"/>
                <w:szCs w:val="21"/>
              </w:rPr>
              <w:t>Y≥5000</w:t>
            </w:r>
          </w:p>
        </w:tc>
        <w:tc>
          <w:tcPr>
            <w:tcW w:w="1701" w:type="dxa"/>
            <w:vAlign w:val="center"/>
          </w:tcPr>
          <w:p w14:paraId="0F93E5FE">
            <w:pPr>
              <w:spacing w:line="288" w:lineRule="auto"/>
              <w:ind w:left="24" w:leftChars="-51" w:hanging="126" w:hangingChars="60"/>
              <w:rPr>
                <w:rFonts w:ascii="宋体" w:hAnsi="宋体" w:cs="宋体"/>
                <w:b/>
                <w:sz w:val="21"/>
                <w:szCs w:val="21"/>
              </w:rPr>
            </w:pPr>
            <w:r>
              <w:rPr>
                <w:rFonts w:hint="eastAsia" w:ascii="宋体" w:hAnsi="宋体" w:cs="宋体"/>
                <w:b/>
                <w:sz w:val="21"/>
                <w:szCs w:val="21"/>
              </w:rPr>
              <w:t xml:space="preserve">1000≤Y＜5000 </w:t>
            </w:r>
          </w:p>
        </w:tc>
        <w:tc>
          <w:tcPr>
            <w:tcW w:w="1426" w:type="dxa"/>
            <w:vAlign w:val="center"/>
          </w:tcPr>
          <w:p w14:paraId="293BE925">
            <w:pPr>
              <w:spacing w:line="288" w:lineRule="auto"/>
              <w:rPr>
                <w:rFonts w:ascii="宋体" w:hAnsi="宋体" w:cs="宋体"/>
                <w:b/>
                <w:sz w:val="21"/>
                <w:szCs w:val="21"/>
              </w:rPr>
            </w:pPr>
            <w:r>
              <w:rPr>
                <w:rFonts w:hint="eastAsia" w:ascii="宋体" w:hAnsi="宋体" w:cs="宋体"/>
                <w:b/>
                <w:sz w:val="21"/>
                <w:szCs w:val="21"/>
              </w:rPr>
              <w:t xml:space="preserve"> 500≤Y＜1000</w:t>
            </w:r>
          </w:p>
        </w:tc>
        <w:tc>
          <w:tcPr>
            <w:tcW w:w="992" w:type="dxa"/>
            <w:vAlign w:val="center"/>
          </w:tcPr>
          <w:p w14:paraId="53B324D1">
            <w:pPr>
              <w:spacing w:line="288" w:lineRule="auto"/>
              <w:rPr>
                <w:rFonts w:ascii="宋体" w:hAnsi="宋体" w:cs="宋体"/>
                <w:b/>
                <w:sz w:val="21"/>
                <w:szCs w:val="21"/>
              </w:rPr>
            </w:pPr>
            <w:r>
              <w:rPr>
                <w:rFonts w:hint="eastAsia" w:ascii="宋体" w:hAnsi="宋体" w:cs="宋体"/>
                <w:b/>
                <w:sz w:val="21"/>
                <w:szCs w:val="21"/>
              </w:rPr>
              <w:t>Y＜500</w:t>
            </w:r>
          </w:p>
        </w:tc>
      </w:tr>
      <w:tr w14:paraId="0E1C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59B3D247">
            <w:pPr>
              <w:spacing w:line="288" w:lineRule="auto"/>
              <w:rPr>
                <w:rFonts w:ascii="宋体" w:hAnsi="宋体" w:cs="宋体"/>
                <w:b/>
                <w:sz w:val="21"/>
                <w:szCs w:val="21"/>
              </w:rPr>
            </w:pPr>
            <w:r>
              <w:rPr>
                <w:rFonts w:hint="eastAsia" w:ascii="宋体" w:hAnsi="宋体" w:cs="宋体"/>
                <w:b/>
                <w:sz w:val="21"/>
                <w:szCs w:val="21"/>
              </w:rPr>
              <w:t>租赁和商务服务业</w:t>
            </w:r>
          </w:p>
        </w:tc>
        <w:tc>
          <w:tcPr>
            <w:tcW w:w="1568" w:type="dxa"/>
            <w:vAlign w:val="center"/>
          </w:tcPr>
          <w:p w14:paraId="6EC68D4F">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5F2E92DF">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5DCA130A">
            <w:pPr>
              <w:spacing w:line="288" w:lineRule="auto"/>
              <w:rPr>
                <w:rFonts w:ascii="宋体" w:hAnsi="宋体" w:cs="宋体"/>
                <w:b/>
                <w:sz w:val="21"/>
                <w:szCs w:val="21"/>
              </w:rPr>
            </w:pPr>
            <w:r>
              <w:rPr>
                <w:rFonts w:hint="eastAsia" w:ascii="宋体" w:hAnsi="宋体" w:cs="宋体"/>
                <w:b/>
                <w:sz w:val="21"/>
                <w:szCs w:val="21"/>
              </w:rPr>
              <w:t>X≥300</w:t>
            </w:r>
          </w:p>
        </w:tc>
        <w:tc>
          <w:tcPr>
            <w:tcW w:w="1701" w:type="dxa"/>
            <w:vAlign w:val="center"/>
          </w:tcPr>
          <w:p w14:paraId="466D4BF8">
            <w:pPr>
              <w:spacing w:line="288" w:lineRule="auto"/>
              <w:ind w:left="24" w:leftChars="-51" w:hanging="126" w:hangingChars="60"/>
              <w:rPr>
                <w:rFonts w:ascii="宋体" w:hAnsi="宋体" w:cs="宋体"/>
                <w:b/>
                <w:sz w:val="21"/>
                <w:szCs w:val="21"/>
              </w:rPr>
            </w:pPr>
            <w:r>
              <w:rPr>
                <w:rFonts w:hint="eastAsia" w:ascii="宋体" w:hAnsi="宋体" w:cs="宋体"/>
                <w:b/>
                <w:sz w:val="21"/>
                <w:szCs w:val="21"/>
              </w:rPr>
              <w:t xml:space="preserve">100≤X＜300 </w:t>
            </w:r>
          </w:p>
        </w:tc>
        <w:tc>
          <w:tcPr>
            <w:tcW w:w="1426" w:type="dxa"/>
            <w:vAlign w:val="center"/>
          </w:tcPr>
          <w:p w14:paraId="118D5783">
            <w:pPr>
              <w:spacing w:line="288" w:lineRule="auto"/>
              <w:rPr>
                <w:rFonts w:ascii="宋体" w:hAnsi="宋体" w:cs="宋体"/>
                <w:b/>
                <w:sz w:val="21"/>
                <w:szCs w:val="21"/>
              </w:rPr>
            </w:pPr>
            <w:r>
              <w:rPr>
                <w:rFonts w:hint="eastAsia" w:ascii="宋体" w:hAnsi="宋体" w:cs="宋体"/>
                <w:b/>
                <w:sz w:val="21"/>
                <w:szCs w:val="21"/>
              </w:rPr>
              <w:t xml:space="preserve"> 10≤X＜100</w:t>
            </w:r>
          </w:p>
        </w:tc>
        <w:tc>
          <w:tcPr>
            <w:tcW w:w="992" w:type="dxa"/>
            <w:vAlign w:val="center"/>
          </w:tcPr>
          <w:p w14:paraId="793D1887">
            <w:pPr>
              <w:spacing w:line="288" w:lineRule="auto"/>
              <w:rPr>
                <w:rFonts w:ascii="宋体" w:hAnsi="宋体" w:cs="宋体"/>
                <w:b/>
                <w:sz w:val="21"/>
                <w:szCs w:val="21"/>
              </w:rPr>
            </w:pPr>
            <w:r>
              <w:rPr>
                <w:rFonts w:hint="eastAsia" w:ascii="宋体" w:hAnsi="宋体" w:cs="宋体"/>
                <w:b/>
                <w:sz w:val="21"/>
                <w:szCs w:val="21"/>
              </w:rPr>
              <w:t>X＜10</w:t>
            </w:r>
          </w:p>
        </w:tc>
      </w:tr>
      <w:tr w14:paraId="309F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30E7B69D">
            <w:pPr>
              <w:spacing w:line="288" w:lineRule="auto"/>
              <w:rPr>
                <w:rFonts w:ascii="宋体" w:hAnsi="宋体" w:cs="宋体"/>
                <w:b/>
                <w:sz w:val="21"/>
                <w:szCs w:val="21"/>
              </w:rPr>
            </w:pPr>
          </w:p>
        </w:tc>
        <w:tc>
          <w:tcPr>
            <w:tcW w:w="1568" w:type="dxa"/>
            <w:vAlign w:val="center"/>
          </w:tcPr>
          <w:p w14:paraId="3013AFAC">
            <w:pPr>
              <w:spacing w:line="288" w:lineRule="auto"/>
              <w:rPr>
                <w:rFonts w:ascii="宋体" w:hAnsi="宋体" w:cs="宋体"/>
                <w:b/>
                <w:sz w:val="21"/>
                <w:szCs w:val="21"/>
              </w:rPr>
            </w:pPr>
            <w:r>
              <w:rPr>
                <w:rFonts w:hint="eastAsia" w:ascii="宋体" w:hAnsi="宋体" w:cs="宋体"/>
                <w:b/>
                <w:sz w:val="21"/>
                <w:szCs w:val="21"/>
              </w:rPr>
              <w:t>资产总额(Z)</w:t>
            </w:r>
          </w:p>
        </w:tc>
        <w:tc>
          <w:tcPr>
            <w:tcW w:w="709" w:type="dxa"/>
            <w:vAlign w:val="center"/>
          </w:tcPr>
          <w:p w14:paraId="1AF8DED3">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11F289F7">
            <w:pPr>
              <w:spacing w:line="288" w:lineRule="auto"/>
              <w:rPr>
                <w:rFonts w:ascii="宋体" w:hAnsi="宋体" w:cs="宋体"/>
                <w:b/>
                <w:sz w:val="21"/>
                <w:szCs w:val="21"/>
              </w:rPr>
            </w:pPr>
            <w:r>
              <w:rPr>
                <w:rFonts w:hint="eastAsia" w:ascii="宋体" w:hAnsi="宋体" w:cs="宋体"/>
                <w:b/>
                <w:sz w:val="21"/>
                <w:szCs w:val="21"/>
              </w:rPr>
              <w:t>Z≥120000</w:t>
            </w:r>
          </w:p>
        </w:tc>
        <w:tc>
          <w:tcPr>
            <w:tcW w:w="1701" w:type="dxa"/>
            <w:vAlign w:val="center"/>
          </w:tcPr>
          <w:p w14:paraId="3D149D40">
            <w:pPr>
              <w:spacing w:line="288" w:lineRule="auto"/>
              <w:rPr>
                <w:rFonts w:ascii="宋体" w:hAnsi="宋体" w:cs="宋体"/>
                <w:b/>
                <w:sz w:val="21"/>
                <w:szCs w:val="21"/>
              </w:rPr>
            </w:pPr>
            <w:r>
              <w:rPr>
                <w:rFonts w:hint="eastAsia" w:ascii="宋体" w:hAnsi="宋体" w:cs="宋体"/>
                <w:b/>
                <w:sz w:val="21"/>
                <w:szCs w:val="21"/>
              </w:rPr>
              <w:t xml:space="preserve"> 8000≤Z＜120000</w:t>
            </w:r>
          </w:p>
        </w:tc>
        <w:tc>
          <w:tcPr>
            <w:tcW w:w="1426" w:type="dxa"/>
            <w:vAlign w:val="center"/>
          </w:tcPr>
          <w:p w14:paraId="31262C2E">
            <w:pPr>
              <w:spacing w:line="288" w:lineRule="auto"/>
              <w:rPr>
                <w:rFonts w:ascii="宋体" w:hAnsi="宋体" w:cs="宋体"/>
                <w:b/>
                <w:sz w:val="21"/>
                <w:szCs w:val="21"/>
              </w:rPr>
            </w:pPr>
            <w:r>
              <w:rPr>
                <w:rFonts w:hint="eastAsia" w:ascii="宋体" w:hAnsi="宋体" w:cs="宋体"/>
                <w:b/>
                <w:sz w:val="21"/>
                <w:szCs w:val="21"/>
              </w:rPr>
              <w:t xml:space="preserve"> 100≤Z＜8000</w:t>
            </w:r>
          </w:p>
        </w:tc>
        <w:tc>
          <w:tcPr>
            <w:tcW w:w="992" w:type="dxa"/>
            <w:vAlign w:val="center"/>
          </w:tcPr>
          <w:p w14:paraId="468E4B6A">
            <w:pPr>
              <w:spacing w:line="288" w:lineRule="auto"/>
              <w:rPr>
                <w:rFonts w:ascii="宋体" w:hAnsi="宋体" w:cs="宋体"/>
                <w:b/>
                <w:sz w:val="21"/>
                <w:szCs w:val="21"/>
              </w:rPr>
            </w:pPr>
            <w:r>
              <w:rPr>
                <w:rFonts w:hint="eastAsia" w:ascii="宋体" w:hAnsi="宋体" w:cs="宋体"/>
                <w:b/>
                <w:sz w:val="21"/>
                <w:szCs w:val="21"/>
              </w:rPr>
              <w:t>Z＜100</w:t>
            </w:r>
          </w:p>
        </w:tc>
      </w:tr>
      <w:tr w14:paraId="1DF9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4" w:type="dxa"/>
            <w:vAlign w:val="center"/>
          </w:tcPr>
          <w:p w14:paraId="593BF9B8">
            <w:pPr>
              <w:spacing w:line="288" w:lineRule="auto"/>
              <w:rPr>
                <w:rFonts w:ascii="宋体" w:hAnsi="宋体" w:cs="宋体"/>
                <w:b/>
                <w:sz w:val="21"/>
                <w:szCs w:val="21"/>
              </w:rPr>
            </w:pPr>
            <w:r>
              <w:rPr>
                <w:rFonts w:hint="eastAsia" w:ascii="宋体" w:hAnsi="宋体" w:cs="宋体"/>
                <w:b/>
                <w:sz w:val="21"/>
                <w:szCs w:val="21"/>
              </w:rPr>
              <w:t>其他未列明行业*</w:t>
            </w:r>
          </w:p>
        </w:tc>
        <w:tc>
          <w:tcPr>
            <w:tcW w:w="1568" w:type="dxa"/>
            <w:vAlign w:val="center"/>
          </w:tcPr>
          <w:p w14:paraId="1D496C72">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3839ACE2">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2E8E6467">
            <w:pPr>
              <w:spacing w:line="288" w:lineRule="auto"/>
              <w:rPr>
                <w:rFonts w:ascii="宋体" w:hAnsi="宋体" w:cs="宋体"/>
                <w:b/>
                <w:sz w:val="21"/>
                <w:szCs w:val="21"/>
              </w:rPr>
            </w:pPr>
            <w:r>
              <w:rPr>
                <w:rFonts w:hint="eastAsia" w:ascii="宋体" w:hAnsi="宋体" w:cs="宋体"/>
                <w:b/>
                <w:sz w:val="21"/>
                <w:szCs w:val="21"/>
              </w:rPr>
              <w:t>X≥300</w:t>
            </w:r>
          </w:p>
        </w:tc>
        <w:tc>
          <w:tcPr>
            <w:tcW w:w="1701" w:type="dxa"/>
            <w:vAlign w:val="center"/>
          </w:tcPr>
          <w:p w14:paraId="68476C01">
            <w:pPr>
              <w:spacing w:line="288" w:lineRule="auto"/>
              <w:ind w:left="24" w:leftChars="-51" w:hanging="126" w:hangingChars="60"/>
              <w:rPr>
                <w:rFonts w:ascii="宋体" w:hAnsi="宋体" w:cs="宋体"/>
                <w:b/>
                <w:sz w:val="21"/>
                <w:szCs w:val="21"/>
              </w:rPr>
            </w:pPr>
            <w:r>
              <w:rPr>
                <w:rFonts w:hint="eastAsia" w:ascii="宋体" w:hAnsi="宋体" w:cs="宋体"/>
                <w:b/>
                <w:sz w:val="21"/>
                <w:szCs w:val="21"/>
              </w:rPr>
              <w:t xml:space="preserve">100≤X＜300 </w:t>
            </w:r>
          </w:p>
        </w:tc>
        <w:tc>
          <w:tcPr>
            <w:tcW w:w="1426" w:type="dxa"/>
            <w:vAlign w:val="center"/>
          </w:tcPr>
          <w:p w14:paraId="7D28C1B2">
            <w:pPr>
              <w:spacing w:line="288" w:lineRule="auto"/>
              <w:rPr>
                <w:rFonts w:ascii="宋体" w:hAnsi="宋体" w:cs="宋体"/>
                <w:b/>
                <w:sz w:val="21"/>
                <w:szCs w:val="21"/>
              </w:rPr>
            </w:pPr>
            <w:r>
              <w:rPr>
                <w:rFonts w:hint="eastAsia" w:ascii="宋体" w:hAnsi="宋体" w:cs="宋体"/>
                <w:b/>
                <w:sz w:val="21"/>
                <w:szCs w:val="21"/>
              </w:rPr>
              <w:t xml:space="preserve"> 10≤X＜100</w:t>
            </w:r>
          </w:p>
        </w:tc>
        <w:tc>
          <w:tcPr>
            <w:tcW w:w="992" w:type="dxa"/>
            <w:vAlign w:val="center"/>
          </w:tcPr>
          <w:p w14:paraId="4A919A8C">
            <w:pPr>
              <w:spacing w:line="288" w:lineRule="auto"/>
              <w:rPr>
                <w:rFonts w:ascii="宋体" w:hAnsi="宋体" w:cs="宋体"/>
                <w:b/>
                <w:sz w:val="21"/>
                <w:szCs w:val="21"/>
              </w:rPr>
            </w:pPr>
            <w:r>
              <w:rPr>
                <w:rFonts w:hint="eastAsia" w:ascii="宋体" w:hAnsi="宋体" w:cs="宋体"/>
                <w:b/>
                <w:sz w:val="21"/>
                <w:szCs w:val="21"/>
              </w:rPr>
              <w:t>X＜10</w:t>
            </w:r>
          </w:p>
        </w:tc>
      </w:tr>
    </w:tbl>
    <w:p w14:paraId="00411CB1">
      <w:pPr>
        <w:spacing w:line="288" w:lineRule="auto"/>
        <w:rPr>
          <w:rFonts w:ascii="宋体" w:hAnsi="宋体" w:cs="宋体"/>
          <w:spacing w:val="8"/>
          <w:sz w:val="21"/>
          <w:szCs w:val="21"/>
        </w:rPr>
      </w:pPr>
      <w:r>
        <w:rPr>
          <w:rFonts w:hint="eastAsia" w:ascii="宋体" w:hAnsi="宋体" w:cs="宋体"/>
          <w:spacing w:val="8"/>
          <w:sz w:val="21"/>
          <w:szCs w:val="21"/>
        </w:rPr>
        <w:t>说明：</w:t>
      </w:r>
    </w:p>
    <w:p w14:paraId="2CABB715">
      <w:pPr>
        <w:spacing w:line="288" w:lineRule="auto"/>
        <w:rPr>
          <w:rFonts w:ascii="宋体" w:hAnsi="宋体" w:cs="宋体"/>
          <w:spacing w:val="8"/>
          <w:sz w:val="21"/>
          <w:szCs w:val="21"/>
        </w:rPr>
      </w:pPr>
      <w:r>
        <w:rPr>
          <w:rFonts w:hint="eastAsia" w:ascii="宋体" w:hAnsi="宋体" w:cs="宋体"/>
          <w:spacing w:val="8"/>
          <w:sz w:val="21"/>
          <w:szCs w:val="21"/>
        </w:rPr>
        <w:t>　　1.大型、中型和小型企业须同时满足所列指标的下限，否则下划一档；微型企业只须满足所列指标中的一项即可。</w:t>
      </w:r>
    </w:p>
    <w:p w14:paraId="5719EF31">
      <w:pPr>
        <w:spacing w:line="288" w:lineRule="auto"/>
        <w:ind w:firstLine="452"/>
        <w:rPr>
          <w:rFonts w:ascii="宋体" w:hAnsi="宋体" w:cs="宋体"/>
          <w:spacing w:val="8"/>
          <w:sz w:val="21"/>
          <w:szCs w:val="21"/>
        </w:rPr>
      </w:pPr>
      <w:r>
        <w:rPr>
          <w:rFonts w:hint="eastAsia" w:ascii="宋体" w:hAnsi="宋体" w:cs="宋体"/>
          <w:spacing w:val="8"/>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67E09B8">
      <w:pPr>
        <w:spacing w:line="288" w:lineRule="auto"/>
        <w:ind w:firstLine="452"/>
        <w:rPr>
          <w:rFonts w:ascii="宋体" w:hAnsi="宋体" w:cs="宋体"/>
          <w:sz w:val="21"/>
          <w:szCs w:val="21"/>
        </w:rPr>
      </w:pPr>
      <w:r>
        <w:rPr>
          <w:rFonts w:hint="eastAsia" w:ascii="宋体" w:hAnsi="宋体" w:cs="宋体"/>
          <w:spacing w:val="8"/>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4003401">
      <w:pPr>
        <w:spacing w:line="288" w:lineRule="auto"/>
        <w:ind w:firstLine="452"/>
        <w:rPr>
          <w:rFonts w:ascii="宋体" w:hAnsi="宋体" w:cs="宋体"/>
          <w:sz w:val="24"/>
          <w:szCs w:val="24"/>
        </w:rPr>
      </w:pPr>
    </w:p>
    <w:p w14:paraId="044E5F0D">
      <w:pPr>
        <w:rPr>
          <w:rFonts w:ascii="宋体" w:hAnsi="宋体" w:cs="宋体"/>
          <w:sz w:val="24"/>
          <w:szCs w:val="24"/>
        </w:rPr>
      </w:pPr>
    </w:p>
    <w:sectPr>
      <w:footerReference r:id="rId9" w:type="first"/>
      <w:footerReference r:id="rId8" w:type="default"/>
      <w:pgSz w:w="11906" w:h="16838"/>
      <w:pgMar w:top="1418" w:right="1247" w:bottom="1418" w:left="1418"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6D1C">
    <w:pPr>
      <w:pStyle w:val="28"/>
      <w:framePr w:wrap="around" w:vAnchor="text" w:hAnchor="margin" w:xAlign="center" w:y="1"/>
      <w:rPr>
        <w:rStyle w:val="48"/>
      </w:rPr>
    </w:pPr>
    <w:r>
      <w:fldChar w:fldCharType="begin"/>
    </w:r>
    <w:r>
      <w:rPr>
        <w:rStyle w:val="48"/>
      </w:rPr>
      <w:instrText xml:space="preserve">PAGE  </w:instrText>
    </w:r>
    <w:r>
      <w:fldChar w:fldCharType="end"/>
    </w:r>
  </w:p>
  <w:p w14:paraId="074F9B70">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47B3F">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715A5">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9715A5">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AF10">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F5A73">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7F5A73">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3FEA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4DBB0">
                          <w:pPr>
                            <w:pStyle w:val="2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3D4DBB0">
                    <w:pPr>
                      <w:pStyle w:val="2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7F79">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717A0">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62717A0">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CA21">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BE189">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F4B7E"/>
    <w:multiLevelType w:val="multilevel"/>
    <w:tmpl w:val="130F4B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F46C8B"/>
    <w:multiLevelType w:val="singleLevel"/>
    <w:tmpl w:val="2FF46C8B"/>
    <w:lvl w:ilvl="0" w:tentative="0">
      <w:start w:val="4"/>
      <w:numFmt w:val="chineseCounting"/>
      <w:suff w:val="space"/>
      <w:lvlText w:val="第%1部分"/>
      <w:lvlJc w:val="left"/>
      <w:rPr>
        <w:rFonts w:hint="eastAsia"/>
      </w:rPr>
    </w:lvl>
  </w:abstractNum>
  <w:abstractNum w:abstractNumId="2">
    <w:nsid w:val="33092639"/>
    <w:multiLevelType w:val="singleLevel"/>
    <w:tmpl w:val="33092639"/>
    <w:lvl w:ilvl="0" w:tentative="0">
      <w:start w:val="1"/>
      <w:numFmt w:val="decimal"/>
      <w:lvlText w:val="（%1）"/>
      <w:lvlJc w:val="left"/>
      <w:pPr>
        <w:tabs>
          <w:tab w:val="left" w:pos="1080"/>
        </w:tabs>
        <w:ind w:left="1080" w:hanging="600"/>
      </w:pPr>
      <w:rPr>
        <w:rFonts w:hint="eastAsia"/>
        <w:lang w:val="en-US"/>
      </w:rPr>
    </w:lvl>
  </w:abstractNum>
  <w:abstractNum w:abstractNumId="3">
    <w:nsid w:val="437F1085"/>
    <w:multiLevelType w:val="multilevel"/>
    <w:tmpl w:val="437F1085"/>
    <w:lvl w:ilvl="0" w:tentative="0">
      <w:start w:val="1"/>
      <w:numFmt w:val="chineseCountingThousand"/>
      <w:suff w:val="nothing"/>
      <w:lvlText w:val="%1、"/>
      <w:lvlJc w:val="left"/>
      <w:pPr>
        <w:ind w:left="420" w:hanging="420"/>
      </w:pPr>
      <w:rPr>
        <w:rFonts w:hint="eastAsia"/>
        <w:color w:val="auto"/>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BC7DAF"/>
    <w:multiLevelType w:val="multilevel"/>
    <w:tmpl w:val="63BC7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5"/>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NzM1M2I2MzEwYWFlOTRkZmY0M2MxMDk0Y2M1MGU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7BA"/>
    <w:rsid w:val="0001631D"/>
    <w:rsid w:val="00016C0B"/>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9768E"/>
    <w:rsid w:val="000A1441"/>
    <w:rsid w:val="000A1ABB"/>
    <w:rsid w:val="000A24F2"/>
    <w:rsid w:val="000A2912"/>
    <w:rsid w:val="000A332E"/>
    <w:rsid w:val="000A396A"/>
    <w:rsid w:val="000A3F73"/>
    <w:rsid w:val="000A41A3"/>
    <w:rsid w:val="000A4632"/>
    <w:rsid w:val="000A7438"/>
    <w:rsid w:val="000A7811"/>
    <w:rsid w:val="000A7FF5"/>
    <w:rsid w:val="000B00B2"/>
    <w:rsid w:val="000B05E3"/>
    <w:rsid w:val="000B133E"/>
    <w:rsid w:val="000B198D"/>
    <w:rsid w:val="000B3407"/>
    <w:rsid w:val="000B3530"/>
    <w:rsid w:val="000B3B88"/>
    <w:rsid w:val="000B3CF8"/>
    <w:rsid w:val="000B52AD"/>
    <w:rsid w:val="000B6067"/>
    <w:rsid w:val="000B6FE7"/>
    <w:rsid w:val="000B7C82"/>
    <w:rsid w:val="000B7D24"/>
    <w:rsid w:val="000C023A"/>
    <w:rsid w:val="000C0B27"/>
    <w:rsid w:val="000C0DE6"/>
    <w:rsid w:val="000C248C"/>
    <w:rsid w:val="000C2B24"/>
    <w:rsid w:val="000C31AA"/>
    <w:rsid w:val="000C36D1"/>
    <w:rsid w:val="000C4042"/>
    <w:rsid w:val="000C5810"/>
    <w:rsid w:val="000C5D64"/>
    <w:rsid w:val="000C5F6A"/>
    <w:rsid w:val="000C77CA"/>
    <w:rsid w:val="000D06BA"/>
    <w:rsid w:val="000D0922"/>
    <w:rsid w:val="000D0C4A"/>
    <w:rsid w:val="000D130E"/>
    <w:rsid w:val="000D158E"/>
    <w:rsid w:val="000D245C"/>
    <w:rsid w:val="000D3A8E"/>
    <w:rsid w:val="000D40C2"/>
    <w:rsid w:val="000D477C"/>
    <w:rsid w:val="000D49B6"/>
    <w:rsid w:val="000D7693"/>
    <w:rsid w:val="000D7950"/>
    <w:rsid w:val="000E057A"/>
    <w:rsid w:val="000E2037"/>
    <w:rsid w:val="000E2D94"/>
    <w:rsid w:val="000E36CC"/>
    <w:rsid w:val="000E4183"/>
    <w:rsid w:val="000E4224"/>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2208"/>
    <w:rsid w:val="00102DE7"/>
    <w:rsid w:val="001035DB"/>
    <w:rsid w:val="00103640"/>
    <w:rsid w:val="0010403B"/>
    <w:rsid w:val="00104197"/>
    <w:rsid w:val="001044BD"/>
    <w:rsid w:val="001061F8"/>
    <w:rsid w:val="00110620"/>
    <w:rsid w:val="00110BBA"/>
    <w:rsid w:val="00110FFE"/>
    <w:rsid w:val="001114B9"/>
    <w:rsid w:val="001126B7"/>
    <w:rsid w:val="00112AC0"/>
    <w:rsid w:val="0011338E"/>
    <w:rsid w:val="001136AF"/>
    <w:rsid w:val="0011395F"/>
    <w:rsid w:val="00113982"/>
    <w:rsid w:val="00113BFC"/>
    <w:rsid w:val="00113E06"/>
    <w:rsid w:val="00113ED0"/>
    <w:rsid w:val="0011504E"/>
    <w:rsid w:val="0011530B"/>
    <w:rsid w:val="00115B9A"/>
    <w:rsid w:val="00116851"/>
    <w:rsid w:val="00121222"/>
    <w:rsid w:val="00121992"/>
    <w:rsid w:val="00121DC0"/>
    <w:rsid w:val="0012219F"/>
    <w:rsid w:val="001227E3"/>
    <w:rsid w:val="00123A74"/>
    <w:rsid w:val="001244FF"/>
    <w:rsid w:val="00124BFE"/>
    <w:rsid w:val="00124C45"/>
    <w:rsid w:val="001258F2"/>
    <w:rsid w:val="001260E7"/>
    <w:rsid w:val="001276D5"/>
    <w:rsid w:val="0013146D"/>
    <w:rsid w:val="001319A6"/>
    <w:rsid w:val="00131E40"/>
    <w:rsid w:val="00132A44"/>
    <w:rsid w:val="001373D4"/>
    <w:rsid w:val="00137702"/>
    <w:rsid w:val="001377DD"/>
    <w:rsid w:val="0014011A"/>
    <w:rsid w:val="001403D9"/>
    <w:rsid w:val="00140B10"/>
    <w:rsid w:val="00141467"/>
    <w:rsid w:val="00141E49"/>
    <w:rsid w:val="00142CBC"/>
    <w:rsid w:val="00143DD4"/>
    <w:rsid w:val="00144231"/>
    <w:rsid w:val="00144405"/>
    <w:rsid w:val="0014546C"/>
    <w:rsid w:val="00146021"/>
    <w:rsid w:val="00146C13"/>
    <w:rsid w:val="00146FFB"/>
    <w:rsid w:val="00147026"/>
    <w:rsid w:val="001473EB"/>
    <w:rsid w:val="0015116F"/>
    <w:rsid w:val="001512D5"/>
    <w:rsid w:val="0015159E"/>
    <w:rsid w:val="001521C4"/>
    <w:rsid w:val="001526E7"/>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C02"/>
    <w:rsid w:val="001853DA"/>
    <w:rsid w:val="00185A61"/>
    <w:rsid w:val="00185C2A"/>
    <w:rsid w:val="00186638"/>
    <w:rsid w:val="001867F8"/>
    <w:rsid w:val="001869A1"/>
    <w:rsid w:val="00187E2F"/>
    <w:rsid w:val="00190F1F"/>
    <w:rsid w:val="00191573"/>
    <w:rsid w:val="00192B5F"/>
    <w:rsid w:val="00193EAE"/>
    <w:rsid w:val="001941D4"/>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F54"/>
    <w:rsid w:val="001B3D89"/>
    <w:rsid w:val="001B423E"/>
    <w:rsid w:val="001B513E"/>
    <w:rsid w:val="001C0129"/>
    <w:rsid w:val="001C0229"/>
    <w:rsid w:val="001C082B"/>
    <w:rsid w:val="001C0DC9"/>
    <w:rsid w:val="001C0F0B"/>
    <w:rsid w:val="001C1539"/>
    <w:rsid w:val="001C1546"/>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E85"/>
    <w:rsid w:val="001E406D"/>
    <w:rsid w:val="001E6F8A"/>
    <w:rsid w:val="001E7903"/>
    <w:rsid w:val="001F0915"/>
    <w:rsid w:val="001F2450"/>
    <w:rsid w:val="001F3299"/>
    <w:rsid w:val="001F384C"/>
    <w:rsid w:val="001F49D3"/>
    <w:rsid w:val="001F515E"/>
    <w:rsid w:val="001F58C1"/>
    <w:rsid w:val="001F6505"/>
    <w:rsid w:val="001F7059"/>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78B"/>
    <w:rsid w:val="00221AEA"/>
    <w:rsid w:val="002221BA"/>
    <w:rsid w:val="002222A9"/>
    <w:rsid w:val="0022269B"/>
    <w:rsid w:val="002227A0"/>
    <w:rsid w:val="0022285B"/>
    <w:rsid w:val="00223A8A"/>
    <w:rsid w:val="002247B5"/>
    <w:rsid w:val="00224F3D"/>
    <w:rsid w:val="00225EF3"/>
    <w:rsid w:val="002265B7"/>
    <w:rsid w:val="0023090F"/>
    <w:rsid w:val="002312DC"/>
    <w:rsid w:val="00231322"/>
    <w:rsid w:val="00231713"/>
    <w:rsid w:val="00233135"/>
    <w:rsid w:val="0023333E"/>
    <w:rsid w:val="00235DE7"/>
    <w:rsid w:val="0023633D"/>
    <w:rsid w:val="00236F42"/>
    <w:rsid w:val="00237D56"/>
    <w:rsid w:val="00237EA1"/>
    <w:rsid w:val="00240494"/>
    <w:rsid w:val="002411C2"/>
    <w:rsid w:val="00241466"/>
    <w:rsid w:val="0024152C"/>
    <w:rsid w:val="00241E37"/>
    <w:rsid w:val="0024225C"/>
    <w:rsid w:val="002426FF"/>
    <w:rsid w:val="002434B0"/>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4E69"/>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4FE5"/>
    <w:rsid w:val="0027597F"/>
    <w:rsid w:val="00275DC3"/>
    <w:rsid w:val="002761CF"/>
    <w:rsid w:val="00276A04"/>
    <w:rsid w:val="00277B8E"/>
    <w:rsid w:val="00280063"/>
    <w:rsid w:val="00280529"/>
    <w:rsid w:val="00280C23"/>
    <w:rsid w:val="002813DA"/>
    <w:rsid w:val="00281919"/>
    <w:rsid w:val="00281B5F"/>
    <w:rsid w:val="00282319"/>
    <w:rsid w:val="00282904"/>
    <w:rsid w:val="002835CD"/>
    <w:rsid w:val="002845D3"/>
    <w:rsid w:val="002849E2"/>
    <w:rsid w:val="00284F4A"/>
    <w:rsid w:val="00285219"/>
    <w:rsid w:val="00285834"/>
    <w:rsid w:val="0028617D"/>
    <w:rsid w:val="00286E64"/>
    <w:rsid w:val="00290413"/>
    <w:rsid w:val="00290581"/>
    <w:rsid w:val="0029124F"/>
    <w:rsid w:val="00291830"/>
    <w:rsid w:val="00291A72"/>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B13"/>
    <w:rsid w:val="002A5926"/>
    <w:rsid w:val="002A78DA"/>
    <w:rsid w:val="002B033D"/>
    <w:rsid w:val="002B104F"/>
    <w:rsid w:val="002B2AC5"/>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B5E"/>
    <w:rsid w:val="002E4BD1"/>
    <w:rsid w:val="002E7409"/>
    <w:rsid w:val="002F035C"/>
    <w:rsid w:val="002F038C"/>
    <w:rsid w:val="002F1A92"/>
    <w:rsid w:val="002F1C7E"/>
    <w:rsid w:val="002F1EE1"/>
    <w:rsid w:val="002F1F96"/>
    <w:rsid w:val="002F4E62"/>
    <w:rsid w:val="002F580A"/>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4488"/>
    <w:rsid w:val="00314FC1"/>
    <w:rsid w:val="0031604F"/>
    <w:rsid w:val="003163D7"/>
    <w:rsid w:val="0031699C"/>
    <w:rsid w:val="003176CF"/>
    <w:rsid w:val="00320568"/>
    <w:rsid w:val="00320677"/>
    <w:rsid w:val="0032155A"/>
    <w:rsid w:val="00321A2A"/>
    <w:rsid w:val="00321BED"/>
    <w:rsid w:val="00321E74"/>
    <w:rsid w:val="00321FAD"/>
    <w:rsid w:val="00322743"/>
    <w:rsid w:val="003243DE"/>
    <w:rsid w:val="0032441D"/>
    <w:rsid w:val="00324762"/>
    <w:rsid w:val="00324906"/>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46FB4"/>
    <w:rsid w:val="003500E0"/>
    <w:rsid w:val="003502DA"/>
    <w:rsid w:val="00350537"/>
    <w:rsid w:val="00351C0F"/>
    <w:rsid w:val="00351CF4"/>
    <w:rsid w:val="00351F00"/>
    <w:rsid w:val="00352622"/>
    <w:rsid w:val="003526A9"/>
    <w:rsid w:val="00352743"/>
    <w:rsid w:val="00353C94"/>
    <w:rsid w:val="0035447F"/>
    <w:rsid w:val="0035559B"/>
    <w:rsid w:val="00355805"/>
    <w:rsid w:val="003560CF"/>
    <w:rsid w:val="00356C66"/>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1F5"/>
    <w:rsid w:val="00370326"/>
    <w:rsid w:val="0037122C"/>
    <w:rsid w:val="003717C7"/>
    <w:rsid w:val="00372158"/>
    <w:rsid w:val="0037298D"/>
    <w:rsid w:val="003732C5"/>
    <w:rsid w:val="00373D94"/>
    <w:rsid w:val="0037469C"/>
    <w:rsid w:val="00374937"/>
    <w:rsid w:val="00374AED"/>
    <w:rsid w:val="00375900"/>
    <w:rsid w:val="00375EC9"/>
    <w:rsid w:val="00376602"/>
    <w:rsid w:val="00376672"/>
    <w:rsid w:val="00377AF1"/>
    <w:rsid w:val="00380157"/>
    <w:rsid w:val="00380893"/>
    <w:rsid w:val="003808EF"/>
    <w:rsid w:val="00382FB3"/>
    <w:rsid w:val="003837BF"/>
    <w:rsid w:val="00383DB9"/>
    <w:rsid w:val="00383FD9"/>
    <w:rsid w:val="00384809"/>
    <w:rsid w:val="0038705A"/>
    <w:rsid w:val="003871A8"/>
    <w:rsid w:val="00387816"/>
    <w:rsid w:val="00387C68"/>
    <w:rsid w:val="00387DD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3079"/>
    <w:rsid w:val="003B457F"/>
    <w:rsid w:val="003B4BAF"/>
    <w:rsid w:val="003B5943"/>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4D4"/>
    <w:rsid w:val="003D4DE2"/>
    <w:rsid w:val="003D5386"/>
    <w:rsid w:val="003D549A"/>
    <w:rsid w:val="003D6411"/>
    <w:rsid w:val="003D6AD1"/>
    <w:rsid w:val="003D6B39"/>
    <w:rsid w:val="003E0178"/>
    <w:rsid w:val="003E0296"/>
    <w:rsid w:val="003E18CF"/>
    <w:rsid w:val="003E3DDD"/>
    <w:rsid w:val="003E5B11"/>
    <w:rsid w:val="003E5FD4"/>
    <w:rsid w:val="003E6285"/>
    <w:rsid w:val="003E6501"/>
    <w:rsid w:val="003E6747"/>
    <w:rsid w:val="003E6929"/>
    <w:rsid w:val="003E7481"/>
    <w:rsid w:val="003F0E69"/>
    <w:rsid w:val="003F169E"/>
    <w:rsid w:val="003F1B16"/>
    <w:rsid w:val="003F30A5"/>
    <w:rsid w:val="003F4088"/>
    <w:rsid w:val="003F4D1D"/>
    <w:rsid w:val="003F54D8"/>
    <w:rsid w:val="003F77D9"/>
    <w:rsid w:val="003F78FB"/>
    <w:rsid w:val="003F7D61"/>
    <w:rsid w:val="003F7FD6"/>
    <w:rsid w:val="00401670"/>
    <w:rsid w:val="004030E1"/>
    <w:rsid w:val="0040451B"/>
    <w:rsid w:val="0040455C"/>
    <w:rsid w:val="00404C1C"/>
    <w:rsid w:val="004059FE"/>
    <w:rsid w:val="004067EA"/>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E36"/>
    <w:rsid w:val="0042214C"/>
    <w:rsid w:val="004234B3"/>
    <w:rsid w:val="00423E2D"/>
    <w:rsid w:val="0042414B"/>
    <w:rsid w:val="00424A87"/>
    <w:rsid w:val="00424C66"/>
    <w:rsid w:val="004254AC"/>
    <w:rsid w:val="00425777"/>
    <w:rsid w:val="00426DE2"/>
    <w:rsid w:val="004276C6"/>
    <w:rsid w:val="0043014C"/>
    <w:rsid w:val="00430511"/>
    <w:rsid w:val="00431C9D"/>
    <w:rsid w:val="0043209F"/>
    <w:rsid w:val="0043488B"/>
    <w:rsid w:val="004357D6"/>
    <w:rsid w:val="00435B26"/>
    <w:rsid w:val="00435D3A"/>
    <w:rsid w:val="00435EF6"/>
    <w:rsid w:val="00436320"/>
    <w:rsid w:val="0043680D"/>
    <w:rsid w:val="0043755C"/>
    <w:rsid w:val="00437DBF"/>
    <w:rsid w:val="00440461"/>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322"/>
    <w:rsid w:val="004524C8"/>
    <w:rsid w:val="00453064"/>
    <w:rsid w:val="004531AF"/>
    <w:rsid w:val="00453475"/>
    <w:rsid w:val="0045415D"/>
    <w:rsid w:val="00454431"/>
    <w:rsid w:val="0045497F"/>
    <w:rsid w:val="004555B7"/>
    <w:rsid w:val="00455A74"/>
    <w:rsid w:val="00455D65"/>
    <w:rsid w:val="00456AA1"/>
    <w:rsid w:val="00457946"/>
    <w:rsid w:val="004600C8"/>
    <w:rsid w:val="0046019D"/>
    <w:rsid w:val="00460C2F"/>
    <w:rsid w:val="00462B32"/>
    <w:rsid w:val="00462BBE"/>
    <w:rsid w:val="0046421E"/>
    <w:rsid w:val="00465658"/>
    <w:rsid w:val="0046589A"/>
    <w:rsid w:val="0046646B"/>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581"/>
    <w:rsid w:val="00482825"/>
    <w:rsid w:val="00482BC7"/>
    <w:rsid w:val="00482EA9"/>
    <w:rsid w:val="00483E71"/>
    <w:rsid w:val="00484F1B"/>
    <w:rsid w:val="004852D0"/>
    <w:rsid w:val="00485E1A"/>
    <w:rsid w:val="00486669"/>
    <w:rsid w:val="00486C05"/>
    <w:rsid w:val="0048781C"/>
    <w:rsid w:val="00487C42"/>
    <w:rsid w:val="004907FB"/>
    <w:rsid w:val="004916A3"/>
    <w:rsid w:val="00491A7A"/>
    <w:rsid w:val="00491CC1"/>
    <w:rsid w:val="004926D1"/>
    <w:rsid w:val="0049299C"/>
    <w:rsid w:val="0049301E"/>
    <w:rsid w:val="0049373A"/>
    <w:rsid w:val="0049399F"/>
    <w:rsid w:val="00494A7A"/>
    <w:rsid w:val="004958B1"/>
    <w:rsid w:val="00495A6D"/>
    <w:rsid w:val="00496468"/>
    <w:rsid w:val="00497120"/>
    <w:rsid w:val="00497226"/>
    <w:rsid w:val="004979FC"/>
    <w:rsid w:val="00497CAC"/>
    <w:rsid w:val="00497EFA"/>
    <w:rsid w:val="004A07B9"/>
    <w:rsid w:val="004A1800"/>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1DFF"/>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51D5"/>
    <w:rsid w:val="004F625C"/>
    <w:rsid w:val="00500909"/>
    <w:rsid w:val="005014FB"/>
    <w:rsid w:val="00501697"/>
    <w:rsid w:val="005017E8"/>
    <w:rsid w:val="00502A21"/>
    <w:rsid w:val="00505E91"/>
    <w:rsid w:val="00506987"/>
    <w:rsid w:val="00507B51"/>
    <w:rsid w:val="00510AD1"/>
    <w:rsid w:val="00511B57"/>
    <w:rsid w:val="00511CB7"/>
    <w:rsid w:val="00512150"/>
    <w:rsid w:val="005130CF"/>
    <w:rsid w:val="00513178"/>
    <w:rsid w:val="00513BBF"/>
    <w:rsid w:val="00513C6B"/>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F9A"/>
    <w:rsid w:val="00533059"/>
    <w:rsid w:val="005330C2"/>
    <w:rsid w:val="00533185"/>
    <w:rsid w:val="0053425E"/>
    <w:rsid w:val="0053470D"/>
    <w:rsid w:val="00535082"/>
    <w:rsid w:val="0053517D"/>
    <w:rsid w:val="005369E6"/>
    <w:rsid w:val="00536CC3"/>
    <w:rsid w:val="00537A0A"/>
    <w:rsid w:val="00537A91"/>
    <w:rsid w:val="00540273"/>
    <w:rsid w:val="00540434"/>
    <w:rsid w:val="005406BE"/>
    <w:rsid w:val="00542E65"/>
    <w:rsid w:val="00542EBE"/>
    <w:rsid w:val="005437C9"/>
    <w:rsid w:val="00543906"/>
    <w:rsid w:val="00543D59"/>
    <w:rsid w:val="00544802"/>
    <w:rsid w:val="00544E4B"/>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79D6"/>
    <w:rsid w:val="005600CE"/>
    <w:rsid w:val="00560BC6"/>
    <w:rsid w:val="0056186E"/>
    <w:rsid w:val="0056196B"/>
    <w:rsid w:val="00563CA8"/>
    <w:rsid w:val="005641F8"/>
    <w:rsid w:val="00564F47"/>
    <w:rsid w:val="005654B8"/>
    <w:rsid w:val="00565E58"/>
    <w:rsid w:val="00566CA2"/>
    <w:rsid w:val="0056703E"/>
    <w:rsid w:val="00567280"/>
    <w:rsid w:val="005673E6"/>
    <w:rsid w:val="005702B3"/>
    <w:rsid w:val="00570ACB"/>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77DEA"/>
    <w:rsid w:val="005807BB"/>
    <w:rsid w:val="005822E6"/>
    <w:rsid w:val="00582F4D"/>
    <w:rsid w:val="0058376D"/>
    <w:rsid w:val="00584051"/>
    <w:rsid w:val="0058427C"/>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208"/>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E49"/>
    <w:rsid w:val="005D517E"/>
    <w:rsid w:val="005D51AC"/>
    <w:rsid w:val="005D5220"/>
    <w:rsid w:val="005D5853"/>
    <w:rsid w:val="005D68F9"/>
    <w:rsid w:val="005D6E16"/>
    <w:rsid w:val="005D744E"/>
    <w:rsid w:val="005D79A4"/>
    <w:rsid w:val="005E00D6"/>
    <w:rsid w:val="005E0104"/>
    <w:rsid w:val="005E06A4"/>
    <w:rsid w:val="005E1229"/>
    <w:rsid w:val="005E152C"/>
    <w:rsid w:val="005E1ECB"/>
    <w:rsid w:val="005E21CB"/>
    <w:rsid w:val="005E297E"/>
    <w:rsid w:val="005E29B8"/>
    <w:rsid w:val="005E3D7B"/>
    <w:rsid w:val="005E45EA"/>
    <w:rsid w:val="005E5849"/>
    <w:rsid w:val="005E6809"/>
    <w:rsid w:val="005E6BF7"/>
    <w:rsid w:val="005E71AF"/>
    <w:rsid w:val="005E7944"/>
    <w:rsid w:val="005E7FD1"/>
    <w:rsid w:val="005F1C3C"/>
    <w:rsid w:val="005F3C63"/>
    <w:rsid w:val="005F3FA6"/>
    <w:rsid w:val="005F41D6"/>
    <w:rsid w:val="005F575D"/>
    <w:rsid w:val="005F6710"/>
    <w:rsid w:val="005F6F40"/>
    <w:rsid w:val="005F6F9D"/>
    <w:rsid w:val="005F7157"/>
    <w:rsid w:val="006006B1"/>
    <w:rsid w:val="00600A04"/>
    <w:rsid w:val="00601C15"/>
    <w:rsid w:val="00602842"/>
    <w:rsid w:val="00602ECA"/>
    <w:rsid w:val="006032C2"/>
    <w:rsid w:val="006056E6"/>
    <w:rsid w:val="00605F40"/>
    <w:rsid w:val="00606C51"/>
    <w:rsid w:val="00606E89"/>
    <w:rsid w:val="006100E7"/>
    <w:rsid w:val="006108D4"/>
    <w:rsid w:val="00610D1E"/>
    <w:rsid w:val="00611239"/>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111F"/>
    <w:rsid w:val="006420A9"/>
    <w:rsid w:val="00642B77"/>
    <w:rsid w:val="00642C23"/>
    <w:rsid w:val="00642E5C"/>
    <w:rsid w:val="00644D5B"/>
    <w:rsid w:val="00644DD5"/>
    <w:rsid w:val="00645900"/>
    <w:rsid w:val="006460BC"/>
    <w:rsid w:val="0064729C"/>
    <w:rsid w:val="006474F0"/>
    <w:rsid w:val="006511D1"/>
    <w:rsid w:val="0065190A"/>
    <w:rsid w:val="00651F60"/>
    <w:rsid w:val="00652A1E"/>
    <w:rsid w:val="00652FD7"/>
    <w:rsid w:val="00653546"/>
    <w:rsid w:val="00653817"/>
    <w:rsid w:val="00653892"/>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08"/>
    <w:rsid w:val="006712A4"/>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DCC"/>
    <w:rsid w:val="00691BC8"/>
    <w:rsid w:val="006923D9"/>
    <w:rsid w:val="006926DE"/>
    <w:rsid w:val="00692D89"/>
    <w:rsid w:val="00692F61"/>
    <w:rsid w:val="00693AAD"/>
    <w:rsid w:val="00693BA5"/>
    <w:rsid w:val="00694829"/>
    <w:rsid w:val="00694B06"/>
    <w:rsid w:val="0069553E"/>
    <w:rsid w:val="00695689"/>
    <w:rsid w:val="0069637C"/>
    <w:rsid w:val="00697A0A"/>
    <w:rsid w:val="006A125C"/>
    <w:rsid w:val="006A1400"/>
    <w:rsid w:val="006A141B"/>
    <w:rsid w:val="006A1D83"/>
    <w:rsid w:val="006A1FF2"/>
    <w:rsid w:val="006A277E"/>
    <w:rsid w:val="006A3840"/>
    <w:rsid w:val="006A5689"/>
    <w:rsid w:val="006A6176"/>
    <w:rsid w:val="006A61B9"/>
    <w:rsid w:val="006A6531"/>
    <w:rsid w:val="006A6745"/>
    <w:rsid w:val="006A6A3A"/>
    <w:rsid w:val="006B019D"/>
    <w:rsid w:val="006B4359"/>
    <w:rsid w:val="006B5635"/>
    <w:rsid w:val="006B6057"/>
    <w:rsid w:val="006B7334"/>
    <w:rsid w:val="006C156B"/>
    <w:rsid w:val="006C19F7"/>
    <w:rsid w:val="006C24E3"/>
    <w:rsid w:val="006C32AB"/>
    <w:rsid w:val="006C59A6"/>
    <w:rsid w:val="006C5BF8"/>
    <w:rsid w:val="006C61DD"/>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98F"/>
    <w:rsid w:val="006E11FC"/>
    <w:rsid w:val="006E171E"/>
    <w:rsid w:val="006E2165"/>
    <w:rsid w:val="006E22EB"/>
    <w:rsid w:val="006E247A"/>
    <w:rsid w:val="006E2EA4"/>
    <w:rsid w:val="006E3040"/>
    <w:rsid w:val="006E323B"/>
    <w:rsid w:val="006E3C71"/>
    <w:rsid w:val="006E478E"/>
    <w:rsid w:val="006E4CA4"/>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20DE2"/>
    <w:rsid w:val="007216D3"/>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D95"/>
    <w:rsid w:val="00771FE2"/>
    <w:rsid w:val="0077314D"/>
    <w:rsid w:val="00773644"/>
    <w:rsid w:val="00773C1C"/>
    <w:rsid w:val="00774B3E"/>
    <w:rsid w:val="0077534C"/>
    <w:rsid w:val="007753F0"/>
    <w:rsid w:val="007758F0"/>
    <w:rsid w:val="00777569"/>
    <w:rsid w:val="007813A8"/>
    <w:rsid w:val="00782BF0"/>
    <w:rsid w:val="007831EF"/>
    <w:rsid w:val="00783AEF"/>
    <w:rsid w:val="00783DA7"/>
    <w:rsid w:val="00784BEF"/>
    <w:rsid w:val="00785A4E"/>
    <w:rsid w:val="00785EA8"/>
    <w:rsid w:val="00786E41"/>
    <w:rsid w:val="00787B77"/>
    <w:rsid w:val="0079043C"/>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3B21"/>
    <w:rsid w:val="007C4563"/>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FDD"/>
    <w:rsid w:val="007E0604"/>
    <w:rsid w:val="007E0CE2"/>
    <w:rsid w:val="007E0D8B"/>
    <w:rsid w:val="007E15AA"/>
    <w:rsid w:val="007E2018"/>
    <w:rsid w:val="007E2B8C"/>
    <w:rsid w:val="007E4843"/>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44E4"/>
    <w:rsid w:val="00804AB1"/>
    <w:rsid w:val="00805541"/>
    <w:rsid w:val="00806066"/>
    <w:rsid w:val="00806232"/>
    <w:rsid w:val="008067B3"/>
    <w:rsid w:val="00806AA5"/>
    <w:rsid w:val="008071F4"/>
    <w:rsid w:val="008101BD"/>
    <w:rsid w:val="00810EB1"/>
    <w:rsid w:val="008118A2"/>
    <w:rsid w:val="00811F09"/>
    <w:rsid w:val="0081243E"/>
    <w:rsid w:val="00812C70"/>
    <w:rsid w:val="0081367A"/>
    <w:rsid w:val="00813BFB"/>
    <w:rsid w:val="008146E3"/>
    <w:rsid w:val="00814C0C"/>
    <w:rsid w:val="00814ED7"/>
    <w:rsid w:val="00815FFC"/>
    <w:rsid w:val="008168A6"/>
    <w:rsid w:val="00816D6A"/>
    <w:rsid w:val="0081742E"/>
    <w:rsid w:val="00817535"/>
    <w:rsid w:val="008176F0"/>
    <w:rsid w:val="0082041E"/>
    <w:rsid w:val="008207D8"/>
    <w:rsid w:val="00821BFB"/>
    <w:rsid w:val="0082285B"/>
    <w:rsid w:val="008235F9"/>
    <w:rsid w:val="00823F7D"/>
    <w:rsid w:val="00824F08"/>
    <w:rsid w:val="00825ABB"/>
    <w:rsid w:val="00825D61"/>
    <w:rsid w:val="0082640F"/>
    <w:rsid w:val="0082647D"/>
    <w:rsid w:val="008275D6"/>
    <w:rsid w:val="00827781"/>
    <w:rsid w:val="00827B16"/>
    <w:rsid w:val="00827CE0"/>
    <w:rsid w:val="00830E25"/>
    <w:rsid w:val="0083228C"/>
    <w:rsid w:val="00832AF9"/>
    <w:rsid w:val="00832F37"/>
    <w:rsid w:val="008347E1"/>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602B1"/>
    <w:rsid w:val="00860476"/>
    <w:rsid w:val="00860731"/>
    <w:rsid w:val="0086097D"/>
    <w:rsid w:val="008616E7"/>
    <w:rsid w:val="00861CFE"/>
    <w:rsid w:val="0086322A"/>
    <w:rsid w:val="00863360"/>
    <w:rsid w:val="00863820"/>
    <w:rsid w:val="0086630B"/>
    <w:rsid w:val="00867BD3"/>
    <w:rsid w:val="008703C2"/>
    <w:rsid w:val="008706B6"/>
    <w:rsid w:val="00870F85"/>
    <w:rsid w:val="00871A21"/>
    <w:rsid w:val="008730B5"/>
    <w:rsid w:val="008733A3"/>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34C"/>
    <w:rsid w:val="008A3414"/>
    <w:rsid w:val="008A347C"/>
    <w:rsid w:val="008A3AED"/>
    <w:rsid w:val="008A3B00"/>
    <w:rsid w:val="008A47B3"/>
    <w:rsid w:val="008A4A9B"/>
    <w:rsid w:val="008A6931"/>
    <w:rsid w:val="008A6B77"/>
    <w:rsid w:val="008A71EF"/>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7DD"/>
    <w:rsid w:val="008C30CA"/>
    <w:rsid w:val="008C440A"/>
    <w:rsid w:val="008C51DC"/>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3950"/>
    <w:rsid w:val="00924AF4"/>
    <w:rsid w:val="00925BEE"/>
    <w:rsid w:val="009264AC"/>
    <w:rsid w:val="00927069"/>
    <w:rsid w:val="009273A8"/>
    <w:rsid w:val="009273B5"/>
    <w:rsid w:val="00930CE2"/>
    <w:rsid w:val="00932510"/>
    <w:rsid w:val="009330AE"/>
    <w:rsid w:val="009345EE"/>
    <w:rsid w:val="009346B4"/>
    <w:rsid w:val="00940C73"/>
    <w:rsid w:val="00940DB9"/>
    <w:rsid w:val="00941A59"/>
    <w:rsid w:val="00941C8F"/>
    <w:rsid w:val="0094209B"/>
    <w:rsid w:val="009423C8"/>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34D"/>
    <w:rsid w:val="009843D0"/>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2A5"/>
    <w:rsid w:val="009913C0"/>
    <w:rsid w:val="009922EC"/>
    <w:rsid w:val="009924B2"/>
    <w:rsid w:val="00992787"/>
    <w:rsid w:val="00992837"/>
    <w:rsid w:val="009929E9"/>
    <w:rsid w:val="00992BB2"/>
    <w:rsid w:val="00993418"/>
    <w:rsid w:val="00993456"/>
    <w:rsid w:val="00993796"/>
    <w:rsid w:val="00993806"/>
    <w:rsid w:val="00993D41"/>
    <w:rsid w:val="00994774"/>
    <w:rsid w:val="0099625B"/>
    <w:rsid w:val="00996D85"/>
    <w:rsid w:val="00997177"/>
    <w:rsid w:val="00997912"/>
    <w:rsid w:val="00997956"/>
    <w:rsid w:val="00997C1B"/>
    <w:rsid w:val="00997C6F"/>
    <w:rsid w:val="009A0EAC"/>
    <w:rsid w:val="009A2A5D"/>
    <w:rsid w:val="009A2AEC"/>
    <w:rsid w:val="009A4EFA"/>
    <w:rsid w:val="009A7384"/>
    <w:rsid w:val="009B2C8A"/>
    <w:rsid w:val="009B3C6A"/>
    <w:rsid w:val="009B53BE"/>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D7D6A"/>
    <w:rsid w:val="009E00EC"/>
    <w:rsid w:val="009E040F"/>
    <w:rsid w:val="009E0FA2"/>
    <w:rsid w:val="009E1001"/>
    <w:rsid w:val="009E1054"/>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2E6D"/>
    <w:rsid w:val="009F357D"/>
    <w:rsid w:val="009F3A2F"/>
    <w:rsid w:val="009F45EF"/>
    <w:rsid w:val="009F4C63"/>
    <w:rsid w:val="009F51A3"/>
    <w:rsid w:val="009F5401"/>
    <w:rsid w:val="009F61BC"/>
    <w:rsid w:val="009F6FDE"/>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5456"/>
    <w:rsid w:val="00A15864"/>
    <w:rsid w:val="00A15EF0"/>
    <w:rsid w:val="00A162FC"/>
    <w:rsid w:val="00A165D8"/>
    <w:rsid w:val="00A16F3C"/>
    <w:rsid w:val="00A17A6E"/>
    <w:rsid w:val="00A20872"/>
    <w:rsid w:val="00A209AB"/>
    <w:rsid w:val="00A20E09"/>
    <w:rsid w:val="00A224AA"/>
    <w:rsid w:val="00A22623"/>
    <w:rsid w:val="00A22B7B"/>
    <w:rsid w:val="00A230BB"/>
    <w:rsid w:val="00A23267"/>
    <w:rsid w:val="00A237BE"/>
    <w:rsid w:val="00A25FA8"/>
    <w:rsid w:val="00A261A1"/>
    <w:rsid w:val="00A265D4"/>
    <w:rsid w:val="00A27A7B"/>
    <w:rsid w:val="00A3039F"/>
    <w:rsid w:val="00A30639"/>
    <w:rsid w:val="00A32090"/>
    <w:rsid w:val="00A32F30"/>
    <w:rsid w:val="00A33312"/>
    <w:rsid w:val="00A3375C"/>
    <w:rsid w:val="00A33DBE"/>
    <w:rsid w:val="00A3527A"/>
    <w:rsid w:val="00A35F3A"/>
    <w:rsid w:val="00A365AE"/>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EE"/>
    <w:rsid w:val="00A55EA7"/>
    <w:rsid w:val="00A571ED"/>
    <w:rsid w:val="00A578F8"/>
    <w:rsid w:val="00A57AB0"/>
    <w:rsid w:val="00A57BA6"/>
    <w:rsid w:val="00A6096D"/>
    <w:rsid w:val="00A61C17"/>
    <w:rsid w:val="00A62934"/>
    <w:rsid w:val="00A62A00"/>
    <w:rsid w:val="00A63E74"/>
    <w:rsid w:val="00A641BD"/>
    <w:rsid w:val="00A6499E"/>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0BA1"/>
    <w:rsid w:val="00A819EB"/>
    <w:rsid w:val="00A830A4"/>
    <w:rsid w:val="00A8321D"/>
    <w:rsid w:val="00A843A1"/>
    <w:rsid w:val="00A843BF"/>
    <w:rsid w:val="00A846ED"/>
    <w:rsid w:val="00A855F8"/>
    <w:rsid w:val="00A85664"/>
    <w:rsid w:val="00A85CA2"/>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106"/>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5910"/>
    <w:rsid w:val="00AA688B"/>
    <w:rsid w:val="00AA6B7A"/>
    <w:rsid w:val="00AA6F63"/>
    <w:rsid w:val="00AB08D1"/>
    <w:rsid w:val="00AB0EEC"/>
    <w:rsid w:val="00AB2093"/>
    <w:rsid w:val="00AB3E38"/>
    <w:rsid w:val="00AB43FD"/>
    <w:rsid w:val="00AB55F5"/>
    <w:rsid w:val="00AB5AA2"/>
    <w:rsid w:val="00AB5AE2"/>
    <w:rsid w:val="00AB5BD3"/>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27AC"/>
    <w:rsid w:val="00AD3835"/>
    <w:rsid w:val="00AD4339"/>
    <w:rsid w:val="00AD4A76"/>
    <w:rsid w:val="00AD5854"/>
    <w:rsid w:val="00AD5936"/>
    <w:rsid w:val="00AD5FB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B004A9"/>
    <w:rsid w:val="00B00943"/>
    <w:rsid w:val="00B00BC0"/>
    <w:rsid w:val="00B00BF1"/>
    <w:rsid w:val="00B014EA"/>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9E5"/>
    <w:rsid w:val="00B2553B"/>
    <w:rsid w:val="00B25576"/>
    <w:rsid w:val="00B2596D"/>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7E2"/>
    <w:rsid w:val="00B76BB1"/>
    <w:rsid w:val="00B77050"/>
    <w:rsid w:val="00B8003A"/>
    <w:rsid w:val="00B80041"/>
    <w:rsid w:val="00B80D13"/>
    <w:rsid w:val="00B810D7"/>
    <w:rsid w:val="00B813A8"/>
    <w:rsid w:val="00B820EB"/>
    <w:rsid w:val="00B8246D"/>
    <w:rsid w:val="00B82518"/>
    <w:rsid w:val="00B8345C"/>
    <w:rsid w:val="00B8353A"/>
    <w:rsid w:val="00B837DB"/>
    <w:rsid w:val="00B849C9"/>
    <w:rsid w:val="00B84A7B"/>
    <w:rsid w:val="00B84CC5"/>
    <w:rsid w:val="00B84F2D"/>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7C2"/>
    <w:rsid w:val="00C119ED"/>
    <w:rsid w:val="00C12046"/>
    <w:rsid w:val="00C135C8"/>
    <w:rsid w:val="00C152A9"/>
    <w:rsid w:val="00C15662"/>
    <w:rsid w:val="00C15E3C"/>
    <w:rsid w:val="00C168FC"/>
    <w:rsid w:val="00C204A9"/>
    <w:rsid w:val="00C20C6A"/>
    <w:rsid w:val="00C245EA"/>
    <w:rsid w:val="00C246F1"/>
    <w:rsid w:val="00C259A1"/>
    <w:rsid w:val="00C25B06"/>
    <w:rsid w:val="00C266E6"/>
    <w:rsid w:val="00C275C4"/>
    <w:rsid w:val="00C27F0E"/>
    <w:rsid w:val="00C27FFC"/>
    <w:rsid w:val="00C30131"/>
    <w:rsid w:val="00C307AA"/>
    <w:rsid w:val="00C30CED"/>
    <w:rsid w:val="00C327B7"/>
    <w:rsid w:val="00C3283F"/>
    <w:rsid w:val="00C33122"/>
    <w:rsid w:val="00C3368E"/>
    <w:rsid w:val="00C3383B"/>
    <w:rsid w:val="00C33A6D"/>
    <w:rsid w:val="00C349C9"/>
    <w:rsid w:val="00C35F20"/>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5B85"/>
    <w:rsid w:val="00C56BE8"/>
    <w:rsid w:val="00C57515"/>
    <w:rsid w:val="00C5791B"/>
    <w:rsid w:val="00C57E70"/>
    <w:rsid w:val="00C6120F"/>
    <w:rsid w:val="00C62463"/>
    <w:rsid w:val="00C63961"/>
    <w:rsid w:val="00C63B21"/>
    <w:rsid w:val="00C64218"/>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FC6"/>
    <w:rsid w:val="00C85242"/>
    <w:rsid w:val="00C85BD1"/>
    <w:rsid w:val="00C85E7D"/>
    <w:rsid w:val="00C86BB1"/>
    <w:rsid w:val="00C86C41"/>
    <w:rsid w:val="00C871F0"/>
    <w:rsid w:val="00C8722C"/>
    <w:rsid w:val="00C90045"/>
    <w:rsid w:val="00C907CB"/>
    <w:rsid w:val="00C90BA7"/>
    <w:rsid w:val="00C91D07"/>
    <w:rsid w:val="00C91F82"/>
    <w:rsid w:val="00C921BD"/>
    <w:rsid w:val="00C92AE6"/>
    <w:rsid w:val="00C934EB"/>
    <w:rsid w:val="00C94CF6"/>
    <w:rsid w:val="00C95563"/>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D12BF"/>
    <w:rsid w:val="00CD17AB"/>
    <w:rsid w:val="00CD184E"/>
    <w:rsid w:val="00CD1E0E"/>
    <w:rsid w:val="00CD2078"/>
    <w:rsid w:val="00CD228A"/>
    <w:rsid w:val="00CD25C7"/>
    <w:rsid w:val="00CD419A"/>
    <w:rsid w:val="00CD46E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62D0"/>
    <w:rsid w:val="00CF7664"/>
    <w:rsid w:val="00D00058"/>
    <w:rsid w:val="00D029C8"/>
    <w:rsid w:val="00D02E51"/>
    <w:rsid w:val="00D03925"/>
    <w:rsid w:val="00D04595"/>
    <w:rsid w:val="00D05A9A"/>
    <w:rsid w:val="00D07893"/>
    <w:rsid w:val="00D0797E"/>
    <w:rsid w:val="00D11F40"/>
    <w:rsid w:val="00D127EF"/>
    <w:rsid w:val="00D139E9"/>
    <w:rsid w:val="00D13FCD"/>
    <w:rsid w:val="00D13FDD"/>
    <w:rsid w:val="00D14B2E"/>
    <w:rsid w:val="00D14F48"/>
    <w:rsid w:val="00D15109"/>
    <w:rsid w:val="00D15D24"/>
    <w:rsid w:val="00D16329"/>
    <w:rsid w:val="00D17322"/>
    <w:rsid w:val="00D1772C"/>
    <w:rsid w:val="00D20196"/>
    <w:rsid w:val="00D213FF"/>
    <w:rsid w:val="00D223E2"/>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1B1"/>
    <w:rsid w:val="00D333BE"/>
    <w:rsid w:val="00D341D2"/>
    <w:rsid w:val="00D354FD"/>
    <w:rsid w:val="00D36575"/>
    <w:rsid w:val="00D377DD"/>
    <w:rsid w:val="00D37A3B"/>
    <w:rsid w:val="00D37C4B"/>
    <w:rsid w:val="00D40BF8"/>
    <w:rsid w:val="00D41883"/>
    <w:rsid w:val="00D41C01"/>
    <w:rsid w:val="00D41DBA"/>
    <w:rsid w:val="00D41E3A"/>
    <w:rsid w:val="00D42559"/>
    <w:rsid w:val="00D43023"/>
    <w:rsid w:val="00D44599"/>
    <w:rsid w:val="00D45555"/>
    <w:rsid w:val="00D45A24"/>
    <w:rsid w:val="00D466D6"/>
    <w:rsid w:val="00D51874"/>
    <w:rsid w:val="00D52D6C"/>
    <w:rsid w:val="00D5407D"/>
    <w:rsid w:val="00D540C1"/>
    <w:rsid w:val="00D545E5"/>
    <w:rsid w:val="00D550D0"/>
    <w:rsid w:val="00D55DA9"/>
    <w:rsid w:val="00D56AA5"/>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609"/>
    <w:rsid w:val="00D817DF"/>
    <w:rsid w:val="00D8187F"/>
    <w:rsid w:val="00D81FD5"/>
    <w:rsid w:val="00D829C2"/>
    <w:rsid w:val="00D83723"/>
    <w:rsid w:val="00D844A8"/>
    <w:rsid w:val="00D84B05"/>
    <w:rsid w:val="00D85D76"/>
    <w:rsid w:val="00D864D1"/>
    <w:rsid w:val="00D86868"/>
    <w:rsid w:val="00D90B42"/>
    <w:rsid w:val="00D90B9D"/>
    <w:rsid w:val="00D90F31"/>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B77"/>
    <w:rsid w:val="00DB1D5B"/>
    <w:rsid w:val="00DB2ED7"/>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5E6F"/>
    <w:rsid w:val="00DC6290"/>
    <w:rsid w:val="00DC6F2F"/>
    <w:rsid w:val="00DC7185"/>
    <w:rsid w:val="00DC7556"/>
    <w:rsid w:val="00DC7AB4"/>
    <w:rsid w:val="00DC7D7F"/>
    <w:rsid w:val="00DD0D13"/>
    <w:rsid w:val="00DD0E6E"/>
    <w:rsid w:val="00DD1D0B"/>
    <w:rsid w:val="00DD2ABE"/>
    <w:rsid w:val="00DD32F8"/>
    <w:rsid w:val="00DD34EE"/>
    <w:rsid w:val="00DD3E7A"/>
    <w:rsid w:val="00DD606C"/>
    <w:rsid w:val="00DD61F7"/>
    <w:rsid w:val="00DD66D5"/>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3DC"/>
    <w:rsid w:val="00DE5975"/>
    <w:rsid w:val="00DE5C6E"/>
    <w:rsid w:val="00DE6567"/>
    <w:rsid w:val="00DE755B"/>
    <w:rsid w:val="00DF0A76"/>
    <w:rsid w:val="00DF13BE"/>
    <w:rsid w:val="00DF25BE"/>
    <w:rsid w:val="00DF2BF9"/>
    <w:rsid w:val="00DF37D1"/>
    <w:rsid w:val="00DF3E4D"/>
    <w:rsid w:val="00DF5A53"/>
    <w:rsid w:val="00DF6580"/>
    <w:rsid w:val="00DF76F7"/>
    <w:rsid w:val="00DF78DB"/>
    <w:rsid w:val="00E01727"/>
    <w:rsid w:val="00E0245D"/>
    <w:rsid w:val="00E02FC4"/>
    <w:rsid w:val="00E03384"/>
    <w:rsid w:val="00E04912"/>
    <w:rsid w:val="00E04B60"/>
    <w:rsid w:val="00E057E0"/>
    <w:rsid w:val="00E059FB"/>
    <w:rsid w:val="00E05ABB"/>
    <w:rsid w:val="00E1027E"/>
    <w:rsid w:val="00E107A3"/>
    <w:rsid w:val="00E10DD6"/>
    <w:rsid w:val="00E11B8F"/>
    <w:rsid w:val="00E11CBE"/>
    <w:rsid w:val="00E12419"/>
    <w:rsid w:val="00E126E0"/>
    <w:rsid w:val="00E13264"/>
    <w:rsid w:val="00E136E6"/>
    <w:rsid w:val="00E141C6"/>
    <w:rsid w:val="00E142EA"/>
    <w:rsid w:val="00E14397"/>
    <w:rsid w:val="00E14816"/>
    <w:rsid w:val="00E14E1A"/>
    <w:rsid w:val="00E15C96"/>
    <w:rsid w:val="00E15D16"/>
    <w:rsid w:val="00E1728C"/>
    <w:rsid w:val="00E1797D"/>
    <w:rsid w:val="00E207A4"/>
    <w:rsid w:val="00E2164A"/>
    <w:rsid w:val="00E21F3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56C"/>
    <w:rsid w:val="00E36AF0"/>
    <w:rsid w:val="00E37F83"/>
    <w:rsid w:val="00E40192"/>
    <w:rsid w:val="00E4032E"/>
    <w:rsid w:val="00E41542"/>
    <w:rsid w:val="00E415A4"/>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648"/>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97492"/>
    <w:rsid w:val="00EA0EE3"/>
    <w:rsid w:val="00EA0F80"/>
    <w:rsid w:val="00EA3B1C"/>
    <w:rsid w:val="00EA499F"/>
    <w:rsid w:val="00EA6B69"/>
    <w:rsid w:val="00EB1476"/>
    <w:rsid w:val="00EB1479"/>
    <w:rsid w:val="00EB16FF"/>
    <w:rsid w:val="00EB2A07"/>
    <w:rsid w:val="00EB4FAC"/>
    <w:rsid w:val="00EB51D1"/>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652E"/>
    <w:rsid w:val="00ED6B44"/>
    <w:rsid w:val="00ED75DF"/>
    <w:rsid w:val="00EE0136"/>
    <w:rsid w:val="00EE0A08"/>
    <w:rsid w:val="00EE15CD"/>
    <w:rsid w:val="00EE1A8E"/>
    <w:rsid w:val="00EE2933"/>
    <w:rsid w:val="00EE5535"/>
    <w:rsid w:val="00EE76C9"/>
    <w:rsid w:val="00EF0D2C"/>
    <w:rsid w:val="00EF23D4"/>
    <w:rsid w:val="00EF37BB"/>
    <w:rsid w:val="00EF3DD7"/>
    <w:rsid w:val="00EF49A8"/>
    <w:rsid w:val="00EF58C8"/>
    <w:rsid w:val="00EF60CE"/>
    <w:rsid w:val="00EF60F8"/>
    <w:rsid w:val="00EF69B1"/>
    <w:rsid w:val="00EF7772"/>
    <w:rsid w:val="00F0094B"/>
    <w:rsid w:val="00F014CE"/>
    <w:rsid w:val="00F056EC"/>
    <w:rsid w:val="00F05718"/>
    <w:rsid w:val="00F05809"/>
    <w:rsid w:val="00F05FA8"/>
    <w:rsid w:val="00F0654F"/>
    <w:rsid w:val="00F0680C"/>
    <w:rsid w:val="00F06C7F"/>
    <w:rsid w:val="00F07192"/>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0D65"/>
    <w:rsid w:val="00F213AE"/>
    <w:rsid w:val="00F221BC"/>
    <w:rsid w:val="00F22414"/>
    <w:rsid w:val="00F22F79"/>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29E"/>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5BEC"/>
    <w:rsid w:val="00F96DD4"/>
    <w:rsid w:val="00F97085"/>
    <w:rsid w:val="00F97792"/>
    <w:rsid w:val="00FA1B17"/>
    <w:rsid w:val="00FA26E1"/>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5E6A"/>
    <w:rsid w:val="00FB6269"/>
    <w:rsid w:val="00FB644D"/>
    <w:rsid w:val="00FB66F1"/>
    <w:rsid w:val="00FB71B9"/>
    <w:rsid w:val="00FB731E"/>
    <w:rsid w:val="00FC02A7"/>
    <w:rsid w:val="00FC0688"/>
    <w:rsid w:val="00FC206D"/>
    <w:rsid w:val="00FC2415"/>
    <w:rsid w:val="00FC31B9"/>
    <w:rsid w:val="00FC37EF"/>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3E9F"/>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61DB"/>
    <w:rsid w:val="00FF654B"/>
    <w:rsid w:val="00FF66A2"/>
    <w:rsid w:val="00FF6CD5"/>
    <w:rsid w:val="00FF7204"/>
    <w:rsid w:val="00FF726E"/>
    <w:rsid w:val="011C44BE"/>
    <w:rsid w:val="01431A4A"/>
    <w:rsid w:val="017D66E9"/>
    <w:rsid w:val="018A58CB"/>
    <w:rsid w:val="019B57A0"/>
    <w:rsid w:val="01A06E9D"/>
    <w:rsid w:val="01A3073B"/>
    <w:rsid w:val="01A324E9"/>
    <w:rsid w:val="01D134FA"/>
    <w:rsid w:val="01D63F6D"/>
    <w:rsid w:val="01D6466C"/>
    <w:rsid w:val="01DF58FF"/>
    <w:rsid w:val="01FA65AD"/>
    <w:rsid w:val="021533E7"/>
    <w:rsid w:val="024C0DD3"/>
    <w:rsid w:val="024D4A7D"/>
    <w:rsid w:val="027F6AB2"/>
    <w:rsid w:val="02A6134A"/>
    <w:rsid w:val="02B26E88"/>
    <w:rsid w:val="02CB7F49"/>
    <w:rsid w:val="02E146F9"/>
    <w:rsid w:val="02E334E5"/>
    <w:rsid w:val="02E80AFB"/>
    <w:rsid w:val="02E903CF"/>
    <w:rsid w:val="02ED4364"/>
    <w:rsid w:val="030671D3"/>
    <w:rsid w:val="030A74DF"/>
    <w:rsid w:val="030B2A3C"/>
    <w:rsid w:val="03103BAE"/>
    <w:rsid w:val="031F181B"/>
    <w:rsid w:val="032A4C70"/>
    <w:rsid w:val="035B12CD"/>
    <w:rsid w:val="035D5C1E"/>
    <w:rsid w:val="0361440A"/>
    <w:rsid w:val="03630182"/>
    <w:rsid w:val="0374413D"/>
    <w:rsid w:val="038B1487"/>
    <w:rsid w:val="03920A67"/>
    <w:rsid w:val="03A12836"/>
    <w:rsid w:val="03B56C36"/>
    <w:rsid w:val="03CF41F6"/>
    <w:rsid w:val="03D130C9"/>
    <w:rsid w:val="03D1333D"/>
    <w:rsid w:val="03DE3CAC"/>
    <w:rsid w:val="03F80913"/>
    <w:rsid w:val="040A2CF3"/>
    <w:rsid w:val="041B6CAE"/>
    <w:rsid w:val="04274B96"/>
    <w:rsid w:val="043C2389"/>
    <w:rsid w:val="04446205"/>
    <w:rsid w:val="044B7594"/>
    <w:rsid w:val="044F3EF5"/>
    <w:rsid w:val="046046C1"/>
    <w:rsid w:val="04650E5C"/>
    <w:rsid w:val="046B19E4"/>
    <w:rsid w:val="04820ADC"/>
    <w:rsid w:val="04BA2023"/>
    <w:rsid w:val="04DC52CD"/>
    <w:rsid w:val="04E42BB1"/>
    <w:rsid w:val="04F4568F"/>
    <w:rsid w:val="04F75026"/>
    <w:rsid w:val="04FA2D68"/>
    <w:rsid w:val="04FC3176"/>
    <w:rsid w:val="050B6D23"/>
    <w:rsid w:val="05177476"/>
    <w:rsid w:val="053C512E"/>
    <w:rsid w:val="053F077B"/>
    <w:rsid w:val="05686EE8"/>
    <w:rsid w:val="05820D5B"/>
    <w:rsid w:val="059E7B97"/>
    <w:rsid w:val="05BE78F1"/>
    <w:rsid w:val="05C018BB"/>
    <w:rsid w:val="05C25634"/>
    <w:rsid w:val="05C44C99"/>
    <w:rsid w:val="05CD3EB3"/>
    <w:rsid w:val="05D45367"/>
    <w:rsid w:val="05E27A84"/>
    <w:rsid w:val="05E30006"/>
    <w:rsid w:val="05E530D0"/>
    <w:rsid w:val="061E22CB"/>
    <w:rsid w:val="06205A83"/>
    <w:rsid w:val="06284D83"/>
    <w:rsid w:val="06585F98"/>
    <w:rsid w:val="065C36FD"/>
    <w:rsid w:val="06725B16"/>
    <w:rsid w:val="068154EF"/>
    <w:rsid w:val="06872D56"/>
    <w:rsid w:val="06913258"/>
    <w:rsid w:val="06963510"/>
    <w:rsid w:val="069F7723"/>
    <w:rsid w:val="06AA444A"/>
    <w:rsid w:val="06C254FC"/>
    <w:rsid w:val="06D66EBD"/>
    <w:rsid w:val="06E46DD6"/>
    <w:rsid w:val="06E65352"/>
    <w:rsid w:val="06F2019A"/>
    <w:rsid w:val="06FD5623"/>
    <w:rsid w:val="07043A2A"/>
    <w:rsid w:val="071F1BF8"/>
    <w:rsid w:val="07320597"/>
    <w:rsid w:val="074402CA"/>
    <w:rsid w:val="07484826"/>
    <w:rsid w:val="074B228B"/>
    <w:rsid w:val="07504EC1"/>
    <w:rsid w:val="07533B82"/>
    <w:rsid w:val="07603356"/>
    <w:rsid w:val="076A17A5"/>
    <w:rsid w:val="076A5F83"/>
    <w:rsid w:val="077F1CF5"/>
    <w:rsid w:val="079335E8"/>
    <w:rsid w:val="079C3C62"/>
    <w:rsid w:val="07C30200"/>
    <w:rsid w:val="07CC09EB"/>
    <w:rsid w:val="07D478A0"/>
    <w:rsid w:val="07E85FE1"/>
    <w:rsid w:val="0802440D"/>
    <w:rsid w:val="081D2FF5"/>
    <w:rsid w:val="0822151D"/>
    <w:rsid w:val="082F2B3A"/>
    <w:rsid w:val="082F6E54"/>
    <w:rsid w:val="08626C5A"/>
    <w:rsid w:val="088210AA"/>
    <w:rsid w:val="08892439"/>
    <w:rsid w:val="088C017B"/>
    <w:rsid w:val="088E3EF3"/>
    <w:rsid w:val="08935065"/>
    <w:rsid w:val="08B6248C"/>
    <w:rsid w:val="08C0550B"/>
    <w:rsid w:val="08E27D9B"/>
    <w:rsid w:val="08E41D65"/>
    <w:rsid w:val="08FC70AE"/>
    <w:rsid w:val="08FF6B9F"/>
    <w:rsid w:val="090827CD"/>
    <w:rsid w:val="09095327"/>
    <w:rsid w:val="090B35E0"/>
    <w:rsid w:val="09246605"/>
    <w:rsid w:val="094B5940"/>
    <w:rsid w:val="09540C99"/>
    <w:rsid w:val="09615163"/>
    <w:rsid w:val="09641372"/>
    <w:rsid w:val="09736C45"/>
    <w:rsid w:val="09774987"/>
    <w:rsid w:val="09B96D4E"/>
    <w:rsid w:val="09CA0F5B"/>
    <w:rsid w:val="09D74EF0"/>
    <w:rsid w:val="09E3201C"/>
    <w:rsid w:val="09FD1E6C"/>
    <w:rsid w:val="0A014251"/>
    <w:rsid w:val="0A0B50CF"/>
    <w:rsid w:val="0A0E1031"/>
    <w:rsid w:val="0A0F2E11"/>
    <w:rsid w:val="0A0F696E"/>
    <w:rsid w:val="0A107C4A"/>
    <w:rsid w:val="0A2377FF"/>
    <w:rsid w:val="0A682522"/>
    <w:rsid w:val="0A6848D8"/>
    <w:rsid w:val="0A6F565E"/>
    <w:rsid w:val="0A742C74"/>
    <w:rsid w:val="0A7C5EE5"/>
    <w:rsid w:val="0ABD286D"/>
    <w:rsid w:val="0AC41E4E"/>
    <w:rsid w:val="0AD100C7"/>
    <w:rsid w:val="0ADD6A6C"/>
    <w:rsid w:val="0B015E43"/>
    <w:rsid w:val="0B057D70"/>
    <w:rsid w:val="0B9E36F4"/>
    <w:rsid w:val="0BAF665A"/>
    <w:rsid w:val="0BB63CDC"/>
    <w:rsid w:val="0BEB340A"/>
    <w:rsid w:val="0BED2CDE"/>
    <w:rsid w:val="0C1A784C"/>
    <w:rsid w:val="0C1B09F4"/>
    <w:rsid w:val="0C1D11D3"/>
    <w:rsid w:val="0C405504"/>
    <w:rsid w:val="0C60563C"/>
    <w:rsid w:val="0C686809"/>
    <w:rsid w:val="0C6F4365"/>
    <w:rsid w:val="0C7117A3"/>
    <w:rsid w:val="0C7B02EA"/>
    <w:rsid w:val="0C7D673F"/>
    <w:rsid w:val="0C923886"/>
    <w:rsid w:val="0C965124"/>
    <w:rsid w:val="0CCF4256"/>
    <w:rsid w:val="0CD24F6E"/>
    <w:rsid w:val="0CF01B55"/>
    <w:rsid w:val="0CF647D3"/>
    <w:rsid w:val="0D0A78C0"/>
    <w:rsid w:val="0D0C188A"/>
    <w:rsid w:val="0D1129FD"/>
    <w:rsid w:val="0D132C19"/>
    <w:rsid w:val="0D305579"/>
    <w:rsid w:val="0D4252AC"/>
    <w:rsid w:val="0D4947F0"/>
    <w:rsid w:val="0D4E1EA3"/>
    <w:rsid w:val="0D613984"/>
    <w:rsid w:val="0D6214AA"/>
    <w:rsid w:val="0D6C574D"/>
    <w:rsid w:val="0D6E7004"/>
    <w:rsid w:val="0D883FB7"/>
    <w:rsid w:val="0D8B0A01"/>
    <w:rsid w:val="0DE56FDE"/>
    <w:rsid w:val="0DEF6259"/>
    <w:rsid w:val="0DF447F8"/>
    <w:rsid w:val="0DF90060"/>
    <w:rsid w:val="0E0D58BA"/>
    <w:rsid w:val="0E285928"/>
    <w:rsid w:val="0E2A1FC8"/>
    <w:rsid w:val="0E2D7D0A"/>
    <w:rsid w:val="0E552DBD"/>
    <w:rsid w:val="0EA578A0"/>
    <w:rsid w:val="0EA83079"/>
    <w:rsid w:val="0ED62150"/>
    <w:rsid w:val="0EE83C31"/>
    <w:rsid w:val="0F203F97"/>
    <w:rsid w:val="0F3330FE"/>
    <w:rsid w:val="0F3B6457"/>
    <w:rsid w:val="0F40581B"/>
    <w:rsid w:val="0F4075C9"/>
    <w:rsid w:val="0F515C7A"/>
    <w:rsid w:val="0F517A28"/>
    <w:rsid w:val="0F535F76"/>
    <w:rsid w:val="0F5A0DB5"/>
    <w:rsid w:val="0F6B6D3C"/>
    <w:rsid w:val="0F9F0794"/>
    <w:rsid w:val="0FA31024"/>
    <w:rsid w:val="0FBA13A8"/>
    <w:rsid w:val="0FBD6E6C"/>
    <w:rsid w:val="0FDD4E95"/>
    <w:rsid w:val="0FDE19F7"/>
    <w:rsid w:val="0FF46D31"/>
    <w:rsid w:val="10044A9B"/>
    <w:rsid w:val="1019169C"/>
    <w:rsid w:val="101A42BE"/>
    <w:rsid w:val="101C0036"/>
    <w:rsid w:val="10252C36"/>
    <w:rsid w:val="102D02A1"/>
    <w:rsid w:val="102D3FF1"/>
    <w:rsid w:val="102E38C6"/>
    <w:rsid w:val="103E1D5B"/>
    <w:rsid w:val="10675755"/>
    <w:rsid w:val="1077526D"/>
    <w:rsid w:val="108160EB"/>
    <w:rsid w:val="10863702"/>
    <w:rsid w:val="109C57DC"/>
    <w:rsid w:val="109E740F"/>
    <w:rsid w:val="10AB4F16"/>
    <w:rsid w:val="10AC760C"/>
    <w:rsid w:val="10BB784F"/>
    <w:rsid w:val="10C83D1A"/>
    <w:rsid w:val="10CD30DE"/>
    <w:rsid w:val="10E723F2"/>
    <w:rsid w:val="10EC0872"/>
    <w:rsid w:val="111451B1"/>
    <w:rsid w:val="11423ACC"/>
    <w:rsid w:val="1144495B"/>
    <w:rsid w:val="11515ABE"/>
    <w:rsid w:val="115F45E5"/>
    <w:rsid w:val="116E48C1"/>
    <w:rsid w:val="116E4A19"/>
    <w:rsid w:val="116F4196"/>
    <w:rsid w:val="119500A0"/>
    <w:rsid w:val="11CC1466"/>
    <w:rsid w:val="11D34725"/>
    <w:rsid w:val="11D566EF"/>
    <w:rsid w:val="11D861DF"/>
    <w:rsid w:val="11E46C61"/>
    <w:rsid w:val="12107F7D"/>
    <w:rsid w:val="12266F4A"/>
    <w:rsid w:val="126B2BAF"/>
    <w:rsid w:val="12744159"/>
    <w:rsid w:val="127A1044"/>
    <w:rsid w:val="12A146D5"/>
    <w:rsid w:val="12A85BB1"/>
    <w:rsid w:val="12B10F0A"/>
    <w:rsid w:val="12C50511"/>
    <w:rsid w:val="12E360E4"/>
    <w:rsid w:val="12E60488"/>
    <w:rsid w:val="12E62106"/>
    <w:rsid w:val="12F901BB"/>
    <w:rsid w:val="13182D37"/>
    <w:rsid w:val="13196AAF"/>
    <w:rsid w:val="13373653"/>
    <w:rsid w:val="133D454B"/>
    <w:rsid w:val="133E2072"/>
    <w:rsid w:val="135950FD"/>
    <w:rsid w:val="13616DDA"/>
    <w:rsid w:val="13783CEF"/>
    <w:rsid w:val="137B32C6"/>
    <w:rsid w:val="13826402"/>
    <w:rsid w:val="13904FC3"/>
    <w:rsid w:val="13916645"/>
    <w:rsid w:val="13AC7923"/>
    <w:rsid w:val="13B758FF"/>
    <w:rsid w:val="13D5487D"/>
    <w:rsid w:val="13F57B76"/>
    <w:rsid w:val="141259D8"/>
    <w:rsid w:val="1419582F"/>
    <w:rsid w:val="141C1100"/>
    <w:rsid w:val="1441006B"/>
    <w:rsid w:val="144C06BE"/>
    <w:rsid w:val="14531B4D"/>
    <w:rsid w:val="14641FAC"/>
    <w:rsid w:val="14697BE6"/>
    <w:rsid w:val="147742FE"/>
    <w:rsid w:val="149F2FE4"/>
    <w:rsid w:val="14A56265"/>
    <w:rsid w:val="14DB7F08"/>
    <w:rsid w:val="14E62BE7"/>
    <w:rsid w:val="1517701E"/>
    <w:rsid w:val="15200D24"/>
    <w:rsid w:val="15221996"/>
    <w:rsid w:val="152D4594"/>
    <w:rsid w:val="153D4CD7"/>
    <w:rsid w:val="155E4C4D"/>
    <w:rsid w:val="15610299"/>
    <w:rsid w:val="15915022"/>
    <w:rsid w:val="159D7523"/>
    <w:rsid w:val="15B91E83"/>
    <w:rsid w:val="15D56295"/>
    <w:rsid w:val="15D867AD"/>
    <w:rsid w:val="160457D1"/>
    <w:rsid w:val="160752E5"/>
    <w:rsid w:val="161D1CE9"/>
    <w:rsid w:val="161E0A1B"/>
    <w:rsid w:val="163A2FC4"/>
    <w:rsid w:val="1647748F"/>
    <w:rsid w:val="166D15EC"/>
    <w:rsid w:val="16701D10"/>
    <w:rsid w:val="16734728"/>
    <w:rsid w:val="167C35DD"/>
    <w:rsid w:val="16866209"/>
    <w:rsid w:val="16930926"/>
    <w:rsid w:val="169C3C7F"/>
    <w:rsid w:val="16A9014A"/>
    <w:rsid w:val="16BF171B"/>
    <w:rsid w:val="16E86EC4"/>
    <w:rsid w:val="16F77107"/>
    <w:rsid w:val="1703785A"/>
    <w:rsid w:val="17117C38"/>
    <w:rsid w:val="17143815"/>
    <w:rsid w:val="17285513"/>
    <w:rsid w:val="17571954"/>
    <w:rsid w:val="17793FC0"/>
    <w:rsid w:val="17945F30"/>
    <w:rsid w:val="17A133F8"/>
    <w:rsid w:val="17A56B63"/>
    <w:rsid w:val="17DE54CF"/>
    <w:rsid w:val="17E4768B"/>
    <w:rsid w:val="17F81389"/>
    <w:rsid w:val="17FD65D0"/>
    <w:rsid w:val="18025D64"/>
    <w:rsid w:val="180715CC"/>
    <w:rsid w:val="180A2E6A"/>
    <w:rsid w:val="181F6915"/>
    <w:rsid w:val="182C1032"/>
    <w:rsid w:val="18441ED8"/>
    <w:rsid w:val="184B74E5"/>
    <w:rsid w:val="18664544"/>
    <w:rsid w:val="18730853"/>
    <w:rsid w:val="188F6EFF"/>
    <w:rsid w:val="189D783A"/>
    <w:rsid w:val="18C7379E"/>
    <w:rsid w:val="18C748B7"/>
    <w:rsid w:val="18D771F0"/>
    <w:rsid w:val="18DA6CE0"/>
    <w:rsid w:val="1912647A"/>
    <w:rsid w:val="19263CD4"/>
    <w:rsid w:val="192B12EA"/>
    <w:rsid w:val="195F08E7"/>
    <w:rsid w:val="195F2D42"/>
    <w:rsid w:val="196333D9"/>
    <w:rsid w:val="196C5B8A"/>
    <w:rsid w:val="19742C91"/>
    <w:rsid w:val="19792055"/>
    <w:rsid w:val="197E141A"/>
    <w:rsid w:val="198D1C77"/>
    <w:rsid w:val="19A215AC"/>
    <w:rsid w:val="19B659E9"/>
    <w:rsid w:val="19CA28B1"/>
    <w:rsid w:val="19E576EB"/>
    <w:rsid w:val="19E679C4"/>
    <w:rsid w:val="19F704E3"/>
    <w:rsid w:val="1A3633A8"/>
    <w:rsid w:val="1A7D7923"/>
    <w:rsid w:val="1A98650B"/>
    <w:rsid w:val="1A9D1D74"/>
    <w:rsid w:val="1AD70FEB"/>
    <w:rsid w:val="1ADA70F7"/>
    <w:rsid w:val="1ADE52DA"/>
    <w:rsid w:val="1AFF4613"/>
    <w:rsid w:val="1B49619E"/>
    <w:rsid w:val="1B6A60FA"/>
    <w:rsid w:val="1B701236"/>
    <w:rsid w:val="1BAC6712"/>
    <w:rsid w:val="1BB83309"/>
    <w:rsid w:val="1BD57D32"/>
    <w:rsid w:val="1BD712B5"/>
    <w:rsid w:val="1BE30BF5"/>
    <w:rsid w:val="1BF14125"/>
    <w:rsid w:val="1C12523F"/>
    <w:rsid w:val="1C16002F"/>
    <w:rsid w:val="1C1821EF"/>
    <w:rsid w:val="1C194514"/>
    <w:rsid w:val="1C365FDC"/>
    <w:rsid w:val="1C395ACC"/>
    <w:rsid w:val="1C47643B"/>
    <w:rsid w:val="1C556DAA"/>
    <w:rsid w:val="1C5B4972"/>
    <w:rsid w:val="1C662D65"/>
    <w:rsid w:val="1C786A3B"/>
    <w:rsid w:val="1C84143D"/>
    <w:rsid w:val="1CA2751E"/>
    <w:rsid w:val="1CAC2742"/>
    <w:rsid w:val="1CB33AD0"/>
    <w:rsid w:val="1CC04712"/>
    <w:rsid w:val="1CE819CC"/>
    <w:rsid w:val="1CEF719F"/>
    <w:rsid w:val="1CFE1968"/>
    <w:rsid w:val="1D2E3157"/>
    <w:rsid w:val="1D840FC9"/>
    <w:rsid w:val="1DA33B45"/>
    <w:rsid w:val="1DAD6772"/>
    <w:rsid w:val="1DAF4B38"/>
    <w:rsid w:val="1DB30BE0"/>
    <w:rsid w:val="1DDA0D6B"/>
    <w:rsid w:val="1DDF7A40"/>
    <w:rsid w:val="1DE228BA"/>
    <w:rsid w:val="1DF3368A"/>
    <w:rsid w:val="1E0839A8"/>
    <w:rsid w:val="1E8F2A80"/>
    <w:rsid w:val="1EB9030D"/>
    <w:rsid w:val="1EC91389"/>
    <w:rsid w:val="1EDA4679"/>
    <w:rsid w:val="1F03544E"/>
    <w:rsid w:val="1F0829B6"/>
    <w:rsid w:val="1F2C2D5F"/>
    <w:rsid w:val="1F470500"/>
    <w:rsid w:val="1F6327D6"/>
    <w:rsid w:val="1F6E513F"/>
    <w:rsid w:val="1FA0658E"/>
    <w:rsid w:val="1FB65DB1"/>
    <w:rsid w:val="1FCF0C21"/>
    <w:rsid w:val="1FD16E47"/>
    <w:rsid w:val="1FDE70B6"/>
    <w:rsid w:val="1FE83A91"/>
    <w:rsid w:val="201605FE"/>
    <w:rsid w:val="201C3760"/>
    <w:rsid w:val="20210D51"/>
    <w:rsid w:val="20253FD6"/>
    <w:rsid w:val="202F2F0A"/>
    <w:rsid w:val="20322F5E"/>
    <w:rsid w:val="203B7DCD"/>
    <w:rsid w:val="2040567B"/>
    <w:rsid w:val="20476A09"/>
    <w:rsid w:val="204A02A8"/>
    <w:rsid w:val="20717F2A"/>
    <w:rsid w:val="208F6602"/>
    <w:rsid w:val="209459C7"/>
    <w:rsid w:val="20A420AE"/>
    <w:rsid w:val="20B322F1"/>
    <w:rsid w:val="20C067BC"/>
    <w:rsid w:val="20C242E2"/>
    <w:rsid w:val="20C91B14"/>
    <w:rsid w:val="20D44015"/>
    <w:rsid w:val="20E643A0"/>
    <w:rsid w:val="20FD17BE"/>
    <w:rsid w:val="20FD26FC"/>
    <w:rsid w:val="2146615C"/>
    <w:rsid w:val="21505D92"/>
    <w:rsid w:val="216A06D1"/>
    <w:rsid w:val="216D6919"/>
    <w:rsid w:val="21780E44"/>
    <w:rsid w:val="2187608E"/>
    <w:rsid w:val="21933ED0"/>
    <w:rsid w:val="219F0AC7"/>
    <w:rsid w:val="21B61F52"/>
    <w:rsid w:val="21C26467"/>
    <w:rsid w:val="21C36564"/>
    <w:rsid w:val="21C81DCC"/>
    <w:rsid w:val="21D249F9"/>
    <w:rsid w:val="21DA38AD"/>
    <w:rsid w:val="21F84180"/>
    <w:rsid w:val="22500474"/>
    <w:rsid w:val="22513B6F"/>
    <w:rsid w:val="22525B39"/>
    <w:rsid w:val="227B2926"/>
    <w:rsid w:val="22835CF3"/>
    <w:rsid w:val="22865684"/>
    <w:rsid w:val="228C104B"/>
    <w:rsid w:val="22BA5A10"/>
    <w:rsid w:val="22CF718A"/>
    <w:rsid w:val="22EF5136"/>
    <w:rsid w:val="232D5807"/>
    <w:rsid w:val="23382EED"/>
    <w:rsid w:val="233D40F4"/>
    <w:rsid w:val="23450EDC"/>
    <w:rsid w:val="234E7D22"/>
    <w:rsid w:val="23515DF1"/>
    <w:rsid w:val="23517B9F"/>
    <w:rsid w:val="23531B69"/>
    <w:rsid w:val="235D02F2"/>
    <w:rsid w:val="235F406A"/>
    <w:rsid w:val="236B2E9C"/>
    <w:rsid w:val="2383701D"/>
    <w:rsid w:val="238826AD"/>
    <w:rsid w:val="238B742E"/>
    <w:rsid w:val="23987286"/>
    <w:rsid w:val="23AD74CB"/>
    <w:rsid w:val="23AE6D9F"/>
    <w:rsid w:val="23B834F6"/>
    <w:rsid w:val="23D45DC0"/>
    <w:rsid w:val="23E1155B"/>
    <w:rsid w:val="23ED1676"/>
    <w:rsid w:val="242B4894"/>
    <w:rsid w:val="243472A5"/>
    <w:rsid w:val="24376D95"/>
    <w:rsid w:val="245A4A6F"/>
    <w:rsid w:val="247A404C"/>
    <w:rsid w:val="248A15BB"/>
    <w:rsid w:val="249F7694"/>
    <w:rsid w:val="24A92885"/>
    <w:rsid w:val="24F86524"/>
    <w:rsid w:val="24FD7FDE"/>
    <w:rsid w:val="25001B3E"/>
    <w:rsid w:val="250F1AC0"/>
    <w:rsid w:val="2513335E"/>
    <w:rsid w:val="251F61A7"/>
    <w:rsid w:val="252E0198"/>
    <w:rsid w:val="25340E3D"/>
    <w:rsid w:val="254259F1"/>
    <w:rsid w:val="254E4396"/>
    <w:rsid w:val="25545BB7"/>
    <w:rsid w:val="25550C1E"/>
    <w:rsid w:val="255D409B"/>
    <w:rsid w:val="256A4F48"/>
    <w:rsid w:val="25781413"/>
    <w:rsid w:val="258204E4"/>
    <w:rsid w:val="258D6542"/>
    <w:rsid w:val="25A5551F"/>
    <w:rsid w:val="25A71CF8"/>
    <w:rsid w:val="25BD21AD"/>
    <w:rsid w:val="25CA6E09"/>
    <w:rsid w:val="25D6438C"/>
    <w:rsid w:val="25E25090"/>
    <w:rsid w:val="25E81E32"/>
    <w:rsid w:val="25F3318F"/>
    <w:rsid w:val="25F5515A"/>
    <w:rsid w:val="25F64996"/>
    <w:rsid w:val="25F767DC"/>
    <w:rsid w:val="262B0B7B"/>
    <w:rsid w:val="26563746"/>
    <w:rsid w:val="265A6D6B"/>
    <w:rsid w:val="265D7A5C"/>
    <w:rsid w:val="266876DA"/>
    <w:rsid w:val="268C2968"/>
    <w:rsid w:val="26B24DF9"/>
    <w:rsid w:val="26C16DEA"/>
    <w:rsid w:val="26C708A4"/>
    <w:rsid w:val="26C757BD"/>
    <w:rsid w:val="26DB434F"/>
    <w:rsid w:val="26EA4592"/>
    <w:rsid w:val="26ED1D1A"/>
    <w:rsid w:val="26EE4083"/>
    <w:rsid w:val="26EE5A20"/>
    <w:rsid w:val="27046DB7"/>
    <w:rsid w:val="271565FB"/>
    <w:rsid w:val="27207FB4"/>
    <w:rsid w:val="27331D58"/>
    <w:rsid w:val="27391076"/>
    <w:rsid w:val="27391BD0"/>
    <w:rsid w:val="27426D58"/>
    <w:rsid w:val="27607710"/>
    <w:rsid w:val="276C3F85"/>
    <w:rsid w:val="276E2ACE"/>
    <w:rsid w:val="27735B86"/>
    <w:rsid w:val="277B1EA4"/>
    <w:rsid w:val="278D4EE0"/>
    <w:rsid w:val="27A961FC"/>
    <w:rsid w:val="27A96AB9"/>
    <w:rsid w:val="27D95EBF"/>
    <w:rsid w:val="27DC037F"/>
    <w:rsid w:val="27EC31AA"/>
    <w:rsid w:val="2802590C"/>
    <w:rsid w:val="280A4686"/>
    <w:rsid w:val="28172BC3"/>
    <w:rsid w:val="281F026C"/>
    <w:rsid w:val="283A284D"/>
    <w:rsid w:val="285919D0"/>
    <w:rsid w:val="28595263"/>
    <w:rsid w:val="28661FFF"/>
    <w:rsid w:val="2868457E"/>
    <w:rsid w:val="28793E20"/>
    <w:rsid w:val="28926CDF"/>
    <w:rsid w:val="2895372B"/>
    <w:rsid w:val="28AA222B"/>
    <w:rsid w:val="28C64DCA"/>
    <w:rsid w:val="28C802B7"/>
    <w:rsid w:val="28DE1ED5"/>
    <w:rsid w:val="28DF17A9"/>
    <w:rsid w:val="28F24E95"/>
    <w:rsid w:val="28FB65E3"/>
    <w:rsid w:val="28FC235B"/>
    <w:rsid w:val="2900094D"/>
    <w:rsid w:val="29174AC8"/>
    <w:rsid w:val="2920429C"/>
    <w:rsid w:val="29446FED"/>
    <w:rsid w:val="294B0A9B"/>
    <w:rsid w:val="29581C87"/>
    <w:rsid w:val="296D0CD1"/>
    <w:rsid w:val="296E14AB"/>
    <w:rsid w:val="299507E6"/>
    <w:rsid w:val="29AB625B"/>
    <w:rsid w:val="29CF181E"/>
    <w:rsid w:val="2A005E38"/>
    <w:rsid w:val="2A133E00"/>
    <w:rsid w:val="2A3873C3"/>
    <w:rsid w:val="2A75037D"/>
    <w:rsid w:val="2A756869"/>
    <w:rsid w:val="2A9F38E6"/>
    <w:rsid w:val="2AA8279A"/>
    <w:rsid w:val="2AB27C3C"/>
    <w:rsid w:val="2AB63109"/>
    <w:rsid w:val="2ABF7AE4"/>
    <w:rsid w:val="2ACD0453"/>
    <w:rsid w:val="2AD322F2"/>
    <w:rsid w:val="2AF84EE9"/>
    <w:rsid w:val="2AFE23BA"/>
    <w:rsid w:val="2B0379D1"/>
    <w:rsid w:val="2B0C0F7B"/>
    <w:rsid w:val="2B397896"/>
    <w:rsid w:val="2B6D12EE"/>
    <w:rsid w:val="2B77332B"/>
    <w:rsid w:val="2B8E1990"/>
    <w:rsid w:val="2BAA2542"/>
    <w:rsid w:val="2BAD7EEE"/>
    <w:rsid w:val="2BD31A99"/>
    <w:rsid w:val="2BE45A54"/>
    <w:rsid w:val="2BF9180D"/>
    <w:rsid w:val="2C210F74"/>
    <w:rsid w:val="2C245E51"/>
    <w:rsid w:val="2C3116AB"/>
    <w:rsid w:val="2C602C01"/>
    <w:rsid w:val="2C610E53"/>
    <w:rsid w:val="2C620DE5"/>
    <w:rsid w:val="2C697D08"/>
    <w:rsid w:val="2C6E5E3A"/>
    <w:rsid w:val="2C840FE5"/>
    <w:rsid w:val="2C8C39F6"/>
    <w:rsid w:val="2C9A6113"/>
    <w:rsid w:val="2CD4412F"/>
    <w:rsid w:val="2CED26E7"/>
    <w:rsid w:val="2CFC6DCE"/>
    <w:rsid w:val="2D151C3D"/>
    <w:rsid w:val="2D32459D"/>
    <w:rsid w:val="2D3927E8"/>
    <w:rsid w:val="2D406CBA"/>
    <w:rsid w:val="2D4300C9"/>
    <w:rsid w:val="2D430559"/>
    <w:rsid w:val="2D4C45A1"/>
    <w:rsid w:val="2D510EC7"/>
    <w:rsid w:val="2D67693D"/>
    <w:rsid w:val="2D894D72"/>
    <w:rsid w:val="2D9633CA"/>
    <w:rsid w:val="2DAD00C8"/>
    <w:rsid w:val="2DC44A4F"/>
    <w:rsid w:val="2DC55411"/>
    <w:rsid w:val="2DD12008"/>
    <w:rsid w:val="2E083F3B"/>
    <w:rsid w:val="2E0B376C"/>
    <w:rsid w:val="2E3507E9"/>
    <w:rsid w:val="2E5077D3"/>
    <w:rsid w:val="2E6A3E61"/>
    <w:rsid w:val="2E876B6B"/>
    <w:rsid w:val="2E954DE4"/>
    <w:rsid w:val="2E9C0E80"/>
    <w:rsid w:val="2EAD053B"/>
    <w:rsid w:val="2EBD258D"/>
    <w:rsid w:val="2EC03CB2"/>
    <w:rsid w:val="2EC67693"/>
    <w:rsid w:val="2EC8145A"/>
    <w:rsid w:val="2ED0766D"/>
    <w:rsid w:val="2EDD678B"/>
    <w:rsid w:val="2EF20132"/>
    <w:rsid w:val="2F166361"/>
    <w:rsid w:val="2F2A2D4D"/>
    <w:rsid w:val="2F452CAE"/>
    <w:rsid w:val="2F4A6121"/>
    <w:rsid w:val="2F7D6EF5"/>
    <w:rsid w:val="2F816648"/>
    <w:rsid w:val="2FA95B86"/>
    <w:rsid w:val="2FB83480"/>
    <w:rsid w:val="2FC040E2"/>
    <w:rsid w:val="2FE54285"/>
    <w:rsid w:val="2FF80E15"/>
    <w:rsid w:val="2FFD79D3"/>
    <w:rsid w:val="300852DE"/>
    <w:rsid w:val="30087837"/>
    <w:rsid w:val="30182170"/>
    <w:rsid w:val="301B756B"/>
    <w:rsid w:val="302145DD"/>
    <w:rsid w:val="3025488D"/>
    <w:rsid w:val="3034687E"/>
    <w:rsid w:val="30523594"/>
    <w:rsid w:val="30546461"/>
    <w:rsid w:val="30890978"/>
    <w:rsid w:val="309C4B4F"/>
    <w:rsid w:val="30A734F4"/>
    <w:rsid w:val="30A9726C"/>
    <w:rsid w:val="30D51E0F"/>
    <w:rsid w:val="30DA7426"/>
    <w:rsid w:val="30E738F1"/>
    <w:rsid w:val="30F8356E"/>
    <w:rsid w:val="30F85AFE"/>
    <w:rsid w:val="30FA173D"/>
    <w:rsid w:val="310D15A9"/>
    <w:rsid w:val="312C3DE1"/>
    <w:rsid w:val="314F3970"/>
    <w:rsid w:val="316C5EBB"/>
    <w:rsid w:val="31747C24"/>
    <w:rsid w:val="318C4058"/>
    <w:rsid w:val="318C4BC4"/>
    <w:rsid w:val="31AF28A2"/>
    <w:rsid w:val="31B639EF"/>
    <w:rsid w:val="31D9592F"/>
    <w:rsid w:val="31E645B2"/>
    <w:rsid w:val="31F12C79"/>
    <w:rsid w:val="31F134B7"/>
    <w:rsid w:val="32244DFC"/>
    <w:rsid w:val="322667B5"/>
    <w:rsid w:val="328303DD"/>
    <w:rsid w:val="32C12A75"/>
    <w:rsid w:val="32E0684A"/>
    <w:rsid w:val="32E620B2"/>
    <w:rsid w:val="32EB3B6C"/>
    <w:rsid w:val="32EE0F67"/>
    <w:rsid w:val="32F02F31"/>
    <w:rsid w:val="32F347CF"/>
    <w:rsid w:val="32FD11AA"/>
    <w:rsid w:val="33024A12"/>
    <w:rsid w:val="33136C1F"/>
    <w:rsid w:val="333746BC"/>
    <w:rsid w:val="33770F5C"/>
    <w:rsid w:val="33823753"/>
    <w:rsid w:val="338B2C59"/>
    <w:rsid w:val="33A65CE5"/>
    <w:rsid w:val="33AA05E8"/>
    <w:rsid w:val="33B169AF"/>
    <w:rsid w:val="33C66680"/>
    <w:rsid w:val="33D9076A"/>
    <w:rsid w:val="33E3258B"/>
    <w:rsid w:val="33EA5BD2"/>
    <w:rsid w:val="33FB393B"/>
    <w:rsid w:val="34131B96"/>
    <w:rsid w:val="341B4D8B"/>
    <w:rsid w:val="3431795E"/>
    <w:rsid w:val="343D55E2"/>
    <w:rsid w:val="34452E08"/>
    <w:rsid w:val="34552B86"/>
    <w:rsid w:val="34627E5E"/>
    <w:rsid w:val="34843B31"/>
    <w:rsid w:val="34980AC4"/>
    <w:rsid w:val="349D0E96"/>
    <w:rsid w:val="34E21963"/>
    <w:rsid w:val="34E50CCC"/>
    <w:rsid w:val="34F14D3E"/>
    <w:rsid w:val="34F62354"/>
    <w:rsid w:val="351A24E7"/>
    <w:rsid w:val="352D221A"/>
    <w:rsid w:val="35387D63"/>
    <w:rsid w:val="353A4937"/>
    <w:rsid w:val="354D6418"/>
    <w:rsid w:val="358931C8"/>
    <w:rsid w:val="35A952DD"/>
    <w:rsid w:val="35BA7826"/>
    <w:rsid w:val="35C10BB4"/>
    <w:rsid w:val="35F5260C"/>
    <w:rsid w:val="35F70776"/>
    <w:rsid w:val="362829E1"/>
    <w:rsid w:val="36356EAC"/>
    <w:rsid w:val="36405F7D"/>
    <w:rsid w:val="36427103"/>
    <w:rsid w:val="36454420"/>
    <w:rsid w:val="36633A19"/>
    <w:rsid w:val="367232C8"/>
    <w:rsid w:val="36730100"/>
    <w:rsid w:val="367664B1"/>
    <w:rsid w:val="367D1DCA"/>
    <w:rsid w:val="36E209C0"/>
    <w:rsid w:val="36E508D2"/>
    <w:rsid w:val="36FF1994"/>
    <w:rsid w:val="371B152F"/>
    <w:rsid w:val="37384EA6"/>
    <w:rsid w:val="37427AD3"/>
    <w:rsid w:val="37643EED"/>
    <w:rsid w:val="376E6490"/>
    <w:rsid w:val="37904CE2"/>
    <w:rsid w:val="37A23B2A"/>
    <w:rsid w:val="37A7550F"/>
    <w:rsid w:val="37A83712"/>
    <w:rsid w:val="37AD7642"/>
    <w:rsid w:val="37B24AB3"/>
    <w:rsid w:val="37C640CA"/>
    <w:rsid w:val="37C8622A"/>
    <w:rsid w:val="37E42938"/>
    <w:rsid w:val="3809239F"/>
    <w:rsid w:val="38156F95"/>
    <w:rsid w:val="381B0A50"/>
    <w:rsid w:val="38510CC6"/>
    <w:rsid w:val="387B07A6"/>
    <w:rsid w:val="389B393F"/>
    <w:rsid w:val="389D18F0"/>
    <w:rsid w:val="38AC5B4C"/>
    <w:rsid w:val="38AD56EA"/>
    <w:rsid w:val="38BD38B5"/>
    <w:rsid w:val="38BE13DB"/>
    <w:rsid w:val="38CD7870"/>
    <w:rsid w:val="38D10AEB"/>
    <w:rsid w:val="38D916BE"/>
    <w:rsid w:val="38ED03A5"/>
    <w:rsid w:val="38F11583"/>
    <w:rsid w:val="38F115A1"/>
    <w:rsid w:val="38F20621"/>
    <w:rsid w:val="39073480"/>
    <w:rsid w:val="391159AF"/>
    <w:rsid w:val="3911775D"/>
    <w:rsid w:val="391B682D"/>
    <w:rsid w:val="392404CB"/>
    <w:rsid w:val="393D67A4"/>
    <w:rsid w:val="39553AED"/>
    <w:rsid w:val="39A44A75"/>
    <w:rsid w:val="39AE31FE"/>
    <w:rsid w:val="39BF2767"/>
    <w:rsid w:val="39CD3FCC"/>
    <w:rsid w:val="39CE564E"/>
    <w:rsid w:val="39D569DC"/>
    <w:rsid w:val="39E5694E"/>
    <w:rsid w:val="39E8099F"/>
    <w:rsid w:val="39E97BF2"/>
    <w:rsid w:val="39EC027C"/>
    <w:rsid w:val="39F448CD"/>
    <w:rsid w:val="39FF7EFD"/>
    <w:rsid w:val="3A1219DE"/>
    <w:rsid w:val="3A4D0C68"/>
    <w:rsid w:val="3A5B6136"/>
    <w:rsid w:val="3A5C0EAC"/>
    <w:rsid w:val="3A7A7584"/>
    <w:rsid w:val="3A850B77"/>
    <w:rsid w:val="3A887EF3"/>
    <w:rsid w:val="3AA20FB4"/>
    <w:rsid w:val="3AA27206"/>
    <w:rsid w:val="3AA36ADA"/>
    <w:rsid w:val="3AA52853"/>
    <w:rsid w:val="3AAA009C"/>
    <w:rsid w:val="3AAD7959"/>
    <w:rsid w:val="3ADC2E01"/>
    <w:rsid w:val="3AEA295B"/>
    <w:rsid w:val="3AFC23EB"/>
    <w:rsid w:val="3B0E03F8"/>
    <w:rsid w:val="3B125121"/>
    <w:rsid w:val="3B2220F5"/>
    <w:rsid w:val="3B4200A1"/>
    <w:rsid w:val="3B4A51A8"/>
    <w:rsid w:val="3B4E4C98"/>
    <w:rsid w:val="3B7F12F6"/>
    <w:rsid w:val="3B800BCA"/>
    <w:rsid w:val="3B8E7126"/>
    <w:rsid w:val="3B9D5C20"/>
    <w:rsid w:val="3BB15227"/>
    <w:rsid w:val="3BC136BC"/>
    <w:rsid w:val="3BC90B0B"/>
    <w:rsid w:val="3BDC22A4"/>
    <w:rsid w:val="3C261771"/>
    <w:rsid w:val="3C384E8C"/>
    <w:rsid w:val="3C3C2D43"/>
    <w:rsid w:val="3C5C1637"/>
    <w:rsid w:val="3C6D114E"/>
    <w:rsid w:val="3C6D55F2"/>
    <w:rsid w:val="3C770627"/>
    <w:rsid w:val="3C917532"/>
    <w:rsid w:val="3CA863A8"/>
    <w:rsid w:val="3CB11983"/>
    <w:rsid w:val="3CD8017B"/>
    <w:rsid w:val="3CDE71C1"/>
    <w:rsid w:val="3CEB3FEF"/>
    <w:rsid w:val="3D0C6BB9"/>
    <w:rsid w:val="3D17730C"/>
    <w:rsid w:val="3D22018A"/>
    <w:rsid w:val="3D3805DF"/>
    <w:rsid w:val="3D3E0D3C"/>
    <w:rsid w:val="3D453E79"/>
    <w:rsid w:val="3D49647F"/>
    <w:rsid w:val="3D5D11C3"/>
    <w:rsid w:val="3D70539A"/>
    <w:rsid w:val="3D802641"/>
    <w:rsid w:val="3DAB4624"/>
    <w:rsid w:val="3DB66B25"/>
    <w:rsid w:val="3DC456E6"/>
    <w:rsid w:val="3DDB658B"/>
    <w:rsid w:val="3E0E4BB3"/>
    <w:rsid w:val="3E104487"/>
    <w:rsid w:val="3E2241BA"/>
    <w:rsid w:val="3E3D0FF4"/>
    <w:rsid w:val="3E483C21"/>
    <w:rsid w:val="3E5D51F2"/>
    <w:rsid w:val="3E7C7D6E"/>
    <w:rsid w:val="3E945C80"/>
    <w:rsid w:val="3EA90437"/>
    <w:rsid w:val="3EAB41B0"/>
    <w:rsid w:val="3EC82FB3"/>
    <w:rsid w:val="3ECF60F0"/>
    <w:rsid w:val="3EDC25BB"/>
    <w:rsid w:val="3EE651E8"/>
    <w:rsid w:val="3EFB6EE5"/>
    <w:rsid w:val="3F033FEC"/>
    <w:rsid w:val="3F147857"/>
    <w:rsid w:val="3F2006FA"/>
    <w:rsid w:val="3F264703"/>
    <w:rsid w:val="3F3044D0"/>
    <w:rsid w:val="3F424B14"/>
    <w:rsid w:val="3F696545"/>
    <w:rsid w:val="3F6E5909"/>
    <w:rsid w:val="3F731171"/>
    <w:rsid w:val="3F7647BE"/>
    <w:rsid w:val="3FA702E8"/>
    <w:rsid w:val="3FB377C0"/>
    <w:rsid w:val="3FB83028"/>
    <w:rsid w:val="3FBD063E"/>
    <w:rsid w:val="3FC512A1"/>
    <w:rsid w:val="3FC714BD"/>
    <w:rsid w:val="3FCB2D5B"/>
    <w:rsid w:val="3FDA34B1"/>
    <w:rsid w:val="3FDB2873"/>
    <w:rsid w:val="3FE931E1"/>
    <w:rsid w:val="3FF12096"/>
    <w:rsid w:val="40363F4D"/>
    <w:rsid w:val="40381A73"/>
    <w:rsid w:val="403B7942"/>
    <w:rsid w:val="40662A84"/>
    <w:rsid w:val="4084115C"/>
    <w:rsid w:val="40923879"/>
    <w:rsid w:val="409F5F96"/>
    <w:rsid w:val="40A62E81"/>
    <w:rsid w:val="40B13F89"/>
    <w:rsid w:val="40C81C57"/>
    <w:rsid w:val="40D20119"/>
    <w:rsid w:val="40DC4AF4"/>
    <w:rsid w:val="40EF2A79"/>
    <w:rsid w:val="410E7DF5"/>
    <w:rsid w:val="413B5B4D"/>
    <w:rsid w:val="414A7CB0"/>
    <w:rsid w:val="414C1C7A"/>
    <w:rsid w:val="4154318A"/>
    <w:rsid w:val="41641184"/>
    <w:rsid w:val="41696778"/>
    <w:rsid w:val="416F5968"/>
    <w:rsid w:val="417B255F"/>
    <w:rsid w:val="41AD09C3"/>
    <w:rsid w:val="41C05228"/>
    <w:rsid w:val="41CA04D7"/>
    <w:rsid w:val="41D22621"/>
    <w:rsid w:val="41D43A1D"/>
    <w:rsid w:val="41DD28D2"/>
    <w:rsid w:val="41FB7F39"/>
    <w:rsid w:val="41FD0500"/>
    <w:rsid w:val="42051E29"/>
    <w:rsid w:val="420662CD"/>
    <w:rsid w:val="4207456D"/>
    <w:rsid w:val="42097B6B"/>
    <w:rsid w:val="421502BE"/>
    <w:rsid w:val="425154F8"/>
    <w:rsid w:val="42644DA1"/>
    <w:rsid w:val="429A07C3"/>
    <w:rsid w:val="42A7230A"/>
    <w:rsid w:val="42ED2FE9"/>
    <w:rsid w:val="43000F6E"/>
    <w:rsid w:val="43030A5E"/>
    <w:rsid w:val="430F7403"/>
    <w:rsid w:val="43346222"/>
    <w:rsid w:val="435F0AA0"/>
    <w:rsid w:val="437A5885"/>
    <w:rsid w:val="439E6277"/>
    <w:rsid w:val="43B600AD"/>
    <w:rsid w:val="43C06BC1"/>
    <w:rsid w:val="43E371ED"/>
    <w:rsid w:val="43EA7528"/>
    <w:rsid w:val="43F108B7"/>
    <w:rsid w:val="43FE4C25"/>
    <w:rsid w:val="440419F3"/>
    <w:rsid w:val="441E4D86"/>
    <w:rsid w:val="4436451B"/>
    <w:rsid w:val="446F063A"/>
    <w:rsid w:val="4484797D"/>
    <w:rsid w:val="448D5A8D"/>
    <w:rsid w:val="44973A9C"/>
    <w:rsid w:val="44986059"/>
    <w:rsid w:val="44A818BD"/>
    <w:rsid w:val="44C74826"/>
    <w:rsid w:val="44CF19E1"/>
    <w:rsid w:val="44D0720B"/>
    <w:rsid w:val="44D07D4A"/>
    <w:rsid w:val="44D53D34"/>
    <w:rsid w:val="453018B3"/>
    <w:rsid w:val="45442C68"/>
    <w:rsid w:val="454676EB"/>
    <w:rsid w:val="45487509"/>
    <w:rsid w:val="45541CEF"/>
    <w:rsid w:val="456B4699"/>
    <w:rsid w:val="45770EAB"/>
    <w:rsid w:val="458F482B"/>
    <w:rsid w:val="45BB117C"/>
    <w:rsid w:val="45C06792"/>
    <w:rsid w:val="45F02746"/>
    <w:rsid w:val="45F0690E"/>
    <w:rsid w:val="45F610F0"/>
    <w:rsid w:val="45FB3C6E"/>
    <w:rsid w:val="460366D7"/>
    <w:rsid w:val="4609638B"/>
    <w:rsid w:val="460C3316"/>
    <w:rsid w:val="46280371"/>
    <w:rsid w:val="462D6A65"/>
    <w:rsid w:val="463827CD"/>
    <w:rsid w:val="46530576"/>
    <w:rsid w:val="465D33BE"/>
    <w:rsid w:val="465D3D30"/>
    <w:rsid w:val="46647A66"/>
    <w:rsid w:val="46916381"/>
    <w:rsid w:val="46945A20"/>
    <w:rsid w:val="469800C1"/>
    <w:rsid w:val="469A6FE4"/>
    <w:rsid w:val="46A3401E"/>
    <w:rsid w:val="46CC1167"/>
    <w:rsid w:val="46D85D5E"/>
    <w:rsid w:val="46F57797"/>
    <w:rsid w:val="46FB137F"/>
    <w:rsid w:val="46FC37FA"/>
    <w:rsid w:val="471C718B"/>
    <w:rsid w:val="4738351D"/>
    <w:rsid w:val="475950F1"/>
    <w:rsid w:val="476D46F8"/>
    <w:rsid w:val="477261B2"/>
    <w:rsid w:val="477C3E4E"/>
    <w:rsid w:val="477E6905"/>
    <w:rsid w:val="478C7274"/>
    <w:rsid w:val="47C83E49"/>
    <w:rsid w:val="47D97FDF"/>
    <w:rsid w:val="47E32FBE"/>
    <w:rsid w:val="47E50732"/>
    <w:rsid w:val="48054198"/>
    <w:rsid w:val="481E3C44"/>
    <w:rsid w:val="482E1FB6"/>
    <w:rsid w:val="48380768"/>
    <w:rsid w:val="4840005F"/>
    <w:rsid w:val="484A4A39"/>
    <w:rsid w:val="484E277B"/>
    <w:rsid w:val="485E04E5"/>
    <w:rsid w:val="488F12B1"/>
    <w:rsid w:val="489451D8"/>
    <w:rsid w:val="48965ED0"/>
    <w:rsid w:val="48CE261D"/>
    <w:rsid w:val="48F331AB"/>
    <w:rsid w:val="48F75EC4"/>
    <w:rsid w:val="49227764"/>
    <w:rsid w:val="493C2BF3"/>
    <w:rsid w:val="4941408E"/>
    <w:rsid w:val="49431BB4"/>
    <w:rsid w:val="49601FEE"/>
    <w:rsid w:val="49853754"/>
    <w:rsid w:val="49BA799D"/>
    <w:rsid w:val="49F92273"/>
    <w:rsid w:val="4A0550BC"/>
    <w:rsid w:val="4A0D21C2"/>
    <w:rsid w:val="4A1134A2"/>
    <w:rsid w:val="4A2B43F6"/>
    <w:rsid w:val="4A3610D9"/>
    <w:rsid w:val="4A4E23DD"/>
    <w:rsid w:val="4A510301"/>
    <w:rsid w:val="4A5A3216"/>
    <w:rsid w:val="4A713F14"/>
    <w:rsid w:val="4A732ADF"/>
    <w:rsid w:val="4A7364C9"/>
    <w:rsid w:val="4A7D4C52"/>
    <w:rsid w:val="4A963F66"/>
    <w:rsid w:val="4A96711A"/>
    <w:rsid w:val="4AB4049F"/>
    <w:rsid w:val="4AB80380"/>
    <w:rsid w:val="4AC81B75"/>
    <w:rsid w:val="4B0215FB"/>
    <w:rsid w:val="4B3B1EDD"/>
    <w:rsid w:val="4B6E0279"/>
    <w:rsid w:val="4B7A3887"/>
    <w:rsid w:val="4B7E5126"/>
    <w:rsid w:val="4B895879"/>
    <w:rsid w:val="4B8B339F"/>
    <w:rsid w:val="4B951B65"/>
    <w:rsid w:val="4BB17956"/>
    <w:rsid w:val="4BD05255"/>
    <w:rsid w:val="4BE807F1"/>
    <w:rsid w:val="4BFE5D6A"/>
    <w:rsid w:val="4C147916"/>
    <w:rsid w:val="4C3D6555"/>
    <w:rsid w:val="4C673E0C"/>
    <w:rsid w:val="4C6B2B37"/>
    <w:rsid w:val="4C6C1422"/>
    <w:rsid w:val="4CAF7561"/>
    <w:rsid w:val="4CBA4BAD"/>
    <w:rsid w:val="4CE94821"/>
    <w:rsid w:val="4CEC4311"/>
    <w:rsid w:val="4CF308FD"/>
    <w:rsid w:val="4D1F0243"/>
    <w:rsid w:val="4D6E4D26"/>
    <w:rsid w:val="4D926C66"/>
    <w:rsid w:val="4DAB5F7A"/>
    <w:rsid w:val="4DB017E2"/>
    <w:rsid w:val="4DC863E5"/>
    <w:rsid w:val="4DCA5A51"/>
    <w:rsid w:val="4DE05CFA"/>
    <w:rsid w:val="4DE12E81"/>
    <w:rsid w:val="4E6D1482"/>
    <w:rsid w:val="4E7D7917"/>
    <w:rsid w:val="4EAB5275"/>
    <w:rsid w:val="4EAC3D58"/>
    <w:rsid w:val="4EC015B1"/>
    <w:rsid w:val="4ECC43FA"/>
    <w:rsid w:val="4ECF7A46"/>
    <w:rsid w:val="4ED16A53"/>
    <w:rsid w:val="4EEB16E6"/>
    <w:rsid w:val="4EFA0F67"/>
    <w:rsid w:val="4F0B3174"/>
    <w:rsid w:val="4F0C303F"/>
    <w:rsid w:val="4F2D7040"/>
    <w:rsid w:val="4F45117A"/>
    <w:rsid w:val="4F4626F3"/>
    <w:rsid w:val="4F4915A7"/>
    <w:rsid w:val="4F4A3571"/>
    <w:rsid w:val="4F5D32A4"/>
    <w:rsid w:val="4F701229"/>
    <w:rsid w:val="4F727FD6"/>
    <w:rsid w:val="4F824AB9"/>
    <w:rsid w:val="4F840831"/>
    <w:rsid w:val="4F876573"/>
    <w:rsid w:val="4FA26F09"/>
    <w:rsid w:val="4FAE58AE"/>
    <w:rsid w:val="4FB71297"/>
    <w:rsid w:val="4FD5108C"/>
    <w:rsid w:val="4FE92CD6"/>
    <w:rsid w:val="50221C17"/>
    <w:rsid w:val="502C5EFA"/>
    <w:rsid w:val="502D0274"/>
    <w:rsid w:val="50416722"/>
    <w:rsid w:val="504A1E5D"/>
    <w:rsid w:val="504D5094"/>
    <w:rsid w:val="50574197"/>
    <w:rsid w:val="506153AC"/>
    <w:rsid w:val="507620AE"/>
    <w:rsid w:val="5099655E"/>
    <w:rsid w:val="50A224C3"/>
    <w:rsid w:val="50E023DF"/>
    <w:rsid w:val="50E35A2B"/>
    <w:rsid w:val="50F1639A"/>
    <w:rsid w:val="51257DF2"/>
    <w:rsid w:val="51271DBC"/>
    <w:rsid w:val="513F7105"/>
    <w:rsid w:val="51477D68"/>
    <w:rsid w:val="514A5AAA"/>
    <w:rsid w:val="514C35D0"/>
    <w:rsid w:val="515801C7"/>
    <w:rsid w:val="51593B8D"/>
    <w:rsid w:val="516140B5"/>
    <w:rsid w:val="51644DBE"/>
    <w:rsid w:val="516F654A"/>
    <w:rsid w:val="517D0766"/>
    <w:rsid w:val="518C7E71"/>
    <w:rsid w:val="518F39BC"/>
    <w:rsid w:val="51C969CF"/>
    <w:rsid w:val="51E9437A"/>
    <w:rsid w:val="51FA74D0"/>
    <w:rsid w:val="51FF6894"/>
    <w:rsid w:val="5200269E"/>
    <w:rsid w:val="5200380D"/>
    <w:rsid w:val="523227C6"/>
    <w:rsid w:val="52374280"/>
    <w:rsid w:val="524D7600"/>
    <w:rsid w:val="527C3337"/>
    <w:rsid w:val="527E1EAF"/>
    <w:rsid w:val="527E5A0B"/>
    <w:rsid w:val="52AF2069"/>
    <w:rsid w:val="52B7716F"/>
    <w:rsid w:val="52C673B2"/>
    <w:rsid w:val="52E31D12"/>
    <w:rsid w:val="52E4399A"/>
    <w:rsid w:val="531445C2"/>
    <w:rsid w:val="531935A4"/>
    <w:rsid w:val="53446D7D"/>
    <w:rsid w:val="53517039"/>
    <w:rsid w:val="536524C3"/>
    <w:rsid w:val="536A36BC"/>
    <w:rsid w:val="536D1F1D"/>
    <w:rsid w:val="537312E8"/>
    <w:rsid w:val="538277A4"/>
    <w:rsid w:val="53A019B1"/>
    <w:rsid w:val="53AF7E46"/>
    <w:rsid w:val="53C51035"/>
    <w:rsid w:val="53C9715A"/>
    <w:rsid w:val="53CF4A5C"/>
    <w:rsid w:val="53D041D1"/>
    <w:rsid w:val="53F525B4"/>
    <w:rsid w:val="53FB4CCB"/>
    <w:rsid w:val="54014B46"/>
    <w:rsid w:val="540262EE"/>
    <w:rsid w:val="54244390"/>
    <w:rsid w:val="54305A86"/>
    <w:rsid w:val="543D5452"/>
    <w:rsid w:val="54547DDA"/>
    <w:rsid w:val="546450D5"/>
    <w:rsid w:val="54684BC5"/>
    <w:rsid w:val="548425AE"/>
    <w:rsid w:val="54877D10"/>
    <w:rsid w:val="549239F0"/>
    <w:rsid w:val="54A13C33"/>
    <w:rsid w:val="54A84FC1"/>
    <w:rsid w:val="54B0031A"/>
    <w:rsid w:val="54B020C8"/>
    <w:rsid w:val="54B576DE"/>
    <w:rsid w:val="54CF3934"/>
    <w:rsid w:val="55024449"/>
    <w:rsid w:val="55085BEA"/>
    <w:rsid w:val="55086FD1"/>
    <w:rsid w:val="55172147"/>
    <w:rsid w:val="55410BF9"/>
    <w:rsid w:val="554271C4"/>
    <w:rsid w:val="55794BB0"/>
    <w:rsid w:val="557E3F74"/>
    <w:rsid w:val="5594498E"/>
    <w:rsid w:val="5596306C"/>
    <w:rsid w:val="55A57753"/>
    <w:rsid w:val="55A84294"/>
    <w:rsid w:val="55AC288F"/>
    <w:rsid w:val="55AC40A5"/>
    <w:rsid w:val="55AD03B6"/>
    <w:rsid w:val="55B1434A"/>
    <w:rsid w:val="55BF6A67"/>
    <w:rsid w:val="55D12054"/>
    <w:rsid w:val="55DA6596"/>
    <w:rsid w:val="560C77D2"/>
    <w:rsid w:val="560F537A"/>
    <w:rsid w:val="5613290E"/>
    <w:rsid w:val="56224489"/>
    <w:rsid w:val="565D4368"/>
    <w:rsid w:val="56603960"/>
    <w:rsid w:val="56625644"/>
    <w:rsid w:val="56690780"/>
    <w:rsid w:val="566B274A"/>
    <w:rsid w:val="566D0271"/>
    <w:rsid w:val="567A298E"/>
    <w:rsid w:val="569C2904"/>
    <w:rsid w:val="56A0017C"/>
    <w:rsid w:val="56A1616C"/>
    <w:rsid w:val="56A33C92"/>
    <w:rsid w:val="56BC4D54"/>
    <w:rsid w:val="56C3571A"/>
    <w:rsid w:val="56DB5BC3"/>
    <w:rsid w:val="56E83D9B"/>
    <w:rsid w:val="56F72230"/>
    <w:rsid w:val="56FA5260"/>
    <w:rsid w:val="572823EA"/>
    <w:rsid w:val="57286C16"/>
    <w:rsid w:val="574C257C"/>
    <w:rsid w:val="5755438D"/>
    <w:rsid w:val="57825F9E"/>
    <w:rsid w:val="578F4217"/>
    <w:rsid w:val="578F4443"/>
    <w:rsid w:val="57925AB5"/>
    <w:rsid w:val="57AD70E7"/>
    <w:rsid w:val="57AE1395"/>
    <w:rsid w:val="57B8364E"/>
    <w:rsid w:val="57C95893"/>
    <w:rsid w:val="57CD4D3F"/>
    <w:rsid w:val="581D1822"/>
    <w:rsid w:val="582E3A30"/>
    <w:rsid w:val="58304C51"/>
    <w:rsid w:val="5835523D"/>
    <w:rsid w:val="58367DCB"/>
    <w:rsid w:val="583F5C3D"/>
    <w:rsid w:val="58434038"/>
    <w:rsid w:val="587177C3"/>
    <w:rsid w:val="588405A5"/>
    <w:rsid w:val="5898534D"/>
    <w:rsid w:val="589917F1"/>
    <w:rsid w:val="589C4E3D"/>
    <w:rsid w:val="58BE2FCB"/>
    <w:rsid w:val="58D41C07"/>
    <w:rsid w:val="58E93DFA"/>
    <w:rsid w:val="58F44C79"/>
    <w:rsid w:val="59080725"/>
    <w:rsid w:val="59123DF1"/>
    <w:rsid w:val="591B2F0C"/>
    <w:rsid w:val="59352B9C"/>
    <w:rsid w:val="594828CF"/>
    <w:rsid w:val="594A7F41"/>
    <w:rsid w:val="596811C3"/>
    <w:rsid w:val="59786F11"/>
    <w:rsid w:val="598B2F92"/>
    <w:rsid w:val="598F25C7"/>
    <w:rsid w:val="59937540"/>
    <w:rsid w:val="59A039F6"/>
    <w:rsid w:val="59AA336E"/>
    <w:rsid w:val="59B63CDD"/>
    <w:rsid w:val="59D30873"/>
    <w:rsid w:val="59E60C99"/>
    <w:rsid w:val="59E940B2"/>
    <w:rsid w:val="59F45AD3"/>
    <w:rsid w:val="59F760A3"/>
    <w:rsid w:val="5A00764E"/>
    <w:rsid w:val="5A274BDA"/>
    <w:rsid w:val="5A5534F6"/>
    <w:rsid w:val="5A637F6F"/>
    <w:rsid w:val="5A70032F"/>
    <w:rsid w:val="5A7A29E2"/>
    <w:rsid w:val="5AAC6D3A"/>
    <w:rsid w:val="5AB83A84"/>
    <w:rsid w:val="5ABD72ED"/>
    <w:rsid w:val="5AC95C92"/>
    <w:rsid w:val="5AF076C2"/>
    <w:rsid w:val="5AFC1BC3"/>
    <w:rsid w:val="5B055025"/>
    <w:rsid w:val="5B2D7810"/>
    <w:rsid w:val="5B3F5F54"/>
    <w:rsid w:val="5B423A25"/>
    <w:rsid w:val="5B6D486F"/>
    <w:rsid w:val="5BD14DFE"/>
    <w:rsid w:val="5BD743DE"/>
    <w:rsid w:val="5BEA5EBF"/>
    <w:rsid w:val="5BF44F90"/>
    <w:rsid w:val="5C121CA4"/>
    <w:rsid w:val="5C1271C4"/>
    <w:rsid w:val="5C1B42CB"/>
    <w:rsid w:val="5C5477DD"/>
    <w:rsid w:val="5C5A1297"/>
    <w:rsid w:val="5C602626"/>
    <w:rsid w:val="5C6519EA"/>
    <w:rsid w:val="5C9108EC"/>
    <w:rsid w:val="5C9936CF"/>
    <w:rsid w:val="5CAB38A1"/>
    <w:rsid w:val="5CAF2C65"/>
    <w:rsid w:val="5CB96085"/>
    <w:rsid w:val="5CC907DC"/>
    <w:rsid w:val="5CCC7122"/>
    <w:rsid w:val="5CE62A27"/>
    <w:rsid w:val="5CEE456C"/>
    <w:rsid w:val="5CF42D8C"/>
    <w:rsid w:val="5D5C7A80"/>
    <w:rsid w:val="5D6D0F8A"/>
    <w:rsid w:val="5D773862"/>
    <w:rsid w:val="5D7E7207"/>
    <w:rsid w:val="5D8A5BAC"/>
    <w:rsid w:val="5D9C7014"/>
    <w:rsid w:val="5DB66699"/>
    <w:rsid w:val="5DD93AB7"/>
    <w:rsid w:val="5DEC2163"/>
    <w:rsid w:val="5DEF78BB"/>
    <w:rsid w:val="5E40706E"/>
    <w:rsid w:val="5E622F17"/>
    <w:rsid w:val="5E806DB9"/>
    <w:rsid w:val="5EA53721"/>
    <w:rsid w:val="5EC40406"/>
    <w:rsid w:val="5ECC4F05"/>
    <w:rsid w:val="5EE86BEA"/>
    <w:rsid w:val="5EF84D97"/>
    <w:rsid w:val="5F074FDA"/>
    <w:rsid w:val="5F0A16C1"/>
    <w:rsid w:val="5F0E6369"/>
    <w:rsid w:val="5F182D44"/>
    <w:rsid w:val="5F212A6F"/>
    <w:rsid w:val="5F35264F"/>
    <w:rsid w:val="5F396F19"/>
    <w:rsid w:val="5F41673E"/>
    <w:rsid w:val="5F6E375A"/>
    <w:rsid w:val="5F887EC9"/>
    <w:rsid w:val="5F943190"/>
    <w:rsid w:val="5F9E149B"/>
    <w:rsid w:val="5FAA5F75"/>
    <w:rsid w:val="5FCA6734"/>
    <w:rsid w:val="5FDD1A0A"/>
    <w:rsid w:val="5FE377F5"/>
    <w:rsid w:val="5FFA2BA8"/>
    <w:rsid w:val="5FFD7619"/>
    <w:rsid w:val="602816AC"/>
    <w:rsid w:val="604364E6"/>
    <w:rsid w:val="604A78F6"/>
    <w:rsid w:val="604C0766"/>
    <w:rsid w:val="605424A1"/>
    <w:rsid w:val="60A07D32"/>
    <w:rsid w:val="60A26D69"/>
    <w:rsid w:val="60A46FF9"/>
    <w:rsid w:val="60AF592A"/>
    <w:rsid w:val="60B151FE"/>
    <w:rsid w:val="60C2565D"/>
    <w:rsid w:val="60C51A2C"/>
    <w:rsid w:val="60DB04CD"/>
    <w:rsid w:val="60F47354"/>
    <w:rsid w:val="60FF240D"/>
    <w:rsid w:val="61047A23"/>
    <w:rsid w:val="61077826"/>
    <w:rsid w:val="610E79A4"/>
    <w:rsid w:val="610E7EA6"/>
    <w:rsid w:val="613751C4"/>
    <w:rsid w:val="61761FA3"/>
    <w:rsid w:val="61785D1C"/>
    <w:rsid w:val="618446C0"/>
    <w:rsid w:val="618D5C6B"/>
    <w:rsid w:val="61B01959"/>
    <w:rsid w:val="61E33F36"/>
    <w:rsid w:val="61F45CEA"/>
    <w:rsid w:val="620A72BB"/>
    <w:rsid w:val="621F43E9"/>
    <w:rsid w:val="623B7475"/>
    <w:rsid w:val="623F0D34"/>
    <w:rsid w:val="62487DE4"/>
    <w:rsid w:val="625C5463"/>
    <w:rsid w:val="626F1110"/>
    <w:rsid w:val="627604AD"/>
    <w:rsid w:val="627B1F67"/>
    <w:rsid w:val="627B49FA"/>
    <w:rsid w:val="628030DA"/>
    <w:rsid w:val="62961CE2"/>
    <w:rsid w:val="62A468BF"/>
    <w:rsid w:val="62A56FE4"/>
    <w:rsid w:val="62A866D0"/>
    <w:rsid w:val="62BD60DC"/>
    <w:rsid w:val="62C7476E"/>
    <w:rsid w:val="62CC020C"/>
    <w:rsid w:val="62CC7726"/>
    <w:rsid w:val="62D41677"/>
    <w:rsid w:val="62EF025F"/>
    <w:rsid w:val="63071A4D"/>
    <w:rsid w:val="6309447C"/>
    <w:rsid w:val="630A5A6D"/>
    <w:rsid w:val="631A52DC"/>
    <w:rsid w:val="6349639D"/>
    <w:rsid w:val="634C49D0"/>
    <w:rsid w:val="63554A0D"/>
    <w:rsid w:val="63754C08"/>
    <w:rsid w:val="63780255"/>
    <w:rsid w:val="638E68ED"/>
    <w:rsid w:val="63901A42"/>
    <w:rsid w:val="639D09CB"/>
    <w:rsid w:val="63B15515"/>
    <w:rsid w:val="63B87CBA"/>
    <w:rsid w:val="63C11333"/>
    <w:rsid w:val="63C60FC0"/>
    <w:rsid w:val="63C65464"/>
    <w:rsid w:val="63DC07E4"/>
    <w:rsid w:val="63F73BD7"/>
    <w:rsid w:val="63F92E9B"/>
    <w:rsid w:val="6424218B"/>
    <w:rsid w:val="64340620"/>
    <w:rsid w:val="64410F8F"/>
    <w:rsid w:val="646125FE"/>
    <w:rsid w:val="64682077"/>
    <w:rsid w:val="64790728"/>
    <w:rsid w:val="648570A1"/>
    <w:rsid w:val="648F5856"/>
    <w:rsid w:val="64972AB8"/>
    <w:rsid w:val="64A227CA"/>
    <w:rsid w:val="64DD4813"/>
    <w:rsid w:val="65180933"/>
    <w:rsid w:val="65362175"/>
    <w:rsid w:val="65566374"/>
    <w:rsid w:val="65766A16"/>
    <w:rsid w:val="65783F39"/>
    <w:rsid w:val="657C227E"/>
    <w:rsid w:val="659868BE"/>
    <w:rsid w:val="65C77271"/>
    <w:rsid w:val="65D11E9E"/>
    <w:rsid w:val="65DB7500"/>
    <w:rsid w:val="65DC4ACB"/>
    <w:rsid w:val="65DF4740"/>
    <w:rsid w:val="65E676F8"/>
    <w:rsid w:val="65EB7404"/>
    <w:rsid w:val="65F91B21"/>
    <w:rsid w:val="65FC662E"/>
    <w:rsid w:val="660356CA"/>
    <w:rsid w:val="660B2C94"/>
    <w:rsid w:val="66157FDD"/>
    <w:rsid w:val="661E50E3"/>
    <w:rsid w:val="662446C4"/>
    <w:rsid w:val="662E1F6F"/>
    <w:rsid w:val="66477D34"/>
    <w:rsid w:val="66632F66"/>
    <w:rsid w:val="66650F64"/>
    <w:rsid w:val="666A657B"/>
    <w:rsid w:val="66A51361"/>
    <w:rsid w:val="66AC1B17"/>
    <w:rsid w:val="66AE2FFF"/>
    <w:rsid w:val="66C8504F"/>
    <w:rsid w:val="66CD08B8"/>
    <w:rsid w:val="66E3632D"/>
    <w:rsid w:val="66E557FD"/>
    <w:rsid w:val="66F25116"/>
    <w:rsid w:val="670352EA"/>
    <w:rsid w:val="670C7632"/>
    <w:rsid w:val="6727621A"/>
    <w:rsid w:val="672D1356"/>
    <w:rsid w:val="673D5A3D"/>
    <w:rsid w:val="67550FD9"/>
    <w:rsid w:val="67796A82"/>
    <w:rsid w:val="67BE674E"/>
    <w:rsid w:val="67D620F8"/>
    <w:rsid w:val="68014955"/>
    <w:rsid w:val="681503E6"/>
    <w:rsid w:val="681A18DB"/>
    <w:rsid w:val="68330BEE"/>
    <w:rsid w:val="68511756"/>
    <w:rsid w:val="68784853"/>
    <w:rsid w:val="68AC43E6"/>
    <w:rsid w:val="68D0468F"/>
    <w:rsid w:val="68E87C2B"/>
    <w:rsid w:val="68F30B42"/>
    <w:rsid w:val="690540BF"/>
    <w:rsid w:val="691B1DAE"/>
    <w:rsid w:val="69450BD9"/>
    <w:rsid w:val="69603C65"/>
    <w:rsid w:val="69833F84"/>
    <w:rsid w:val="698711F2"/>
    <w:rsid w:val="6994393A"/>
    <w:rsid w:val="69AF73BD"/>
    <w:rsid w:val="69B144C0"/>
    <w:rsid w:val="69B813AB"/>
    <w:rsid w:val="69C340F2"/>
    <w:rsid w:val="69C441F4"/>
    <w:rsid w:val="6A274783"/>
    <w:rsid w:val="6A3A2708"/>
    <w:rsid w:val="6A4021D8"/>
    <w:rsid w:val="6A7774B8"/>
    <w:rsid w:val="6AA13260"/>
    <w:rsid w:val="6AA16168"/>
    <w:rsid w:val="6ABE0C43"/>
    <w:rsid w:val="6ACB7804"/>
    <w:rsid w:val="6AD541DF"/>
    <w:rsid w:val="6AF44665"/>
    <w:rsid w:val="6B0A20DA"/>
    <w:rsid w:val="6B8359E9"/>
    <w:rsid w:val="6B9D4CFC"/>
    <w:rsid w:val="6BBA3B00"/>
    <w:rsid w:val="6BBB2524"/>
    <w:rsid w:val="6BBF5037"/>
    <w:rsid w:val="6BCE4EB6"/>
    <w:rsid w:val="6BE02E3B"/>
    <w:rsid w:val="6BF608B1"/>
    <w:rsid w:val="6C06596F"/>
    <w:rsid w:val="6C0E5BFA"/>
    <w:rsid w:val="6C2076DB"/>
    <w:rsid w:val="6C3F7B62"/>
    <w:rsid w:val="6C4909E0"/>
    <w:rsid w:val="6C496C32"/>
    <w:rsid w:val="6C4C04D0"/>
    <w:rsid w:val="6C54385C"/>
    <w:rsid w:val="6C5C4BB7"/>
    <w:rsid w:val="6C5F1FB2"/>
    <w:rsid w:val="6C7E559F"/>
    <w:rsid w:val="6C87555A"/>
    <w:rsid w:val="6C952FB6"/>
    <w:rsid w:val="6CD209D6"/>
    <w:rsid w:val="6CD609CA"/>
    <w:rsid w:val="6CE122CE"/>
    <w:rsid w:val="6CF7668E"/>
    <w:rsid w:val="6D107750"/>
    <w:rsid w:val="6D321474"/>
    <w:rsid w:val="6D3B2A1F"/>
    <w:rsid w:val="6D3E7B94"/>
    <w:rsid w:val="6D6D6950"/>
    <w:rsid w:val="6D83283D"/>
    <w:rsid w:val="6D8A5754"/>
    <w:rsid w:val="6D8E41FC"/>
    <w:rsid w:val="6DB06FF1"/>
    <w:rsid w:val="6DE11F42"/>
    <w:rsid w:val="6DF8036A"/>
    <w:rsid w:val="6DFB5D0A"/>
    <w:rsid w:val="6E5921B9"/>
    <w:rsid w:val="6E804461"/>
    <w:rsid w:val="6E8D6DF3"/>
    <w:rsid w:val="6EA6211A"/>
    <w:rsid w:val="6EC16F54"/>
    <w:rsid w:val="6EC86534"/>
    <w:rsid w:val="6ECC4E9C"/>
    <w:rsid w:val="6ECF6B20"/>
    <w:rsid w:val="6EFF1A27"/>
    <w:rsid w:val="6F0155A2"/>
    <w:rsid w:val="6F1C779D"/>
    <w:rsid w:val="6F3E040D"/>
    <w:rsid w:val="6F771D08"/>
    <w:rsid w:val="6F7E141F"/>
    <w:rsid w:val="6FA81EC2"/>
    <w:rsid w:val="6FC84312"/>
    <w:rsid w:val="6FF15617"/>
    <w:rsid w:val="6FFD4727"/>
    <w:rsid w:val="7003534A"/>
    <w:rsid w:val="70117A67"/>
    <w:rsid w:val="70291255"/>
    <w:rsid w:val="708E3A71"/>
    <w:rsid w:val="70AE175A"/>
    <w:rsid w:val="70C4708B"/>
    <w:rsid w:val="70C66AA3"/>
    <w:rsid w:val="711C4915"/>
    <w:rsid w:val="71297032"/>
    <w:rsid w:val="714479C8"/>
    <w:rsid w:val="7157594D"/>
    <w:rsid w:val="715B116D"/>
    <w:rsid w:val="715C6E4A"/>
    <w:rsid w:val="715F4802"/>
    <w:rsid w:val="71614A1E"/>
    <w:rsid w:val="71763E02"/>
    <w:rsid w:val="71812380"/>
    <w:rsid w:val="7189187F"/>
    <w:rsid w:val="718F158B"/>
    <w:rsid w:val="71963B10"/>
    <w:rsid w:val="719941B8"/>
    <w:rsid w:val="71BE3C1E"/>
    <w:rsid w:val="71CD3E62"/>
    <w:rsid w:val="71EC42E8"/>
    <w:rsid w:val="72121874"/>
    <w:rsid w:val="72225F5B"/>
    <w:rsid w:val="72270127"/>
    <w:rsid w:val="72273572"/>
    <w:rsid w:val="72655E48"/>
    <w:rsid w:val="72710C91"/>
    <w:rsid w:val="727D5888"/>
    <w:rsid w:val="728974C3"/>
    <w:rsid w:val="7295497F"/>
    <w:rsid w:val="72A03324"/>
    <w:rsid w:val="72AB6D5F"/>
    <w:rsid w:val="72B2004F"/>
    <w:rsid w:val="72B34E05"/>
    <w:rsid w:val="72C60FDD"/>
    <w:rsid w:val="72D312E6"/>
    <w:rsid w:val="72E476B5"/>
    <w:rsid w:val="7309711B"/>
    <w:rsid w:val="731C6EFD"/>
    <w:rsid w:val="732D4F74"/>
    <w:rsid w:val="73337CF4"/>
    <w:rsid w:val="733A72D5"/>
    <w:rsid w:val="734A6E8D"/>
    <w:rsid w:val="737A14CF"/>
    <w:rsid w:val="738911A2"/>
    <w:rsid w:val="73DA4614"/>
    <w:rsid w:val="73ED07EB"/>
    <w:rsid w:val="742C30C1"/>
    <w:rsid w:val="74471CA9"/>
    <w:rsid w:val="747D1765"/>
    <w:rsid w:val="74940C67"/>
    <w:rsid w:val="74986D1A"/>
    <w:rsid w:val="74B15375"/>
    <w:rsid w:val="74B75CE7"/>
    <w:rsid w:val="74BD1F6B"/>
    <w:rsid w:val="74C01C92"/>
    <w:rsid w:val="74D26AE8"/>
    <w:rsid w:val="75114065"/>
    <w:rsid w:val="75461F61"/>
    <w:rsid w:val="75466405"/>
    <w:rsid w:val="754D5C67"/>
    <w:rsid w:val="755C3532"/>
    <w:rsid w:val="758B3E18"/>
    <w:rsid w:val="75982C83"/>
    <w:rsid w:val="75994786"/>
    <w:rsid w:val="759A405B"/>
    <w:rsid w:val="75B136A4"/>
    <w:rsid w:val="75B55338"/>
    <w:rsid w:val="75DB213B"/>
    <w:rsid w:val="75E8126A"/>
    <w:rsid w:val="761152BC"/>
    <w:rsid w:val="76215F9C"/>
    <w:rsid w:val="762B1026"/>
    <w:rsid w:val="762B73A9"/>
    <w:rsid w:val="76346CE5"/>
    <w:rsid w:val="76515061"/>
    <w:rsid w:val="765B7164"/>
    <w:rsid w:val="766034F6"/>
    <w:rsid w:val="76893B88"/>
    <w:rsid w:val="77122E6F"/>
    <w:rsid w:val="7735228D"/>
    <w:rsid w:val="773A5AF5"/>
    <w:rsid w:val="773D55E5"/>
    <w:rsid w:val="77514BED"/>
    <w:rsid w:val="7758241F"/>
    <w:rsid w:val="775F34D3"/>
    <w:rsid w:val="776204D1"/>
    <w:rsid w:val="77626DFA"/>
    <w:rsid w:val="777A2396"/>
    <w:rsid w:val="77846D70"/>
    <w:rsid w:val="77975BED"/>
    <w:rsid w:val="779C230C"/>
    <w:rsid w:val="77BC475C"/>
    <w:rsid w:val="77BF249E"/>
    <w:rsid w:val="77C90C27"/>
    <w:rsid w:val="77D62D81"/>
    <w:rsid w:val="77D93560"/>
    <w:rsid w:val="77E963B5"/>
    <w:rsid w:val="780D1FCA"/>
    <w:rsid w:val="781D72B5"/>
    <w:rsid w:val="78393FFF"/>
    <w:rsid w:val="784B788E"/>
    <w:rsid w:val="78615304"/>
    <w:rsid w:val="787A4CD3"/>
    <w:rsid w:val="78A551F0"/>
    <w:rsid w:val="78F02670"/>
    <w:rsid w:val="79134850"/>
    <w:rsid w:val="791F31F5"/>
    <w:rsid w:val="79231CC3"/>
    <w:rsid w:val="792A1B99"/>
    <w:rsid w:val="793C6D8A"/>
    <w:rsid w:val="79407A62"/>
    <w:rsid w:val="79465083"/>
    <w:rsid w:val="794669D3"/>
    <w:rsid w:val="794B1A7D"/>
    <w:rsid w:val="794D2D86"/>
    <w:rsid w:val="7962698E"/>
    <w:rsid w:val="796F4C09"/>
    <w:rsid w:val="797C37AC"/>
    <w:rsid w:val="79974DFF"/>
    <w:rsid w:val="79BF322E"/>
    <w:rsid w:val="79C8388C"/>
    <w:rsid w:val="79D57D57"/>
    <w:rsid w:val="79F426E3"/>
    <w:rsid w:val="7A036672"/>
    <w:rsid w:val="7A0917AF"/>
    <w:rsid w:val="7A1253F6"/>
    <w:rsid w:val="7A431165"/>
    <w:rsid w:val="7A4F18B8"/>
    <w:rsid w:val="7A642FEE"/>
    <w:rsid w:val="7A770E0E"/>
    <w:rsid w:val="7A9C0875"/>
    <w:rsid w:val="7AA45FB6"/>
    <w:rsid w:val="7AAC160F"/>
    <w:rsid w:val="7ABC51E6"/>
    <w:rsid w:val="7AC34054"/>
    <w:rsid w:val="7AD46261"/>
    <w:rsid w:val="7AD85D51"/>
    <w:rsid w:val="7AFE1296"/>
    <w:rsid w:val="7B022DCE"/>
    <w:rsid w:val="7B072192"/>
    <w:rsid w:val="7B0F54EB"/>
    <w:rsid w:val="7B2D2AA7"/>
    <w:rsid w:val="7B30793B"/>
    <w:rsid w:val="7B3D1CC7"/>
    <w:rsid w:val="7B413172"/>
    <w:rsid w:val="7B46684D"/>
    <w:rsid w:val="7B4A207F"/>
    <w:rsid w:val="7B586F7C"/>
    <w:rsid w:val="7B593278"/>
    <w:rsid w:val="7B5F3D7C"/>
    <w:rsid w:val="7B610DB2"/>
    <w:rsid w:val="7B783090"/>
    <w:rsid w:val="7B8D37DB"/>
    <w:rsid w:val="7B901215"/>
    <w:rsid w:val="7B9463F7"/>
    <w:rsid w:val="7B95779E"/>
    <w:rsid w:val="7BB302F8"/>
    <w:rsid w:val="7BB368BD"/>
    <w:rsid w:val="7BB51BEE"/>
    <w:rsid w:val="7BCC6F38"/>
    <w:rsid w:val="7BDC361F"/>
    <w:rsid w:val="7BE67FFA"/>
    <w:rsid w:val="7BF22D26"/>
    <w:rsid w:val="7BFA5853"/>
    <w:rsid w:val="7C0D1A2A"/>
    <w:rsid w:val="7C217284"/>
    <w:rsid w:val="7C296138"/>
    <w:rsid w:val="7C2B1EB0"/>
    <w:rsid w:val="7C6929D9"/>
    <w:rsid w:val="7C704248"/>
    <w:rsid w:val="7C773348"/>
    <w:rsid w:val="7C8141C6"/>
    <w:rsid w:val="7C8B294F"/>
    <w:rsid w:val="7CA67C6C"/>
    <w:rsid w:val="7CB93960"/>
    <w:rsid w:val="7CE131F6"/>
    <w:rsid w:val="7CF528A5"/>
    <w:rsid w:val="7D0E21AB"/>
    <w:rsid w:val="7D127336"/>
    <w:rsid w:val="7D20753B"/>
    <w:rsid w:val="7D3354C1"/>
    <w:rsid w:val="7D504DD1"/>
    <w:rsid w:val="7D5316BF"/>
    <w:rsid w:val="7D6A3EE0"/>
    <w:rsid w:val="7D6A6067"/>
    <w:rsid w:val="7D7358BD"/>
    <w:rsid w:val="7D7E4262"/>
    <w:rsid w:val="7D82629E"/>
    <w:rsid w:val="7D8F12A8"/>
    <w:rsid w:val="7D935F5F"/>
    <w:rsid w:val="7DB67EA0"/>
    <w:rsid w:val="7DC425BD"/>
    <w:rsid w:val="7DE646F8"/>
    <w:rsid w:val="7E745D91"/>
    <w:rsid w:val="7E792749"/>
    <w:rsid w:val="7E7A49CB"/>
    <w:rsid w:val="7E7F2165"/>
    <w:rsid w:val="7E915EB0"/>
    <w:rsid w:val="7E9A331D"/>
    <w:rsid w:val="7EAD3051"/>
    <w:rsid w:val="7ECD724F"/>
    <w:rsid w:val="7EEE3597"/>
    <w:rsid w:val="7F052E8D"/>
    <w:rsid w:val="7F0A3FFF"/>
    <w:rsid w:val="7F231011"/>
    <w:rsid w:val="7F403EC5"/>
    <w:rsid w:val="7F5A54BE"/>
    <w:rsid w:val="7F743B6E"/>
    <w:rsid w:val="7F820039"/>
    <w:rsid w:val="7F842003"/>
    <w:rsid w:val="7F961D37"/>
    <w:rsid w:val="7FC70142"/>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65"/>
    <w:autoRedefine/>
    <w:qFormat/>
    <w:uiPriority w:val="0"/>
    <w:pPr>
      <w:keepNext/>
      <w:keepLines/>
      <w:spacing w:before="340" w:after="330" w:line="578" w:lineRule="auto"/>
      <w:outlineLvl w:val="0"/>
    </w:pPr>
    <w:rPr>
      <w:b/>
      <w:kern w:val="44"/>
      <w:sz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6"/>
    <w:autoRedefine/>
    <w:qFormat/>
    <w:uiPriority w:val="0"/>
    <w:pPr>
      <w:keepNext/>
      <w:keepLines/>
      <w:spacing w:before="260" w:after="260" w:line="416" w:lineRule="auto"/>
      <w:outlineLvl w:val="2"/>
    </w:pPr>
    <w:rPr>
      <w:b/>
      <w:sz w:val="32"/>
    </w:rPr>
  </w:style>
  <w:style w:type="paragraph" w:styleId="7">
    <w:name w:val="heading 4"/>
    <w:basedOn w:val="1"/>
    <w:next w:val="6"/>
    <w:autoRedefine/>
    <w:qFormat/>
    <w:uiPriority w:val="0"/>
    <w:pPr>
      <w:keepNext/>
      <w:spacing w:line="460" w:lineRule="exact"/>
      <w:jc w:val="both"/>
      <w:outlineLvl w:val="3"/>
    </w:pPr>
    <w:rPr>
      <w:rFonts w:ascii="宋体"/>
      <w:sz w:val="24"/>
    </w:rPr>
  </w:style>
  <w:style w:type="paragraph" w:styleId="8">
    <w:name w:val="heading 5"/>
    <w:basedOn w:val="1"/>
    <w:next w:val="6"/>
    <w:autoRedefine/>
    <w:qFormat/>
    <w:uiPriority w:val="0"/>
    <w:pPr>
      <w:keepNext/>
      <w:keepLines/>
      <w:widowControl w:val="0"/>
      <w:spacing w:before="280" w:after="290" w:line="376" w:lineRule="auto"/>
      <w:jc w:val="both"/>
      <w:outlineLvl w:val="4"/>
    </w:pPr>
    <w:rPr>
      <w:b/>
      <w:kern w:val="2"/>
      <w:sz w:val="24"/>
    </w:rPr>
  </w:style>
  <w:style w:type="paragraph" w:styleId="9">
    <w:name w:val="heading 6"/>
    <w:basedOn w:val="1"/>
    <w:next w:val="6"/>
    <w:autoRedefine/>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10">
    <w:name w:val="heading 7"/>
    <w:basedOn w:val="1"/>
    <w:next w:val="6"/>
    <w:autoRedefine/>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1">
    <w:name w:val="heading 8"/>
    <w:basedOn w:val="1"/>
    <w:next w:val="6"/>
    <w:autoRedefine/>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2">
    <w:name w:val="heading 9"/>
    <w:basedOn w:val="1"/>
    <w:next w:val="6"/>
    <w:autoRedefine/>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next w:val="1"/>
    <w:autoRedefine/>
    <w:qFormat/>
    <w:uiPriority w:val="0"/>
    <w:pPr>
      <w:ind w:firstLine="420"/>
    </w:pPr>
  </w:style>
  <w:style w:type="paragraph" w:styleId="13">
    <w:name w:val="toc 7"/>
    <w:basedOn w:val="1"/>
    <w:next w:val="1"/>
    <w:autoRedefine/>
    <w:qFormat/>
    <w:uiPriority w:val="0"/>
    <w:pPr>
      <w:ind w:left="1200"/>
    </w:pPr>
    <w:rPr>
      <w:rFonts w:ascii="Calibri" w:hAnsi="Calibri" w:cs="Calibri"/>
      <w:sz w:val="18"/>
      <w:szCs w:val="18"/>
    </w:rPr>
  </w:style>
  <w:style w:type="paragraph" w:styleId="14">
    <w:name w:val="Document Map"/>
    <w:basedOn w:val="1"/>
    <w:autoRedefine/>
    <w:semiHidden/>
    <w:qFormat/>
    <w:uiPriority w:val="0"/>
    <w:pPr>
      <w:shd w:val="clear" w:color="auto" w:fill="000080"/>
    </w:pPr>
  </w:style>
  <w:style w:type="paragraph" w:styleId="15">
    <w:name w:val="annotation text"/>
    <w:basedOn w:val="1"/>
    <w:link w:val="140"/>
    <w:autoRedefine/>
    <w:semiHidden/>
    <w:qFormat/>
    <w:uiPriority w:val="0"/>
  </w:style>
  <w:style w:type="paragraph" w:styleId="16">
    <w:name w:val="Body Text 3"/>
    <w:basedOn w:val="1"/>
    <w:autoRedefine/>
    <w:qFormat/>
    <w:uiPriority w:val="0"/>
    <w:pPr>
      <w:spacing w:after="120"/>
    </w:pPr>
    <w:rPr>
      <w:sz w:val="16"/>
      <w:szCs w:val="16"/>
    </w:rPr>
  </w:style>
  <w:style w:type="paragraph" w:styleId="17">
    <w:name w:val="Body Text"/>
    <w:basedOn w:val="1"/>
    <w:link w:val="74"/>
    <w:autoRedefine/>
    <w:qFormat/>
    <w:uiPriority w:val="0"/>
    <w:pPr>
      <w:spacing w:after="120"/>
    </w:pPr>
  </w:style>
  <w:style w:type="paragraph" w:styleId="18">
    <w:name w:val="Body Text Indent"/>
    <w:basedOn w:val="1"/>
    <w:autoRedefine/>
    <w:qFormat/>
    <w:uiPriority w:val="0"/>
    <w:pPr>
      <w:spacing w:after="120"/>
      <w:ind w:left="420" w:leftChars="200"/>
    </w:pPr>
  </w:style>
  <w:style w:type="paragraph" w:styleId="19">
    <w:name w:val="List 2"/>
    <w:basedOn w:val="1"/>
    <w:autoRedefine/>
    <w:qFormat/>
    <w:uiPriority w:val="0"/>
    <w:pPr>
      <w:widowControl w:val="0"/>
      <w:adjustRightInd w:val="0"/>
      <w:spacing w:line="360" w:lineRule="auto"/>
      <w:jc w:val="both"/>
      <w:textAlignment w:val="baseline"/>
    </w:pPr>
    <w:rPr>
      <w:sz w:val="24"/>
    </w:rPr>
  </w:style>
  <w:style w:type="paragraph" w:styleId="20">
    <w:name w:val="Block Text"/>
    <w:basedOn w:val="1"/>
    <w:next w:val="1"/>
    <w:autoRedefine/>
    <w:qFormat/>
    <w:uiPriority w:val="0"/>
    <w:pPr>
      <w:widowControl w:val="0"/>
      <w:ind w:left="1155" w:right="40" w:rightChars="19"/>
      <w:jc w:val="both"/>
    </w:pPr>
    <w:rPr>
      <w:kern w:val="2"/>
      <w:sz w:val="21"/>
      <w:szCs w:val="24"/>
    </w:rPr>
  </w:style>
  <w:style w:type="paragraph" w:styleId="21">
    <w:name w:val="toc 5"/>
    <w:basedOn w:val="1"/>
    <w:next w:val="1"/>
    <w:autoRedefine/>
    <w:qFormat/>
    <w:uiPriority w:val="0"/>
    <w:pPr>
      <w:ind w:left="800"/>
    </w:pPr>
    <w:rPr>
      <w:rFonts w:ascii="Calibri" w:hAnsi="Calibri" w:cs="Calibri"/>
      <w:sz w:val="18"/>
      <w:szCs w:val="18"/>
    </w:rPr>
  </w:style>
  <w:style w:type="paragraph" w:styleId="22">
    <w:name w:val="toc 3"/>
    <w:basedOn w:val="1"/>
    <w:next w:val="1"/>
    <w:autoRedefine/>
    <w:semiHidden/>
    <w:qFormat/>
    <w:uiPriority w:val="0"/>
    <w:pPr>
      <w:ind w:left="400"/>
    </w:pPr>
    <w:rPr>
      <w:rFonts w:ascii="Calibri" w:hAnsi="Calibri" w:cs="Calibri"/>
      <w:i/>
      <w:iCs/>
    </w:rPr>
  </w:style>
  <w:style w:type="paragraph" w:styleId="23">
    <w:name w:val="Plain Text"/>
    <w:basedOn w:val="1"/>
    <w:link w:val="75"/>
    <w:autoRedefine/>
    <w:qFormat/>
    <w:uiPriority w:val="0"/>
    <w:rPr>
      <w:rFonts w:ascii="宋体" w:hAnsi="Courier New" w:cs="Century"/>
      <w:sz w:val="21"/>
      <w:szCs w:val="21"/>
    </w:rPr>
  </w:style>
  <w:style w:type="paragraph" w:styleId="24">
    <w:name w:val="toc 8"/>
    <w:basedOn w:val="1"/>
    <w:next w:val="1"/>
    <w:autoRedefine/>
    <w:qFormat/>
    <w:uiPriority w:val="0"/>
    <w:pPr>
      <w:ind w:left="1400"/>
    </w:pPr>
    <w:rPr>
      <w:rFonts w:ascii="Calibri" w:hAnsi="Calibri" w:cs="Calibri"/>
      <w:sz w:val="18"/>
      <w:szCs w:val="18"/>
    </w:rPr>
  </w:style>
  <w:style w:type="paragraph" w:styleId="25">
    <w:name w:val="Date"/>
    <w:basedOn w:val="1"/>
    <w:next w:val="1"/>
    <w:link w:val="72"/>
    <w:autoRedefine/>
    <w:qFormat/>
    <w:uiPriority w:val="0"/>
    <w:pPr>
      <w:jc w:val="both"/>
    </w:pPr>
    <w:rPr>
      <w:rFonts w:ascii="宋体"/>
      <w:sz w:val="24"/>
    </w:rPr>
  </w:style>
  <w:style w:type="paragraph" w:styleId="26">
    <w:name w:val="Body Text Indent 2"/>
    <w:basedOn w:val="1"/>
    <w:autoRedefine/>
    <w:qFormat/>
    <w:uiPriority w:val="0"/>
    <w:pPr>
      <w:spacing w:after="120" w:line="480" w:lineRule="auto"/>
      <w:ind w:left="420" w:leftChars="200"/>
    </w:pPr>
  </w:style>
  <w:style w:type="paragraph" w:styleId="27">
    <w:name w:val="Balloon Text"/>
    <w:basedOn w:val="1"/>
    <w:autoRedefine/>
    <w:semiHidden/>
    <w:qFormat/>
    <w:uiPriority w:val="0"/>
    <w:rPr>
      <w:sz w:val="18"/>
      <w:szCs w:val="18"/>
    </w:rPr>
  </w:style>
  <w:style w:type="paragraph" w:styleId="28">
    <w:name w:val="footer"/>
    <w:basedOn w:val="1"/>
    <w:autoRedefine/>
    <w:qFormat/>
    <w:uiPriority w:val="99"/>
    <w:pPr>
      <w:tabs>
        <w:tab w:val="center" w:pos="4153"/>
        <w:tab w:val="right" w:pos="8306"/>
      </w:tabs>
      <w:snapToGrid w:val="0"/>
    </w:pPr>
    <w:rPr>
      <w:sz w:val="18"/>
    </w:rPr>
  </w:style>
  <w:style w:type="paragraph" w:styleId="29">
    <w:name w:val="header"/>
    <w:basedOn w:val="1"/>
    <w:link w:val="83"/>
    <w:autoRedefine/>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autoRedefine/>
    <w:qFormat/>
    <w:uiPriority w:val="39"/>
    <w:pPr>
      <w:spacing w:before="120" w:after="120"/>
    </w:pPr>
    <w:rPr>
      <w:rFonts w:ascii="Calibri" w:hAnsi="Calibri" w:cs="Calibri"/>
      <w:b/>
      <w:bCs/>
      <w:caps/>
    </w:rPr>
  </w:style>
  <w:style w:type="paragraph" w:styleId="31">
    <w:name w:val="toc 4"/>
    <w:basedOn w:val="1"/>
    <w:next w:val="1"/>
    <w:autoRedefine/>
    <w:qFormat/>
    <w:uiPriority w:val="0"/>
    <w:pPr>
      <w:ind w:left="600"/>
    </w:pPr>
    <w:rPr>
      <w:rFonts w:ascii="Calibri" w:hAnsi="Calibri" w:cs="Calibri"/>
      <w:sz w:val="18"/>
      <w:szCs w:val="18"/>
    </w:rPr>
  </w:style>
  <w:style w:type="paragraph" w:styleId="32">
    <w:name w:val="List"/>
    <w:basedOn w:val="1"/>
    <w:autoRedefine/>
    <w:qFormat/>
    <w:uiPriority w:val="0"/>
    <w:pPr>
      <w:widowControl w:val="0"/>
      <w:adjustRightInd w:val="0"/>
      <w:spacing w:line="360" w:lineRule="auto"/>
      <w:jc w:val="both"/>
      <w:textAlignment w:val="baseline"/>
    </w:pPr>
    <w:rPr>
      <w:sz w:val="24"/>
    </w:rPr>
  </w:style>
  <w:style w:type="paragraph" w:styleId="33">
    <w:name w:val="Body Text Indent 3"/>
    <w:basedOn w:val="1"/>
    <w:autoRedefine/>
    <w:qFormat/>
    <w:uiPriority w:val="0"/>
    <w:pPr>
      <w:spacing w:after="120"/>
      <w:ind w:left="420" w:leftChars="200"/>
    </w:pPr>
    <w:rPr>
      <w:sz w:val="16"/>
      <w:szCs w:val="16"/>
    </w:rPr>
  </w:style>
  <w:style w:type="paragraph" w:styleId="34">
    <w:name w:val="toc 2"/>
    <w:basedOn w:val="1"/>
    <w:next w:val="1"/>
    <w:autoRedefine/>
    <w:qFormat/>
    <w:uiPriority w:val="39"/>
    <w:pPr>
      <w:ind w:left="200"/>
    </w:pPr>
    <w:rPr>
      <w:rFonts w:ascii="Calibri" w:hAnsi="Calibri" w:cs="Calibri"/>
      <w:smallCaps/>
    </w:rPr>
  </w:style>
  <w:style w:type="paragraph" w:styleId="35">
    <w:name w:val="toc 9"/>
    <w:basedOn w:val="1"/>
    <w:next w:val="1"/>
    <w:autoRedefine/>
    <w:qFormat/>
    <w:uiPriority w:val="0"/>
    <w:pPr>
      <w:ind w:left="1600"/>
    </w:pPr>
    <w:rPr>
      <w:rFonts w:ascii="Calibri" w:hAnsi="Calibri" w:cs="Calibri"/>
      <w:sz w:val="18"/>
      <w:szCs w:val="18"/>
    </w:rPr>
  </w:style>
  <w:style w:type="paragraph" w:styleId="36">
    <w:name w:val="Body Text 2"/>
    <w:basedOn w:val="1"/>
    <w:autoRedefine/>
    <w:qFormat/>
    <w:uiPriority w:val="0"/>
    <w:pPr>
      <w:spacing w:after="120" w:line="480" w:lineRule="auto"/>
    </w:pPr>
  </w:style>
  <w:style w:type="paragraph" w:styleId="37">
    <w:name w:val="Message Header"/>
    <w:basedOn w:val="1"/>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8">
    <w:name w:val="Normal (Web)"/>
    <w:basedOn w:val="1"/>
    <w:autoRedefine/>
    <w:qFormat/>
    <w:uiPriority w:val="0"/>
    <w:rPr>
      <w:sz w:val="24"/>
      <w:szCs w:val="24"/>
    </w:rPr>
  </w:style>
  <w:style w:type="paragraph" w:styleId="39">
    <w:name w:val="index 1"/>
    <w:basedOn w:val="1"/>
    <w:next w:val="1"/>
    <w:autoRedefine/>
    <w:semiHidden/>
    <w:qFormat/>
    <w:uiPriority w:val="0"/>
  </w:style>
  <w:style w:type="paragraph" w:styleId="40">
    <w:name w:val="Title"/>
    <w:basedOn w:val="1"/>
    <w:autoRedefine/>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1">
    <w:name w:val="annotation subject"/>
    <w:basedOn w:val="15"/>
    <w:next w:val="15"/>
    <w:link w:val="141"/>
    <w:autoRedefine/>
    <w:semiHidden/>
    <w:unhideWhenUsed/>
    <w:qFormat/>
    <w:uiPriority w:val="0"/>
    <w:rPr>
      <w:b/>
      <w:bCs/>
    </w:rPr>
  </w:style>
  <w:style w:type="paragraph" w:styleId="42">
    <w:name w:val="Body Text First Indent"/>
    <w:basedOn w:val="17"/>
    <w:autoRedefine/>
    <w:qFormat/>
    <w:uiPriority w:val="0"/>
    <w:pPr>
      <w:widowControl w:val="0"/>
      <w:adjustRightInd w:val="0"/>
      <w:spacing w:after="0" w:line="312" w:lineRule="auto"/>
      <w:ind w:firstLine="567"/>
      <w:jc w:val="both"/>
      <w:textAlignment w:val="baseline"/>
    </w:pPr>
    <w:rPr>
      <w:sz w:val="28"/>
    </w:rPr>
  </w:style>
  <w:style w:type="paragraph" w:styleId="43">
    <w:name w:val="Body Text First Indent 2"/>
    <w:basedOn w:val="18"/>
    <w:autoRedefine/>
    <w:qFormat/>
    <w:uiPriority w:val="0"/>
    <w:pPr>
      <w:tabs>
        <w:tab w:val="left" w:pos="360"/>
      </w:tabs>
      <w:ind w:firstLine="420"/>
    </w:pPr>
    <w:rPr>
      <w:rFonts w:ascii="仿宋_GB2312" w:eastAsia="仿宋_GB2312"/>
      <w:sz w:val="24"/>
    </w:rPr>
  </w:style>
  <w:style w:type="table" w:styleId="45">
    <w:name w:val="Table Grid"/>
    <w:basedOn w:val="4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0"/>
    <w:rPr>
      <w:b/>
      <w:bCs/>
    </w:rPr>
  </w:style>
  <w:style w:type="character" w:styleId="48">
    <w:name w:val="page number"/>
    <w:basedOn w:val="46"/>
    <w:autoRedefine/>
    <w:qFormat/>
    <w:uiPriority w:val="0"/>
  </w:style>
  <w:style w:type="character" w:styleId="49">
    <w:name w:val="FollowedHyperlink"/>
    <w:basedOn w:val="46"/>
    <w:autoRedefine/>
    <w:qFormat/>
    <w:uiPriority w:val="99"/>
    <w:rPr>
      <w:color w:val="800080"/>
      <w:u w:val="none"/>
    </w:rPr>
  </w:style>
  <w:style w:type="character" w:styleId="50">
    <w:name w:val="Emphasis"/>
    <w:basedOn w:val="46"/>
    <w:autoRedefine/>
    <w:qFormat/>
    <w:uiPriority w:val="0"/>
  </w:style>
  <w:style w:type="character" w:styleId="51">
    <w:name w:val="line number"/>
    <w:basedOn w:val="46"/>
    <w:autoRedefine/>
    <w:qFormat/>
    <w:uiPriority w:val="0"/>
  </w:style>
  <w:style w:type="character" w:styleId="52">
    <w:name w:val="HTML Definition"/>
    <w:basedOn w:val="46"/>
    <w:autoRedefine/>
    <w:semiHidden/>
    <w:unhideWhenUsed/>
    <w:qFormat/>
    <w:uiPriority w:val="0"/>
  </w:style>
  <w:style w:type="character" w:styleId="53">
    <w:name w:val="HTML Typewriter"/>
    <w:basedOn w:val="46"/>
    <w:autoRedefine/>
    <w:semiHidden/>
    <w:unhideWhenUsed/>
    <w:qFormat/>
    <w:uiPriority w:val="0"/>
    <w:rPr>
      <w:rFonts w:hint="default" w:ascii="monospace" w:hAnsi="monospace" w:eastAsia="monospace" w:cs="monospace"/>
      <w:sz w:val="20"/>
    </w:rPr>
  </w:style>
  <w:style w:type="character" w:styleId="54">
    <w:name w:val="HTML Acronym"/>
    <w:basedOn w:val="46"/>
    <w:autoRedefine/>
    <w:semiHidden/>
    <w:unhideWhenUsed/>
    <w:qFormat/>
    <w:uiPriority w:val="0"/>
  </w:style>
  <w:style w:type="character" w:styleId="55">
    <w:name w:val="HTML Variable"/>
    <w:basedOn w:val="46"/>
    <w:autoRedefine/>
    <w:semiHidden/>
    <w:unhideWhenUsed/>
    <w:qFormat/>
    <w:uiPriority w:val="0"/>
  </w:style>
  <w:style w:type="character" w:styleId="56">
    <w:name w:val="Hyperlink"/>
    <w:basedOn w:val="46"/>
    <w:autoRedefine/>
    <w:qFormat/>
    <w:uiPriority w:val="99"/>
    <w:rPr>
      <w:color w:val="0000FF"/>
      <w:u w:val="none"/>
    </w:rPr>
  </w:style>
  <w:style w:type="character" w:styleId="57">
    <w:name w:val="HTML Code"/>
    <w:basedOn w:val="46"/>
    <w:autoRedefine/>
    <w:semiHidden/>
    <w:unhideWhenUsed/>
    <w:qFormat/>
    <w:uiPriority w:val="0"/>
    <w:rPr>
      <w:rFonts w:hint="default" w:ascii="monospace" w:hAnsi="monospace" w:eastAsia="monospace" w:cs="monospace"/>
      <w:sz w:val="20"/>
    </w:rPr>
  </w:style>
  <w:style w:type="character" w:styleId="58">
    <w:name w:val="annotation reference"/>
    <w:basedOn w:val="46"/>
    <w:autoRedefine/>
    <w:semiHidden/>
    <w:unhideWhenUsed/>
    <w:qFormat/>
    <w:uiPriority w:val="0"/>
    <w:rPr>
      <w:sz w:val="21"/>
      <w:szCs w:val="21"/>
    </w:rPr>
  </w:style>
  <w:style w:type="character" w:styleId="59">
    <w:name w:val="HTML Cite"/>
    <w:basedOn w:val="46"/>
    <w:autoRedefine/>
    <w:semiHidden/>
    <w:unhideWhenUsed/>
    <w:qFormat/>
    <w:uiPriority w:val="0"/>
  </w:style>
  <w:style w:type="character" w:styleId="60">
    <w:name w:val="HTML Keyboard"/>
    <w:basedOn w:val="46"/>
    <w:autoRedefine/>
    <w:semiHidden/>
    <w:unhideWhenUsed/>
    <w:qFormat/>
    <w:uiPriority w:val="0"/>
    <w:rPr>
      <w:rFonts w:ascii="monospace" w:hAnsi="monospace" w:eastAsia="monospace" w:cs="monospace"/>
      <w:sz w:val="20"/>
    </w:rPr>
  </w:style>
  <w:style w:type="character" w:styleId="61">
    <w:name w:val="HTML Sample"/>
    <w:basedOn w:val="46"/>
    <w:autoRedefine/>
    <w:semiHidden/>
    <w:unhideWhenUsed/>
    <w:qFormat/>
    <w:uiPriority w:val="0"/>
    <w:rPr>
      <w:rFonts w:hint="default" w:ascii="monospace" w:hAnsi="monospace" w:eastAsia="monospace" w:cs="monospace"/>
    </w:rPr>
  </w:style>
  <w:style w:type="paragraph" w:customStyle="1" w:styleId="62">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3">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4">
    <w:name w:val="首行缩进"/>
    <w:basedOn w:val="1"/>
    <w:autoRedefine/>
    <w:qFormat/>
    <w:uiPriority w:val="0"/>
    <w:pPr>
      <w:tabs>
        <w:tab w:val="left" w:pos="540"/>
      </w:tabs>
      <w:spacing w:line="360" w:lineRule="auto"/>
    </w:pPr>
    <w:rPr>
      <w:rFonts w:eastAsia="仿宋_GB2312"/>
    </w:rPr>
  </w:style>
  <w:style w:type="character" w:customStyle="1" w:styleId="65">
    <w:name w:val="标题 1 字符"/>
    <w:basedOn w:val="46"/>
    <w:link w:val="3"/>
    <w:autoRedefine/>
    <w:qFormat/>
    <w:uiPriority w:val="0"/>
    <w:rPr>
      <w:b/>
      <w:kern w:val="44"/>
      <w:sz w:val="44"/>
    </w:rPr>
  </w:style>
  <w:style w:type="character" w:customStyle="1" w:styleId="66">
    <w:name w:val="普通文字 Char Char"/>
    <w:autoRedefine/>
    <w:qFormat/>
    <w:uiPriority w:val="0"/>
    <w:rPr>
      <w:rFonts w:ascii="宋体" w:hAnsi="Courier New" w:eastAsia="宋体" w:cs="Century"/>
      <w:sz w:val="21"/>
      <w:szCs w:val="21"/>
      <w:lang w:val="en-US" w:eastAsia="zh-CN" w:bidi="ar-SA"/>
    </w:rPr>
  </w:style>
  <w:style w:type="character" w:customStyle="1" w:styleId="67">
    <w:name w:val="font11"/>
    <w:basedOn w:val="46"/>
    <w:autoRedefine/>
    <w:qFormat/>
    <w:uiPriority w:val="0"/>
    <w:rPr>
      <w:rFonts w:hint="eastAsia" w:ascii="宋体" w:hAnsi="宋体" w:eastAsia="宋体" w:cs="宋体"/>
      <w:color w:val="000000"/>
      <w:sz w:val="22"/>
      <w:szCs w:val="22"/>
      <w:u w:val="none"/>
    </w:rPr>
  </w:style>
  <w:style w:type="character" w:customStyle="1" w:styleId="68">
    <w:name w:val="正文文本 Char"/>
    <w:autoRedefine/>
    <w:qFormat/>
    <w:uiPriority w:val="0"/>
    <w:rPr>
      <w:rFonts w:eastAsia="宋体"/>
      <w:lang w:val="en-US" w:eastAsia="zh-CN" w:bidi="ar-SA"/>
    </w:rPr>
  </w:style>
  <w:style w:type="character" w:customStyle="1" w:styleId="69">
    <w:name w:val="引用 字符"/>
    <w:basedOn w:val="46"/>
    <w:link w:val="70"/>
    <w:autoRedefine/>
    <w:qFormat/>
    <w:uiPriority w:val="29"/>
    <w:rPr>
      <w:i/>
      <w:iCs/>
      <w:color w:val="000000"/>
    </w:rPr>
  </w:style>
  <w:style w:type="paragraph" w:styleId="70">
    <w:name w:val="Quote"/>
    <w:basedOn w:val="1"/>
    <w:next w:val="1"/>
    <w:link w:val="69"/>
    <w:autoRedefine/>
    <w:qFormat/>
    <w:uiPriority w:val="29"/>
    <w:rPr>
      <w:i/>
      <w:iCs/>
      <w:color w:val="000000"/>
    </w:rPr>
  </w:style>
  <w:style w:type="character" w:customStyle="1" w:styleId="71">
    <w:name w:val="text"/>
    <w:basedOn w:val="46"/>
    <w:autoRedefine/>
    <w:qFormat/>
    <w:uiPriority w:val="0"/>
  </w:style>
  <w:style w:type="character" w:customStyle="1" w:styleId="72">
    <w:name w:val="日期 字符"/>
    <w:basedOn w:val="46"/>
    <w:link w:val="25"/>
    <w:autoRedefine/>
    <w:qFormat/>
    <w:uiPriority w:val="0"/>
    <w:rPr>
      <w:rFonts w:ascii="宋体"/>
      <w:sz w:val="24"/>
    </w:rPr>
  </w:style>
  <w:style w:type="character" w:customStyle="1" w:styleId="73">
    <w:name w:val="titlestyle10831"/>
    <w:basedOn w:val="46"/>
    <w:autoRedefine/>
    <w:qFormat/>
    <w:uiPriority w:val="0"/>
    <w:rPr>
      <w:rFonts w:hint="eastAsia" w:ascii="黑体" w:hAnsi="黑体" w:eastAsia="黑体"/>
      <w:b/>
      <w:bCs/>
      <w:sz w:val="36"/>
      <w:szCs w:val="36"/>
    </w:rPr>
  </w:style>
  <w:style w:type="character" w:customStyle="1" w:styleId="74">
    <w:name w:val="正文文本 字符"/>
    <w:basedOn w:val="46"/>
    <w:link w:val="17"/>
    <w:autoRedefine/>
    <w:qFormat/>
    <w:uiPriority w:val="0"/>
    <w:rPr>
      <w:rFonts w:eastAsia="宋体"/>
      <w:lang w:val="en-US" w:eastAsia="zh-CN" w:bidi="ar-SA"/>
    </w:rPr>
  </w:style>
  <w:style w:type="character" w:customStyle="1" w:styleId="75">
    <w:name w:val="纯文本 字符"/>
    <w:basedOn w:val="46"/>
    <w:link w:val="23"/>
    <w:autoRedefine/>
    <w:qFormat/>
    <w:uiPriority w:val="0"/>
    <w:rPr>
      <w:rFonts w:ascii="宋体" w:hAnsi="Courier New" w:eastAsia="宋体" w:cs="Century"/>
      <w:sz w:val="21"/>
      <w:szCs w:val="21"/>
      <w:lang w:val="en-US" w:eastAsia="zh-CN" w:bidi="ar-SA"/>
    </w:rPr>
  </w:style>
  <w:style w:type="character" w:customStyle="1" w:styleId="76">
    <w:name w:val="apple-tab-span"/>
    <w:basedOn w:val="46"/>
    <w:autoRedefine/>
    <w:qFormat/>
    <w:uiPriority w:val="0"/>
  </w:style>
  <w:style w:type="character" w:customStyle="1" w:styleId="77">
    <w:name w:val="Char Char Char"/>
    <w:basedOn w:val="46"/>
    <w:autoRedefine/>
    <w:qFormat/>
    <w:uiPriority w:val="0"/>
    <w:rPr>
      <w:rFonts w:ascii="宋体" w:hAnsi="Courier New" w:eastAsia="宋体"/>
      <w:kern w:val="2"/>
      <w:sz w:val="24"/>
      <w:lang w:val="en-US" w:eastAsia="zh-CN" w:bidi="ar-SA"/>
    </w:rPr>
  </w:style>
  <w:style w:type="character" w:customStyle="1" w:styleId="78">
    <w:name w:val="para"/>
    <w:basedOn w:val="46"/>
    <w:autoRedefine/>
    <w:qFormat/>
    <w:uiPriority w:val="0"/>
  </w:style>
  <w:style w:type="character" w:customStyle="1" w:styleId="79">
    <w:name w:val="main14"/>
    <w:basedOn w:val="46"/>
    <w:autoRedefine/>
    <w:qFormat/>
    <w:uiPriority w:val="0"/>
  </w:style>
  <w:style w:type="character" w:customStyle="1" w:styleId="80">
    <w:name w:val="title_emph"/>
    <w:basedOn w:val="46"/>
    <w:autoRedefine/>
    <w:qFormat/>
    <w:uiPriority w:val="0"/>
  </w:style>
  <w:style w:type="character" w:customStyle="1" w:styleId="81">
    <w:name w:val="font01"/>
    <w:basedOn w:val="46"/>
    <w:autoRedefine/>
    <w:qFormat/>
    <w:uiPriority w:val="0"/>
    <w:rPr>
      <w:rFonts w:hint="eastAsia" w:ascii="宋体" w:hAnsi="宋体" w:eastAsia="宋体" w:cs="宋体"/>
      <w:color w:val="000000"/>
      <w:sz w:val="22"/>
      <w:szCs w:val="22"/>
      <w:u w:val="none"/>
    </w:rPr>
  </w:style>
  <w:style w:type="paragraph" w:customStyle="1" w:styleId="82">
    <w:name w:val="È±Ê¡ÎÄ±¾"/>
    <w:basedOn w:val="1"/>
    <w:autoRedefine/>
    <w:qFormat/>
    <w:uiPriority w:val="0"/>
    <w:pPr>
      <w:overflowPunct w:val="0"/>
      <w:autoSpaceDE w:val="0"/>
      <w:autoSpaceDN w:val="0"/>
      <w:adjustRightInd w:val="0"/>
      <w:textAlignment w:val="baseline"/>
    </w:pPr>
    <w:rPr>
      <w:sz w:val="24"/>
    </w:rPr>
  </w:style>
  <w:style w:type="character" w:customStyle="1" w:styleId="83">
    <w:name w:val="页眉 字符"/>
    <w:basedOn w:val="46"/>
    <w:link w:val="29"/>
    <w:autoRedefine/>
    <w:qFormat/>
    <w:uiPriority w:val="99"/>
    <w:rPr>
      <w:sz w:val="18"/>
    </w:rPr>
  </w:style>
  <w:style w:type="paragraph" w:customStyle="1" w:styleId="84">
    <w:name w:val="Char Char Char Char"/>
    <w:basedOn w:val="1"/>
    <w:autoRedefine/>
    <w:qFormat/>
    <w:uiPriority w:val="0"/>
    <w:pPr>
      <w:widowControl w:val="0"/>
      <w:jc w:val="both"/>
    </w:pPr>
    <w:rPr>
      <w:rFonts w:ascii="Tahoma" w:hAnsi="Tahoma"/>
      <w:kern w:val="2"/>
      <w:sz w:val="24"/>
    </w:rPr>
  </w:style>
  <w:style w:type="paragraph" w:customStyle="1" w:styleId="85">
    <w:name w:val="1"/>
    <w:basedOn w:val="1"/>
    <w:next w:val="38"/>
    <w:autoRedefine/>
    <w:qFormat/>
    <w:uiPriority w:val="0"/>
    <w:pPr>
      <w:spacing w:before="100" w:beforeAutospacing="1" w:after="100" w:afterAutospacing="1"/>
    </w:pPr>
    <w:rPr>
      <w:rFonts w:ascii="宋体" w:hAnsi="宋体" w:cs="黑体"/>
      <w:sz w:val="24"/>
      <w:szCs w:val="24"/>
    </w:rPr>
  </w:style>
  <w:style w:type="paragraph" w:customStyle="1" w:styleId="86">
    <w:name w:val="正文文本缩进1"/>
    <w:basedOn w:val="1"/>
    <w:autoRedefine/>
    <w:qFormat/>
    <w:uiPriority w:val="0"/>
    <w:pPr>
      <w:widowControl w:val="0"/>
      <w:ind w:firstLine="560" w:firstLineChars="200"/>
      <w:jc w:val="both"/>
    </w:pPr>
    <w:rPr>
      <w:kern w:val="2"/>
      <w:sz w:val="28"/>
      <w:szCs w:val="28"/>
    </w:rPr>
  </w:style>
  <w:style w:type="paragraph" w:customStyle="1" w:styleId="87">
    <w:name w:val="IBM 正文"/>
    <w:basedOn w:val="1"/>
    <w:autoRedefine/>
    <w:qFormat/>
    <w:uiPriority w:val="0"/>
    <w:pPr>
      <w:widowControl w:val="0"/>
      <w:spacing w:line="400" w:lineRule="exact"/>
      <w:jc w:val="both"/>
    </w:pPr>
    <w:rPr>
      <w:spacing w:val="20"/>
      <w:kern w:val="2"/>
      <w:sz w:val="24"/>
    </w:rPr>
  </w:style>
  <w:style w:type="paragraph" w:customStyle="1" w:styleId="88">
    <w:name w:val="Char"/>
    <w:basedOn w:val="1"/>
    <w:autoRedefine/>
    <w:qFormat/>
    <w:uiPriority w:val="0"/>
    <w:pPr>
      <w:spacing w:after="160" w:line="240" w:lineRule="exact"/>
    </w:pPr>
    <w:rPr>
      <w:rFonts w:ascii="宋体" w:hAnsi="宋体"/>
      <w:lang w:eastAsia="en-US"/>
    </w:rPr>
  </w:style>
  <w:style w:type="paragraph" w:customStyle="1" w:styleId="89">
    <w:name w:val="样式2"/>
    <w:basedOn w:val="1"/>
    <w:autoRedefine/>
    <w:qFormat/>
    <w:uiPriority w:val="0"/>
    <w:pPr>
      <w:widowControl w:val="0"/>
      <w:jc w:val="both"/>
    </w:pPr>
    <w:rPr>
      <w:rFonts w:ascii="仿宋_GB2312" w:eastAsia="仿宋_GB2312"/>
      <w:kern w:val="2"/>
      <w:sz w:val="32"/>
    </w:rPr>
  </w:style>
  <w:style w:type="paragraph" w:customStyle="1" w:styleId="90">
    <w:name w:val="Blockquote"/>
    <w:basedOn w:val="1"/>
    <w:autoRedefine/>
    <w:qFormat/>
    <w:uiPriority w:val="0"/>
    <w:pPr>
      <w:widowControl w:val="0"/>
      <w:autoSpaceDE w:val="0"/>
      <w:autoSpaceDN w:val="0"/>
      <w:adjustRightInd w:val="0"/>
      <w:spacing w:before="100" w:after="100"/>
      <w:ind w:left="360" w:right="360"/>
    </w:pPr>
    <w:rPr>
      <w:sz w:val="24"/>
      <w:szCs w:val="24"/>
    </w:rPr>
  </w:style>
  <w:style w:type="paragraph" w:customStyle="1" w:styleId="91">
    <w:name w:val="Char Char Char1 Char"/>
    <w:basedOn w:val="1"/>
    <w:autoRedefine/>
    <w:qFormat/>
    <w:uiPriority w:val="0"/>
    <w:pPr>
      <w:widowControl w:val="0"/>
      <w:jc w:val="both"/>
    </w:pPr>
    <w:rPr>
      <w:rFonts w:ascii="Tahoma" w:hAnsi="Tahoma"/>
      <w:kern w:val="2"/>
      <w:sz w:val="24"/>
    </w:rPr>
  </w:style>
  <w:style w:type="paragraph" w:customStyle="1" w:styleId="92">
    <w:name w:val="缺省文本:1"/>
    <w:basedOn w:val="1"/>
    <w:autoRedefine/>
    <w:qFormat/>
    <w:uiPriority w:val="0"/>
    <w:pPr>
      <w:widowControl w:val="0"/>
      <w:autoSpaceDE w:val="0"/>
      <w:autoSpaceDN w:val="0"/>
      <w:adjustRightInd w:val="0"/>
    </w:pPr>
    <w:rPr>
      <w:sz w:val="24"/>
      <w:szCs w:val="24"/>
    </w:rPr>
  </w:style>
  <w:style w:type="paragraph" w:customStyle="1" w:styleId="93">
    <w:name w:val="标题1.9"/>
    <w:basedOn w:val="1"/>
    <w:autoRedefine/>
    <w:qFormat/>
    <w:uiPriority w:val="0"/>
    <w:pPr>
      <w:widowControl w:val="0"/>
      <w:autoSpaceDE w:val="0"/>
      <w:autoSpaceDN w:val="0"/>
      <w:adjustRightInd w:val="0"/>
      <w:jc w:val="center"/>
    </w:pPr>
    <w:rPr>
      <w:rFonts w:ascii="黑体" w:eastAsia="黑体"/>
      <w:sz w:val="24"/>
      <w:szCs w:val="24"/>
    </w:rPr>
  </w:style>
  <w:style w:type="paragraph" w:customStyle="1" w:styleId="94">
    <w:name w:val="默认段落字体 Para Char Char Char Char Char Char Char Char Char1 Char Char Char Char"/>
    <w:basedOn w:val="1"/>
    <w:autoRedefine/>
    <w:qFormat/>
    <w:uiPriority w:val="0"/>
    <w:pPr>
      <w:widowControl w:val="0"/>
      <w:adjustRightInd w:val="0"/>
      <w:spacing w:line="312" w:lineRule="atLeast"/>
      <w:jc w:val="both"/>
      <w:textAlignment w:val="baseline"/>
    </w:pPr>
    <w:rPr>
      <w:b/>
      <w:bCs/>
      <w:sz w:val="36"/>
      <w:szCs w:val="32"/>
    </w:rPr>
  </w:style>
  <w:style w:type="paragraph" w:styleId="95">
    <w:name w:val="List Paragraph"/>
    <w:basedOn w:val="1"/>
    <w:link w:val="139"/>
    <w:autoRedefine/>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6">
    <w:name w:val="正文文本缩进 21"/>
    <w:basedOn w:val="1"/>
    <w:autoRedefine/>
    <w:qFormat/>
    <w:uiPriority w:val="0"/>
    <w:pPr>
      <w:widowControl w:val="0"/>
      <w:adjustRightInd w:val="0"/>
      <w:spacing w:line="360" w:lineRule="atLeast"/>
      <w:ind w:firstLine="600"/>
      <w:jc w:val="both"/>
      <w:textAlignment w:val="baseline"/>
    </w:pPr>
    <w:rPr>
      <w:sz w:val="32"/>
    </w:rPr>
  </w:style>
  <w:style w:type="paragraph" w:customStyle="1" w:styleId="97">
    <w:name w:val="标题 4.1"/>
    <w:basedOn w:val="1"/>
    <w:autoRedefine/>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8">
    <w:name w:val="reader-word-layer reader-word-s16-2"/>
    <w:basedOn w:val="1"/>
    <w:autoRedefine/>
    <w:qFormat/>
    <w:uiPriority w:val="0"/>
    <w:pPr>
      <w:spacing w:before="100" w:beforeAutospacing="1" w:after="100" w:afterAutospacing="1"/>
    </w:pPr>
    <w:rPr>
      <w:rFonts w:ascii="宋体" w:hAnsi="宋体" w:cs="宋体"/>
      <w:sz w:val="24"/>
      <w:szCs w:val="24"/>
    </w:rPr>
  </w:style>
  <w:style w:type="paragraph" w:customStyle="1" w:styleId="99">
    <w:name w:val="标题5"/>
    <w:basedOn w:val="1"/>
    <w:autoRedefine/>
    <w:qFormat/>
    <w:uiPriority w:val="0"/>
    <w:pPr>
      <w:widowControl w:val="0"/>
      <w:tabs>
        <w:tab w:val="left" w:pos="7035"/>
      </w:tabs>
      <w:jc w:val="both"/>
    </w:pPr>
    <w:rPr>
      <w:rFonts w:ascii="宋体" w:hAnsi="宋体"/>
      <w:b/>
      <w:color w:val="000000"/>
      <w:kern w:val="2"/>
      <w:sz w:val="24"/>
      <w:szCs w:val="24"/>
    </w:rPr>
  </w:style>
  <w:style w:type="paragraph" w:customStyle="1" w:styleId="100">
    <w:name w:val="正文文本 21"/>
    <w:basedOn w:val="1"/>
    <w:autoRedefine/>
    <w:qFormat/>
    <w:uiPriority w:val="0"/>
    <w:pPr>
      <w:widowControl w:val="0"/>
      <w:adjustRightInd w:val="0"/>
      <w:spacing w:line="360" w:lineRule="atLeast"/>
      <w:ind w:firstLine="720"/>
      <w:jc w:val="both"/>
      <w:textAlignment w:val="baseline"/>
    </w:pPr>
    <w:rPr>
      <w:sz w:val="32"/>
      <w:szCs w:val="24"/>
    </w:rPr>
  </w:style>
  <w:style w:type="paragraph" w:customStyle="1" w:styleId="101">
    <w:name w:val="reader-word-layer reader-word-s16-14"/>
    <w:basedOn w:val="1"/>
    <w:autoRedefine/>
    <w:qFormat/>
    <w:uiPriority w:val="0"/>
    <w:pPr>
      <w:spacing w:before="100" w:beforeAutospacing="1" w:after="100" w:afterAutospacing="1"/>
    </w:pPr>
    <w:rPr>
      <w:rFonts w:ascii="宋体" w:hAnsi="宋体" w:cs="宋体"/>
      <w:sz w:val="24"/>
      <w:szCs w:val="24"/>
    </w:rPr>
  </w:style>
  <w:style w:type="paragraph" w:customStyle="1" w:styleId="102">
    <w:name w:val="xl28"/>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3">
    <w:name w:val="reader-word-layer reader-word-s16-16"/>
    <w:basedOn w:val="1"/>
    <w:autoRedefine/>
    <w:qFormat/>
    <w:uiPriority w:val="0"/>
    <w:pPr>
      <w:spacing w:before="100" w:beforeAutospacing="1" w:after="100" w:afterAutospacing="1"/>
    </w:pPr>
    <w:rPr>
      <w:rFonts w:ascii="宋体" w:hAnsi="宋体" w:cs="宋体"/>
      <w:sz w:val="24"/>
      <w:szCs w:val="24"/>
    </w:rPr>
  </w:style>
  <w:style w:type="paragraph" w:customStyle="1" w:styleId="104">
    <w:name w:val="o"/>
    <w:basedOn w:val="1"/>
    <w:autoRedefine/>
    <w:qFormat/>
    <w:uiPriority w:val="0"/>
    <w:pPr>
      <w:widowControl w:val="0"/>
      <w:adjustRightInd w:val="0"/>
      <w:spacing w:line="360" w:lineRule="atLeast"/>
      <w:textAlignment w:val="baseline"/>
    </w:pPr>
    <w:rPr>
      <w:rFonts w:ascii="宋体"/>
      <w:sz w:val="32"/>
    </w:rPr>
  </w:style>
  <w:style w:type="paragraph" w:customStyle="1" w:styleId="105">
    <w:name w:val="aspnumfaautoadjustright"/>
    <w:autoRedefine/>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6">
    <w:name w:val="小标题"/>
    <w:basedOn w:val="1"/>
    <w:autoRedefine/>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7">
    <w:name w:val="默认段落字体 Para Char Char Char Char Char Char Char Char Char1 Char Char Char Char Char Char Char"/>
    <w:basedOn w:val="14"/>
    <w:autoRedefine/>
    <w:qFormat/>
    <w:uiPriority w:val="0"/>
    <w:pPr>
      <w:widowControl w:val="0"/>
      <w:jc w:val="both"/>
    </w:pPr>
    <w:rPr>
      <w:rFonts w:ascii="Tahoma" w:hAnsi="Tahoma" w:cs="Tahoma"/>
      <w:kern w:val="2"/>
      <w:sz w:val="24"/>
      <w:szCs w:val="24"/>
    </w:rPr>
  </w:style>
  <w:style w:type="paragraph" w:customStyle="1" w:styleId="108">
    <w:name w:val="?¡ì?¡ì?¡§¡è?¡ìo????¡§¡è?:1:1"/>
    <w:basedOn w:val="1"/>
    <w:autoRedefine/>
    <w:qFormat/>
    <w:uiPriority w:val="0"/>
    <w:pPr>
      <w:overflowPunct w:val="0"/>
      <w:autoSpaceDE w:val="0"/>
      <w:autoSpaceDN w:val="0"/>
      <w:adjustRightInd w:val="0"/>
    </w:pPr>
    <w:rPr>
      <w:sz w:val="24"/>
    </w:rPr>
  </w:style>
  <w:style w:type="paragraph" w:customStyle="1" w:styleId="109">
    <w:name w:val="Char Char2"/>
    <w:basedOn w:val="1"/>
    <w:autoRedefine/>
    <w:qFormat/>
    <w:uiPriority w:val="0"/>
    <w:pPr>
      <w:widowControl w:val="0"/>
      <w:jc w:val="both"/>
    </w:pPr>
    <w:rPr>
      <w:rFonts w:ascii="Tahoma" w:hAnsi="Tahoma"/>
      <w:kern w:val="2"/>
      <w:sz w:val="24"/>
    </w:rPr>
  </w:style>
  <w:style w:type="paragraph" w:customStyle="1" w:styleId="110">
    <w:name w:val="reader-word-layer reader-word-s16-12"/>
    <w:basedOn w:val="1"/>
    <w:autoRedefine/>
    <w:qFormat/>
    <w:uiPriority w:val="0"/>
    <w:pPr>
      <w:spacing w:before="100" w:beforeAutospacing="1" w:after="100" w:afterAutospacing="1"/>
    </w:pPr>
    <w:rPr>
      <w:rFonts w:ascii="宋体" w:hAnsi="宋体" w:cs="宋体"/>
      <w:sz w:val="24"/>
      <w:szCs w:val="24"/>
    </w:rPr>
  </w:style>
  <w:style w:type="paragraph" w:customStyle="1" w:styleId="111">
    <w:name w:val="reader-word-layer reader-word-s16-9"/>
    <w:basedOn w:val="1"/>
    <w:autoRedefine/>
    <w:qFormat/>
    <w:uiPriority w:val="0"/>
    <w:pPr>
      <w:spacing w:before="100" w:beforeAutospacing="1" w:after="100" w:afterAutospacing="1"/>
    </w:pPr>
    <w:rPr>
      <w:rFonts w:ascii="宋体" w:hAnsi="宋体" w:cs="宋体"/>
      <w:sz w:val="24"/>
      <w:szCs w:val="24"/>
    </w:rPr>
  </w:style>
  <w:style w:type="paragraph" w:customStyle="1" w:styleId="112">
    <w:name w:val="Char1 Char Char Char"/>
    <w:basedOn w:val="1"/>
    <w:autoRedefine/>
    <w:qFormat/>
    <w:uiPriority w:val="0"/>
    <w:pPr>
      <w:widowControl w:val="0"/>
      <w:jc w:val="both"/>
    </w:pPr>
    <w:rPr>
      <w:kern w:val="2"/>
      <w:sz w:val="21"/>
      <w:szCs w:val="24"/>
    </w:rPr>
  </w:style>
  <w:style w:type="paragraph" w:customStyle="1" w:styleId="113">
    <w:name w:val="默认段落字体 Para Char Char Char Char"/>
    <w:basedOn w:val="1"/>
    <w:autoRedefine/>
    <w:qFormat/>
    <w:uiPriority w:val="0"/>
    <w:pPr>
      <w:widowControl w:val="0"/>
      <w:jc w:val="both"/>
    </w:pPr>
    <w:rPr>
      <w:kern w:val="2"/>
      <w:sz w:val="21"/>
      <w:szCs w:val="24"/>
    </w:rPr>
  </w:style>
  <w:style w:type="paragraph" w:customStyle="1" w:styleId="114">
    <w:name w:val="?¡ì?¡ì?¡§¡è?¡ìo????¡§¡è?:1"/>
    <w:basedOn w:val="1"/>
    <w:autoRedefine/>
    <w:qFormat/>
    <w:uiPriority w:val="0"/>
    <w:pPr>
      <w:overflowPunct w:val="0"/>
      <w:autoSpaceDE w:val="0"/>
      <w:autoSpaceDN w:val="0"/>
      <w:adjustRightInd w:val="0"/>
    </w:pPr>
    <w:rPr>
      <w:sz w:val="24"/>
    </w:rPr>
  </w:style>
  <w:style w:type="paragraph" w:customStyle="1" w:styleId="115">
    <w:name w:val="默认段落字体 Para Char"/>
    <w:basedOn w:val="1"/>
    <w:autoRedefine/>
    <w:qFormat/>
    <w:uiPriority w:val="0"/>
    <w:pPr>
      <w:widowControl w:val="0"/>
      <w:jc w:val="both"/>
    </w:pPr>
    <w:rPr>
      <w:kern w:val="2"/>
      <w:sz w:val="21"/>
      <w:szCs w:val="24"/>
    </w:rPr>
  </w:style>
  <w:style w:type="paragraph" w:customStyle="1" w:styleId="116">
    <w:name w:val="表格02"/>
    <w:basedOn w:val="1"/>
    <w:autoRedefine/>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7">
    <w:name w:val="reader-word-layer reader-word-s16-17"/>
    <w:basedOn w:val="1"/>
    <w:autoRedefine/>
    <w:qFormat/>
    <w:uiPriority w:val="0"/>
    <w:pPr>
      <w:spacing w:before="100" w:beforeAutospacing="1" w:after="100" w:afterAutospacing="1"/>
    </w:pPr>
    <w:rPr>
      <w:rFonts w:ascii="宋体" w:hAnsi="宋体" w:cs="宋体"/>
      <w:sz w:val="24"/>
      <w:szCs w:val="24"/>
    </w:rPr>
  </w:style>
  <w:style w:type="paragraph" w:customStyle="1" w:styleId="118">
    <w:name w:val="CM22"/>
    <w:basedOn w:val="1"/>
    <w:next w:val="1"/>
    <w:autoRedefine/>
    <w:qFormat/>
    <w:uiPriority w:val="0"/>
    <w:pPr>
      <w:widowControl w:val="0"/>
      <w:autoSpaceDE w:val="0"/>
      <w:autoSpaceDN w:val="0"/>
      <w:adjustRightInd w:val="0"/>
      <w:spacing w:after="310"/>
    </w:pPr>
    <w:rPr>
      <w:rFonts w:ascii="宋体"/>
      <w:sz w:val="24"/>
      <w:szCs w:val="24"/>
    </w:rPr>
  </w:style>
  <w:style w:type="paragraph" w:customStyle="1" w:styleId="119">
    <w:name w:val="reader-word-layer reader-word-s16-11"/>
    <w:basedOn w:val="1"/>
    <w:autoRedefine/>
    <w:qFormat/>
    <w:uiPriority w:val="0"/>
    <w:pPr>
      <w:spacing w:before="100" w:beforeAutospacing="1" w:after="100" w:afterAutospacing="1"/>
    </w:pPr>
    <w:rPr>
      <w:rFonts w:ascii="宋体" w:hAnsi="宋体" w:cs="宋体"/>
      <w:sz w:val="24"/>
      <w:szCs w:val="24"/>
    </w:rPr>
  </w:style>
  <w:style w:type="paragraph" w:customStyle="1" w:styleId="120">
    <w:name w:val="È±Ê¡ÎÄ±¾:1:1"/>
    <w:basedOn w:val="1"/>
    <w:autoRedefine/>
    <w:qFormat/>
    <w:uiPriority w:val="0"/>
    <w:pPr>
      <w:overflowPunct w:val="0"/>
      <w:autoSpaceDE w:val="0"/>
      <w:autoSpaceDN w:val="0"/>
      <w:adjustRightInd w:val="0"/>
      <w:textAlignment w:val="baseline"/>
    </w:pPr>
    <w:rPr>
      <w:sz w:val="24"/>
    </w:rPr>
  </w:style>
  <w:style w:type="paragraph" w:customStyle="1" w:styleId="121">
    <w:name w:val="样式1"/>
    <w:basedOn w:val="1"/>
    <w:autoRedefine/>
    <w:qFormat/>
    <w:uiPriority w:val="0"/>
    <w:pPr>
      <w:widowControl w:val="0"/>
      <w:spacing w:before="120" w:after="120" w:line="300" w:lineRule="auto"/>
      <w:jc w:val="both"/>
    </w:pPr>
    <w:rPr>
      <w:rFonts w:ascii="宋体" w:hAnsi="宋体"/>
      <w:b/>
      <w:kern w:val="2"/>
      <w:sz w:val="24"/>
    </w:rPr>
  </w:style>
  <w:style w:type="paragraph" w:customStyle="1" w:styleId="122">
    <w:name w:val="_Style 17"/>
    <w:basedOn w:val="1"/>
    <w:next w:val="38"/>
    <w:autoRedefine/>
    <w:qFormat/>
    <w:uiPriority w:val="0"/>
    <w:pPr>
      <w:spacing w:before="100" w:beforeAutospacing="1" w:after="100" w:afterAutospacing="1"/>
    </w:pPr>
    <w:rPr>
      <w:rFonts w:ascii="宋体" w:hAnsi="宋体" w:cs="黑体"/>
      <w:sz w:val="24"/>
      <w:szCs w:val="24"/>
    </w:rPr>
  </w:style>
  <w:style w:type="paragraph" w:customStyle="1" w:styleId="123">
    <w:name w:val="Char Char Char Char1"/>
    <w:basedOn w:val="1"/>
    <w:autoRedefine/>
    <w:qFormat/>
    <w:uiPriority w:val="0"/>
    <w:pPr>
      <w:widowControl w:val="0"/>
      <w:jc w:val="both"/>
    </w:pPr>
    <w:rPr>
      <w:rFonts w:ascii="Tahoma" w:hAnsi="Tahoma"/>
      <w:kern w:val="2"/>
      <w:sz w:val="24"/>
    </w:rPr>
  </w:style>
  <w:style w:type="paragraph" w:customStyle="1" w:styleId="124">
    <w:name w:val="reader-word-layer reader-word-s16-7"/>
    <w:basedOn w:val="1"/>
    <w:autoRedefine/>
    <w:qFormat/>
    <w:uiPriority w:val="0"/>
    <w:pPr>
      <w:spacing w:before="100" w:beforeAutospacing="1" w:after="100" w:afterAutospacing="1"/>
    </w:pPr>
    <w:rPr>
      <w:rFonts w:ascii="宋体" w:hAnsi="宋体" w:cs="宋体"/>
      <w:sz w:val="24"/>
      <w:szCs w:val="24"/>
    </w:rPr>
  </w:style>
  <w:style w:type="paragraph" w:customStyle="1" w:styleId="125">
    <w:name w:val="正文文本缩进8"/>
    <w:basedOn w:val="1"/>
    <w:autoRedefine/>
    <w:qFormat/>
    <w:uiPriority w:val="0"/>
    <w:pPr>
      <w:widowControl w:val="0"/>
      <w:ind w:firstLine="560" w:firstLineChars="200"/>
      <w:jc w:val="both"/>
    </w:pPr>
    <w:rPr>
      <w:kern w:val="2"/>
      <w:sz w:val="28"/>
      <w:szCs w:val="28"/>
    </w:rPr>
  </w:style>
  <w:style w:type="paragraph" w:customStyle="1" w:styleId="126">
    <w:name w:val="_Style 110"/>
    <w:basedOn w:val="1"/>
    <w:next w:val="95"/>
    <w:autoRedefine/>
    <w:qFormat/>
    <w:uiPriority w:val="34"/>
    <w:pPr>
      <w:widowControl w:val="0"/>
      <w:ind w:firstLine="420" w:firstLineChars="200"/>
      <w:jc w:val="both"/>
    </w:pPr>
    <w:rPr>
      <w:kern w:val="2"/>
      <w:sz w:val="21"/>
    </w:rPr>
  </w:style>
  <w:style w:type="character" w:customStyle="1" w:styleId="127">
    <w:name w:val="页脚 Char"/>
    <w:link w:val="128"/>
    <w:autoRedefine/>
    <w:qFormat/>
    <w:uiPriority w:val="0"/>
    <w:rPr>
      <w:sz w:val="18"/>
    </w:rPr>
  </w:style>
  <w:style w:type="paragraph" w:customStyle="1" w:styleId="128">
    <w:name w:val="页脚1"/>
    <w:basedOn w:val="1"/>
    <w:link w:val="127"/>
    <w:autoRedefine/>
    <w:qFormat/>
    <w:uiPriority w:val="0"/>
    <w:pPr>
      <w:widowControl w:val="0"/>
      <w:tabs>
        <w:tab w:val="center" w:pos="4153"/>
        <w:tab w:val="right" w:pos="8306"/>
      </w:tabs>
      <w:snapToGrid w:val="0"/>
    </w:pPr>
    <w:rPr>
      <w:sz w:val="18"/>
    </w:rPr>
  </w:style>
  <w:style w:type="paragraph" w:customStyle="1" w:styleId="129">
    <w:name w:val="页眉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0">
    <w:name w:val="页眉1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1">
    <w:name w:val="正文缩进1"/>
    <w:basedOn w:val="1"/>
    <w:autoRedefine/>
    <w:qFormat/>
    <w:uiPriority w:val="0"/>
    <w:pPr>
      <w:spacing w:line="360" w:lineRule="auto"/>
      <w:ind w:left="20" w:leftChars="10" w:right="20" w:rightChars="10" w:firstLine="420"/>
      <w:jc w:val="both"/>
    </w:pPr>
    <w:rPr>
      <w:rFonts w:ascii="宋体" w:hAnsi="宋体" w:cs="宋体"/>
      <w:bCs/>
      <w:sz w:val="24"/>
      <w:szCs w:val="24"/>
    </w:rPr>
  </w:style>
  <w:style w:type="paragraph" w:styleId="13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列出段落1"/>
    <w:basedOn w:val="1"/>
    <w:autoRedefine/>
    <w:qFormat/>
    <w:uiPriority w:val="0"/>
    <w:pPr>
      <w:widowControl w:val="0"/>
      <w:ind w:firstLine="420"/>
      <w:jc w:val="both"/>
    </w:pPr>
    <w:rPr>
      <w:kern w:val="2"/>
      <w:sz w:val="21"/>
    </w:rPr>
  </w:style>
  <w:style w:type="character" w:customStyle="1" w:styleId="134">
    <w:name w:val="p0 Char"/>
    <w:link w:val="135"/>
    <w:autoRedefine/>
    <w:qFormat/>
    <w:locked/>
    <w:uiPriority w:val="0"/>
    <w:rPr>
      <w:sz w:val="21"/>
      <w:szCs w:val="21"/>
    </w:rPr>
  </w:style>
  <w:style w:type="paragraph" w:customStyle="1" w:styleId="135">
    <w:name w:val="p0"/>
    <w:basedOn w:val="136"/>
    <w:link w:val="134"/>
    <w:autoRedefine/>
    <w:qFormat/>
    <w:uiPriority w:val="0"/>
    <w:pPr>
      <w:jc w:val="both"/>
    </w:pPr>
    <w:rPr>
      <w:rFonts w:eastAsia="微软雅黑" w:asciiTheme="minorHAnsi" w:hAnsiTheme="minorHAnsi" w:cstheme="minorBidi"/>
      <w:sz w:val="21"/>
      <w:szCs w:val="21"/>
    </w:rPr>
  </w:style>
  <w:style w:type="paragraph" w:customStyle="1" w:styleId="136">
    <w:name w:val="msonormal"/>
    <w:basedOn w:val="1"/>
    <w:autoRedefine/>
    <w:qFormat/>
    <w:uiPriority w:val="0"/>
    <w:pPr>
      <w:spacing w:beforeAutospacing="1" w:afterAutospacing="1"/>
    </w:pPr>
    <w:rPr>
      <w:rFonts w:hint="eastAsia" w:ascii="宋体" w:hAnsi="宋体"/>
      <w:sz w:val="24"/>
      <w:szCs w:val="24"/>
    </w:rPr>
  </w:style>
  <w:style w:type="paragraph" w:customStyle="1" w:styleId="137">
    <w:name w:val="正文缩进2格"/>
    <w:basedOn w:val="1"/>
    <w:link w:val="138"/>
    <w:autoRedefine/>
    <w:qFormat/>
    <w:uiPriority w:val="0"/>
    <w:pPr>
      <w:widowControl w:val="0"/>
      <w:spacing w:line="600" w:lineRule="exact"/>
      <w:ind w:firstLine="639" w:firstLineChars="206"/>
      <w:jc w:val="both"/>
    </w:pPr>
    <w:rPr>
      <w:rFonts w:ascii="仿宋_GB2312" w:hAnsi="宋体" w:eastAsia="仿宋_GB2312"/>
      <w:kern w:val="2"/>
      <w:sz w:val="31"/>
      <w:szCs w:val="28"/>
    </w:rPr>
  </w:style>
  <w:style w:type="character" w:customStyle="1" w:styleId="138">
    <w:name w:val="正文缩进2格 Char"/>
    <w:link w:val="137"/>
    <w:autoRedefine/>
    <w:qFormat/>
    <w:uiPriority w:val="0"/>
    <w:rPr>
      <w:rFonts w:ascii="仿宋_GB2312" w:hAnsi="宋体" w:eastAsia="仿宋_GB2312" w:cs="Times New Roman"/>
      <w:kern w:val="2"/>
      <w:sz w:val="31"/>
      <w:szCs w:val="28"/>
    </w:rPr>
  </w:style>
  <w:style w:type="character" w:customStyle="1" w:styleId="139">
    <w:name w:val="列表段落 字符"/>
    <w:link w:val="95"/>
    <w:autoRedefine/>
    <w:qFormat/>
    <w:uiPriority w:val="0"/>
    <w:rPr>
      <w:rFonts w:ascii="Calibri" w:hAnsi="Calibri" w:eastAsia="宋体" w:cs="Times New Roman"/>
      <w:kern w:val="2"/>
      <w:sz w:val="21"/>
      <w:szCs w:val="22"/>
    </w:rPr>
  </w:style>
  <w:style w:type="character" w:customStyle="1" w:styleId="140">
    <w:name w:val="批注文字 字符"/>
    <w:basedOn w:val="46"/>
    <w:link w:val="15"/>
    <w:autoRedefine/>
    <w:semiHidden/>
    <w:qFormat/>
    <w:uiPriority w:val="0"/>
    <w:rPr>
      <w:rFonts w:ascii="Times New Roman" w:hAnsi="Times New Roman" w:eastAsia="宋体" w:cs="Times New Roman"/>
    </w:rPr>
  </w:style>
  <w:style w:type="character" w:customStyle="1" w:styleId="141">
    <w:name w:val="批注主题 字符"/>
    <w:basedOn w:val="140"/>
    <w:link w:val="41"/>
    <w:autoRedefine/>
    <w:semiHidden/>
    <w:qFormat/>
    <w:uiPriority w:val="0"/>
    <w:rPr>
      <w:rFonts w:ascii="Times New Roman" w:hAnsi="Times New Roman" w:eastAsia="宋体" w:cs="Times New Roman"/>
      <w:b/>
      <w:bCs/>
    </w:rPr>
  </w:style>
  <w:style w:type="paragraph" w:customStyle="1" w:styleId="142">
    <w:name w:val="修订1"/>
    <w:autoRedefine/>
    <w:hidden/>
    <w:semiHidden/>
    <w:qFormat/>
    <w:uiPriority w:val="99"/>
    <w:rPr>
      <w:rFonts w:ascii="Times New Roman" w:hAnsi="Times New Roman" w:eastAsia="宋体" w:cs="Times New Roman"/>
      <w:lang w:val="en-US" w:eastAsia="zh-CN" w:bidi="ar-SA"/>
    </w:rPr>
  </w:style>
  <w:style w:type="character" w:customStyle="1" w:styleId="143">
    <w:name w:val="layui-layer-tabnow"/>
    <w:basedOn w:val="46"/>
    <w:autoRedefine/>
    <w:qFormat/>
    <w:uiPriority w:val="0"/>
    <w:rPr>
      <w:bdr w:val="single" w:color="CCCCCC" w:sz="6" w:space="0"/>
      <w:shd w:val="clear" w:color="auto" w:fill="FFFFFF"/>
    </w:rPr>
  </w:style>
  <w:style w:type="character" w:customStyle="1" w:styleId="144">
    <w:name w:val="first-child"/>
    <w:basedOn w:val="46"/>
    <w:autoRedefine/>
    <w:qFormat/>
    <w:uiPriority w:val="0"/>
  </w:style>
  <w:style w:type="character" w:customStyle="1" w:styleId="145">
    <w:name w:val="layui-laypage-curr"/>
    <w:basedOn w:val="46"/>
    <w:autoRedefine/>
    <w:qFormat/>
    <w:uiPriority w:val="0"/>
  </w:style>
  <w:style w:type="character" w:customStyle="1" w:styleId="146">
    <w:name w:val="bsharetext"/>
    <w:basedOn w:val="46"/>
    <w:autoRedefine/>
    <w:qFormat/>
    <w:uiPriority w:val="0"/>
  </w:style>
  <w:style w:type="paragraph" w:customStyle="1" w:styleId="147">
    <w:name w:val="Table Paragraph"/>
    <w:basedOn w:val="1"/>
    <w:autoRedefine/>
    <w:qFormat/>
    <w:uiPriority w:val="1"/>
    <w:rPr>
      <w:rFonts w:ascii="宋体" w:hAnsi="宋体" w:cs="宋体"/>
      <w:lang w:val="zh-CN" w:bidi="zh-CN"/>
    </w:rPr>
  </w:style>
  <w:style w:type="paragraph" w:customStyle="1" w:styleId="148">
    <w:name w:val="无间隔1"/>
    <w:autoRedefine/>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149">
    <w:name w:val="列表段落1"/>
    <w:basedOn w:val="1"/>
    <w:autoRedefine/>
    <w:qFormat/>
    <w:uiPriority w:val="99"/>
    <w:pPr>
      <w:ind w:firstLine="420" w:firstLineChars="200"/>
    </w:pPr>
  </w:style>
  <w:style w:type="character" w:customStyle="1" w:styleId="150">
    <w:name w:val="fontstyle01"/>
    <w:autoRedefine/>
    <w:qFormat/>
    <w:uiPriority w:val="0"/>
    <w:rPr>
      <w:rFonts w:hint="eastAsia" w:ascii="宋体" w:hAnsi="宋体" w:eastAsia="宋体"/>
      <w:color w:val="000000"/>
      <w:sz w:val="20"/>
      <w:szCs w:val="20"/>
    </w:rPr>
  </w:style>
  <w:style w:type="character" w:customStyle="1" w:styleId="151">
    <w:name w:val="fontstyle21"/>
    <w:autoRedefine/>
    <w:qFormat/>
    <w:uiPriority w:val="0"/>
    <w:rPr>
      <w:rFonts w:hint="default" w:ascii="TimesNewRomanPSMT" w:hAnsi="TimesNewRomanPSMT"/>
      <w:color w:val="000000"/>
      <w:sz w:val="20"/>
      <w:szCs w:val="20"/>
    </w:rPr>
  </w:style>
  <w:style w:type="paragraph" w:customStyle="1" w:styleId="152">
    <w:name w:val="shieldshopinfo"/>
    <w:basedOn w:val="1"/>
    <w:qFormat/>
    <w:uiPriority w:val="0"/>
    <w:pPr>
      <w:spacing w:before="100" w:beforeAutospacing="1" w:after="100" w:afterAutospacing="1"/>
    </w:pPr>
    <w:rPr>
      <w:rFonts w:ascii="宋体" w:hAnsi="宋体" w:cs="宋体"/>
      <w:sz w:val="24"/>
      <w:szCs w:val="24"/>
    </w:rPr>
  </w:style>
  <w:style w:type="paragraph" w:customStyle="1" w:styleId="153">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53E03-D313-429D-99A3-EA4F2282F8AB}">
  <ds:schemaRefs/>
</ds:datastoreItem>
</file>

<file path=docProps/app.xml><?xml version="1.0" encoding="utf-8"?>
<Properties xmlns="http://schemas.openxmlformats.org/officeDocument/2006/extended-properties" xmlns:vt="http://schemas.openxmlformats.org/officeDocument/2006/docPropsVTypes">
  <Template>Normal.dotm</Template>
  <Company>中恒一信项目管理咨询有限公司</Company>
  <Pages>84</Pages>
  <Words>1847</Words>
  <Characters>2193</Characters>
  <Lines>298</Lines>
  <Paragraphs>84</Paragraphs>
  <TotalTime>11</TotalTime>
  <ScaleCrop>false</ScaleCrop>
  <LinksUpToDate>false</LinksUpToDate>
  <CharactersWithSpaces>2256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2020-12-07T00:11:00Z</dcterms:created>
  <dc:creator>赵明</dc:creator>
  <cp:lastModifiedBy></cp:lastModifiedBy>
  <cp:lastPrinted>2024-09-04T02:07:00Z</cp:lastPrinted>
  <dcterms:modified xsi:type="dcterms:W3CDTF">2025-02-11T03:56:50Z</dcterms:modified>
  <dc:title>招标文件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1BD68B8511314C77A4DB4D80222FA01C_13</vt:lpwstr>
  </property>
  <property fmtid="{D5CDD505-2E9C-101B-9397-08002B2CF9AE}" pid="4" name="KSOTemplateDocerSaveRecord">
    <vt:lpwstr>eyJoZGlkIjoiYTA1NzM1M2I2MzEwYWFlOTRkZmY0M2MxMDk0Y2M1MGUiLCJ1c2VySWQiOiIyMjg1ODQzMTYifQ==</vt:lpwstr>
  </property>
</Properties>
</file>