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39F7">
      <w:pPr>
        <w:spacing w:line="240" w:lineRule="auto"/>
        <w:jc w:val="center"/>
        <w:rPr>
          <w:rFonts w:hint="eastAsia" w:ascii="宋体" w:hAnsi="宋体"/>
          <w:b/>
          <w:color w:val="auto"/>
          <w:sz w:val="52"/>
          <w:szCs w:val="52"/>
          <w:highlight w:val="none"/>
          <w:lang w:eastAsia="zh-CN"/>
        </w:rPr>
      </w:pPr>
    </w:p>
    <w:p w14:paraId="16689720">
      <w:pPr>
        <w:spacing w:line="240" w:lineRule="auto"/>
        <w:jc w:val="center"/>
        <w:outlineLvl w:val="0"/>
        <w:rPr>
          <w:rFonts w:hint="default" w:ascii="宋体" w:hAnsi="宋体" w:eastAsia="宋体"/>
          <w:b/>
          <w:color w:val="auto"/>
          <w:sz w:val="52"/>
          <w:szCs w:val="52"/>
          <w:highlight w:val="none"/>
          <w:lang w:val="en-US" w:eastAsia="zh-CN"/>
        </w:rPr>
      </w:pPr>
      <w:r>
        <w:rPr>
          <w:rFonts w:hint="default" w:ascii="宋体" w:hAnsi="宋体" w:eastAsia="宋体"/>
          <w:b/>
          <w:color w:val="auto"/>
          <w:sz w:val="52"/>
          <w:szCs w:val="52"/>
          <w:highlight w:val="none"/>
          <w:lang w:val="en-US" w:eastAsia="zh-CN"/>
        </w:rPr>
        <w:t>四平市中心人民医院手术显微镜（进口）采购项目</w:t>
      </w:r>
    </w:p>
    <w:p w14:paraId="3323CFD0">
      <w:pPr>
        <w:pStyle w:val="4"/>
        <w:spacing w:line="240" w:lineRule="auto"/>
        <w:rPr>
          <w:color w:val="auto"/>
          <w:highlight w:val="none"/>
        </w:rPr>
      </w:pPr>
    </w:p>
    <w:p w14:paraId="119ABA82">
      <w:pPr>
        <w:spacing w:line="240" w:lineRule="auto"/>
        <w:jc w:val="center"/>
        <w:rPr>
          <w:rFonts w:hint="eastAsia"/>
          <w:color w:val="auto"/>
          <w:highlight w:val="none"/>
        </w:rPr>
      </w:pPr>
    </w:p>
    <w:p w14:paraId="14D4F912">
      <w:pPr>
        <w:spacing w:line="240" w:lineRule="auto"/>
        <w:rPr>
          <w:rFonts w:hint="eastAsia"/>
          <w:color w:val="auto"/>
          <w:highlight w:val="none"/>
        </w:rPr>
      </w:pPr>
    </w:p>
    <w:p w14:paraId="5771323E">
      <w:pPr>
        <w:spacing w:line="240" w:lineRule="auto"/>
        <w:jc w:val="center"/>
        <w:rPr>
          <w:rFonts w:hint="eastAsia" w:ascii="宋体" w:hAnsi="宋体" w:cs="宋体"/>
          <w:color w:val="auto"/>
          <w:sz w:val="24"/>
          <w:szCs w:val="24"/>
          <w:highlight w:val="none"/>
        </w:rPr>
      </w:pPr>
      <w:r>
        <w:rPr>
          <w:rFonts w:hint="eastAsia" w:ascii="宋体" w:hAnsi="宋体" w:cs="宋体"/>
          <w:b/>
          <w:color w:val="auto"/>
          <w:sz w:val="72"/>
          <w:szCs w:val="24"/>
          <w:highlight w:val="none"/>
        </w:rPr>
        <w:t>招 标 文 件</w:t>
      </w:r>
    </w:p>
    <w:p w14:paraId="37271E53">
      <w:pPr>
        <w:spacing w:line="240" w:lineRule="auto"/>
        <w:jc w:val="center"/>
        <w:outlineLvl w:val="0"/>
        <w:rPr>
          <w:rFonts w:hint="default" w:ascii="宋体" w:hAnsi="宋体" w:eastAsia="宋体" w:cs="宋体"/>
          <w:b/>
          <w:color w:val="auto"/>
          <w:sz w:val="32"/>
          <w:highlight w:val="none"/>
          <w:lang w:val="en-US"/>
        </w:rPr>
      </w:pPr>
      <w:bookmarkStart w:id="0" w:name="_Toc4296"/>
      <w:r>
        <w:rPr>
          <w:rFonts w:hint="eastAsia" w:ascii="宋体" w:hAnsi="宋体" w:eastAsia="宋体" w:cs="宋体"/>
          <w:b/>
          <w:color w:val="auto"/>
          <w:sz w:val="32"/>
          <w:highlight w:val="none"/>
        </w:rPr>
        <w:t>项目编号：</w:t>
      </w:r>
      <w:bookmarkEnd w:id="0"/>
      <w:r>
        <w:rPr>
          <w:rFonts w:hint="eastAsia" w:ascii="宋体" w:hAnsi="宋体" w:eastAsia="宋体" w:cs="宋体"/>
          <w:b/>
          <w:color w:val="auto"/>
          <w:sz w:val="32"/>
          <w:highlight w:val="none"/>
        </w:rPr>
        <w:t>JLZG-20250110</w:t>
      </w:r>
    </w:p>
    <w:p w14:paraId="47D5A287">
      <w:pPr>
        <w:spacing w:line="240" w:lineRule="auto"/>
        <w:jc w:val="center"/>
        <w:rPr>
          <w:rFonts w:hint="eastAsia" w:ascii="宋体" w:hAnsi="宋体" w:eastAsia="宋体" w:cs="宋体"/>
          <w:b/>
          <w:color w:val="auto"/>
          <w:sz w:val="32"/>
          <w:highlight w:val="none"/>
          <w:lang w:val="en-US" w:eastAsia="zh-CN"/>
        </w:rPr>
      </w:pPr>
    </w:p>
    <w:p w14:paraId="4C056D18">
      <w:pPr>
        <w:spacing w:line="240" w:lineRule="auto"/>
        <w:jc w:val="center"/>
        <w:rPr>
          <w:rFonts w:hint="eastAsia" w:ascii="宋体" w:hAnsi="宋体" w:cs="宋体"/>
          <w:b/>
          <w:color w:val="auto"/>
          <w:sz w:val="32"/>
          <w:szCs w:val="32"/>
          <w:highlight w:val="none"/>
        </w:rPr>
      </w:pPr>
    </w:p>
    <w:p w14:paraId="61C4FF6B">
      <w:pPr>
        <w:spacing w:before="156" w:after="156" w:line="240" w:lineRule="auto"/>
        <w:ind w:firstLine="993" w:firstLineChars="309"/>
        <w:rPr>
          <w:rFonts w:hint="eastAsia" w:ascii="宋体" w:hAnsi="宋体" w:cs="宋体"/>
          <w:b/>
          <w:color w:val="auto"/>
          <w:sz w:val="32"/>
          <w:szCs w:val="32"/>
          <w:highlight w:val="none"/>
        </w:rPr>
      </w:pPr>
    </w:p>
    <w:p w14:paraId="6A651C59">
      <w:pPr>
        <w:spacing w:before="156" w:after="156" w:line="240" w:lineRule="auto"/>
        <w:ind w:firstLine="993" w:firstLineChars="309"/>
        <w:rPr>
          <w:rFonts w:hint="eastAsia" w:ascii="宋体" w:hAnsi="宋体" w:cs="宋体"/>
          <w:b/>
          <w:color w:val="auto"/>
          <w:sz w:val="32"/>
          <w:szCs w:val="32"/>
          <w:highlight w:val="none"/>
        </w:rPr>
      </w:pPr>
    </w:p>
    <w:p w14:paraId="2AA3F166">
      <w:pPr>
        <w:pStyle w:val="11"/>
        <w:spacing w:line="240" w:lineRule="auto"/>
        <w:rPr>
          <w:rFonts w:hint="eastAsia" w:ascii="宋体" w:hAnsi="宋体" w:cs="宋体"/>
          <w:b/>
          <w:color w:val="auto"/>
          <w:sz w:val="32"/>
          <w:szCs w:val="32"/>
          <w:highlight w:val="none"/>
        </w:rPr>
      </w:pPr>
    </w:p>
    <w:p w14:paraId="7E74EFA2">
      <w:pPr>
        <w:spacing w:before="156" w:after="156" w:line="240" w:lineRule="auto"/>
        <w:ind w:firstLine="993" w:firstLineChars="309"/>
        <w:outlineLvl w:val="0"/>
        <w:rPr>
          <w:rFonts w:hint="eastAsia" w:ascii="宋体" w:hAnsi="宋体" w:eastAsia="宋体" w:cs="宋体"/>
          <w:b/>
          <w:color w:val="auto"/>
          <w:sz w:val="32"/>
          <w:szCs w:val="32"/>
          <w:highlight w:val="none"/>
          <w:lang w:eastAsia="zh-CN"/>
        </w:rPr>
      </w:pPr>
      <w:bookmarkStart w:id="1" w:name="_Toc18032"/>
      <w:r>
        <w:rPr>
          <w:rFonts w:hint="eastAsia" w:ascii="宋体" w:hAnsi="宋体" w:eastAsia="宋体" w:cs="宋体"/>
          <w:b/>
          <w:color w:val="auto"/>
          <w:sz w:val="32"/>
          <w:szCs w:val="32"/>
          <w:highlight w:val="none"/>
          <w:lang w:eastAsia="zh-CN"/>
        </w:rPr>
        <w:t>采   购   人：四平市中心人民医院</w:t>
      </w:r>
      <w:bookmarkEnd w:id="1"/>
    </w:p>
    <w:p w14:paraId="6BACEA5F">
      <w:pPr>
        <w:spacing w:before="156" w:after="156" w:line="240" w:lineRule="auto"/>
        <w:ind w:firstLine="993" w:firstLineChars="309"/>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采购代理机构：</w:t>
      </w:r>
      <w:r>
        <w:rPr>
          <w:rFonts w:hint="eastAsia" w:ascii="宋体" w:hAnsi="宋体" w:eastAsia="宋体" w:cs="宋体"/>
          <w:b/>
          <w:bCs/>
          <w:color w:val="auto"/>
          <w:sz w:val="32"/>
          <w:szCs w:val="32"/>
          <w:highlight w:val="none"/>
          <w:lang w:val="en-US" w:eastAsia="zh-CN"/>
        </w:rPr>
        <w:t>吉林省智广工程项目管理有限公司</w:t>
      </w:r>
    </w:p>
    <w:p w14:paraId="7D322676">
      <w:pPr>
        <w:spacing w:line="240" w:lineRule="auto"/>
        <w:jc w:val="center"/>
        <w:rPr>
          <w:rFonts w:hint="eastAsia" w:ascii="宋体" w:hAnsi="宋体" w:cs="宋体"/>
          <w:color w:val="auto"/>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十二</w:t>
      </w:r>
      <w:r>
        <w:rPr>
          <w:rFonts w:hint="eastAsia" w:ascii="宋体" w:hAnsi="宋体" w:cs="宋体"/>
          <w:b/>
          <w:color w:val="auto"/>
          <w:sz w:val="32"/>
          <w:szCs w:val="32"/>
          <w:highlight w:val="none"/>
        </w:rPr>
        <w:t>月</w:t>
      </w:r>
    </w:p>
    <w:p w14:paraId="2891CB3E">
      <w:pPr>
        <w:spacing w:line="240" w:lineRule="auto"/>
        <w:jc w:val="center"/>
        <w:rPr>
          <w:rFonts w:hint="eastAsia" w:ascii="黑体" w:hAnsi="黑体" w:eastAsia="黑体" w:cs="黑体"/>
          <w:b/>
          <w:bCs/>
          <w:color w:val="auto"/>
          <w:sz w:val="30"/>
          <w:szCs w:val="30"/>
          <w:highlight w:val="none"/>
          <w:lang w:val="zh-CN"/>
        </w:rPr>
        <w:sectPr>
          <w:headerReference r:id="rId3" w:type="default"/>
          <w:footerReference r:id="rId4" w:type="even"/>
          <w:pgSz w:w="11906" w:h="16838"/>
          <w:pgMar w:top="1440" w:right="1366" w:bottom="1440" w:left="1020" w:header="851" w:footer="992" w:gutter="0"/>
          <w:pgNumType w:fmt="decimal"/>
          <w:cols w:space="720" w:num="1"/>
          <w:docGrid w:type="lines" w:linePitch="381" w:charSpace="0"/>
        </w:sectPr>
      </w:pPr>
    </w:p>
    <w:p w14:paraId="46D85193">
      <w:pPr>
        <w:pStyle w:val="10"/>
        <w:tabs>
          <w:tab w:val="right" w:leader="dot" w:pos="9638"/>
          <w:tab w:val="clear" w:pos="9000"/>
        </w:tabs>
        <w:jc w:val="center"/>
        <w:rPr>
          <w:rFonts w:hint="eastAsia"/>
          <w:b/>
          <w:bCs/>
          <w:color w:val="auto"/>
          <w:sz w:val="36"/>
          <w:szCs w:val="36"/>
          <w:highlight w:val="none"/>
          <w:lang w:val="en-US" w:eastAsia="zh-CN"/>
        </w:rPr>
      </w:pPr>
    </w:p>
    <w:p w14:paraId="65AFBD05">
      <w:pPr>
        <w:pStyle w:val="10"/>
        <w:tabs>
          <w:tab w:val="right" w:leader="dot" w:pos="9638"/>
          <w:tab w:val="clear" w:pos="9000"/>
        </w:tabs>
        <w:jc w:val="center"/>
        <w:rPr>
          <w:rFonts w:hint="eastAsia" w:eastAsia="宋体"/>
          <w:b/>
          <w:bCs/>
          <w:color w:val="auto"/>
          <w:sz w:val="36"/>
          <w:szCs w:val="36"/>
          <w:highlight w:val="none"/>
          <w:lang w:val="en-US" w:eastAsia="zh-CN"/>
        </w:rPr>
      </w:pPr>
      <w:r>
        <w:rPr>
          <w:rFonts w:hint="eastAsia"/>
          <w:b/>
          <w:bCs/>
          <w:color w:val="auto"/>
          <w:sz w:val="36"/>
          <w:szCs w:val="36"/>
          <w:highlight w:val="none"/>
          <w:lang w:val="en-US" w:eastAsia="zh-CN"/>
        </w:rPr>
        <w:t>目  录</w:t>
      </w:r>
    </w:p>
    <w:p w14:paraId="5010B079">
      <w:pPr>
        <w:pStyle w:val="10"/>
        <w:tabs>
          <w:tab w:val="right" w:leader="dot" w:pos="9072"/>
          <w:tab w:val="clear" w:pos="9000"/>
        </w:tabs>
        <w:spacing w:line="360" w:lineRule="auto"/>
        <w:rPr>
          <w:rFonts w:hint="eastAsia" w:ascii="宋体" w:hAnsi="宋体" w:eastAsia="宋体" w:cs="宋体"/>
          <w:bCs/>
          <w:color w:val="auto"/>
          <w:sz w:val="40"/>
          <w:szCs w:val="40"/>
          <w:highlight w:val="none"/>
          <w:lang w:val="zh-CN"/>
        </w:rPr>
      </w:pPr>
      <w:r>
        <w:rPr>
          <w:rFonts w:hint="eastAsia" w:ascii="宋体" w:hAnsi="宋体" w:eastAsia="宋体" w:cs="宋体"/>
          <w:b/>
          <w:bCs/>
          <w:color w:val="auto"/>
          <w:sz w:val="40"/>
          <w:szCs w:val="40"/>
          <w:highlight w:val="none"/>
          <w:lang w:val="zh-CN"/>
        </w:rPr>
        <w:fldChar w:fldCharType="begin"/>
      </w:r>
      <w:r>
        <w:rPr>
          <w:rFonts w:hint="eastAsia" w:ascii="宋体" w:hAnsi="宋体" w:eastAsia="宋体" w:cs="宋体"/>
          <w:b/>
          <w:bCs/>
          <w:color w:val="auto"/>
          <w:sz w:val="40"/>
          <w:szCs w:val="40"/>
          <w:highlight w:val="none"/>
          <w:lang w:val="zh-CN"/>
        </w:rPr>
        <w:instrText xml:space="preserve">TOC \o "1-1" \h \u </w:instrText>
      </w:r>
      <w:r>
        <w:rPr>
          <w:rFonts w:hint="eastAsia" w:ascii="宋体" w:hAnsi="宋体" w:eastAsia="宋体" w:cs="宋体"/>
          <w:b/>
          <w:bCs/>
          <w:color w:val="auto"/>
          <w:sz w:val="40"/>
          <w:szCs w:val="40"/>
          <w:highlight w:val="none"/>
          <w:lang w:val="zh-CN"/>
        </w:rPr>
        <w:fldChar w:fldCharType="separate"/>
      </w:r>
    </w:p>
    <w:p w14:paraId="0374F57A">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TOC \o "1-1" \h \u </w:instrText>
      </w:r>
      <w:r>
        <w:rPr>
          <w:rFonts w:hint="eastAsia"/>
          <w:color w:val="auto"/>
          <w:sz w:val="24"/>
          <w:szCs w:val="24"/>
          <w:highlight w:val="none"/>
        </w:rPr>
        <w:fldChar w:fldCharType="separate"/>
      </w:r>
    </w:p>
    <w:p w14:paraId="48923530">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_Toc4956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（通用部分）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_Toc4956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0FBEEC6F">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_Toc1312 </w:instrText>
      </w:r>
      <w:r>
        <w:rPr>
          <w:rFonts w:hint="eastAsia"/>
          <w:color w:val="auto"/>
          <w:sz w:val="24"/>
          <w:szCs w:val="24"/>
          <w:highlight w:val="none"/>
        </w:rPr>
        <w:fldChar w:fldCharType="separate"/>
      </w:r>
      <w:r>
        <w:rPr>
          <w:rFonts w:hint="default" w:ascii="黑体" w:eastAsia="黑体" w:cs="黑体"/>
          <w:color w:val="auto"/>
          <w:sz w:val="24"/>
          <w:szCs w:val="40"/>
          <w:highlight w:val="none"/>
          <w:lang w:val="zh-CN"/>
        </w:rPr>
        <w:t xml:space="preserve">第一章 </w:t>
      </w:r>
      <w:r>
        <w:rPr>
          <w:rFonts w:hint="eastAsia" w:ascii="黑体" w:eastAsia="黑体" w:cs="黑体"/>
          <w:bCs/>
          <w:color w:val="auto"/>
          <w:sz w:val="24"/>
          <w:szCs w:val="40"/>
          <w:highlight w:val="none"/>
          <w:lang w:val="zh-CN"/>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2F6AE4F2">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_Toc12087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第二章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_Toc12087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color w:val="auto"/>
          <w:sz w:val="24"/>
          <w:szCs w:val="24"/>
          <w:highlight w:val="none"/>
        </w:rPr>
        <w:fldChar w:fldCharType="end"/>
      </w:r>
    </w:p>
    <w:p w14:paraId="314B1837">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_Toc26038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政府采购合同书格式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_Toc26038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color w:val="auto"/>
          <w:sz w:val="24"/>
          <w:szCs w:val="24"/>
          <w:highlight w:val="none"/>
        </w:rPr>
        <w:fldChar w:fldCharType="end"/>
      </w:r>
    </w:p>
    <w:p w14:paraId="05278D95">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_Toc14256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（需求部分）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_Toc14256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68C1E2E8">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_Toc15375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第一章 </w:t>
      </w:r>
      <w:r>
        <w:rPr>
          <w:rFonts w:hint="eastAsia" w:ascii="黑体" w:eastAsia="黑体" w:cs="黑体"/>
          <w:bCs/>
          <w:color w:val="auto"/>
          <w:sz w:val="24"/>
          <w:szCs w:val="44"/>
          <w:highlight w:val="none"/>
          <w:lang w:val="zh-CN"/>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_Toc15375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79D03887">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_Toc28671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第二章 </w:t>
      </w:r>
      <w:r>
        <w:rPr>
          <w:rFonts w:hint="eastAsia" w:ascii="黑体" w:eastAsia="黑体" w:cs="黑体"/>
          <w:bCs/>
          <w:color w:val="auto"/>
          <w:sz w:val="24"/>
          <w:szCs w:val="44"/>
          <w:highlight w:val="none"/>
          <w:lang w:val="zh-CN"/>
        </w:rPr>
        <w:t>货物需求和评标办法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_Toc28671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color w:val="auto"/>
          <w:sz w:val="24"/>
          <w:szCs w:val="24"/>
          <w:highlight w:val="none"/>
        </w:rPr>
        <w:fldChar w:fldCharType="end"/>
      </w:r>
    </w:p>
    <w:p w14:paraId="78EB8FCF">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_Toc10989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投标文件构成、要求及格式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_Toc10989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color w:val="auto"/>
          <w:sz w:val="24"/>
          <w:szCs w:val="24"/>
          <w:highlight w:val="none"/>
        </w:rPr>
        <w:fldChar w:fldCharType="end"/>
      </w:r>
    </w:p>
    <w:p w14:paraId="34D4CBD1">
      <w:pPr>
        <w:spacing w:line="360" w:lineRule="auto"/>
        <w:rPr>
          <w:rFonts w:hint="eastAsia"/>
          <w:color w:val="auto"/>
          <w:sz w:val="44"/>
          <w:szCs w:val="44"/>
          <w:highlight w:val="none"/>
        </w:rPr>
      </w:pPr>
      <w:r>
        <w:rPr>
          <w:rFonts w:hint="eastAsia"/>
          <w:color w:val="auto"/>
          <w:sz w:val="40"/>
          <w:szCs w:val="40"/>
          <w:highlight w:val="none"/>
        </w:rPr>
        <w:fldChar w:fldCharType="end"/>
      </w:r>
    </w:p>
    <w:p w14:paraId="1D8F8007">
      <w:pPr>
        <w:spacing w:line="360" w:lineRule="auto"/>
        <w:jc w:val="center"/>
        <w:rPr>
          <w:rFonts w:hint="eastAsia" w:ascii="黑体" w:eastAsia="黑体" w:cs="黑体"/>
          <w:b/>
          <w:bCs/>
          <w:color w:val="auto"/>
          <w:sz w:val="52"/>
          <w:szCs w:val="52"/>
          <w:highlight w:val="none"/>
          <w:lang w:val="zh-CN"/>
        </w:rPr>
      </w:pPr>
      <w:r>
        <w:rPr>
          <w:rFonts w:hint="eastAsia" w:ascii="宋体" w:hAnsi="宋体" w:eastAsia="宋体" w:cs="宋体"/>
          <w:bCs/>
          <w:color w:val="auto"/>
          <w:sz w:val="40"/>
          <w:szCs w:val="40"/>
          <w:highlight w:val="none"/>
          <w:lang w:val="zh-CN"/>
        </w:rPr>
        <w:fldChar w:fldCharType="end"/>
      </w:r>
    </w:p>
    <w:p w14:paraId="4C530FC9">
      <w:pPr>
        <w:jc w:val="center"/>
        <w:rPr>
          <w:rFonts w:hint="eastAsia" w:ascii="黑体" w:eastAsia="黑体" w:cs="黑体"/>
          <w:b/>
          <w:bCs/>
          <w:color w:val="auto"/>
          <w:sz w:val="36"/>
          <w:szCs w:val="36"/>
          <w:highlight w:val="none"/>
          <w:lang w:val="zh-CN"/>
        </w:rPr>
      </w:pPr>
    </w:p>
    <w:p w14:paraId="6476DBBC">
      <w:pPr>
        <w:bidi w:val="0"/>
        <w:rPr>
          <w:rFonts w:hint="eastAsia" w:ascii="黑体" w:eastAsia="黑体" w:cs="黑体"/>
          <w:b/>
          <w:bCs/>
          <w:color w:val="auto"/>
          <w:sz w:val="36"/>
          <w:szCs w:val="36"/>
          <w:highlight w:val="none"/>
          <w:lang w:val="zh-CN"/>
        </w:rPr>
      </w:pPr>
    </w:p>
    <w:p w14:paraId="4DE1586F">
      <w:pPr>
        <w:bidi w:val="0"/>
        <w:rPr>
          <w:rFonts w:hint="eastAsia" w:ascii="黑体" w:eastAsia="黑体" w:cs="黑体"/>
          <w:b/>
          <w:bCs/>
          <w:color w:val="auto"/>
          <w:sz w:val="36"/>
          <w:szCs w:val="36"/>
          <w:highlight w:val="none"/>
          <w:lang w:val="zh-CN"/>
        </w:rPr>
      </w:pPr>
    </w:p>
    <w:p w14:paraId="5C438122">
      <w:pPr>
        <w:bidi w:val="0"/>
        <w:rPr>
          <w:rFonts w:hint="eastAsia" w:ascii="黑体" w:eastAsia="黑体" w:cs="黑体"/>
          <w:b/>
          <w:bCs/>
          <w:color w:val="auto"/>
          <w:sz w:val="36"/>
          <w:szCs w:val="36"/>
          <w:highlight w:val="none"/>
          <w:lang w:val="zh-CN"/>
        </w:rPr>
      </w:pPr>
    </w:p>
    <w:p w14:paraId="36D0ABE2">
      <w:pPr>
        <w:bidi w:val="0"/>
        <w:rPr>
          <w:rFonts w:hint="eastAsia" w:ascii="黑体" w:eastAsia="黑体" w:cs="黑体"/>
          <w:b/>
          <w:bCs/>
          <w:color w:val="auto"/>
          <w:sz w:val="36"/>
          <w:szCs w:val="36"/>
          <w:highlight w:val="none"/>
          <w:lang w:val="zh-CN"/>
        </w:rPr>
      </w:pPr>
    </w:p>
    <w:p w14:paraId="5F3CE5E5">
      <w:pPr>
        <w:bidi w:val="0"/>
        <w:rPr>
          <w:rFonts w:hint="eastAsia" w:ascii="黑体" w:eastAsia="黑体" w:cs="黑体"/>
          <w:b/>
          <w:bCs/>
          <w:color w:val="auto"/>
          <w:sz w:val="36"/>
          <w:szCs w:val="36"/>
          <w:highlight w:val="none"/>
          <w:lang w:val="zh-CN"/>
        </w:rPr>
      </w:pPr>
    </w:p>
    <w:p w14:paraId="321FE934">
      <w:pPr>
        <w:bidi w:val="0"/>
        <w:jc w:val="center"/>
        <w:outlineLvl w:val="0"/>
        <w:rPr>
          <w:rFonts w:ascii="黑体" w:eastAsia="黑体" w:cs="黑体"/>
          <w:b/>
          <w:bCs/>
          <w:color w:val="auto"/>
          <w:sz w:val="30"/>
          <w:szCs w:val="30"/>
          <w:highlight w:val="none"/>
          <w:lang w:val="zh-CN"/>
        </w:rPr>
      </w:pPr>
      <w:r>
        <w:rPr>
          <w:rFonts w:hint="eastAsia" w:ascii="黑体" w:eastAsia="黑体" w:cs="黑体"/>
          <w:b/>
          <w:bCs/>
          <w:color w:val="auto"/>
          <w:sz w:val="36"/>
          <w:szCs w:val="36"/>
          <w:highlight w:val="none"/>
          <w:lang w:val="zh-CN"/>
        </w:rPr>
        <w:br w:type="page"/>
      </w:r>
      <w:bookmarkStart w:id="2" w:name="_Toc13442"/>
      <w:bookmarkStart w:id="3" w:name="_Toc4956"/>
      <w:r>
        <w:rPr>
          <w:rFonts w:hint="eastAsia" w:ascii="黑体" w:hAnsi="黑体" w:eastAsia="黑体" w:cs="黑体"/>
          <w:b/>
          <w:bCs/>
          <w:color w:val="auto"/>
          <w:sz w:val="30"/>
          <w:szCs w:val="30"/>
          <w:highlight w:val="none"/>
          <w:lang w:val="zh-CN"/>
        </w:rPr>
        <w:t>（通用部分）</w:t>
      </w:r>
      <w:bookmarkEnd w:id="2"/>
      <w:bookmarkEnd w:id="3"/>
    </w:p>
    <w:p w14:paraId="38799DC5">
      <w:pPr>
        <w:numPr>
          <w:ilvl w:val="0"/>
          <w:numId w:val="1"/>
        </w:numPr>
        <w:ind w:left="1083" w:hanging="1083"/>
        <w:jc w:val="center"/>
        <w:outlineLvl w:val="0"/>
        <w:rPr>
          <w:rFonts w:ascii="宋体"/>
          <w:color w:val="auto"/>
          <w:sz w:val="30"/>
          <w:szCs w:val="30"/>
          <w:highlight w:val="none"/>
          <w:lang w:val="zh-CN"/>
        </w:rPr>
      </w:pPr>
      <w:bookmarkStart w:id="4" w:name="_Toc1702"/>
      <w:bookmarkStart w:id="5" w:name="_Toc1312"/>
      <w:r>
        <w:rPr>
          <w:rFonts w:hint="eastAsia" w:ascii="黑体" w:eastAsia="黑体" w:cs="黑体"/>
          <w:b/>
          <w:bCs/>
          <w:color w:val="auto"/>
          <w:sz w:val="30"/>
          <w:szCs w:val="30"/>
          <w:highlight w:val="none"/>
          <w:lang w:val="zh-CN"/>
        </w:rPr>
        <w:t>投标人须知</w:t>
      </w:r>
      <w:bookmarkEnd w:id="4"/>
      <w:bookmarkEnd w:id="5"/>
    </w:p>
    <w:p w14:paraId="22BFFB0A">
      <w:pPr>
        <w:ind w:firstLine="720"/>
        <w:rPr>
          <w:rFonts w:ascii="宋体"/>
          <w:color w:val="auto"/>
          <w:sz w:val="24"/>
          <w:szCs w:val="24"/>
          <w:highlight w:val="none"/>
          <w:lang w:val="zh-CN"/>
        </w:rPr>
      </w:pPr>
    </w:p>
    <w:p w14:paraId="736462E8">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72C53400">
      <w:pPr>
        <w:ind w:firstLine="480"/>
        <w:rPr>
          <w:rFonts w:ascii="宋体" w:hAnsi="宋体"/>
          <w:color w:val="auto"/>
          <w:sz w:val="24"/>
          <w:szCs w:val="24"/>
          <w:highlight w:val="none"/>
          <w:lang w:val="zh-CN"/>
        </w:rPr>
      </w:pPr>
    </w:p>
    <w:p w14:paraId="4F44B29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14:paraId="0EC296E0">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代理机构</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eastAsia="zh-CN"/>
        </w:rPr>
        <w:t>吉林省智广工程项目管理有限公司</w:t>
      </w:r>
      <w:r>
        <w:rPr>
          <w:rFonts w:hint="eastAsia" w:ascii="宋体" w:hAnsi="宋体" w:cs="宋体"/>
          <w:color w:val="auto"/>
          <w:sz w:val="24"/>
          <w:szCs w:val="24"/>
          <w:highlight w:val="none"/>
          <w:lang w:val="zh-CN"/>
        </w:rPr>
        <w:t>（以下简称代理机构），负责采购活动的组织工作。</w:t>
      </w:r>
    </w:p>
    <w:p w14:paraId="5346431F">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四平市中心人民医院</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24F13571">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14:paraId="783CDA7E">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14:paraId="1C334BE1">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14:paraId="527FCAFF">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u w:val="single"/>
          <w:lang w:eastAsia="zh-CN"/>
        </w:rPr>
        <w:t>四平市政府采购管理工作办公室</w:t>
      </w:r>
      <w:r>
        <w:rPr>
          <w:rFonts w:hint="eastAsia" w:ascii="宋体" w:hAnsi="宋体" w:cs="Arial"/>
          <w:bCs/>
          <w:color w:val="auto"/>
          <w:sz w:val="24"/>
          <w:szCs w:val="24"/>
          <w:highlight w:val="none"/>
        </w:rPr>
        <w:t>，负责采购活动监督工作。</w:t>
      </w:r>
    </w:p>
    <w:p w14:paraId="56323A1D">
      <w:pPr>
        <w:ind w:firstLine="480"/>
        <w:rPr>
          <w:rFonts w:ascii="宋体" w:hAnsi="宋体"/>
          <w:color w:val="auto"/>
          <w:sz w:val="24"/>
          <w:szCs w:val="24"/>
          <w:highlight w:val="none"/>
          <w:lang w:val="zh-CN"/>
        </w:rPr>
      </w:pPr>
    </w:p>
    <w:p w14:paraId="121BF93A">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投标人应自行承担所有与编写和提交投标文件有关的费用，无论投标的结果如何，代理机构和采购人在任何情况下均无义务和责任承担这些费用。</w:t>
      </w:r>
    </w:p>
    <w:p w14:paraId="062F3A5D">
      <w:pPr>
        <w:ind w:firstLine="482"/>
        <w:rPr>
          <w:rFonts w:ascii="宋体" w:hAnsi="宋体"/>
          <w:b/>
          <w:bCs/>
          <w:color w:val="auto"/>
          <w:sz w:val="24"/>
          <w:szCs w:val="24"/>
          <w:highlight w:val="none"/>
          <w:lang w:val="zh-CN"/>
        </w:rPr>
      </w:pPr>
    </w:p>
    <w:p w14:paraId="3F8A3AA4">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14:paraId="03B63B7F">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14:paraId="4EF631F9">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42DC5260">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14:paraId="41D35E88">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523B1C51">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73B4429B">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469B9C63">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3FC18CD6">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14:paraId="14E3761F">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14:paraId="45B5E113">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0562DA1E">
      <w:pPr>
        <w:ind w:firstLine="482"/>
        <w:rPr>
          <w:rFonts w:ascii="宋体" w:hAnsi="宋体" w:cs="宋体"/>
          <w:b/>
          <w:bCs/>
          <w:color w:val="auto"/>
          <w:sz w:val="24"/>
          <w:szCs w:val="24"/>
          <w:highlight w:val="none"/>
          <w:lang w:val="zh-CN"/>
        </w:rPr>
      </w:pPr>
    </w:p>
    <w:p w14:paraId="0CD5650E">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14:paraId="0F6E3ED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代理机构，超过规定期限提出的澄清要求或质疑将不予受理。代理机构对收到的澄清要求将视所提问题的具体情况书面予以答复澄清或在发布招标公告的媒体上公告。答复中可以包括所提的问题，但不包括问题的来源。代理机构对收到的供应商质疑，将按照政府采购法律规章的规定处理。</w:t>
      </w:r>
    </w:p>
    <w:p w14:paraId="280AB8A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代理机构可在投标截止时间15日前（含）对招标文件进行修改、补充。招标文件的修改、补充文件将在</w:t>
      </w:r>
      <w:r>
        <w:rPr>
          <w:rFonts w:hint="eastAsia" w:ascii="宋体" w:hAnsi="宋体" w:cs="宋体"/>
          <w:color w:val="auto"/>
          <w:sz w:val="24"/>
          <w:szCs w:val="24"/>
          <w:highlight w:val="none"/>
          <w:lang w:val="en-US" w:eastAsia="zh-CN"/>
        </w:rPr>
        <w:t>发布招标公告的网站</w:t>
      </w:r>
      <w:r>
        <w:rPr>
          <w:rFonts w:hint="eastAsia" w:ascii="宋体" w:hAnsi="宋体" w:cs="宋体"/>
          <w:color w:val="auto"/>
          <w:sz w:val="24"/>
          <w:szCs w:val="24"/>
          <w:highlight w:val="none"/>
          <w:lang w:val="zh-CN"/>
        </w:rPr>
        <w:t>上向潜在投标人发出公告。</w:t>
      </w:r>
    </w:p>
    <w:p w14:paraId="561C57AE">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14:paraId="6EB92FD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为使投标人有充分的时间对招标文件的澄清、修改、补充部分进行研究，代理机构可在投标截止时间3日前（含）自行决定酌情延长投标截止时间，延长投标截止时间的公告将在发布招标公告的媒体上发</w:t>
      </w:r>
      <w:r>
        <w:rPr>
          <w:rFonts w:hint="eastAsia" w:ascii="宋体" w:hAnsi="宋体" w:cs="宋体"/>
          <w:color w:val="auto"/>
          <w:sz w:val="24"/>
          <w:szCs w:val="24"/>
          <w:highlight w:val="none"/>
          <w:lang w:val="en-US" w:eastAsia="zh-CN"/>
        </w:rPr>
        <w:t>布</w:t>
      </w:r>
      <w:r>
        <w:rPr>
          <w:rFonts w:hint="eastAsia" w:ascii="宋体" w:hAnsi="宋体" w:cs="宋体"/>
          <w:color w:val="auto"/>
          <w:sz w:val="24"/>
          <w:szCs w:val="24"/>
          <w:highlight w:val="none"/>
          <w:lang w:val="zh-CN"/>
        </w:rPr>
        <w:t>。在这种情况下，代理机构和投标人受投标截止时间制约的所有权利和义务均相应延长至新的投标截止时间。</w:t>
      </w:r>
    </w:p>
    <w:p w14:paraId="2C35E330">
      <w:pPr>
        <w:ind w:firstLine="482"/>
        <w:rPr>
          <w:rFonts w:hint="eastAsia" w:ascii="宋体" w:hAnsi="宋体" w:cs="宋体"/>
          <w:b/>
          <w:bCs/>
          <w:color w:val="auto"/>
          <w:sz w:val="24"/>
          <w:szCs w:val="24"/>
          <w:highlight w:val="none"/>
          <w:lang w:val="zh-CN"/>
        </w:rPr>
      </w:pPr>
    </w:p>
    <w:p w14:paraId="758198E9">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14:paraId="377D1B02">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.1</w:t>
      </w:r>
      <w:r>
        <w:rPr>
          <w:rFonts w:hint="eastAsia" w:ascii="宋体" w:cs="宋体"/>
          <w:b w:val="0"/>
          <w:bCs w:val="0"/>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67B2022D">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.2 </w:t>
      </w:r>
      <w:r>
        <w:rPr>
          <w:rFonts w:hint="eastAsia" w:ascii="宋体" w:cs="宋体"/>
          <w:b w:val="0"/>
          <w:bCs w:val="0"/>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14:paraId="55168231">
      <w:pPr>
        <w:tabs>
          <w:tab w:val="left" w:pos="709"/>
        </w:tabs>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.3 </w:t>
      </w:r>
      <w:r>
        <w:rPr>
          <w:rFonts w:hint="eastAsia" w:ascii="宋体" w:cs="宋体"/>
          <w:b w:val="0"/>
          <w:bCs w:val="0"/>
          <w:color w:val="auto"/>
          <w:sz w:val="24"/>
          <w:szCs w:val="24"/>
          <w:highlight w:val="none"/>
          <w:lang w:val="zh-CN"/>
        </w:rPr>
        <w:t>投标文件要求提交的投标保证金。</w:t>
      </w:r>
    </w:p>
    <w:p w14:paraId="45D0518B">
      <w:pPr>
        <w:tabs>
          <w:tab w:val="left" w:pos="709"/>
        </w:tabs>
        <w:ind w:firstLine="482"/>
        <w:rPr>
          <w:rFonts w:ascii="宋体" w:hAnsi="宋体"/>
          <w:b/>
          <w:bCs/>
          <w:color w:val="auto"/>
          <w:sz w:val="24"/>
          <w:szCs w:val="24"/>
          <w:highlight w:val="none"/>
          <w:lang w:val="zh-CN"/>
        </w:rPr>
      </w:pPr>
    </w:p>
    <w:p w14:paraId="3E0A0652">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14:paraId="7A5227DB">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投标语言：投标文件以及投标人与代理机构就有关投标的来往函电均使用中文。</w:t>
      </w:r>
      <w:r>
        <w:rPr>
          <w:rFonts w:ascii="宋体" w:hAnsi="宋体" w:cs="宋体"/>
          <w:color w:val="auto"/>
          <w:sz w:val="24"/>
          <w:szCs w:val="24"/>
          <w:highlight w:val="none"/>
          <w:lang w:val="zh-CN"/>
        </w:rPr>
        <w:t xml:space="preserve"> </w:t>
      </w:r>
    </w:p>
    <w:p w14:paraId="4A14A6F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2B1E0A1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14:paraId="09D6DCD4">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EE3CC11">
      <w:pPr>
        <w:ind w:firstLine="482"/>
        <w:rPr>
          <w:rFonts w:ascii="宋体" w:hAnsi="宋体"/>
          <w:b/>
          <w:bCs/>
          <w:color w:val="auto"/>
          <w:sz w:val="24"/>
          <w:szCs w:val="24"/>
          <w:highlight w:val="none"/>
          <w:lang w:val="zh-CN"/>
        </w:rPr>
      </w:pPr>
    </w:p>
    <w:p w14:paraId="3070027C">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14:paraId="25C479AA">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0F8DE7F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任何有选择的报价将不予接受。投标人所报价格应为在本招标文件指定地点交货、由投标人负责安装调试、验收合格并交付的全部价格。</w:t>
      </w:r>
    </w:p>
    <w:p w14:paraId="38906745">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282F2B1B">
      <w:pPr>
        <w:ind w:firstLine="482"/>
        <w:rPr>
          <w:rFonts w:ascii="宋体" w:hAnsi="宋体"/>
          <w:b/>
          <w:bCs/>
          <w:color w:val="auto"/>
          <w:sz w:val="24"/>
          <w:szCs w:val="24"/>
          <w:highlight w:val="none"/>
          <w:lang w:val="zh-CN"/>
        </w:rPr>
      </w:pPr>
    </w:p>
    <w:p w14:paraId="18DFBEF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p>
    <w:p w14:paraId="39753518">
      <w:pPr>
        <w:ind w:firstLine="480"/>
        <w:rPr>
          <w:rFonts w:ascii="宋体"/>
          <w:b w:val="0"/>
          <w:bCs w:val="0"/>
          <w:color w:val="auto"/>
          <w:sz w:val="24"/>
          <w:szCs w:val="24"/>
          <w:highlight w:val="none"/>
          <w:lang w:val="zh-CN"/>
        </w:rPr>
      </w:pPr>
      <w:r>
        <w:rPr>
          <w:rFonts w:ascii="宋体" w:hAnsi="宋体" w:cs="黑体"/>
          <w:b w:val="0"/>
          <w:bCs w:val="0"/>
          <w:color w:val="auto"/>
          <w:sz w:val="24"/>
          <w:szCs w:val="24"/>
          <w:highlight w:val="none"/>
          <w:lang w:val="zh-CN"/>
        </w:rPr>
        <w:t>9.1</w:t>
      </w:r>
      <w:r>
        <w:rPr>
          <w:rFonts w:hint="eastAsia" w:ascii="宋体" w:hAnsi="宋体" w:cs="黑体"/>
          <w:b w:val="0"/>
          <w:bCs w:val="0"/>
          <w:color w:val="auto"/>
          <w:sz w:val="24"/>
          <w:szCs w:val="24"/>
          <w:highlight w:val="none"/>
          <w:lang w:val="zh-CN"/>
        </w:rPr>
        <w:t xml:space="preserve"> 投标人须按照招标文件（需求部分）第一章《招标公告》标明的代理机构账户名称，在投标截止时间之前，提交投标保证金。</w:t>
      </w:r>
      <w:r>
        <w:rPr>
          <w:rFonts w:hint="eastAsia" w:ascii="宋体" w:hAnsi="宋体" w:eastAsia="宋体" w:cs="宋体"/>
          <w:b w:val="0"/>
          <w:bCs/>
          <w:color w:val="auto"/>
          <w:sz w:val="24"/>
          <w:szCs w:val="24"/>
          <w:highlight w:val="none"/>
          <w:lang w:val="zh-CN"/>
        </w:rPr>
        <w:t>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cs="黑体"/>
          <w:b w:val="0"/>
          <w:bCs w:val="0"/>
          <w:color w:val="auto"/>
          <w:sz w:val="24"/>
          <w:szCs w:val="24"/>
          <w:highlight w:val="none"/>
          <w:lang w:val="zh-CN"/>
        </w:rPr>
        <w:t>，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cs="黑体"/>
          <w:b w:val="0"/>
          <w:bCs w:val="0"/>
          <w:color w:val="auto"/>
          <w:sz w:val="24"/>
          <w:szCs w:val="24"/>
          <w:highlight w:val="none"/>
          <w:lang w:val="en-US" w:eastAsia="zh-CN"/>
        </w:rPr>
        <w:t>响应</w:t>
      </w:r>
      <w:r>
        <w:rPr>
          <w:rFonts w:hint="eastAsia" w:ascii="宋体" w:hAnsi="宋体" w:cs="黑体"/>
          <w:b w:val="0"/>
          <w:bCs w:val="0"/>
          <w:color w:val="auto"/>
          <w:sz w:val="24"/>
          <w:szCs w:val="24"/>
          <w:highlight w:val="none"/>
          <w:lang w:val="zh-CN"/>
        </w:rPr>
        <w:t>于投标文件内最后一页。</w:t>
      </w:r>
    </w:p>
    <w:p w14:paraId="54301F76">
      <w:pPr>
        <w:ind w:firstLine="602"/>
        <w:rPr>
          <w:rFonts w:hint="eastAsia" w:ascii="宋体" w:hAnsi="宋体" w:cs="黑体"/>
          <w:b w:val="0"/>
          <w:bCs w:val="0"/>
          <w:color w:val="auto"/>
          <w:sz w:val="24"/>
          <w:szCs w:val="24"/>
          <w:highlight w:val="none"/>
          <w:lang w:val="zh-CN"/>
        </w:rPr>
      </w:pPr>
      <w:r>
        <w:rPr>
          <w:rFonts w:hint="eastAsia" w:ascii="宋体" w:hAnsi="宋体" w:cs="黑体"/>
          <w:b w:val="0"/>
          <w:bCs w:val="0"/>
          <w:color w:val="auto"/>
          <w:sz w:val="24"/>
          <w:szCs w:val="24"/>
          <w:highlight w:val="none"/>
          <w:lang w:val="zh-CN"/>
        </w:rPr>
        <w:t>代理机构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6233A785">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14:paraId="12BB07D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14:paraId="3180FE4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14:paraId="0B2E7CF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07C398F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137B0ABA">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9.</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下列情况之一发生时，投标保证金将不予退还：</w:t>
      </w:r>
    </w:p>
    <w:p w14:paraId="21C5BD97">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14:paraId="4FBB0BB5">
      <w:pPr>
        <w:ind w:firstLine="480" w:firstLineChars="200"/>
        <w:outlineLvl w:val="0"/>
        <w:rPr>
          <w:rFonts w:ascii="宋体"/>
          <w:color w:val="auto"/>
          <w:sz w:val="24"/>
          <w:szCs w:val="24"/>
          <w:highlight w:val="none"/>
        </w:rPr>
      </w:pPr>
      <w:bookmarkStart w:id="6" w:name="_Toc14671"/>
      <w:bookmarkStart w:id="7" w:name="_Toc32685"/>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bookmarkEnd w:id="6"/>
      <w:bookmarkEnd w:id="7"/>
    </w:p>
    <w:p w14:paraId="513C0B0F">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14:paraId="43B1FC4C">
      <w:pPr>
        <w:ind w:firstLine="480" w:firstLineChars="200"/>
        <w:outlineLvl w:val="0"/>
        <w:rPr>
          <w:rFonts w:ascii="宋体"/>
          <w:color w:val="auto"/>
          <w:sz w:val="24"/>
          <w:szCs w:val="24"/>
          <w:highlight w:val="none"/>
        </w:rPr>
      </w:pPr>
      <w:bookmarkStart w:id="8" w:name="_Toc21546"/>
      <w:bookmarkStart w:id="9" w:name="_Toc9538"/>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bookmarkEnd w:id="8"/>
      <w:bookmarkEnd w:id="9"/>
    </w:p>
    <w:p w14:paraId="426C7907">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14:paraId="087BA89E">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14:paraId="7C0B99A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14:paraId="0A4E865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代理机构可与投标人协商延长投标有效期。这种要求和答复都应以书面形式进行。投标人可以拒绝接受延期要求而不会被没收投标保证金。同意延长投标有效期的投标人除按照代理机构要求修改投标文件的有效期外，不能修改投标文件的其他内容。</w:t>
      </w:r>
    </w:p>
    <w:p w14:paraId="720FBD28">
      <w:pPr>
        <w:ind w:firstLine="482"/>
        <w:rPr>
          <w:rFonts w:ascii="宋体" w:hAnsi="宋体"/>
          <w:b/>
          <w:bCs/>
          <w:color w:val="auto"/>
          <w:sz w:val="24"/>
          <w:szCs w:val="24"/>
          <w:highlight w:val="none"/>
          <w:lang w:val="zh-CN"/>
        </w:rPr>
      </w:pPr>
    </w:p>
    <w:p w14:paraId="4166EB01">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14:paraId="47073087">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14:paraId="5D306AA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14:paraId="021EF5D5">
      <w:pPr>
        <w:ind w:firstLine="482"/>
        <w:rPr>
          <w:rFonts w:ascii="宋体" w:hAnsi="宋体"/>
          <w:b/>
          <w:bCs/>
          <w:color w:val="auto"/>
          <w:sz w:val="24"/>
          <w:szCs w:val="24"/>
          <w:highlight w:val="none"/>
          <w:lang w:val="zh-CN"/>
        </w:rPr>
      </w:pPr>
    </w:p>
    <w:p w14:paraId="18A6510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14:paraId="26F3374E">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14:paraId="12899E43">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14:paraId="6664C049">
      <w:pPr>
        <w:pStyle w:val="5"/>
        <w:rPr>
          <w:color w:val="auto"/>
          <w:highlight w:val="none"/>
          <w:lang w:val="zh-CN"/>
        </w:rPr>
      </w:pPr>
    </w:p>
    <w:p w14:paraId="1800E619">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14:paraId="391E275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13.1 禁止一标多投，每个投标人只能提交一套投标文件。参与提交了一套以上投标文件的投标人将使其参与提交的全部投标文件无效。</w:t>
      </w:r>
    </w:p>
    <w:p w14:paraId="0E76E30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2</w:t>
      </w:r>
      <w:r>
        <w:rPr>
          <w:rFonts w:hint="eastAsia" w:ascii="宋体" w:hAnsi="宋体" w:cs="宋体"/>
          <w:color w:val="auto"/>
          <w:sz w:val="24"/>
          <w:szCs w:val="24"/>
          <w:highlight w:val="none"/>
          <w:lang w:val="zh-CN"/>
        </w:rPr>
        <w:t>供应商应按照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提供的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编制电子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和单独的开标一览表（用于公布响应报价信息）并转换为PDF格式，PDF格式以外的电子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无法实现</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的签章、加密和提交，因PDF格式电子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转换造成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内容缺漏错误的，是供应商的风险。供应商投报多个采购包的，可以按采购包分别编制独立的一个电子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w:t>
      </w:r>
    </w:p>
    <w:p w14:paraId="1E37BBD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w:t>
      </w:r>
      <w:r>
        <w:rPr>
          <w:rFonts w:hint="eastAsia" w:ascii="宋体" w:hAnsi="宋体" w:cs="宋体"/>
          <w:color w:val="auto"/>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要求加盖单位签章（企业数字证书）和法定代表人电子签章（法人数字证书，电子法人名章或电子法人签字章均可）。电子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签章完成后，生成正式</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并加密。经数字证书加密的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必须在递交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前登录“政采云”平台，选择本采购项目的对应采购包，完成上传，加密和解密必须使用同一数字证书。具体操作方法见“投标文件制作操作手册”。</w:t>
      </w:r>
    </w:p>
    <w:p w14:paraId="34B19B3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提交电子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截止时间前出现下列情形的，供应商必须对</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重新电子签章和生成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，并在提交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截止时间之前上传至系统，否则无法完成解密：</w:t>
      </w:r>
    </w:p>
    <w:p w14:paraId="369B8D80">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3.1</w:t>
      </w:r>
      <w:r>
        <w:rPr>
          <w:rFonts w:hint="eastAsia" w:ascii="宋体" w:hAnsi="宋体" w:cs="宋体"/>
          <w:color w:val="auto"/>
          <w:sz w:val="24"/>
          <w:szCs w:val="24"/>
          <w:highlight w:val="none"/>
          <w:lang w:val="zh-CN"/>
        </w:rPr>
        <w:t xml:space="preserve"> 数字证书到期后重新续期；</w:t>
      </w:r>
    </w:p>
    <w:p w14:paraId="4DB0C0B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3.2</w:t>
      </w:r>
      <w:r>
        <w:rPr>
          <w:rFonts w:hint="eastAsia" w:ascii="宋体" w:hAnsi="宋体" w:cs="宋体"/>
          <w:color w:val="auto"/>
          <w:sz w:val="24"/>
          <w:szCs w:val="24"/>
          <w:highlight w:val="none"/>
          <w:lang w:val="zh-CN"/>
        </w:rPr>
        <w:t>数字证书因遗失、损坏、企业信息变更等情况更换新证书。</w:t>
      </w:r>
    </w:p>
    <w:p w14:paraId="245A128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供应商由于数字证书遗失、损坏、更换、续期等情况导致</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无法解密，由供应商自行承担责任。</w:t>
      </w:r>
    </w:p>
    <w:p w14:paraId="08A84BC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4</w:t>
      </w:r>
      <w:r>
        <w:rPr>
          <w:rFonts w:hint="eastAsia" w:ascii="宋体" w:hAnsi="宋体" w:cs="宋体"/>
          <w:color w:val="auto"/>
          <w:sz w:val="24"/>
          <w:szCs w:val="24"/>
          <w:highlight w:val="none"/>
          <w:lang w:val="zh-CN"/>
        </w:rPr>
        <w:t xml:space="preserve"> 投标语言：投标文件以及供应商与采购人就有关投标的来往函电均使用中文。 </w:t>
      </w:r>
    </w:p>
    <w:p w14:paraId="5594A10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5</w:t>
      </w:r>
      <w:r>
        <w:rPr>
          <w:rFonts w:hint="eastAsia" w:ascii="宋体" w:hAnsi="宋体" w:cs="宋体"/>
          <w:color w:val="auto"/>
          <w:sz w:val="24"/>
          <w:szCs w:val="24"/>
          <w:highlight w:val="none"/>
          <w:lang w:val="zh-CN"/>
        </w:rPr>
        <w:t xml:space="preserve"> 计量单位：中华人民共和国法定计量单位。</w:t>
      </w:r>
    </w:p>
    <w:p w14:paraId="48C2550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6</w:t>
      </w:r>
      <w:r>
        <w:rPr>
          <w:rFonts w:hint="eastAsia" w:ascii="宋体" w:hAnsi="宋体" w:cs="宋体"/>
          <w:color w:val="auto"/>
          <w:sz w:val="24"/>
          <w:szCs w:val="24"/>
          <w:highlight w:val="none"/>
          <w:lang w:val="zh-CN"/>
        </w:rPr>
        <w:t xml:space="preserve"> 投标文件规格应采用A4幅面，打印，按照招标文件规定的顺序，统一编目编码装订。技术文件中的各项表格应按照招标文件第五章规定的格式制作。</w:t>
      </w:r>
    </w:p>
    <w:p w14:paraId="13265CA6">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w:t>
      </w:r>
      <w:r>
        <w:rPr>
          <w:rFonts w:hint="eastAsia" w:ascii="宋体" w:hAnsi="宋体" w:cs="宋体"/>
          <w:color w:val="auto"/>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14:paraId="777BFD1B">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8</w:t>
      </w:r>
      <w:r>
        <w:rPr>
          <w:rFonts w:hint="eastAsia" w:ascii="宋体" w:hAnsi="宋体" w:cs="宋体"/>
          <w:color w:val="auto"/>
          <w:sz w:val="24"/>
          <w:szCs w:val="24"/>
          <w:highlight w:val="none"/>
          <w:lang w:val="zh-CN"/>
        </w:rPr>
        <w:t xml:space="preserve"> 采购代理机构不接受采用传真方式提交的投标文件。</w:t>
      </w:r>
    </w:p>
    <w:p w14:paraId="7B583F70">
      <w:pPr>
        <w:ind w:firstLine="480"/>
        <w:rPr>
          <w:rFonts w:ascii="宋体" w:hAnsi="宋体"/>
          <w:b/>
          <w:bCs/>
          <w:color w:val="auto"/>
          <w:sz w:val="24"/>
          <w:szCs w:val="24"/>
          <w:highlight w:val="none"/>
          <w:lang w:val="zh-CN"/>
        </w:rPr>
      </w:pPr>
    </w:p>
    <w:p w14:paraId="6FEE2B9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14:paraId="7A6F0B49">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14.1采购代理机构将在《招标公告》规定的时间和地点公开开标。</w:t>
      </w:r>
    </w:p>
    <w:p w14:paraId="790527DD">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720CA347">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val="zh-CN"/>
        </w:rPr>
        <w:t>按照投标人须知第12条的规定，提交了可接受的“撤回”通知的投标将不予开封。撤回的投标书将原封退回投标人。</w:t>
      </w:r>
    </w:p>
    <w:p w14:paraId="6262B804">
      <w:pPr>
        <w:widowControl/>
        <w:ind w:firstLine="480"/>
        <w:rPr>
          <w:rFonts w:ascii="宋体" w:hAnsi="宋体"/>
          <w:b/>
          <w:bCs/>
          <w:color w:val="auto"/>
          <w:sz w:val="24"/>
          <w:highlight w:val="none"/>
        </w:rPr>
      </w:pPr>
    </w:p>
    <w:p w14:paraId="2A0FC016">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E662A35">
      <w:pPr>
        <w:ind w:firstLine="482"/>
        <w:rPr>
          <w:rFonts w:ascii="宋体" w:hAnsi="宋体"/>
          <w:b/>
          <w:bCs/>
          <w:color w:val="auto"/>
          <w:sz w:val="24"/>
          <w:szCs w:val="24"/>
          <w:highlight w:val="none"/>
          <w:lang w:val="zh-CN"/>
        </w:rPr>
      </w:pPr>
    </w:p>
    <w:p w14:paraId="2E0B1BD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14:paraId="74603B2E">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w:t>
      </w:r>
      <w:r>
        <w:rPr>
          <w:rFonts w:hint="eastAsia" w:ascii="宋体" w:hAnsi="宋体" w:cs="宋体"/>
          <w:color w:val="auto"/>
          <w:sz w:val="24"/>
          <w:szCs w:val="24"/>
          <w:highlight w:val="none"/>
          <w:lang w:val="en-US" w:eastAsia="zh-CN"/>
        </w:rPr>
        <w:t>政采云</w:t>
      </w:r>
      <w:r>
        <w:rPr>
          <w:rFonts w:hint="eastAsia" w:ascii="宋体" w:hAnsi="宋体" w:cs="宋体"/>
          <w:color w:val="auto"/>
          <w:sz w:val="24"/>
          <w:szCs w:val="24"/>
          <w:highlight w:val="none"/>
          <w:lang w:val="zh-CN"/>
        </w:rPr>
        <w:t>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0124594C">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2F68B689">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187AD25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评标委员会发现投标人有下列情形之一的，将认定属于串通投标行为，相关投标人的投标应作废标处理。评标结束后，代理机构将以书面形式报告采购办：</w:t>
      </w:r>
    </w:p>
    <w:p w14:paraId="286B70A5">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w:t>
      </w:r>
      <w:r>
        <w:rPr>
          <w:rFonts w:hint="eastAsia" w:ascii="宋体" w:hAnsi="宋体" w:cs="宋体"/>
          <w:color w:val="auto"/>
          <w:sz w:val="24"/>
          <w:szCs w:val="24"/>
          <w:highlight w:val="none"/>
          <w:lang w:val="zh-CN"/>
        </w:rPr>
        <w:t>；</w:t>
      </w:r>
    </w:p>
    <w:p w14:paraId="028ABD90">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4985E71B">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48BC70D4">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236628A1">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3EF6EEB5">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79917A04">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51FF44D1">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01E12C17">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12961A79">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115D7794">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采购人或者采购人</w:t>
      </w:r>
      <w:r>
        <w:rPr>
          <w:rFonts w:hint="eastAsia" w:ascii="宋体" w:hAnsi="宋体" w:cs="宋体"/>
          <w:color w:val="auto"/>
          <w:sz w:val="24"/>
          <w:szCs w:val="24"/>
          <w:highlight w:val="none"/>
          <w:lang w:val="en-US" w:eastAsia="zh-CN"/>
        </w:rPr>
        <w:t>授权</w:t>
      </w:r>
      <w:r>
        <w:rPr>
          <w:rFonts w:hint="eastAsia" w:ascii="宋体" w:hAnsi="宋体" w:cs="宋体"/>
          <w:color w:val="auto"/>
          <w:sz w:val="24"/>
          <w:szCs w:val="24"/>
          <w:highlight w:val="none"/>
          <w:lang w:val="zh-CN"/>
        </w:rPr>
        <w:t>采购代理机构将审查每个投标人提交的资格审查文件是否齐全完整，是否合法有效，是否有重大偏离和保留，是否符合招标文件要求。投标人资格审查不符合招标文件要求的投标文件将被拒绝。</w:t>
      </w:r>
    </w:p>
    <w:p w14:paraId="4FC2F262">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14:paraId="652F37CE">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76E3DA82">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27EF78C5">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1ED3B38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14:paraId="69B6944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10B9B3D3">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14:paraId="0EC52A70">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14:paraId="732DC595">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14:paraId="731F4EC0">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14:paraId="238D6BF1">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14:paraId="094BE54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14:paraId="7448B82C">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425A288A">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538440C5">
      <w:pPr>
        <w:ind w:firstLine="480"/>
        <w:rPr>
          <w:rFonts w:ascii="宋体" w:hAnsi="宋体"/>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07069369">
      <w:pPr>
        <w:ind w:firstLine="482"/>
        <w:rPr>
          <w:rFonts w:hint="default" w:ascii="宋体" w:hAnsi="宋体" w:cs="宋体"/>
          <w:color w:val="auto"/>
          <w:sz w:val="24"/>
          <w:szCs w:val="24"/>
          <w:highlight w:val="none"/>
          <w:lang w:val="en-US" w:eastAsia="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w:t>
      </w:r>
      <w:r>
        <w:rPr>
          <w:rFonts w:hint="eastAsia" w:ascii="宋体" w:hAnsi="宋体" w:cs="宋体"/>
          <w:color w:val="auto"/>
          <w:sz w:val="24"/>
          <w:szCs w:val="24"/>
          <w:highlight w:val="none"/>
          <w:lang w:val="en-US" w:eastAsia="zh-CN"/>
        </w:rPr>
        <w:t>采用最低评标价法评标时，除了算术修正和落实政府采购政策需进行的价格扣除外，不能对投标人的投标价格进行任何调整。</w:t>
      </w:r>
    </w:p>
    <w:p w14:paraId="732E984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76345CF1">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14:paraId="696DF50E">
      <w:pPr>
        <w:tabs>
          <w:tab w:val="left" w:pos="3675"/>
        </w:tabs>
        <w:ind w:firstLine="482"/>
        <w:rPr>
          <w:rFonts w:ascii="宋体" w:hAnsi="宋体" w:cs="宋体"/>
          <w:b/>
          <w:bCs/>
          <w:color w:val="auto"/>
          <w:sz w:val="24"/>
          <w:szCs w:val="24"/>
          <w:highlight w:val="none"/>
          <w:lang w:val="zh-CN"/>
        </w:rPr>
      </w:pPr>
    </w:p>
    <w:p w14:paraId="2A105C9D">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r>
        <w:rPr>
          <w:rFonts w:hint="eastAsia" w:ascii="宋体" w:hAnsi="宋体" w:cs="宋体"/>
          <w:b/>
          <w:bCs/>
          <w:color w:val="auto"/>
          <w:sz w:val="24"/>
          <w:szCs w:val="24"/>
          <w:highlight w:val="none"/>
          <w:lang w:val="en-US" w:eastAsia="zh-CN"/>
        </w:rPr>
        <w:t>本项目已通过四平市政府采购管理工作办公室审核批准：实施形式为政府采购项目，允许采购进口产品</w:t>
      </w:r>
      <w:r>
        <w:rPr>
          <w:rFonts w:hint="eastAsia" w:ascii="宋体" w:hAnsi="宋体" w:cs="宋体"/>
          <w:b/>
          <w:bCs/>
          <w:color w:val="auto"/>
          <w:sz w:val="24"/>
          <w:szCs w:val="24"/>
          <w:highlight w:val="none"/>
          <w:lang w:val="zh-CN"/>
        </w:rPr>
        <w:t>）</w:t>
      </w:r>
    </w:p>
    <w:p w14:paraId="7A0CC1AF">
      <w:pPr>
        <w:tabs>
          <w:tab w:val="left" w:pos="3120"/>
        </w:tabs>
        <w:ind w:firstLine="482"/>
        <w:rPr>
          <w:rFonts w:ascii="宋体" w:hAnsi="宋体"/>
          <w:b/>
          <w:bCs/>
          <w:color w:val="auto"/>
          <w:sz w:val="24"/>
          <w:szCs w:val="24"/>
          <w:highlight w:val="none"/>
          <w:lang w:val="zh-CN"/>
        </w:rPr>
      </w:pPr>
    </w:p>
    <w:p w14:paraId="799D5C8C">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14:paraId="4FC0D685">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14:paraId="03AF6E58">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14:paraId="30A8D5B2">
      <w:pPr>
        <w:ind w:firstLine="482"/>
        <w:rPr>
          <w:rFonts w:hint="eastAsia" w:ascii="宋体" w:hAnsi="宋体" w:cs="宋体"/>
          <w:b/>
          <w:bCs/>
          <w:color w:val="auto"/>
          <w:sz w:val="24"/>
          <w:szCs w:val="24"/>
          <w:highlight w:val="none"/>
          <w:lang w:val="zh-CN"/>
        </w:rPr>
      </w:pPr>
    </w:p>
    <w:p w14:paraId="00D4285D">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14:paraId="28F8DEA9">
      <w:pPr>
        <w:spacing w:line="360" w:lineRule="exact"/>
        <w:ind w:firstLine="480"/>
        <w:rPr>
          <w:rFonts w:hint="eastAsia" w:ascii="宋体" w:eastAsia="宋体" w:cs="宋体"/>
          <w:bCs/>
          <w:color w:val="auto"/>
          <w:sz w:val="24"/>
          <w:szCs w:val="24"/>
          <w:highlight w:val="none"/>
          <w:lang w:val="zh-CN" w:eastAsia="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关境外投标人</w:t>
      </w:r>
      <w:r>
        <w:rPr>
          <w:rFonts w:hint="eastAsia" w:ascii="宋体" w:hAnsi="宋体" w:cs="宋体"/>
          <w:color w:val="auto"/>
          <w:sz w:val="24"/>
          <w:szCs w:val="24"/>
          <w:highlight w:val="none"/>
          <w:lang w:val="en-US" w:eastAsia="zh-CN"/>
        </w:rPr>
        <w:t>不适用</w:t>
      </w:r>
      <w:r>
        <w:rPr>
          <w:rFonts w:hint="eastAsia" w:ascii="宋体" w:hAnsi="宋体"/>
          <w:color w:val="auto"/>
          <w:sz w:val="24"/>
          <w:szCs w:val="24"/>
          <w:highlight w:val="none"/>
          <w:lang w:eastAsia="zh-CN"/>
        </w:rPr>
        <w:t>）</w:t>
      </w:r>
    </w:p>
    <w:p w14:paraId="3EAB813D">
      <w:pPr>
        <w:ind w:firstLine="482"/>
        <w:rPr>
          <w:rFonts w:ascii="宋体" w:hAnsi="宋体" w:cs="宋体"/>
          <w:b/>
          <w:bCs/>
          <w:color w:val="auto"/>
          <w:sz w:val="24"/>
          <w:szCs w:val="24"/>
          <w:highlight w:val="none"/>
          <w:lang w:val="zh-CN"/>
        </w:rPr>
      </w:pPr>
    </w:p>
    <w:p w14:paraId="4998D502">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14:paraId="256898B8">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代理机构将在投标有效期期满之前向中标人发出《中标通知书》。中标通知书是合同的组成部分，对采购人和中标人均具有法律约束力。</w:t>
      </w:r>
    </w:p>
    <w:p w14:paraId="3851C4E9">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14:paraId="74CB49A2">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DD37BB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14:paraId="7CE0C190">
      <w:pPr>
        <w:ind w:firstLine="482"/>
        <w:rPr>
          <w:rFonts w:ascii="宋体" w:hAnsi="宋体"/>
          <w:b/>
          <w:bCs/>
          <w:color w:val="auto"/>
          <w:sz w:val="24"/>
          <w:szCs w:val="24"/>
          <w:highlight w:val="none"/>
          <w:lang w:val="zh-CN"/>
        </w:rPr>
      </w:pPr>
    </w:p>
    <w:p w14:paraId="1FF11A20">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14:paraId="180CCC55">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14:paraId="0B35A87B">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代理机构有权将投标人提供的所有资料向其他政府部门或有关的非政府机构负责评审标书的人员或与评标有关的人员披露。</w:t>
      </w:r>
    </w:p>
    <w:p w14:paraId="55FDD702">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在下列情形下：当发布中标公告和其它公告时，当国家机关调查、审查、审计时，以及在其他符合法律规定的情形下，代理机构无须事先征求投标人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14:paraId="406ECF74">
      <w:pPr>
        <w:ind w:firstLine="480"/>
        <w:rPr>
          <w:rFonts w:ascii="宋体" w:hAnsi="宋体" w:cs="宋体"/>
          <w:b/>
          <w:color w:val="auto"/>
          <w:sz w:val="24"/>
          <w:szCs w:val="24"/>
          <w:highlight w:val="none"/>
          <w:lang w:val="zh-CN"/>
        </w:rPr>
      </w:pPr>
    </w:p>
    <w:p w14:paraId="42CDD5E1">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14:paraId="7C99A2CF">
      <w:pPr>
        <w:pStyle w:val="7"/>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代理机构</w:t>
      </w:r>
      <w:r>
        <w:rPr>
          <w:rFonts w:hAnsi="宋体" w:cs="Arial"/>
          <w:color w:val="auto"/>
          <w:sz w:val="24"/>
          <w:szCs w:val="24"/>
          <w:highlight w:val="none"/>
        </w:rPr>
        <w:t>提出质疑。</w:t>
      </w:r>
    </w:p>
    <w:p w14:paraId="1F5F5759">
      <w:pPr>
        <w:pStyle w:val="7"/>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14:paraId="0C488307">
      <w:pPr>
        <w:pStyle w:val="7"/>
        <w:snapToGrid w:val="0"/>
        <w:spacing w:line="360" w:lineRule="auto"/>
        <w:ind w:left="1" w:firstLine="482"/>
        <w:rPr>
          <w:rFonts w:hAnsi="宋体" w:cs="Arial"/>
          <w:color w:val="auto"/>
          <w:sz w:val="24"/>
          <w:szCs w:val="24"/>
          <w:highlight w:val="none"/>
        </w:rPr>
      </w:pPr>
      <w:r>
        <w:rPr>
          <w:rFonts w:hint="eastAsia" w:hAnsi="宋体"/>
          <w:bCs/>
          <w:color w:val="auto"/>
          <w:sz w:val="24"/>
          <w:szCs w:val="24"/>
          <w:highlight w:val="none"/>
        </w:rPr>
        <w:t>22.</w:t>
      </w:r>
      <w:r>
        <w:rPr>
          <w:rFonts w:hint="eastAsia" w:hAnsi="宋体"/>
          <w:bCs/>
          <w:color w:val="auto"/>
          <w:sz w:val="24"/>
          <w:szCs w:val="24"/>
          <w:highlight w:val="none"/>
          <w:lang w:val="en-US" w:eastAsia="zh-CN"/>
        </w:rPr>
        <w:t>3</w:t>
      </w:r>
      <w:r>
        <w:rPr>
          <w:rFonts w:hint="eastAsia" w:hAnsi="宋体"/>
          <w:bCs/>
          <w:color w:val="auto"/>
          <w:sz w:val="24"/>
          <w:szCs w:val="24"/>
          <w:highlight w:val="none"/>
        </w:rPr>
        <w:t xml:space="preserve"> </w:t>
      </w:r>
      <w:r>
        <w:rPr>
          <w:rFonts w:hAnsi="宋体" w:cs="Arial"/>
          <w:color w:val="auto"/>
          <w:sz w:val="24"/>
          <w:szCs w:val="24"/>
          <w:highlight w:val="none"/>
        </w:rPr>
        <w:t>质疑供应商对</w:t>
      </w:r>
      <w:r>
        <w:rPr>
          <w:rFonts w:hint="eastAsia" w:hAnsi="宋体" w:cs="Arial"/>
          <w:color w:val="auto"/>
          <w:sz w:val="24"/>
          <w:szCs w:val="24"/>
          <w:highlight w:val="none"/>
          <w:lang w:eastAsia="zh-CN"/>
        </w:rPr>
        <w:t>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14:paraId="7EC518B5">
      <w:pPr>
        <w:pStyle w:val="7"/>
        <w:snapToGrid w:val="0"/>
        <w:ind w:firstLine="480" w:firstLineChars="200"/>
        <w:rPr>
          <w:rFonts w:hAnsi="宋体"/>
          <w:bCs/>
          <w:color w:val="auto"/>
          <w:sz w:val="24"/>
          <w:szCs w:val="24"/>
          <w:highlight w:val="none"/>
        </w:rPr>
      </w:pPr>
    </w:p>
    <w:p w14:paraId="01F77843">
      <w:pPr>
        <w:jc w:val="center"/>
        <w:outlineLvl w:val="0"/>
        <w:rPr>
          <w:rFonts w:ascii="黑体" w:eastAsia="黑体"/>
          <w:b/>
          <w:bCs/>
          <w:color w:val="auto"/>
          <w:sz w:val="32"/>
          <w:szCs w:val="32"/>
          <w:highlight w:val="none"/>
          <w:lang w:val="zh-CN"/>
        </w:rPr>
      </w:pPr>
      <w:bookmarkStart w:id="10" w:name="_Toc6160"/>
      <w:bookmarkStart w:id="11" w:name="_Toc12087"/>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bookmarkEnd w:id="10"/>
      <w:bookmarkEnd w:id="11"/>
    </w:p>
    <w:p w14:paraId="1C044739">
      <w:pPr>
        <w:ind w:firstLine="482"/>
        <w:rPr>
          <w:rFonts w:ascii="宋体"/>
          <w:b/>
          <w:bCs/>
          <w:color w:val="auto"/>
          <w:sz w:val="24"/>
          <w:szCs w:val="24"/>
          <w:highlight w:val="none"/>
          <w:lang w:val="zh-CN"/>
        </w:rPr>
      </w:pPr>
    </w:p>
    <w:p w14:paraId="657AA28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14:paraId="4F62CC8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指供需双方签署的、在合同中载明的合同各方所达成的协议，包括构成合同的所有附件、附录和其他文件。</w:t>
      </w:r>
    </w:p>
    <w:p w14:paraId="3238A06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指与本合同的订立、履行有关的，经供需双方认可的，对本合同约定内容进行细化、补充、修改、变更等的文件资料。</w:t>
      </w:r>
    </w:p>
    <w:p w14:paraId="0D4772E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7417460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14:paraId="74EC858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0EB335D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14:paraId="43B9AB83">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14:paraId="28E664C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44941AF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631BF97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153C08F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指《四平市中心人民医院手术显微镜（进口）采购项目招标文件》。</w:t>
      </w:r>
    </w:p>
    <w:p w14:paraId="12297FC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本合同条款仅适用于四平市中心人民医院手术显微镜（进口）采购项目。</w:t>
      </w:r>
    </w:p>
    <w:p w14:paraId="7A8D7BE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2A3EEAD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1D95002D">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1B8EF7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14:paraId="1307AD9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7DC93DA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1B1C17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14:paraId="62756E9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55A023C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14:paraId="7B0C794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14:paraId="5245959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14:paraId="0A3DB6C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14:paraId="4A9C5D4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14:paraId="2E175F0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14:paraId="46D17B3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14:paraId="56C6EF6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14:paraId="797BF6B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14:paraId="23A81B4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14:paraId="56C05D5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11.2</w:t>
      </w:r>
      <w:r>
        <w:rPr>
          <w:rFonts w:hint="eastAsia" w:ascii="宋体" w:hAnsi="宋体" w:cs="宋体"/>
          <w:color w:val="auto"/>
          <w:sz w:val="24"/>
          <w:szCs w:val="24"/>
          <w:highlight w:val="none"/>
          <w:lang w:val="zh-CN"/>
        </w:rPr>
        <w:t xml:space="preserve"> 如果上述第</w:t>
      </w: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款无特别约定，本合同项下货物的质量保证期为从需方验收合格并交付给需方之日起1年。</w:t>
      </w:r>
    </w:p>
    <w:p w14:paraId="33F2AB7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14:paraId="28B7FF1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14:paraId="05B0232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4763953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14:paraId="4495BA5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14:paraId="56B1BE2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14:paraId="34818391">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46D1422B">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14:paraId="1C19F1AE">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2395658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14:paraId="2297B84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14:paraId="4131035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574E10F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7B8D09C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14:paraId="1FE6280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EBB1FB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22D9E9E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14:paraId="5859C5E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14:paraId="00701A9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14:paraId="08EBFCA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14:paraId="73D04C1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14:paraId="0C0F067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6359FA4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61C8EA8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14:paraId="718115E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14:paraId="586010E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14:paraId="7D721F4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.履约保证金：在政府采购合同书中约定。</w:t>
      </w:r>
    </w:p>
    <w:p w14:paraId="2975571A">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14:paraId="0D78207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6A68756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0C8EB25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5606B5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14:paraId="339E0281">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14:paraId="1488E6ED">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14:paraId="05A2C0F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14:paraId="58EB79C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14:paraId="1ACCAA3D">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24AB7066">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58259E9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1162330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1C511D7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14:paraId="587733B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48A59D1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14:paraId="547ACED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6B3CD5C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5D26C51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99D730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14:paraId="62841A5E">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0E161E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6C19FF4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7607CF25">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6377369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14:paraId="2EBB039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32737E6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14:paraId="67AD8AB7">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61DBEB39">
      <w:pPr>
        <w:ind w:firstLine="480"/>
        <w:rPr>
          <w:rFonts w:ascii="宋体" w:hAnsi="宋体"/>
          <w:color w:val="auto"/>
          <w:sz w:val="24"/>
          <w:szCs w:val="24"/>
          <w:highlight w:val="none"/>
          <w:lang w:val="zh-CN"/>
        </w:rPr>
      </w:pPr>
    </w:p>
    <w:p w14:paraId="341339E7">
      <w:pPr>
        <w:ind w:firstLine="480"/>
        <w:rPr>
          <w:rFonts w:ascii="宋体" w:hAnsi="宋体"/>
          <w:color w:val="auto"/>
          <w:sz w:val="24"/>
          <w:szCs w:val="24"/>
          <w:highlight w:val="none"/>
          <w:lang w:val="zh-CN"/>
        </w:rPr>
      </w:pPr>
    </w:p>
    <w:p w14:paraId="6336B18F">
      <w:pPr>
        <w:ind w:firstLine="480"/>
        <w:rPr>
          <w:rFonts w:ascii="宋体" w:hAnsi="宋体"/>
          <w:color w:val="auto"/>
          <w:sz w:val="24"/>
          <w:szCs w:val="24"/>
          <w:highlight w:val="none"/>
          <w:lang w:val="zh-CN"/>
        </w:rPr>
      </w:pPr>
    </w:p>
    <w:p w14:paraId="3CB4A62D">
      <w:pPr>
        <w:jc w:val="center"/>
        <w:outlineLvl w:val="0"/>
        <w:rPr>
          <w:rFonts w:hint="eastAsia" w:ascii="黑体" w:eastAsia="黑体" w:cs="黑体"/>
          <w:b/>
          <w:bCs/>
          <w:color w:val="auto"/>
          <w:sz w:val="32"/>
          <w:szCs w:val="32"/>
          <w:highlight w:val="none"/>
          <w:lang w:val="zh-CN"/>
        </w:rPr>
      </w:pPr>
      <w:bookmarkStart w:id="12" w:name="_Toc26038"/>
      <w:bookmarkStart w:id="13" w:name="_Toc5218"/>
    </w:p>
    <w:p w14:paraId="4EECCD65">
      <w:pPr>
        <w:jc w:val="center"/>
        <w:outlineLvl w:val="0"/>
        <w:rPr>
          <w:rFonts w:hint="eastAsia" w:ascii="黑体" w:eastAsia="黑体" w:cs="黑体"/>
          <w:b/>
          <w:bCs/>
          <w:color w:val="auto"/>
          <w:sz w:val="32"/>
          <w:szCs w:val="32"/>
          <w:highlight w:val="none"/>
          <w:lang w:val="zh-CN"/>
        </w:rPr>
      </w:pPr>
    </w:p>
    <w:p w14:paraId="0DD60AE0">
      <w:pPr>
        <w:jc w:val="center"/>
        <w:outlineLvl w:val="0"/>
        <w:rPr>
          <w:rFonts w:hint="eastAsia" w:ascii="黑体" w:eastAsia="黑体" w:cs="黑体"/>
          <w:b/>
          <w:bCs/>
          <w:color w:val="auto"/>
          <w:sz w:val="32"/>
          <w:szCs w:val="32"/>
          <w:highlight w:val="none"/>
          <w:lang w:val="zh-CN"/>
        </w:rPr>
      </w:pPr>
    </w:p>
    <w:p w14:paraId="3129FDE3">
      <w:pPr>
        <w:jc w:val="center"/>
        <w:outlineLvl w:val="0"/>
        <w:rPr>
          <w:rFonts w:hint="eastAsia" w:ascii="黑体" w:eastAsia="黑体" w:cs="黑体"/>
          <w:b/>
          <w:bCs/>
          <w:color w:val="auto"/>
          <w:sz w:val="32"/>
          <w:szCs w:val="32"/>
          <w:highlight w:val="none"/>
          <w:lang w:val="zh-CN"/>
        </w:rPr>
      </w:pPr>
    </w:p>
    <w:p w14:paraId="1C6E481D">
      <w:pPr>
        <w:jc w:val="center"/>
        <w:outlineLvl w:val="0"/>
        <w:rPr>
          <w:rFonts w:hint="eastAsia" w:ascii="黑体" w:eastAsia="黑体" w:cs="黑体"/>
          <w:b/>
          <w:bCs/>
          <w:color w:val="auto"/>
          <w:sz w:val="32"/>
          <w:szCs w:val="32"/>
          <w:highlight w:val="none"/>
          <w:lang w:val="zh-CN"/>
        </w:rPr>
      </w:pPr>
    </w:p>
    <w:p w14:paraId="681CB72D">
      <w:pPr>
        <w:jc w:val="center"/>
        <w:outlineLvl w:val="0"/>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bookmarkEnd w:id="12"/>
      <w:bookmarkEnd w:id="13"/>
    </w:p>
    <w:p w14:paraId="7D0C10D3">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w:t>
      </w:r>
    </w:p>
    <w:p w14:paraId="59439724">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14:paraId="38F6A3E0">
      <w:pPr>
        <w:jc w:val="center"/>
        <w:rPr>
          <w:rFonts w:ascii="宋体" w:cs="Arial"/>
          <w:b/>
          <w:bCs/>
          <w:color w:val="auto"/>
          <w:sz w:val="24"/>
          <w:szCs w:val="24"/>
          <w:highlight w:val="none"/>
        </w:rPr>
      </w:pPr>
      <w:r>
        <w:rPr>
          <w:rFonts w:hint="eastAsia" w:ascii="宋体" w:cs="Arial"/>
          <w:b/>
          <w:bCs/>
          <w:color w:val="auto"/>
          <w:sz w:val="24"/>
          <w:szCs w:val="24"/>
          <w:highlight w:val="none"/>
        </w:rPr>
        <w:t>合同格式仅限参考，具体以实际签订为准。</w:t>
      </w:r>
    </w:p>
    <w:tbl>
      <w:tblPr>
        <w:tblStyle w:val="12"/>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14:paraId="1842F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14:paraId="60EAB3F9">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14:paraId="7C936829">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提供给吉林省智广工程项目管理有限公司(方式是发送到邮箱</w:t>
            </w:r>
            <w:r>
              <w:rPr>
                <w:rFonts w:hint="eastAsia" w:ascii="宋体" w:hAnsi="宋体" w:eastAsia="宋体" w:cs="宋体"/>
                <w:color w:val="auto"/>
                <w:sz w:val="24"/>
                <w:highlight w:val="none"/>
                <w:lang w:val="en-US" w:eastAsia="zh-CN"/>
              </w:rPr>
              <w:t>jlszgzb@163.com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7296B622">
      <w:pPr>
        <w:rPr>
          <w:rFonts w:ascii="宋体" w:cs="Arial"/>
          <w:b/>
          <w:bCs/>
          <w:color w:val="auto"/>
          <w:sz w:val="24"/>
          <w:szCs w:val="24"/>
          <w:highlight w:val="none"/>
        </w:rPr>
      </w:pPr>
    </w:p>
    <w:p w14:paraId="0F49AFB9">
      <w:pPr>
        <w:spacing w:line="440" w:lineRule="exact"/>
        <w:jc w:val="center"/>
        <w:rPr>
          <w:rFonts w:ascii="黑体" w:eastAsia="黑体" w:cs="黑体"/>
          <w:b/>
          <w:bCs/>
          <w:color w:val="auto"/>
          <w:sz w:val="36"/>
          <w:szCs w:val="36"/>
          <w:highlight w:val="none"/>
        </w:rPr>
      </w:pPr>
    </w:p>
    <w:p w14:paraId="321786E0">
      <w:pPr>
        <w:spacing w:line="440" w:lineRule="exact"/>
        <w:jc w:val="center"/>
        <w:rPr>
          <w:rFonts w:hint="eastAsia" w:ascii="黑体" w:eastAsia="黑体" w:cs="黑体"/>
          <w:b/>
          <w:bCs/>
          <w:color w:val="auto"/>
          <w:sz w:val="36"/>
          <w:szCs w:val="36"/>
          <w:highlight w:val="none"/>
          <w:lang w:val="zh-CN"/>
        </w:rPr>
      </w:pPr>
      <w:r>
        <w:rPr>
          <w:rFonts w:hint="eastAsia" w:ascii="黑体" w:eastAsia="黑体" w:cs="黑体"/>
          <w:b/>
          <w:bCs/>
          <w:color w:val="auto"/>
          <w:sz w:val="36"/>
          <w:szCs w:val="36"/>
          <w:highlight w:val="none"/>
          <w:lang w:val="zh-CN"/>
        </w:rPr>
        <w:br w:type="page"/>
      </w:r>
      <w:r>
        <w:rPr>
          <w:rFonts w:hint="eastAsia" w:ascii="黑体" w:eastAsia="黑体" w:cs="黑体"/>
          <w:b/>
          <w:bCs/>
          <w:color w:val="auto"/>
          <w:sz w:val="36"/>
          <w:szCs w:val="36"/>
          <w:highlight w:val="none"/>
          <w:lang w:val="zh-CN"/>
        </w:rPr>
        <w:t>四平市中心人民医院手术显微镜（进口）采购项目</w:t>
      </w:r>
    </w:p>
    <w:p w14:paraId="237B210C">
      <w:pPr>
        <w:spacing w:line="440" w:lineRule="exact"/>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t>招标文件</w:t>
      </w:r>
    </w:p>
    <w:p w14:paraId="5442F62F">
      <w:pPr>
        <w:spacing w:line="360" w:lineRule="auto"/>
        <w:jc w:val="center"/>
        <w:outlineLvl w:val="0"/>
        <w:rPr>
          <w:rFonts w:ascii="黑体" w:hAnsi="黑体" w:eastAsia="黑体" w:cs="黑体"/>
          <w:b/>
          <w:bCs/>
          <w:color w:val="auto"/>
          <w:sz w:val="30"/>
          <w:szCs w:val="30"/>
          <w:highlight w:val="none"/>
          <w:lang w:val="zh-CN"/>
        </w:rPr>
      </w:pPr>
      <w:bookmarkStart w:id="14" w:name="_Toc14256"/>
      <w:bookmarkStart w:id="15" w:name="_Toc30502"/>
      <w:r>
        <w:rPr>
          <w:rFonts w:hint="eastAsia" w:ascii="黑体" w:hAnsi="黑体" w:eastAsia="黑体" w:cs="黑体"/>
          <w:b/>
          <w:bCs/>
          <w:color w:val="auto"/>
          <w:sz w:val="30"/>
          <w:szCs w:val="30"/>
          <w:highlight w:val="none"/>
          <w:lang w:val="zh-CN"/>
        </w:rPr>
        <w:t>（需求部分）</w:t>
      </w:r>
      <w:bookmarkEnd w:id="14"/>
      <w:bookmarkEnd w:id="15"/>
    </w:p>
    <w:p w14:paraId="4423ABF9">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405F3E53">
      <w:pPr>
        <w:ind w:firstLine="835" w:firstLineChars="297"/>
        <w:rPr>
          <w:rFonts w:ascii="黑体" w:eastAsia="黑体" w:cs="黑体"/>
          <w:b/>
          <w:bCs/>
          <w:color w:val="auto"/>
          <w:highlight w:val="none"/>
          <w:lang w:val="zh-CN"/>
        </w:rPr>
      </w:pPr>
    </w:p>
    <w:p w14:paraId="1A8F5841">
      <w:pPr>
        <w:numPr>
          <w:ilvl w:val="0"/>
          <w:numId w:val="2"/>
        </w:numPr>
        <w:ind w:left="1083" w:hanging="1083"/>
        <w:jc w:val="center"/>
        <w:outlineLvl w:val="0"/>
        <w:rPr>
          <w:rFonts w:ascii="黑体" w:eastAsia="黑体"/>
          <w:b/>
          <w:bCs/>
          <w:color w:val="auto"/>
          <w:sz w:val="32"/>
          <w:szCs w:val="32"/>
          <w:highlight w:val="none"/>
          <w:lang w:val="zh-CN"/>
        </w:rPr>
      </w:pPr>
      <w:bookmarkStart w:id="16" w:name="_Toc15375"/>
      <w:bookmarkStart w:id="17" w:name="_Toc1503"/>
      <w:r>
        <w:rPr>
          <w:rFonts w:hint="eastAsia" w:ascii="黑体" w:eastAsia="黑体" w:cs="黑体"/>
          <w:b/>
          <w:bCs/>
          <w:color w:val="auto"/>
          <w:sz w:val="32"/>
          <w:szCs w:val="32"/>
          <w:highlight w:val="none"/>
          <w:lang w:val="zh-CN"/>
        </w:rPr>
        <w:t>招标公告</w:t>
      </w:r>
      <w:bookmarkEnd w:id="16"/>
      <w:bookmarkEnd w:id="17"/>
    </w:p>
    <w:p w14:paraId="29658B29">
      <w:pPr>
        <w:ind w:firstLine="480"/>
        <w:outlineLvl w:val="9"/>
        <w:rPr>
          <w:rFonts w:hint="eastAsia"/>
          <w:color w:val="auto"/>
          <w:sz w:val="24"/>
          <w:highlight w:val="none"/>
        </w:rPr>
      </w:pPr>
      <w:r>
        <w:rPr>
          <w:rFonts w:hint="eastAsia" w:ascii="宋体" w:hAnsi="宋体" w:eastAsia="宋体" w:cs="宋体"/>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val="zh-CN"/>
        </w:rPr>
        <w:t>就四平市中心人民医院手术显微镜（进口）采购项目进行国内（指关境内）公开招标，现邀请合格的投标人提交密封投标。</w:t>
      </w:r>
    </w:p>
    <w:p w14:paraId="63A5CFB4">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6AD6BA89">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(四平市中心人民医院手术显微镜（进口）采购项目)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10时00分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2FD76EA9">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5FEBB10C">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项目编号：JLZG-20250110</w:t>
      </w:r>
    </w:p>
    <w:p w14:paraId="2307222D">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项目名称：四平市中心人民医院手术显微镜（进口）采购项目</w:t>
      </w:r>
    </w:p>
    <w:p w14:paraId="24CB540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val="en-US" w:eastAsia="zh-CN"/>
        </w:rPr>
        <w:t>万元。</w:t>
      </w:r>
      <w:bookmarkStart w:id="35" w:name="_GoBack"/>
      <w:bookmarkEnd w:id="35"/>
    </w:p>
    <w:p w14:paraId="0B90DAC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采购需求：四平市中心人民医院手术显微镜（进口）采购项目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val="en-US" w:eastAsia="zh-CN"/>
        </w:rPr>
        <w:t>货物需求</w:t>
      </w:r>
      <w:r>
        <w:rPr>
          <w:rFonts w:hint="eastAsia" w:ascii="宋体" w:hAnsi="宋体" w:eastAsia="宋体" w:cs="宋体"/>
          <w:bCs/>
          <w:color w:val="auto"/>
          <w:sz w:val="24"/>
          <w:szCs w:val="24"/>
          <w:highlight w:val="none"/>
          <w:lang w:val="zh-CN"/>
        </w:rPr>
        <w:t>”)</w:t>
      </w:r>
    </w:p>
    <w:p w14:paraId="41A4252A">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w:t>
      </w:r>
      <w:r>
        <w:rPr>
          <w:rFonts w:hint="eastAsia" w:ascii="宋体" w:hAnsi="宋体" w:cs="宋体"/>
          <w:color w:val="auto"/>
          <w:sz w:val="24"/>
          <w:szCs w:val="24"/>
          <w:highlight w:val="none"/>
          <w:u w:val="none"/>
          <w:lang w:val="en-US" w:eastAsia="zh-CN"/>
        </w:rPr>
        <w:t>签订合同后30天内。</w:t>
      </w:r>
    </w:p>
    <w:p w14:paraId="66198442">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F733A54">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EB7D58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378B00D">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具备国家有关主管部门批准的本招标项目标的的合法资格。</w:t>
      </w:r>
    </w:p>
    <w:p w14:paraId="71C8E2D3">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企业名称不同但法定代表人为同一个自然人的两个或者两个以上的投标人不得参加同一采购项目的投标。</w:t>
      </w:r>
    </w:p>
    <w:p w14:paraId="4CDD756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一般须具备法人资格，分公司或者分支机构须取得总公司授权。</w:t>
      </w:r>
    </w:p>
    <w:p w14:paraId="5818089F">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A74100B">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5.落实政府采购政策需满足的资格要求：</w:t>
      </w:r>
      <w:r>
        <w:rPr>
          <w:rFonts w:hint="eastAsia" w:ascii="宋体" w:hAnsi="宋体" w:eastAsia="宋体" w:cs="宋体"/>
          <w:color w:val="auto"/>
          <w:sz w:val="24"/>
          <w:szCs w:val="24"/>
          <w:highlight w:val="none"/>
          <w:lang w:val="en-US" w:eastAsia="zh-CN"/>
        </w:rPr>
        <w:t>本项目非专门面向中小企业采购</w:t>
      </w:r>
      <w:r>
        <w:rPr>
          <w:rFonts w:hint="eastAsia" w:ascii="宋体" w:hAnsi="宋体" w:eastAsia="宋体" w:cs="宋体"/>
          <w:color w:val="auto"/>
          <w:sz w:val="24"/>
          <w:szCs w:val="24"/>
          <w:highlight w:val="none"/>
          <w:lang w:eastAsia="zh-CN"/>
        </w:rPr>
        <w:t>。</w:t>
      </w:r>
    </w:p>
    <w:p w14:paraId="20A2B767">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r>
        <w:rPr>
          <w:rFonts w:hint="eastAsia" w:ascii="宋体" w:hAnsi="宋体" w:eastAsia="宋体" w:cs="宋体"/>
          <w:color w:val="auto"/>
          <w:sz w:val="24"/>
          <w:szCs w:val="24"/>
          <w:highlight w:val="none"/>
          <w:lang w:val="en-US" w:eastAsia="zh-CN"/>
        </w:rPr>
        <w:t>（一）投标人须为依法成立的企业（能够承担法律责任且财务独立），关境内投标人须提供营业执照、组织机构代码证、税务登记证或三证合一营业执照；关境外投标人须提供相应合法有效的证明文件（提供复印件加盖公章或负责人亲笔签字）；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6EE51387">
      <w:pPr>
        <w:ind w:firstLine="472" w:firstLineChars="196"/>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p>
    <w:p w14:paraId="6018EEC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zh-CN"/>
        </w:rPr>
        <w:t>日</w:t>
      </w:r>
    </w:p>
    <w:p w14:paraId="61408E1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4344C737">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-找到本项目-点击“申请获取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，其他途径获取的招标文件开标时一律按无效投标处理。</w:t>
      </w:r>
    </w:p>
    <w:p w14:paraId="25835A4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p w14:paraId="277186D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16E3267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10时00分</w:t>
      </w:r>
      <w:r>
        <w:rPr>
          <w:rFonts w:hint="eastAsia" w:ascii="宋体" w:hAnsi="宋体" w:eastAsia="宋体" w:cs="宋体"/>
          <w:color w:val="auto"/>
          <w:sz w:val="24"/>
          <w:highlight w:val="none"/>
        </w:rPr>
        <w:t>（北京时间）</w:t>
      </w:r>
    </w:p>
    <w:p w14:paraId="013DA86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169B96AC">
      <w:pPr>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14:paraId="316F4C63">
      <w:pPr>
        <w:spacing w:line="24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14:paraId="673C584A">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777F6A36">
      <w:pPr>
        <w:ind w:firstLine="472" w:firstLineChars="196"/>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p>
    <w:p w14:paraId="2AD9480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10时00分</w:t>
      </w:r>
      <w:r>
        <w:rPr>
          <w:rFonts w:hint="eastAsia" w:ascii="宋体" w:hAnsi="宋体" w:eastAsia="宋体" w:cs="宋体"/>
          <w:color w:val="auto"/>
          <w:sz w:val="24"/>
          <w:highlight w:val="none"/>
        </w:rPr>
        <w:t>（北京时间）</w:t>
      </w:r>
    </w:p>
    <w:p w14:paraId="2484605E">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7C726BC9">
      <w:pPr>
        <w:spacing w:before="0" w:after="0" w:line="24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七、公告期限：</w:t>
      </w:r>
    </w:p>
    <w:p w14:paraId="6E745E2D">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5F6B7F07">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40000</w:t>
      </w:r>
      <w:r>
        <w:rPr>
          <w:rFonts w:hint="eastAsia" w:ascii="宋体" w:hAnsi="宋体" w:eastAsia="宋体" w:cs="宋体"/>
          <w:bCs/>
          <w:color w:val="auto"/>
          <w:sz w:val="24"/>
          <w:szCs w:val="24"/>
          <w:highlight w:val="none"/>
        </w:rPr>
        <w:t>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6715A8AD">
      <w:pPr>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p>
    <w:p w14:paraId="1B3DB421">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4897425F">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p>
    <w:p w14:paraId="6A6CDC78">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18" w:name="_Toc35393805"/>
      <w:r>
        <w:rPr>
          <w:rFonts w:hint="eastAsia" w:ascii="宋体" w:hAnsi="宋体" w:eastAsia="宋体" w:cs="宋体"/>
          <w:color w:val="auto"/>
          <w:sz w:val="24"/>
          <w:szCs w:val="24"/>
          <w:highlight w:val="none"/>
          <w:lang w:val="en-US" w:eastAsia="zh-CN"/>
        </w:rPr>
        <w:t>1、CA锁办理网址：请供应商自行办理</w:t>
      </w:r>
      <w:bookmarkEnd w:id="18"/>
      <w:r>
        <w:rPr>
          <w:rFonts w:hint="eastAsia" w:ascii="宋体" w:hAnsi="宋体" w:eastAsia="宋体" w:cs="宋体"/>
          <w:color w:val="auto"/>
          <w:sz w:val="24"/>
          <w:szCs w:val="24"/>
          <w:highlight w:val="none"/>
          <w:lang w:val="en-US" w:eastAsia="zh-CN"/>
        </w:rPr>
        <w:t>CA锁，网址链接（http://www.anxinca.com/kehu/zcy/kh-zcy-zsshenqing.html。）</w:t>
      </w:r>
    </w:p>
    <w:p w14:paraId="75215AA6">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6882A8DF">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56645FD0">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7A9C87BB">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、对本次招标提出询问，请按以下方式联系：</w:t>
      </w:r>
    </w:p>
    <w:p w14:paraId="656DFD24">
      <w:pPr>
        <w:autoSpaceDE/>
        <w:autoSpaceDN/>
        <w:adjustRightInd/>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5F75AE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称：四平市中心人民医院</w:t>
      </w:r>
    </w:p>
    <w:p w14:paraId="5256D836">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b w:val="0"/>
          <w:i w:val="0"/>
          <w:caps w:val="0"/>
          <w:color w:val="auto"/>
          <w:spacing w:val="0"/>
          <w:kern w:val="0"/>
          <w:sz w:val="24"/>
          <w:szCs w:val="24"/>
          <w:highlight w:val="none"/>
          <w:lang w:val="en-US" w:eastAsia="zh-CN" w:bidi="ar"/>
        </w:rPr>
        <w:t>四平市铁西区南迎宾街89号</w:t>
      </w:r>
    </w:p>
    <w:p w14:paraId="1FCA50D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lang w:val="en-US" w:eastAsia="zh-CN"/>
        </w:rPr>
        <w:t>蒋志远</w:t>
      </w:r>
    </w:p>
    <w:p w14:paraId="5824E131">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0434-3648161</w:t>
      </w:r>
    </w:p>
    <w:p w14:paraId="02E967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14:paraId="6D4AEE1D">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E7EFA2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highlight w:val="none"/>
          <w:lang w:val="en-US" w:eastAsia="zh-CN"/>
        </w:rPr>
        <w:t>吉林省智广工程项目管理有限公司</w:t>
      </w:r>
    </w:p>
    <w:p w14:paraId="55E7F30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highlight w:val="none"/>
          <w:lang w:val="en-US" w:eastAsia="zh-CN"/>
        </w:rPr>
        <w:t>长春市朝阳区卫星路7440号远创国际2、3号楼1306室</w:t>
      </w:r>
    </w:p>
    <w:p w14:paraId="1E39D85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highlight w:val="none"/>
          <w:lang w:val="en-US" w:eastAsia="zh-CN"/>
        </w:rPr>
        <w:t>于淼</w:t>
      </w:r>
    </w:p>
    <w:p w14:paraId="3B03D835">
      <w:pPr>
        <w:autoSpaceDE/>
        <w:autoSpaceDN/>
        <w:adjustRightInd/>
        <w:spacing w:line="24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D3FA714">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highlight w:val="none"/>
          <w:lang w:val="en-US" w:eastAsia="zh-CN"/>
        </w:rPr>
        <w:t>于淼</w:t>
      </w:r>
    </w:p>
    <w:p w14:paraId="3232F8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pacing w:val="1"/>
          <w:kern w:val="0"/>
          <w:sz w:val="24"/>
          <w:szCs w:val="24"/>
          <w:highlight w:val="none"/>
          <w:lang w:val="en-US" w:eastAsia="zh-CN"/>
        </w:rPr>
        <w:t xml:space="preserve">0431-88035566 </w:t>
      </w:r>
    </w:p>
    <w:p w14:paraId="1C6BB0E0">
      <w:pPr>
        <w:autoSpaceDE/>
        <w:autoSpaceDN/>
        <w:adjustRightInd/>
        <w:ind w:firstLine="487" w:firstLineChars="202"/>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 xml:space="preserve">、代理机构账户信息：           </w:t>
      </w:r>
    </w:p>
    <w:p w14:paraId="4E4E6D4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bCs/>
          <w:color w:val="auto"/>
          <w:sz w:val="24"/>
          <w:szCs w:val="24"/>
          <w:highlight w:val="none"/>
          <w:lang w:val="zh-CN" w:eastAsia="zh-CN"/>
        </w:rPr>
        <w:t>中国建设银行股份有限公司长春汇鑫支行</w:t>
      </w:r>
      <w:r>
        <w:rPr>
          <w:rFonts w:hint="eastAsia" w:ascii="宋体" w:hAnsi="宋体" w:eastAsia="宋体" w:cs="宋体"/>
          <w:color w:val="auto"/>
          <w:sz w:val="24"/>
          <w:szCs w:val="24"/>
          <w:highlight w:val="none"/>
          <w:lang w:val="en-US" w:eastAsia="zh-CN"/>
        </w:rPr>
        <w:t xml:space="preserve">  </w:t>
      </w:r>
    </w:p>
    <w:p w14:paraId="3C44A374">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Cs/>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bCs/>
          <w:color w:val="auto"/>
          <w:sz w:val="24"/>
          <w:szCs w:val="24"/>
          <w:highlight w:val="none"/>
          <w:lang w:val="zh-CN" w:eastAsia="zh-CN"/>
        </w:rPr>
        <w:t>22050100430100000583</w:t>
      </w:r>
    </w:p>
    <w:p w14:paraId="7B69D681">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p>
    <w:p w14:paraId="51129423">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p>
    <w:p w14:paraId="35F52541">
      <w:pPr>
        <w:numPr>
          <w:ilvl w:val="0"/>
          <w:numId w:val="2"/>
        </w:num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br w:type="page"/>
      </w:r>
      <w:bookmarkStart w:id="19" w:name="_Toc28671"/>
      <w:bookmarkStart w:id="20" w:name="_Toc14876"/>
      <w:r>
        <w:rPr>
          <w:rFonts w:hint="eastAsia" w:ascii="黑体" w:eastAsia="黑体" w:cs="黑体"/>
          <w:b/>
          <w:bCs/>
          <w:color w:val="auto"/>
          <w:sz w:val="32"/>
          <w:szCs w:val="32"/>
          <w:highlight w:val="none"/>
          <w:lang w:val="zh-CN"/>
        </w:rPr>
        <w:t>货物需求和评标办法</w:t>
      </w:r>
      <w:bookmarkEnd w:id="19"/>
      <w:bookmarkEnd w:id="20"/>
    </w:p>
    <w:p w14:paraId="1277DDF6">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1、用途：用于神经外科手术区域的照明和放大，支持手术过程的观察，必须满足于肿瘤的荧光造影和血管荧光造影手术，需是所投标品牌神经外科专用显微镜最高端型号。</w:t>
      </w:r>
    </w:p>
    <w:p w14:paraId="15F022A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2、基本参数 </w:t>
      </w:r>
    </w:p>
    <w:p w14:paraId="3BAF6124">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2.1显微镜：</w:t>
      </w:r>
    </w:p>
    <w:p w14:paraId="45491D2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2.1.1配备目镜、物镜、助手镜</w:t>
      </w:r>
    </w:p>
    <w:p w14:paraId="747B170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2.1.2采用复消色差光学技术</w:t>
      </w:r>
    </w:p>
    <w:p w14:paraId="665DADE0">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2.1.3电动连续变焦，变焦范围≥225mm～600mm</w:t>
      </w:r>
    </w:p>
    <w:p w14:paraId="5F4BB815">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2.1.4连续无级变倍，在12.5倍目镜下，不增加额外增倍器，变倍范围≥2.5X~15.1X</w:t>
      </w:r>
    </w:p>
    <w:p w14:paraId="5D2E7A3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2.1.5目镜屈光范围≥+5D~-5D可调</w:t>
      </w:r>
    </w:p>
    <w:p w14:paraId="50E86C2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2.1.6电动X-Y轴精细移动</w:t>
      </w:r>
    </w:p>
    <w:p w14:paraId="5FD4515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2.1.7主镜体左右旋转角度≥270°</w:t>
      </w:r>
    </w:p>
    <w:p w14:paraId="2FC9B1C2">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2.1.8具有一键自动平衡功能</w:t>
      </w:r>
    </w:p>
    <w:p w14:paraId="4216871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2.1.9可与神经内镜连接，屏幕同时显示内镜影像</w:t>
      </w:r>
    </w:p>
    <w:p w14:paraId="4B70A350">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2.2手柄具备功能(包括但不限于以下内容):电动连续调焦、电动连续变倍、调整光亮度、X-Y轴精细微调、荧光开关</w:t>
      </w:r>
    </w:p>
    <w:p w14:paraId="70996B2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2.3光源：</w:t>
      </w:r>
    </w:p>
    <w:p w14:paraId="6737957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2.3.1主照明、备用照明氙灯或LED光源，氙灯≥250W,保证亮度，内置亮度安全管理系统(自动光强度控制功能):根据照度计的测量，随工作距离的减少而降低亮度，防止组织灼伤；随工作距离的增加而增加亮度，使视野的亮度保持恒定</w:t>
      </w:r>
    </w:p>
    <w:p w14:paraId="0DC7643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2.3.2具有一键切换主照明与备用照明的功能，可显示主光源与备 用光源的使用寿命。</w:t>
      </w:r>
    </w:p>
    <w:p w14:paraId="27407A1A">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2.4支架：</w:t>
      </w:r>
    </w:p>
    <w:p w14:paraId="2DFC33D6">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2.4.1落地式太空平衡支架，配备电磁关节锁</w:t>
      </w:r>
    </w:p>
    <w:p w14:paraId="180A14D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2.4.2支架具有术中一键平衡功能</w:t>
      </w:r>
    </w:p>
    <w:p w14:paraId="669C8114">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2.4.3支架具备术中再平衡功能</w:t>
      </w:r>
    </w:p>
    <w:p w14:paraId="4C2F7D6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2.4.4主镜距地面最低高度≥430mm</w:t>
      </w:r>
    </w:p>
    <w:p w14:paraId="0F4F24B2">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2.4.5光学镜头最大承重≥4kg</w:t>
      </w:r>
    </w:p>
    <w:p w14:paraId="4133914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2.4.6无菌罩抽真空功能，全内置模块，可实现无菌罩内空气的变频抽吸。</w:t>
      </w:r>
    </w:p>
    <w:p w14:paraId="1FE2935A">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2.5自动聚焦功能</w:t>
      </w:r>
    </w:p>
    <w:p w14:paraId="0E84D09C">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2.5.1无线网络WIFI功能，可实现与智能设备之间的无线连接，实现多智能场景交互</w:t>
      </w:r>
    </w:p>
    <w:p w14:paraId="432B6AE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2.6荧光功能</w:t>
      </w:r>
    </w:p>
    <w:p w14:paraId="629AE1C5">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2.6.1*具有原厂全内置高清血管荧光造影功能，光影像分辨率≥ 1080P。</w:t>
      </w:r>
    </w:p>
    <w:p w14:paraId="4C6B8F0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2.6.2具备术中增益功能，可实时调节术中荧光的显示效果，获取精细的影像显示。</w:t>
      </w:r>
    </w:p>
    <w:p w14:paraId="03EA949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2.6.3具备术中荧光强度调节，可实时调节术中荧光的激发光强，获得想要的荧光影像效果。</w:t>
      </w:r>
    </w:p>
    <w:p w14:paraId="43F55EA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2.6.4*必须配备肿瘤荧光造影功能，可以实现辨别肿瘤组织与脑组织的区别。</w:t>
      </w:r>
    </w:p>
    <w:p w14:paraId="61C05136">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2.6.5实现术中肿瘤黄荧光显影，区分肿瘤组织与正常组织，实现边界清晰的肿瘤切除</w:t>
      </w:r>
    </w:p>
    <w:p w14:paraId="29ADC1B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2.7配备一体化高清图像工作站，具有影像记录、存储、传输功能 </w:t>
      </w:r>
    </w:p>
    <w:p w14:paraId="4C75EB9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2.8原厂全内置高清摄像头，分辨率≥1080p</w:t>
      </w:r>
    </w:p>
    <w:p w14:paraId="1BFA250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2.9可升级加装导航功能，兼容各品牌导航接口。 </w:t>
      </w:r>
    </w:p>
    <w:p w14:paraId="4167076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2.10具有多功能触摸控制面板</w:t>
      </w:r>
    </w:p>
    <w:p w14:paraId="25FF484C">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2.11具有开机自检及故障自动报警功能，可区分不同功能区故障， 提供不同的报错代码，帮助工程师精准判断故障，实现快速响应。 </w:t>
      </w:r>
    </w:p>
    <w:p w14:paraId="636D463D">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3售后服务</w:t>
      </w:r>
    </w:p>
    <w:p w14:paraId="676B5090">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3.1厂家配有专职临床技术人员，提供操作培训，手术跟台。</w:t>
      </w:r>
    </w:p>
    <w:p w14:paraId="24247F4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3.2厂家在国内建有维修中心及零配件保税仓库，并能提供保税仓库的证明文件，保障10年以上的供应期。</w:t>
      </w:r>
    </w:p>
    <w:p w14:paraId="49C6606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3.3东三省内配备原厂售后服务工程师，原厂售后服务工程师人数 ≥1人并提供证明，故障响应时间必须≤1小时，上门服务时间≤10小时，并可提供备用核心部件应急使用。</w:t>
      </w:r>
    </w:p>
    <w:p w14:paraId="1A444D05">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3.4远程维护(选配功能)</w:t>
      </w:r>
    </w:p>
    <w:p w14:paraId="41190D14">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可通过网络直接传输机器状态，工程师可远程收集报告并自动及 时诊断维护。</w:t>
      </w:r>
    </w:p>
    <w:p w14:paraId="1CB0381B">
      <w:pPr>
        <w:numPr>
          <w:ilvl w:val="0"/>
          <w:numId w:val="0"/>
        </w:numPr>
        <w:spacing w:line="240" w:lineRule="auto"/>
        <w:rPr>
          <w:rFonts w:hint="eastAsia" w:ascii="宋体" w:cs="宋体"/>
          <w:b w:val="0"/>
          <w:bCs w:val="0"/>
          <w:color w:val="auto"/>
          <w:sz w:val="28"/>
          <w:szCs w:val="28"/>
          <w:highlight w:val="none"/>
          <w:lang w:val="en-US" w:eastAsia="zh-CN"/>
        </w:rPr>
      </w:pPr>
    </w:p>
    <w:p w14:paraId="04168678">
      <w:pPr>
        <w:numPr>
          <w:ilvl w:val="0"/>
          <w:numId w:val="0"/>
        </w:numPr>
        <w:spacing w:line="240" w:lineRule="auto"/>
        <w:rPr>
          <w:rFonts w:hint="default" w:ascii="宋体" w:hAnsi="宋体" w:eastAsia="宋体" w:cs="宋体"/>
          <w:color w:val="auto"/>
          <w:sz w:val="24"/>
          <w:szCs w:val="24"/>
          <w:highlight w:val="none"/>
          <w:lang w:val="en-US" w:eastAsia="zh-CN"/>
        </w:rPr>
      </w:pPr>
      <w:r>
        <w:rPr>
          <w:rFonts w:hint="eastAsia" w:ascii="宋体" w:cs="宋体"/>
          <w:b/>
          <w:bCs/>
          <w:color w:val="auto"/>
          <w:sz w:val="24"/>
          <w:szCs w:val="24"/>
          <w:highlight w:val="none"/>
          <w:lang w:val="en-US" w:eastAsia="zh-CN"/>
        </w:rPr>
        <w:t>以上</w:t>
      </w:r>
      <w:r>
        <w:rPr>
          <w:rFonts w:hint="eastAsia" w:ascii="宋体" w:cs="宋体"/>
          <w:b/>
          <w:bCs/>
          <w:color w:val="auto"/>
          <w:sz w:val="24"/>
          <w:szCs w:val="24"/>
          <w:highlight w:val="none"/>
          <w:lang w:val="zh-CN"/>
        </w:rPr>
        <w:t>货物需求及技术规格，星号</w:t>
      </w:r>
      <w:r>
        <w:rPr>
          <w:rFonts w:hint="eastAsia" w:ascii="宋体" w:cs="宋体"/>
          <w:b/>
          <w:bCs/>
          <w:color w:val="auto"/>
          <w:sz w:val="24"/>
          <w:szCs w:val="24"/>
          <w:highlight w:val="none"/>
          <w:lang w:val="en-US" w:eastAsia="zh-CN"/>
        </w:rPr>
        <w:t>条款为</w:t>
      </w:r>
      <w:r>
        <w:rPr>
          <w:rFonts w:hint="eastAsia" w:ascii="宋体" w:cs="宋体"/>
          <w:b/>
          <w:bCs/>
          <w:color w:val="auto"/>
          <w:sz w:val="24"/>
          <w:szCs w:val="24"/>
          <w:highlight w:val="none"/>
          <w:lang w:val="zh-CN"/>
        </w:rPr>
        <w:t>必须满足</w:t>
      </w:r>
      <w:r>
        <w:rPr>
          <w:rFonts w:hint="eastAsia" w:ascii="宋体" w:cs="宋体"/>
          <w:b/>
          <w:bCs/>
          <w:color w:val="auto"/>
          <w:sz w:val="24"/>
          <w:szCs w:val="24"/>
          <w:highlight w:val="none"/>
          <w:lang w:val="en-US" w:eastAsia="zh-CN"/>
        </w:rPr>
        <w:t>参数不得负偏离，非星号条款允许偏离。</w:t>
      </w:r>
    </w:p>
    <w:p w14:paraId="4C9EAB63">
      <w:pPr>
        <w:spacing w:line="240" w:lineRule="auto"/>
        <w:ind w:firstLine="480"/>
        <w:rPr>
          <w:rFonts w:hint="eastAsia" w:ascii="宋体" w:hAnsi="宋体" w:eastAsia="宋体" w:cs="宋体"/>
          <w:color w:val="auto"/>
          <w:sz w:val="24"/>
          <w:szCs w:val="24"/>
          <w:highlight w:val="none"/>
          <w:lang w:val="zh-CN"/>
        </w:rPr>
      </w:pPr>
    </w:p>
    <w:p w14:paraId="5E67FD19">
      <w:pPr>
        <w:spacing w:line="240" w:lineRule="auto"/>
        <w:ind w:firstLine="480"/>
        <w:rPr>
          <w:rFonts w:hint="eastAsia" w:ascii="宋体" w:hAnsi="宋体" w:eastAsia="宋体" w:cs="宋体"/>
          <w:color w:val="auto"/>
          <w:sz w:val="24"/>
          <w:szCs w:val="24"/>
          <w:highlight w:val="none"/>
          <w:lang w:val="zh-CN"/>
        </w:rPr>
      </w:pPr>
    </w:p>
    <w:p w14:paraId="53792397">
      <w:pPr>
        <w:rPr>
          <w:rFonts w:hint="eastAsia" w:ascii="宋体" w:hAnsi="宋体"/>
          <w:b/>
          <w:color w:val="auto"/>
          <w:sz w:val="24"/>
          <w:szCs w:val="24"/>
          <w:highlight w:val="none"/>
          <w:lang w:val="zh-CN"/>
        </w:rPr>
      </w:pPr>
      <w:bookmarkStart w:id="21" w:name="_Toc16692"/>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lang w:val="zh-CN"/>
        </w:rPr>
        <w:t>评标方法和标准</w:t>
      </w:r>
      <w:bookmarkEnd w:id="21"/>
    </w:p>
    <w:p w14:paraId="698B3501">
      <w:pPr>
        <w:ind w:firstLine="480"/>
        <w:rPr>
          <w:rFonts w:ascii="宋体" w:hAnsi="宋体"/>
          <w:b/>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14:paraId="12DD5F31">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 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14:paraId="0C9F9644">
      <w:pPr>
        <w:ind w:firstLine="482"/>
        <w:rPr>
          <w:rFonts w:hint="eastAsia" w:ascii="宋体" w:cs="宋体"/>
          <w:b/>
          <w:bCs/>
          <w:color w:val="auto"/>
          <w:sz w:val="24"/>
          <w:szCs w:val="24"/>
          <w:highlight w:val="none"/>
          <w:lang w:val="zh-CN"/>
        </w:rPr>
      </w:pPr>
      <w:r>
        <w:rPr>
          <w:rFonts w:hint="eastAsia" w:ascii="宋体" w:cs="宋体"/>
          <w:b/>
          <w:color w:val="auto"/>
          <w:sz w:val="24"/>
          <w:szCs w:val="24"/>
          <w:highlight w:val="none"/>
          <w:lang w:val="zh-CN"/>
        </w:rPr>
        <w:t>2.1</w:t>
      </w:r>
      <w:r>
        <w:rPr>
          <w:rFonts w:ascii="宋体" w:cs="宋体"/>
          <w:b/>
          <w:color w:val="auto"/>
          <w:sz w:val="24"/>
          <w:szCs w:val="24"/>
          <w:highlight w:val="none"/>
          <w:lang w:val="zh-CN"/>
        </w:rPr>
        <w:t>.1</w:t>
      </w:r>
      <w:r>
        <w:rPr>
          <w:rFonts w:hint="eastAsia" w:ascii="宋体" w:cs="宋体"/>
          <w:b/>
          <w:color w:val="auto"/>
          <w:sz w:val="24"/>
          <w:szCs w:val="24"/>
          <w:highlight w:val="none"/>
          <w:lang w:val="zh-CN"/>
        </w:rPr>
        <w:t xml:space="preserve"> </w:t>
      </w:r>
      <w:r>
        <w:rPr>
          <w:rFonts w:hint="eastAsia" w:ascii="宋体" w:cs="宋体"/>
          <w:b/>
          <w:bCs/>
          <w:color w:val="auto"/>
          <w:sz w:val="24"/>
          <w:szCs w:val="24"/>
          <w:highlight w:val="none"/>
          <w:lang w:val="zh-CN"/>
        </w:rPr>
        <w:t>价格因素分：基准分值</w:t>
      </w:r>
      <w:r>
        <w:rPr>
          <w:rFonts w:hint="eastAsia" w:ascii="宋体" w:cs="宋体"/>
          <w:b/>
          <w:bCs/>
          <w:color w:val="auto"/>
          <w:sz w:val="24"/>
          <w:szCs w:val="24"/>
          <w:highlight w:val="none"/>
          <w:lang w:val="en-US" w:eastAsia="zh-CN"/>
        </w:rPr>
        <w:t>30</w:t>
      </w:r>
      <w:r>
        <w:rPr>
          <w:rFonts w:hint="eastAsia" w:ascii="宋体" w:cs="宋体"/>
          <w:b/>
          <w:bCs/>
          <w:color w:val="auto"/>
          <w:sz w:val="24"/>
          <w:szCs w:val="24"/>
          <w:highlight w:val="none"/>
          <w:lang w:val="zh-CN"/>
        </w:rPr>
        <w:t>分</w:t>
      </w:r>
    </w:p>
    <w:p w14:paraId="01140DE8">
      <w:pPr>
        <w:ind w:firstLine="48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2.1.1.1 评分采用百分制，评分项目、分值及评分标准如下：</w:t>
      </w:r>
    </w:p>
    <w:p w14:paraId="4B768062">
      <w:pPr>
        <w:tabs>
          <w:tab w:val="left" w:pos="3120"/>
        </w:tabs>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1.2 合格投标人得分的计算方法（计算结果精确到小数点后两位）：</w:t>
      </w:r>
    </w:p>
    <w:tbl>
      <w:tblPr>
        <w:tblStyle w:val="12"/>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7A3B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27CFAC52">
            <w:pPr>
              <w:rPr>
                <w:rFonts w:hint="eastAsia" w:ascii="宋体" w:hAnsi="宋体" w:cs="宋体"/>
                <w:color w:val="auto"/>
                <w:sz w:val="24"/>
                <w:szCs w:val="24"/>
                <w:highlight w:val="none"/>
              </w:rPr>
            </w:pPr>
            <w:r>
              <w:rPr>
                <w:rFonts w:hint="eastAsia" w:ascii="宋体" w:cs="宋体"/>
                <w:b/>
                <w:bCs/>
                <w:color w:val="auto"/>
                <w:sz w:val="24"/>
                <w:szCs w:val="24"/>
                <w:highlight w:val="none"/>
                <w:lang w:val="zh-CN"/>
              </w:rPr>
              <w:br w:type="page"/>
            </w:r>
            <w:r>
              <w:rPr>
                <w:rFonts w:hint="eastAsia" w:ascii="宋体" w:hAnsi="宋体" w:cs="宋体"/>
                <w:color w:val="auto"/>
                <w:sz w:val="24"/>
                <w:szCs w:val="24"/>
                <w:highlight w:val="none"/>
              </w:rPr>
              <w:t>评审内容</w:t>
            </w:r>
          </w:p>
        </w:tc>
        <w:tc>
          <w:tcPr>
            <w:tcW w:w="2784" w:type="dxa"/>
            <w:noWrap w:val="0"/>
            <w:vAlign w:val="center"/>
          </w:tcPr>
          <w:p w14:paraId="4499A2C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6274" w:type="dxa"/>
            <w:noWrap w:val="0"/>
            <w:vAlign w:val="center"/>
          </w:tcPr>
          <w:p w14:paraId="03072AE1">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093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25F4944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形式</w:t>
            </w:r>
          </w:p>
          <w:p w14:paraId="41FEEAE5">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4A36B31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tc>
        <w:tc>
          <w:tcPr>
            <w:tcW w:w="2784" w:type="dxa"/>
            <w:noWrap w:val="0"/>
            <w:vAlign w:val="center"/>
          </w:tcPr>
          <w:p w14:paraId="4F9BF3E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6274" w:type="dxa"/>
            <w:noWrap w:val="0"/>
            <w:vAlign w:val="center"/>
          </w:tcPr>
          <w:p w14:paraId="10AD6AC3">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与营业执照一致</w:t>
            </w:r>
          </w:p>
        </w:tc>
      </w:tr>
      <w:tr w14:paraId="35B0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55A3661F">
            <w:pPr>
              <w:contextualSpacing/>
              <w:rPr>
                <w:rFonts w:hint="eastAsia" w:ascii="宋体" w:hAnsi="宋体" w:cs="宋体"/>
                <w:color w:val="auto"/>
                <w:sz w:val="24"/>
                <w:szCs w:val="24"/>
                <w:highlight w:val="none"/>
                <w:lang w:val="zh-CN"/>
              </w:rPr>
            </w:pPr>
          </w:p>
        </w:tc>
        <w:tc>
          <w:tcPr>
            <w:tcW w:w="2784" w:type="dxa"/>
            <w:noWrap w:val="0"/>
            <w:vAlign w:val="center"/>
          </w:tcPr>
          <w:p w14:paraId="3C655A9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投标函签字盖章</w:t>
            </w:r>
          </w:p>
        </w:tc>
        <w:tc>
          <w:tcPr>
            <w:tcW w:w="6274" w:type="dxa"/>
            <w:noWrap w:val="0"/>
            <w:vAlign w:val="center"/>
          </w:tcPr>
          <w:p w14:paraId="2F0C9842">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有供应商印章并经法定代表人或其委托代理人签字并盖章</w:t>
            </w:r>
          </w:p>
        </w:tc>
      </w:tr>
      <w:tr w14:paraId="3233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7BB18E91">
            <w:pPr>
              <w:contextualSpacing/>
              <w:rPr>
                <w:rFonts w:hint="eastAsia" w:ascii="宋体" w:hAnsi="宋体" w:cs="宋体"/>
                <w:color w:val="auto"/>
                <w:sz w:val="24"/>
                <w:szCs w:val="24"/>
                <w:highlight w:val="none"/>
                <w:lang w:val="zh-CN"/>
              </w:rPr>
            </w:pPr>
          </w:p>
        </w:tc>
        <w:tc>
          <w:tcPr>
            <w:tcW w:w="2784" w:type="dxa"/>
            <w:noWrap w:val="0"/>
            <w:vAlign w:val="center"/>
          </w:tcPr>
          <w:p w14:paraId="5B03CEF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投标文件格式</w:t>
            </w:r>
          </w:p>
        </w:tc>
        <w:tc>
          <w:tcPr>
            <w:tcW w:w="6274" w:type="dxa"/>
            <w:noWrap w:val="0"/>
            <w:vAlign w:val="center"/>
          </w:tcPr>
          <w:p w14:paraId="6E77E1A9">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zh-CN"/>
              </w:rPr>
              <w:t>的要求</w:t>
            </w:r>
          </w:p>
        </w:tc>
      </w:tr>
      <w:tr w14:paraId="0DD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902" w:type="dxa"/>
            <w:vMerge w:val="continue"/>
            <w:tcBorders>
              <w:bottom w:val="single" w:color="auto" w:sz="4" w:space="0"/>
            </w:tcBorders>
            <w:noWrap w:val="0"/>
            <w:vAlign w:val="center"/>
          </w:tcPr>
          <w:p w14:paraId="3452EF04">
            <w:pPr>
              <w:contextualSpacing/>
              <w:rPr>
                <w:rFonts w:hint="eastAsia" w:ascii="宋体" w:hAnsi="宋体" w:cs="宋体"/>
                <w:color w:val="auto"/>
                <w:sz w:val="24"/>
                <w:szCs w:val="24"/>
                <w:highlight w:val="none"/>
                <w:lang w:val="zh-CN"/>
              </w:rPr>
            </w:pPr>
          </w:p>
        </w:tc>
        <w:tc>
          <w:tcPr>
            <w:tcW w:w="2784" w:type="dxa"/>
            <w:tcBorders>
              <w:bottom w:val="single" w:color="auto" w:sz="4" w:space="0"/>
            </w:tcBorders>
            <w:noWrap w:val="0"/>
            <w:vAlign w:val="center"/>
          </w:tcPr>
          <w:p w14:paraId="61460BE0">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报价唯一</w:t>
            </w:r>
          </w:p>
        </w:tc>
        <w:tc>
          <w:tcPr>
            <w:tcW w:w="6274" w:type="dxa"/>
            <w:tcBorders>
              <w:bottom w:val="single" w:color="auto" w:sz="4" w:space="0"/>
            </w:tcBorders>
            <w:noWrap w:val="0"/>
            <w:vAlign w:val="center"/>
          </w:tcPr>
          <w:p w14:paraId="44A87187">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只能有一个有效报价</w:t>
            </w:r>
          </w:p>
        </w:tc>
      </w:tr>
      <w:tr w14:paraId="57C3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trPr>
        <w:tc>
          <w:tcPr>
            <w:tcW w:w="902" w:type="dxa"/>
            <w:vMerge w:val="restart"/>
            <w:noWrap w:val="0"/>
            <w:vAlign w:val="center"/>
          </w:tcPr>
          <w:p w14:paraId="775A68D2">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w:t>
            </w:r>
          </w:p>
          <w:p w14:paraId="157B51C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15BD3208">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p w14:paraId="5FDCE35E">
            <w:pPr>
              <w:contextualSpacing/>
              <w:rPr>
                <w:rFonts w:hint="eastAsia" w:ascii="宋体" w:hAnsi="宋体" w:cs="宋体"/>
                <w:color w:val="auto"/>
                <w:sz w:val="24"/>
                <w:szCs w:val="24"/>
                <w:highlight w:val="none"/>
                <w:lang w:val="zh-CN"/>
              </w:rPr>
            </w:pPr>
          </w:p>
        </w:tc>
        <w:tc>
          <w:tcPr>
            <w:tcW w:w="2784" w:type="dxa"/>
            <w:noWrap w:val="0"/>
            <w:vAlign w:val="center"/>
          </w:tcPr>
          <w:p w14:paraId="2F7279F3">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w:t>
            </w:r>
            <w:r>
              <w:rPr>
                <w:rFonts w:hint="eastAsia" w:ascii="宋体" w:hAnsi="宋体" w:cs="宋体"/>
                <w:color w:val="auto"/>
                <w:sz w:val="24"/>
                <w:szCs w:val="24"/>
                <w:highlight w:val="none"/>
                <w:lang w:val="en-US" w:eastAsia="zh-CN"/>
              </w:rPr>
              <w:t>或证明文件</w:t>
            </w:r>
          </w:p>
        </w:tc>
        <w:tc>
          <w:tcPr>
            <w:tcW w:w="6274" w:type="dxa"/>
            <w:noWrap w:val="0"/>
            <w:vAlign w:val="center"/>
          </w:tcPr>
          <w:p w14:paraId="71758DD6">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有效期内营业执照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tc>
      </w:tr>
      <w:tr w14:paraId="62B6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exact"/>
        </w:trPr>
        <w:tc>
          <w:tcPr>
            <w:tcW w:w="902" w:type="dxa"/>
            <w:vMerge w:val="continue"/>
            <w:noWrap w:val="0"/>
            <w:vAlign w:val="center"/>
          </w:tcPr>
          <w:p w14:paraId="4BF91E95">
            <w:pPr>
              <w:contextualSpacing/>
              <w:rPr>
                <w:rFonts w:hint="eastAsia" w:ascii="宋体" w:hAnsi="宋体" w:cs="宋体"/>
                <w:color w:val="auto"/>
                <w:sz w:val="24"/>
                <w:szCs w:val="24"/>
                <w:highlight w:val="none"/>
                <w:lang w:val="zh-CN"/>
              </w:rPr>
            </w:pPr>
          </w:p>
        </w:tc>
        <w:tc>
          <w:tcPr>
            <w:tcW w:w="2784" w:type="dxa"/>
            <w:noWrap w:val="0"/>
            <w:vAlign w:val="center"/>
          </w:tcPr>
          <w:p w14:paraId="59676586">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zh-CN"/>
              </w:rPr>
            </w:pPr>
            <w:r>
              <w:rPr>
                <w:rFonts w:hint="eastAsia" w:ascii="宋体" w:hAnsi="宋体" w:eastAsia="宋体" w:cs="宋体"/>
                <w:bCs/>
                <w:color w:val="auto"/>
                <w:kern w:val="2"/>
                <w:sz w:val="24"/>
                <w:szCs w:val="24"/>
                <w:highlight w:val="none"/>
                <w:lang w:val="en-US" w:eastAsia="zh-CN" w:bidi="ar-SA"/>
              </w:rPr>
              <w:t>依</w:t>
            </w:r>
            <w:r>
              <w:rPr>
                <w:rFonts w:hint="eastAsia" w:ascii="宋体" w:hAnsi="宋体" w:eastAsia="宋体" w:cs="宋体"/>
                <w:bCs/>
                <w:color w:val="auto"/>
                <w:kern w:val="2"/>
                <w:sz w:val="24"/>
                <w:szCs w:val="24"/>
                <w:highlight w:val="none"/>
                <w:lang w:val="zh-CN" w:eastAsia="zh-CN" w:bidi="ar-SA"/>
              </w:rPr>
              <w:t>法缴纳社会保障资金</w:t>
            </w:r>
          </w:p>
        </w:tc>
        <w:tc>
          <w:tcPr>
            <w:tcW w:w="6274" w:type="dxa"/>
            <w:noWrap w:val="0"/>
            <w:vAlign w:val="center"/>
          </w:tcPr>
          <w:p w14:paraId="29A8880B">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r>
              <w:rPr>
                <w:rFonts w:hint="eastAsia" w:ascii="宋体" w:hAnsi="宋体" w:eastAsia="宋体" w:cs="宋体"/>
                <w:bCs/>
                <w:color w:val="auto"/>
                <w:kern w:val="2"/>
                <w:sz w:val="24"/>
                <w:szCs w:val="24"/>
                <w:highlight w:val="none"/>
                <w:lang w:val="en-US" w:eastAsia="zh-CN" w:bidi="ar-SA"/>
              </w:rPr>
              <w:t>关境外投标人不适用</w:t>
            </w:r>
            <w:r>
              <w:rPr>
                <w:rFonts w:hint="eastAsia" w:ascii="宋体" w:hAnsi="宋体" w:eastAsia="宋体" w:cs="宋体"/>
                <w:bCs/>
                <w:color w:val="auto"/>
                <w:kern w:val="2"/>
                <w:sz w:val="24"/>
                <w:szCs w:val="24"/>
                <w:highlight w:val="none"/>
                <w:lang w:val="zh-CN" w:eastAsia="zh-CN" w:bidi="ar-SA"/>
              </w:rPr>
              <w:t>）</w:t>
            </w:r>
          </w:p>
        </w:tc>
      </w:tr>
      <w:tr w14:paraId="1525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exact"/>
        </w:trPr>
        <w:tc>
          <w:tcPr>
            <w:tcW w:w="902" w:type="dxa"/>
            <w:vMerge w:val="continue"/>
            <w:noWrap w:val="0"/>
            <w:vAlign w:val="center"/>
          </w:tcPr>
          <w:p w14:paraId="6196D734">
            <w:pPr>
              <w:contextualSpacing/>
              <w:rPr>
                <w:rFonts w:hint="eastAsia" w:ascii="宋体" w:hAnsi="宋体" w:cs="宋体"/>
                <w:color w:val="auto"/>
                <w:sz w:val="24"/>
                <w:szCs w:val="24"/>
                <w:highlight w:val="none"/>
                <w:lang w:val="zh-CN"/>
              </w:rPr>
            </w:pPr>
          </w:p>
        </w:tc>
        <w:tc>
          <w:tcPr>
            <w:tcW w:w="2784" w:type="dxa"/>
            <w:noWrap w:val="0"/>
            <w:vAlign w:val="center"/>
          </w:tcPr>
          <w:p w14:paraId="29A5A32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rPr>
              <w:t>资质证明</w:t>
            </w:r>
          </w:p>
        </w:tc>
        <w:tc>
          <w:tcPr>
            <w:tcW w:w="6274" w:type="dxa"/>
            <w:noWrap w:val="0"/>
            <w:vAlign w:val="center"/>
          </w:tcPr>
          <w:p w14:paraId="1281CC70">
            <w:pPr>
              <w:numPr>
                <w:ilvl w:val="0"/>
                <w:numId w:val="0"/>
              </w:num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632EA49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（复印件，加盖投标人公章）</w:t>
            </w:r>
          </w:p>
        </w:tc>
      </w:tr>
      <w:tr w14:paraId="045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902" w:type="dxa"/>
            <w:vMerge w:val="continue"/>
            <w:noWrap w:val="0"/>
            <w:vAlign w:val="center"/>
          </w:tcPr>
          <w:p w14:paraId="0D4FA1D8">
            <w:pPr>
              <w:contextualSpacing/>
              <w:rPr>
                <w:rFonts w:hint="eastAsia" w:ascii="宋体" w:hAnsi="宋体" w:cs="宋体"/>
                <w:color w:val="auto"/>
                <w:sz w:val="24"/>
                <w:szCs w:val="24"/>
                <w:highlight w:val="none"/>
                <w:lang w:val="zh-CN"/>
              </w:rPr>
            </w:pPr>
          </w:p>
        </w:tc>
        <w:tc>
          <w:tcPr>
            <w:tcW w:w="2784" w:type="dxa"/>
            <w:noWrap w:val="0"/>
            <w:vAlign w:val="center"/>
          </w:tcPr>
          <w:p w14:paraId="5E29442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声明函及授权</w:t>
            </w:r>
          </w:p>
        </w:tc>
        <w:tc>
          <w:tcPr>
            <w:tcW w:w="6274" w:type="dxa"/>
            <w:noWrap w:val="0"/>
            <w:vAlign w:val="center"/>
          </w:tcPr>
          <w:p w14:paraId="30546EA7">
            <w:pPr>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进口产品投标</w:t>
            </w:r>
            <w:r>
              <w:rPr>
                <w:rFonts w:hint="eastAsia" w:ascii="宋体" w:hAnsi="宋体" w:eastAsia="宋体" w:cs="宋体"/>
                <w:color w:val="auto"/>
                <w:sz w:val="24"/>
                <w:szCs w:val="24"/>
                <w:highlight w:val="none"/>
              </w:rPr>
              <w:t>供应商资格声明函</w:t>
            </w:r>
            <w:r>
              <w:rPr>
                <w:rFonts w:hint="eastAsia" w:ascii="宋体" w:hAnsi="宋体" w:cs="宋体"/>
                <w:color w:val="auto"/>
                <w:sz w:val="24"/>
                <w:szCs w:val="24"/>
                <w:highlight w:val="none"/>
                <w:lang w:eastAsia="zh-CN"/>
              </w:rPr>
              <w:t>；</w:t>
            </w:r>
          </w:p>
          <w:p w14:paraId="00A9FCB9">
            <w:pPr>
              <w:contextualSpacing/>
              <w:rPr>
                <w:rFonts w:hint="eastAsia" w:ascii="宋体" w:hAnsi="宋体" w:eastAsia="宋体" w:cs="宋体"/>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p>
        </w:tc>
      </w:tr>
      <w:tr w14:paraId="40A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902" w:type="dxa"/>
            <w:vMerge w:val="continue"/>
            <w:noWrap w:val="0"/>
            <w:vAlign w:val="center"/>
          </w:tcPr>
          <w:p w14:paraId="2BD34BD6">
            <w:pPr>
              <w:contextualSpacing/>
              <w:rPr>
                <w:rFonts w:hint="eastAsia" w:ascii="宋体" w:hAnsi="宋体" w:cs="宋体"/>
                <w:color w:val="auto"/>
                <w:sz w:val="24"/>
                <w:szCs w:val="24"/>
                <w:highlight w:val="none"/>
                <w:lang w:val="zh-CN"/>
              </w:rPr>
            </w:pPr>
          </w:p>
        </w:tc>
        <w:tc>
          <w:tcPr>
            <w:tcW w:w="2784" w:type="dxa"/>
            <w:noWrap w:val="0"/>
            <w:vAlign w:val="center"/>
          </w:tcPr>
          <w:p w14:paraId="4B4F6A85">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信誉要求</w:t>
            </w:r>
          </w:p>
        </w:tc>
        <w:tc>
          <w:tcPr>
            <w:tcW w:w="6274" w:type="dxa"/>
            <w:noWrap w:val="0"/>
            <w:vAlign w:val="center"/>
          </w:tcPr>
          <w:p w14:paraId="2DFFAD81">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投标人通过“信用中国”网站（www.creditchina.gov.cn）、中国政府采购网（www.ccgp.gov.cn）渠道查询主体信用记录（两网站截图，加盖投标人公章）</w:t>
            </w:r>
          </w:p>
        </w:tc>
      </w:tr>
      <w:tr w14:paraId="4D5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47A70D26">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w:t>
            </w:r>
          </w:p>
          <w:p w14:paraId="73BE0EDF">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性评  审标  准</w:t>
            </w:r>
          </w:p>
        </w:tc>
        <w:tc>
          <w:tcPr>
            <w:tcW w:w="2784" w:type="dxa"/>
            <w:noWrap w:val="0"/>
            <w:vAlign w:val="center"/>
          </w:tcPr>
          <w:p w14:paraId="1A9955FE">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274" w:type="dxa"/>
            <w:noWrap w:val="0"/>
            <w:vAlign w:val="center"/>
          </w:tcPr>
          <w:p w14:paraId="36F2ABC0">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符合招标文件要求，</w:t>
            </w:r>
            <w:r>
              <w:rPr>
                <w:rFonts w:hint="eastAsia" w:ascii="宋体" w:cs="宋体"/>
                <w:b/>
                <w:bCs/>
                <w:color w:val="auto"/>
                <w:sz w:val="24"/>
                <w:szCs w:val="24"/>
                <w:highlight w:val="none"/>
                <w:lang w:val="zh-CN"/>
              </w:rPr>
              <w:t>货物需求</w:t>
            </w:r>
            <w:r>
              <w:rPr>
                <w:rFonts w:hint="eastAsia" w:ascii="宋体" w:cs="宋体"/>
                <w:b/>
                <w:bCs/>
                <w:color w:val="auto"/>
                <w:sz w:val="24"/>
                <w:szCs w:val="24"/>
                <w:highlight w:val="none"/>
                <w:lang w:val="en-US" w:eastAsia="zh-CN"/>
              </w:rPr>
              <w:t>星号条款无负偏离</w:t>
            </w:r>
            <w:r>
              <w:rPr>
                <w:rFonts w:hint="eastAsia" w:ascii="宋体" w:cs="宋体"/>
                <w:b/>
                <w:bCs/>
                <w:color w:val="auto"/>
                <w:sz w:val="24"/>
                <w:szCs w:val="24"/>
                <w:highlight w:val="none"/>
                <w:lang w:val="zh-CN"/>
              </w:rPr>
              <w:t>。</w:t>
            </w:r>
          </w:p>
        </w:tc>
      </w:tr>
      <w:tr w14:paraId="4F7F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5042F1A5">
            <w:pPr>
              <w:contextualSpacing/>
              <w:rPr>
                <w:rFonts w:hint="eastAsia" w:ascii="宋体" w:hAnsi="宋体" w:cs="宋体"/>
                <w:color w:val="auto"/>
                <w:sz w:val="24"/>
                <w:szCs w:val="24"/>
                <w:highlight w:val="none"/>
                <w:lang w:val="zh-CN"/>
              </w:rPr>
            </w:pPr>
          </w:p>
        </w:tc>
        <w:tc>
          <w:tcPr>
            <w:tcW w:w="2784" w:type="dxa"/>
            <w:noWrap w:val="0"/>
            <w:vAlign w:val="center"/>
          </w:tcPr>
          <w:p w14:paraId="712D198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6274" w:type="dxa"/>
            <w:noWrap w:val="0"/>
            <w:vAlign w:val="center"/>
          </w:tcPr>
          <w:p w14:paraId="27126639">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投标截止之日后</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日历天</w:t>
            </w:r>
          </w:p>
        </w:tc>
      </w:tr>
      <w:tr w14:paraId="1263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3B0AAEEF">
            <w:pPr>
              <w:contextualSpacing/>
              <w:rPr>
                <w:rFonts w:hint="eastAsia" w:ascii="宋体" w:hAnsi="宋体" w:cs="宋体"/>
                <w:color w:val="auto"/>
                <w:sz w:val="24"/>
                <w:szCs w:val="24"/>
                <w:highlight w:val="none"/>
                <w:lang w:val="zh-CN"/>
              </w:rPr>
            </w:pPr>
          </w:p>
        </w:tc>
        <w:tc>
          <w:tcPr>
            <w:tcW w:w="2784" w:type="dxa"/>
            <w:noWrap w:val="0"/>
            <w:vAlign w:val="center"/>
          </w:tcPr>
          <w:p w14:paraId="7D94238C">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投标保证金</w:t>
            </w:r>
          </w:p>
        </w:tc>
        <w:tc>
          <w:tcPr>
            <w:tcW w:w="6274" w:type="dxa"/>
            <w:noWrap w:val="0"/>
            <w:vAlign w:val="center"/>
          </w:tcPr>
          <w:p w14:paraId="0576637B">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按招标文件规定递交</w:t>
            </w:r>
          </w:p>
        </w:tc>
      </w:tr>
      <w:tr w14:paraId="5219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348F6997">
            <w:pPr>
              <w:contextualSpacing/>
              <w:rPr>
                <w:rFonts w:hint="eastAsia" w:ascii="宋体" w:hAnsi="宋体" w:cs="宋体"/>
                <w:color w:val="auto"/>
                <w:sz w:val="24"/>
                <w:szCs w:val="24"/>
                <w:highlight w:val="none"/>
                <w:lang w:val="zh-CN"/>
              </w:rPr>
            </w:pPr>
          </w:p>
        </w:tc>
        <w:tc>
          <w:tcPr>
            <w:tcW w:w="2784" w:type="dxa"/>
            <w:noWrap w:val="0"/>
            <w:vAlign w:val="center"/>
          </w:tcPr>
          <w:p w14:paraId="780C039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投标报价</w:t>
            </w:r>
          </w:p>
        </w:tc>
        <w:tc>
          <w:tcPr>
            <w:tcW w:w="6274" w:type="dxa"/>
            <w:noWrap w:val="0"/>
            <w:vAlign w:val="center"/>
          </w:tcPr>
          <w:p w14:paraId="0223C1B1">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不得超过最高限价，不得低于成本，否则投标无效</w:t>
            </w:r>
          </w:p>
        </w:tc>
      </w:tr>
      <w:tr w14:paraId="1841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02" w:type="dxa"/>
            <w:vMerge w:val="continue"/>
            <w:noWrap w:val="0"/>
            <w:vAlign w:val="center"/>
          </w:tcPr>
          <w:p w14:paraId="53E0AADA">
            <w:pPr>
              <w:contextualSpacing/>
              <w:rPr>
                <w:rFonts w:hint="eastAsia" w:ascii="宋体" w:hAnsi="宋体" w:cs="宋体"/>
                <w:color w:val="auto"/>
                <w:sz w:val="24"/>
                <w:szCs w:val="24"/>
                <w:highlight w:val="none"/>
                <w:lang w:val="zh-CN"/>
              </w:rPr>
            </w:pPr>
          </w:p>
        </w:tc>
        <w:tc>
          <w:tcPr>
            <w:tcW w:w="2784" w:type="dxa"/>
            <w:noWrap w:val="0"/>
            <w:vAlign w:val="center"/>
          </w:tcPr>
          <w:p w14:paraId="55B8FD64">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6274" w:type="dxa"/>
            <w:noWrap w:val="0"/>
            <w:vAlign w:val="center"/>
          </w:tcPr>
          <w:p w14:paraId="56A729D6">
            <w:pPr>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满足招标文件其他实质性要求</w:t>
            </w:r>
          </w:p>
        </w:tc>
      </w:tr>
    </w:tbl>
    <w:p w14:paraId="286A41E6">
      <w:pPr>
        <w:tabs>
          <w:tab w:val="left" w:pos="3120"/>
        </w:tabs>
        <w:ind w:firstLine="482"/>
        <w:rPr>
          <w:rFonts w:hint="eastAsia" w:ascii="宋体" w:cs="宋体"/>
          <w:b/>
          <w:bCs/>
          <w:color w:val="auto"/>
          <w:sz w:val="24"/>
          <w:szCs w:val="24"/>
          <w:highlight w:val="none"/>
          <w:lang w:val="zh-CN"/>
        </w:rPr>
      </w:pPr>
    </w:p>
    <w:tbl>
      <w:tblPr>
        <w:tblStyle w:val="12"/>
        <w:tblW w:w="1015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10"/>
        <w:gridCol w:w="1707"/>
        <w:gridCol w:w="839"/>
        <w:gridCol w:w="5631"/>
      </w:tblGrid>
      <w:tr w14:paraId="692F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196076D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序号</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C0AF94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评分项目</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7B9E2A8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基准分值</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4250A69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评分标准</w:t>
            </w:r>
          </w:p>
        </w:tc>
      </w:tr>
      <w:tr w14:paraId="0A71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20A1C2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6F6EB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zh-CN"/>
              </w:rPr>
              <w:t>价格因素（</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AB3AD0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6E4BF231">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价格分采用低价优先法计算，即满足招标文件要求且投标价格最低的投标报价为评标基准价，其价格分为满分。其他投标人的价格分统一按照下列公式计算：投标报价得分＝(评标基准价/投标报价)×30</w:t>
            </w:r>
          </w:p>
        </w:tc>
      </w:tr>
      <w:tr w14:paraId="6800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tcBorders>
              <w:top w:val="single" w:color="auto" w:sz="4" w:space="0"/>
              <w:left w:val="single" w:color="auto" w:sz="4" w:space="0"/>
              <w:right w:val="single" w:color="auto" w:sz="4" w:space="0"/>
            </w:tcBorders>
            <w:noWrap w:val="0"/>
            <w:vAlign w:val="center"/>
          </w:tcPr>
          <w:p w14:paraId="44C2A63A">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0" w:type="dxa"/>
            <w:tcBorders>
              <w:top w:val="single" w:color="auto" w:sz="4" w:space="0"/>
              <w:left w:val="single" w:color="auto" w:sz="4" w:space="0"/>
              <w:right w:val="single" w:color="auto" w:sz="4" w:space="0"/>
            </w:tcBorders>
            <w:noWrap w:val="0"/>
            <w:vAlign w:val="center"/>
          </w:tcPr>
          <w:p w14:paraId="2A1EA95E">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商务</w:t>
            </w:r>
          </w:p>
          <w:p w14:paraId="58A8A10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因素</w:t>
            </w:r>
          </w:p>
          <w:p w14:paraId="6C46922F">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val="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502B7A7">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rPr>
              <w:t>业绩</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1E2837C">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宋体" w:hAnsi="宋体"/>
                <w:color w:val="auto"/>
                <w:sz w:val="24"/>
                <w:szCs w:val="24"/>
                <w:highlight w:val="none"/>
              </w:rPr>
            </w:pPr>
            <w:bookmarkStart w:id="22" w:name="_Toc13813"/>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分</w:t>
            </w:r>
            <w:bookmarkEnd w:id="22"/>
          </w:p>
        </w:tc>
        <w:tc>
          <w:tcPr>
            <w:tcW w:w="5631" w:type="dxa"/>
            <w:tcBorders>
              <w:top w:val="single" w:color="auto" w:sz="4" w:space="0"/>
              <w:left w:val="single" w:color="auto" w:sz="4" w:space="0"/>
              <w:bottom w:val="single" w:color="auto" w:sz="4" w:space="0"/>
              <w:right w:val="single" w:color="auto" w:sz="4" w:space="0"/>
            </w:tcBorders>
            <w:noWrap w:val="0"/>
            <w:vAlign w:val="center"/>
          </w:tcPr>
          <w:p w14:paraId="3C5C33F7">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3" w:name="_Toc20546"/>
            <w:r>
              <w:rPr>
                <w:rFonts w:hint="eastAsia" w:ascii="宋体" w:hAnsi="宋体" w:eastAsia="宋体" w:cs="Times New Roman"/>
                <w:color w:val="auto"/>
                <w:sz w:val="24"/>
                <w:szCs w:val="24"/>
                <w:highlight w:val="none"/>
                <w:lang w:val="en-US" w:eastAsia="zh-CN"/>
              </w:rPr>
              <w:t>投标人2021年至</w:t>
            </w:r>
            <w:r>
              <w:rPr>
                <w:rFonts w:hint="eastAsia" w:ascii="宋体" w:hAnsi="宋体" w:eastAsia="宋体" w:cs="Times New Roman"/>
                <w:color w:val="auto"/>
                <w:sz w:val="24"/>
                <w:szCs w:val="24"/>
                <w:highlight w:val="none"/>
              </w:rPr>
              <w:t>开启之日</w:t>
            </w:r>
            <w:r>
              <w:rPr>
                <w:rFonts w:hint="eastAsia" w:ascii="宋体" w:hAnsi="宋体" w:eastAsia="宋体" w:cs="Times New Roman"/>
                <w:color w:val="auto"/>
                <w:sz w:val="24"/>
                <w:szCs w:val="24"/>
                <w:highlight w:val="none"/>
                <w:lang w:val="en-US" w:eastAsia="zh-CN"/>
              </w:rPr>
              <w:t>完成</w:t>
            </w:r>
            <w:r>
              <w:rPr>
                <w:rFonts w:hint="eastAsia" w:ascii="宋体" w:hAnsi="宋体" w:eastAsia="宋体" w:cs="Times New Roman"/>
                <w:color w:val="auto"/>
                <w:sz w:val="24"/>
                <w:szCs w:val="24"/>
                <w:highlight w:val="none"/>
                <w:lang w:val="zh-CN"/>
              </w:rPr>
              <w:t>同类</w:t>
            </w:r>
            <w:r>
              <w:rPr>
                <w:rFonts w:hint="eastAsia" w:ascii="宋体" w:hAnsi="宋体" w:eastAsia="宋体" w:cs="Times New Roman"/>
                <w:color w:val="auto"/>
                <w:sz w:val="24"/>
                <w:szCs w:val="24"/>
                <w:highlight w:val="none"/>
                <w:lang w:val="en-US" w:eastAsia="zh-CN"/>
              </w:rPr>
              <w:t>或类似业务合同</w:t>
            </w:r>
            <w:r>
              <w:rPr>
                <w:rFonts w:hint="eastAsia" w:ascii="宋体" w:hAnsi="宋体" w:eastAsia="宋体" w:cs="Times New Roman"/>
                <w:color w:val="auto"/>
                <w:sz w:val="24"/>
                <w:szCs w:val="24"/>
                <w:highlight w:val="none"/>
              </w:rPr>
              <w:t>每具有一个加</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分，最多加</w:t>
            </w: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val="en-US" w:eastAsia="zh-CN"/>
              </w:rPr>
              <w:t>分。</w:t>
            </w:r>
            <w:bookmarkEnd w:id="23"/>
          </w:p>
          <w:p w14:paraId="6E52BC1D">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color w:val="auto"/>
                <w:sz w:val="24"/>
                <w:szCs w:val="24"/>
                <w:highlight w:val="none"/>
              </w:rPr>
            </w:pPr>
            <w:bookmarkStart w:id="24" w:name="_Toc17058"/>
            <w:r>
              <w:rPr>
                <w:rFonts w:hint="eastAsia" w:ascii="宋体" w:hAnsi="宋体" w:eastAsia="宋体" w:cs="Times New Roman"/>
                <w:color w:val="auto"/>
                <w:sz w:val="24"/>
                <w:szCs w:val="24"/>
                <w:highlight w:val="none"/>
                <w:lang w:val="en-US" w:eastAsia="zh-CN"/>
              </w:rPr>
              <w:t>评分标准：提供案例合同复印件并加盖投标人公章，合同签订单位名称必须与投标人名称完全一致，并提供合同签订单位联系人、联系电话用于核查，否则不得分。</w:t>
            </w:r>
            <w:bookmarkEnd w:id="24"/>
          </w:p>
        </w:tc>
      </w:tr>
      <w:tr w14:paraId="350C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restart"/>
            <w:tcBorders>
              <w:left w:val="single" w:color="auto" w:sz="4" w:space="0"/>
              <w:right w:val="single" w:color="auto" w:sz="4" w:space="0"/>
            </w:tcBorders>
            <w:noWrap w:val="0"/>
            <w:vAlign w:val="center"/>
          </w:tcPr>
          <w:p w14:paraId="4D55237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10" w:type="dxa"/>
            <w:vMerge w:val="restart"/>
            <w:tcBorders>
              <w:left w:val="single" w:color="auto" w:sz="4" w:space="0"/>
              <w:right w:val="single" w:color="auto" w:sz="4" w:space="0"/>
            </w:tcBorders>
            <w:noWrap w:val="0"/>
            <w:vAlign w:val="center"/>
          </w:tcPr>
          <w:p w14:paraId="1B74A7D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zh-CN"/>
              </w:rPr>
              <w:t>技术因</w:t>
            </w:r>
            <w:r>
              <w:rPr>
                <w:rFonts w:hint="eastAsia" w:ascii="宋体" w:hAnsi="宋体"/>
                <w:color w:val="auto"/>
                <w:sz w:val="24"/>
                <w:szCs w:val="24"/>
                <w:highlight w:val="none"/>
                <w:lang w:val="zh-CN"/>
              </w:rPr>
              <w:t>素</w:t>
            </w:r>
            <w:r>
              <w:rPr>
                <w:rFonts w:hint="eastAsia" w:ascii="宋体" w:hAnsi="宋体"/>
                <w:color w:val="auto"/>
                <w:sz w:val="24"/>
                <w:szCs w:val="24"/>
                <w:highlight w:val="none"/>
                <w:lang w:val="en-US" w:eastAsia="zh-CN"/>
              </w:rPr>
              <w:t>48</w:t>
            </w:r>
            <w:r>
              <w:rPr>
                <w:rFonts w:hint="eastAsia" w:ascii="宋体" w:hAnsi="宋体"/>
                <w:color w:val="auto"/>
                <w:sz w:val="24"/>
                <w:szCs w:val="24"/>
                <w:highlight w:val="none"/>
                <w:lang w:val="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038994AB">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售后服务保障</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C1E7F3">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63E15283">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1、建立完善的售后服务体系，投标人应提供的售后服务方案包括：服务总体方案、设备维修维护方案等。评委对方案进行综合评审，方案合理完整、可行性高的得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val="en-US" w:eastAsia="zh-CN"/>
              </w:rPr>
              <w:t>，方案基本合理、可行性一般得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val="en-US" w:eastAsia="zh-CN"/>
              </w:rPr>
              <w:t>，方案内容不够合理完整或可行性不高得1分，没有得0分。；</w:t>
            </w:r>
          </w:p>
          <w:p w14:paraId="645E2823">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2、质保期在一年的基础上每延长</w:t>
            </w: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val="en-US" w:eastAsia="zh-CN"/>
              </w:rPr>
              <w:t>个月</w:t>
            </w:r>
            <w:r>
              <w:rPr>
                <w:rFonts w:hint="eastAsia" w:ascii="宋体" w:hAnsi="宋体" w:eastAsia="宋体" w:cs="Times New Roman"/>
                <w:color w:val="auto"/>
                <w:sz w:val="24"/>
                <w:szCs w:val="24"/>
                <w:highlight w:val="none"/>
                <w:lang w:val="en-US" w:eastAsia="zh-CN"/>
              </w:rPr>
              <w:t>，得</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分，最多得</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分。</w:t>
            </w:r>
          </w:p>
          <w:p w14:paraId="4176F3FD">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3、售后故障报修响应方面，投标人承诺故障报修后，</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小时-</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 xml:space="preserve">超过 </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小时到场检修不得分。</w:t>
            </w:r>
          </w:p>
          <w:p w14:paraId="0B6715C2">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4、投标文件中附有配件更换清单且免费更换配件得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分，投标文件中附有配件更换清单且所附配件更换价格较合理得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分，投标文件中附有配件更换清单且所附配件更换价格</w:t>
            </w:r>
            <w:r>
              <w:rPr>
                <w:rFonts w:hint="eastAsia" w:ascii="宋体" w:hAnsi="宋体" w:cs="Times New Roman"/>
                <w:color w:val="auto"/>
                <w:sz w:val="24"/>
                <w:szCs w:val="24"/>
                <w:highlight w:val="none"/>
                <w:lang w:val="en-US" w:eastAsia="zh-CN"/>
              </w:rPr>
              <w:t>不够合理</w:t>
            </w:r>
            <w:r>
              <w:rPr>
                <w:rFonts w:hint="eastAsia" w:ascii="宋体" w:hAnsi="宋体" w:eastAsia="宋体" w:cs="Times New Roman"/>
                <w:color w:val="auto"/>
                <w:sz w:val="24"/>
                <w:szCs w:val="24"/>
                <w:highlight w:val="none"/>
                <w:lang w:val="en-US" w:eastAsia="zh-CN"/>
              </w:rPr>
              <w:t>得1分，无不得分。</w:t>
            </w:r>
          </w:p>
        </w:tc>
      </w:tr>
      <w:tr w14:paraId="0FB8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continue"/>
            <w:tcBorders>
              <w:left w:val="single" w:color="auto" w:sz="4" w:space="0"/>
              <w:right w:val="single" w:color="auto" w:sz="4" w:space="0"/>
            </w:tcBorders>
            <w:noWrap w:val="0"/>
            <w:vAlign w:val="center"/>
          </w:tcPr>
          <w:p w14:paraId="56CD905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F0972B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44DAFF3B">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应急方案</w:t>
            </w:r>
          </w:p>
          <w:p w14:paraId="24FFC3D3">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E2EA86D">
            <w:pPr>
              <w:widowControl/>
              <w:spacing w:line="400" w:lineRule="exact"/>
              <w:jc w:val="center"/>
              <w:rPr>
                <w:rFonts w:hint="eastAsia" w:ascii="宋体" w:hAnsi="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762A609D">
            <w:pPr>
              <w:widowControl/>
              <w:spacing w:line="400" w:lineRule="exact"/>
              <w:rPr>
                <w:rFonts w:hint="eastAsia" w:ascii="宋体" w:hAnsi="宋体" w:eastAsia="宋体" w:cs="Times New Roman"/>
                <w:color w:val="auto"/>
                <w:sz w:val="24"/>
                <w:szCs w:val="24"/>
                <w:highlight w:val="none"/>
                <w:lang w:val="en-US" w:eastAsia="zh-CN"/>
              </w:rPr>
            </w:pPr>
            <w:r>
              <w:rPr>
                <w:rFonts w:hint="eastAsia" w:ascii="宋体" w:hAnsi="宋体" w:cs="宋体"/>
                <w:color w:val="auto"/>
                <w:spacing w:val="-2"/>
                <w:sz w:val="24"/>
                <w:szCs w:val="24"/>
                <w:highlight w:val="none"/>
              </w:rPr>
              <w:t>提供本项目</w:t>
            </w:r>
            <w:r>
              <w:rPr>
                <w:rFonts w:hint="eastAsia" w:ascii="宋体" w:hAnsi="宋体" w:cs="宋体"/>
                <w:color w:val="auto"/>
                <w:sz w:val="24"/>
                <w:szCs w:val="24"/>
                <w:highlight w:val="none"/>
              </w:rPr>
              <w:t>应急方案</w:t>
            </w:r>
            <w:r>
              <w:rPr>
                <w:rFonts w:hint="eastAsia" w:ascii="宋体" w:hAnsi="宋体" w:cs="宋体"/>
                <w:color w:val="auto"/>
                <w:sz w:val="24"/>
                <w:szCs w:val="24"/>
                <w:highlight w:val="none"/>
                <w:lang w:bidi="ar"/>
              </w:rPr>
              <w:t>进行综合评比，</w:t>
            </w:r>
            <w:r>
              <w:rPr>
                <w:rFonts w:hint="eastAsia" w:ascii="宋体" w:hAnsi="宋体" w:cs="宋体"/>
                <w:color w:val="auto"/>
                <w:sz w:val="24"/>
                <w:szCs w:val="24"/>
                <w:highlight w:val="none"/>
                <w:lang w:val="en-US" w:eastAsia="zh-CN"/>
              </w:rPr>
              <w:t>方案合理完整、</w:t>
            </w:r>
            <w:r>
              <w:rPr>
                <w:rFonts w:hint="eastAsia" w:ascii="宋体" w:hAnsi="宋体" w:cs="宋体"/>
                <w:color w:val="auto"/>
                <w:sz w:val="24"/>
                <w:szCs w:val="24"/>
                <w:highlight w:val="none"/>
                <w:lang w:bidi="ar"/>
              </w:rPr>
              <w:t>可行性高的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方案基本合理、可行性一般</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方案内容不够合理完整或可行性不高</w:t>
            </w:r>
            <w:r>
              <w:rPr>
                <w:rFonts w:hint="eastAsia" w:ascii="宋体" w:hAnsi="宋体" w:cs="宋体"/>
                <w:color w:val="auto"/>
                <w:sz w:val="24"/>
                <w:szCs w:val="24"/>
                <w:highlight w:val="none"/>
              </w:rPr>
              <w:t>得1分，没有得0分。</w:t>
            </w:r>
          </w:p>
        </w:tc>
      </w:tr>
      <w:tr w14:paraId="62B1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continue"/>
            <w:tcBorders>
              <w:left w:val="single" w:color="auto" w:sz="4" w:space="0"/>
              <w:right w:val="single" w:color="auto" w:sz="4" w:space="0"/>
            </w:tcBorders>
            <w:noWrap w:val="0"/>
            <w:vAlign w:val="center"/>
          </w:tcPr>
          <w:p w14:paraId="4C970B4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EAA907C">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1060E3E1">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r>
              <w:rPr>
                <w:rFonts w:hint="eastAsia" w:ascii="宋体" w:hAnsi="宋体" w:cs="宋体"/>
                <w:color w:val="auto"/>
                <w:sz w:val="24"/>
                <w:szCs w:val="24"/>
                <w:highlight w:val="none"/>
                <w:lang w:val="en-US" w:eastAsia="zh-CN"/>
              </w:rPr>
              <w:t>设备使用</w:t>
            </w:r>
            <w:r>
              <w:rPr>
                <w:rFonts w:hint="eastAsia" w:ascii="宋体" w:hAnsi="宋体" w:cs="宋体"/>
                <w:color w:val="auto"/>
                <w:sz w:val="24"/>
                <w:szCs w:val="24"/>
                <w:highlight w:val="none"/>
              </w:rPr>
              <w:t>培训工作方案</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06A7F76B">
            <w:pPr>
              <w:widowControl/>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3DF7F0EE">
            <w:pPr>
              <w:widowControl/>
              <w:spacing w:line="400" w:lineRule="exact"/>
              <w:rPr>
                <w:rFonts w:hint="eastAsia" w:ascii="宋体" w:hAnsi="宋体" w:cs="宋体"/>
                <w:color w:val="auto"/>
                <w:spacing w:val="-2"/>
                <w:sz w:val="24"/>
                <w:szCs w:val="24"/>
                <w:highlight w:val="none"/>
              </w:rPr>
            </w:pPr>
            <w:r>
              <w:rPr>
                <w:rFonts w:hint="eastAsia" w:ascii="宋体" w:hAnsi="宋体" w:cs="宋体"/>
                <w:color w:val="auto"/>
                <w:sz w:val="24"/>
                <w:szCs w:val="24"/>
                <w:highlight w:val="none"/>
                <w:lang w:val="en-US" w:eastAsia="zh-CN"/>
              </w:rPr>
              <w:t>设备使用</w:t>
            </w:r>
            <w:r>
              <w:rPr>
                <w:rFonts w:hint="eastAsia" w:ascii="宋体" w:hAnsi="宋体" w:cs="宋体"/>
                <w:color w:val="auto"/>
                <w:sz w:val="24"/>
                <w:szCs w:val="24"/>
                <w:highlight w:val="none"/>
              </w:rPr>
              <w:t>培训工作方案</w:t>
            </w:r>
            <w:r>
              <w:rPr>
                <w:rFonts w:hint="eastAsia" w:ascii="宋体" w:hAnsi="宋体" w:cs="宋体"/>
                <w:color w:val="auto"/>
                <w:sz w:val="24"/>
                <w:szCs w:val="24"/>
                <w:highlight w:val="none"/>
                <w:lang w:bidi="ar"/>
              </w:rPr>
              <w:t>详实、组织周密、可行性高的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方案较完整，基本可行</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方案内容不够完整或可行性不高</w:t>
            </w:r>
            <w:r>
              <w:rPr>
                <w:rFonts w:hint="eastAsia" w:ascii="宋体" w:hAnsi="宋体" w:cs="宋体"/>
                <w:color w:val="auto"/>
                <w:sz w:val="24"/>
                <w:szCs w:val="24"/>
                <w:highlight w:val="none"/>
              </w:rPr>
              <w:t>得1分，没有得0分。</w:t>
            </w:r>
          </w:p>
        </w:tc>
      </w:tr>
      <w:tr w14:paraId="4F13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7" w:type="dxa"/>
            <w:vMerge w:val="continue"/>
            <w:tcBorders>
              <w:left w:val="single" w:color="auto" w:sz="4" w:space="0"/>
              <w:right w:val="single" w:color="auto" w:sz="4" w:space="0"/>
            </w:tcBorders>
            <w:noWrap w:val="0"/>
            <w:vAlign w:val="center"/>
          </w:tcPr>
          <w:p w14:paraId="66519087">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8F7A89C">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p>
        </w:tc>
        <w:tc>
          <w:tcPr>
            <w:tcW w:w="1707" w:type="dxa"/>
            <w:tcBorders>
              <w:top w:val="single" w:color="auto" w:sz="4" w:space="0"/>
              <w:left w:val="single" w:color="auto" w:sz="4" w:space="0"/>
              <w:right w:val="single" w:color="auto" w:sz="4" w:space="0"/>
            </w:tcBorders>
            <w:noWrap w:val="0"/>
            <w:vAlign w:val="center"/>
          </w:tcPr>
          <w:p w14:paraId="02998F3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default" w:ascii="宋体" w:hAnsi="宋体" w:eastAsia="宋体" w:cs="Times New Roman"/>
                <w:color w:val="auto"/>
                <w:sz w:val="24"/>
                <w:szCs w:val="24"/>
                <w:highlight w:val="none"/>
                <w:lang w:val="en-US" w:eastAsia="zh-CN"/>
              </w:rPr>
            </w:pPr>
            <w:r>
              <w:rPr>
                <w:rFonts w:hint="eastAsia" w:ascii="宋体" w:cs="宋体"/>
                <w:b/>
                <w:bCs/>
                <w:color w:val="auto"/>
                <w:sz w:val="24"/>
                <w:szCs w:val="24"/>
                <w:highlight w:val="none"/>
                <w:lang w:val="zh-CN"/>
              </w:rPr>
              <w:t>货物需求及技术规格</w:t>
            </w:r>
            <w:r>
              <w:rPr>
                <w:rFonts w:hint="eastAsia" w:ascii="宋体" w:cs="宋体"/>
                <w:b/>
                <w:bCs/>
                <w:color w:val="auto"/>
                <w:sz w:val="24"/>
                <w:szCs w:val="24"/>
                <w:highlight w:val="none"/>
                <w:lang w:val="en-US" w:eastAsia="zh-CN"/>
              </w:rPr>
              <w:t>负偏离</w:t>
            </w:r>
          </w:p>
        </w:tc>
        <w:tc>
          <w:tcPr>
            <w:tcW w:w="839" w:type="dxa"/>
            <w:tcBorders>
              <w:top w:val="single" w:color="auto" w:sz="4" w:space="0"/>
              <w:left w:val="single" w:color="auto" w:sz="4" w:space="0"/>
              <w:right w:val="single" w:color="auto" w:sz="4" w:space="0"/>
            </w:tcBorders>
            <w:noWrap w:val="0"/>
            <w:vAlign w:val="center"/>
          </w:tcPr>
          <w:p w14:paraId="4AFE066C">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cs="Times New Roman"/>
                <w:color w:val="auto"/>
                <w:sz w:val="24"/>
                <w:szCs w:val="24"/>
                <w:highlight w:val="none"/>
                <w:lang w:val="en-US" w:eastAsia="zh-CN"/>
              </w:rPr>
            </w:pPr>
            <w:r>
              <w:rPr>
                <w:rFonts w:hint="eastAsia" w:ascii="宋体" w:hAnsi="宋体" w:cs="Times New Roman"/>
                <w:b/>
                <w:bCs/>
                <w:color w:val="auto"/>
                <w:sz w:val="24"/>
                <w:szCs w:val="24"/>
                <w:highlight w:val="none"/>
                <w:lang w:val="en-US" w:eastAsia="zh-CN"/>
              </w:rPr>
              <w:t>12分</w:t>
            </w:r>
          </w:p>
        </w:tc>
        <w:tc>
          <w:tcPr>
            <w:tcW w:w="5631" w:type="dxa"/>
            <w:tcBorders>
              <w:top w:val="single" w:color="auto" w:sz="4" w:space="0"/>
              <w:left w:val="single" w:color="auto" w:sz="4" w:space="0"/>
              <w:right w:val="single" w:color="auto" w:sz="4" w:space="0"/>
            </w:tcBorders>
            <w:noWrap w:val="0"/>
            <w:vAlign w:val="top"/>
          </w:tcPr>
          <w:p w14:paraId="5980ED81">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eastAsia="宋体" w:cs="Times New Roman"/>
                <w:color w:val="auto"/>
                <w:sz w:val="24"/>
                <w:szCs w:val="24"/>
                <w:highlight w:val="none"/>
                <w:lang w:val="en-US"/>
              </w:rPr>
            </w:pPr>
            <w:r>
              <w:rPr>
                <w:rFonts w:hint="eastAsia" w:ascii="宋体" w:cs="宋体"/>
                <w:b/>
                <w:bCs/>
                <w:color w:val="auto"/>
                <w:sz w:val="24"/>
                <w:szCs w:val="24"/>
                <w:highlight w:val="none"/>
                <w:lang w:val="zh-CN"/>
              </w:rPr>
              <w:t>货物需求及技术规格</w:t>
            </w:r>
            <w:r>
              <w:rPr>
                <w:rFonts w:hint="eastAsia" w:ascii="宋体" w:cs="宋体"/>
                <w:b/>
                <w:bCs/>
                <w:color w:val="auto"/>
                <w:sz w:val="24"/>
                <w:szCs w:val="24"/>
                <w:highlight w:val="none"/>
                <w:lang w:val="en-US" w:eastAsia="zh-CN"/>
              </w:rPr>
              <w:t>完全满足文件要求无负偏离的得</w:t>
            </w:r>
            <w:r>
              <w:rPr>
                <w:rFonts w:hint="eastAsia" w:ascii="宋体" w:cs="宋体"/>
                <w:b/>
                <w:bCs/>
                <w:color w:val="auto"/>
                <w:sz w:val="24"/>
                <w:szCs w:val="24"/>
                <w:highlight w:val="none"/>
                <w:lang w:val="en-US" w:eastAsia="zh-CN"/>
              </w:rPr>
              <w:t>12分</w:t>
            </w:r>
            <w:r>
              <w:rPr>
                <w:rFonts w:hint="eastAsia" w:ascii="宋体" w:cs="宋体"/>
                <w:b/>
                <w:bCs/>
                <w:color w:val="auto"/>
                <w:sz w:val="24"/>
                <w:szCs w:val="24"/>
                <w:highlight w:val="none"/>
                <w:lang w:val="en-US" w:eastAsia="zh-CN"/>
              </w:rPr>
              <w:t>；每有一项负偏离扣</w:t>
            </w:r>
            <w:r>
              <w:rPr>
                <w:rFonts w:hint="eastAsia" w:ascii="宋体" w:cs="宋体"/>
                <w:b/>
                <w:bCs/>
                <w:color w:val="auto"/>
                <w:sz w:val="24"/>
                <w:szCs w:val="24"/>
                <w:highlight w:val="none"/>
                <w:lang w:val="en-US" w:eastAsia="zh-CN"/>
              </w:rPr>
              <w:t>2分</w:t>
            </w:r>
            <w:r>
              <w:rPr>
                <w:rFonts w:hint="eastAsia" w:ascii="宋体" w:cs="宋体"/>
                <w:b/>
                <w:bCs/>
                <w:color w:val="auto"/>
                <w:sz w:val="24"/>
                <w:szCs w:val="24"/>
                <w:highlight w:val="none"/>
                <w:lang w:val="en-US" w:eastAsia="zh-CN"/>
              </w:rPr>
              <w:t>，最多扣</w:t>
            </w:r>
            <w:r>
              <w:rPr>
                <w:rFonts w:hint="eastAsia" w:ascii="宋体" w:cs="宋体"/>
                <w:b/>
                <w:bCs/>
                <w:color w:val="auto"/>
                <w:sz w:val="24"/>
                <w:szCs w:val="24"/>
                <w:highlight w:val="none"/>
                <w:lang w:val="en-US" w:eastAsia="zh-CN"/>
              </w:rPr>
              <w:t>12分</w:t>
            </w:r>
            <w:r>
              <w:rPr>
                <w:rFonts w:hint="eastAsia" w:ascii="宋体" w:cs="宋体"/>
                <w:b/>
                <w:bCs/>
                <w:color w:val="auto"/>
                <w:sz w:val="24"/>
                <w:szCs w:val="24"/>
                <w:highlight w:val="none"/>
                <w:lang w:val="en-US" w:eastAsia="zh-CN"/>
              </w:rPr>
              <w:t>。</w:t>
            </w:r>
          </w:p>
        </w:tc>
      </w:tr>
      <w:tr w14:paraId="39E5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7" w:type="dxa"/>
            <w:vMerge w:val="continue"/>
            <w:tcBorders>
              <w:left w:val="single" w:color="auto" w:sz="4" w:space="0"/>
              <w:right w:val="single" w:color="auto" w:sz="4" w:space="0"/>
            </w:tcBorders>
            <w:noWrap w:val="0"/>
            <w:vAlign w:val="center"/>
          </w:tcPr>
          <w:p w14:paraId="6B4C322A">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68D17D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p>
        </w:tc>
        <w:tc>
          <w:tcPr>
            <w:tcW w:w="1707" w:type="dxa"/>
            <w:tcBorders>
              <w:top w:val="single" w:color="auto" w:sz="4" w:space="0"/>
              <w:left w:val="single" w:color="auto" w:sz="4" w:space="0"/>
              <w:right w:val="single" w:color="auto" w:sz="4" w:space="0"/>
            </w:tcBorders>
            <w:noWrap w:val="0"/>
            <w:vAlign w:val="center"/>
          </w:tcPr>
          <w:p w14:paraId="3E3526F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eastAsia="宋体" w:cs="Times New Roman"/>
                <w:color w:val="auto"/>
                <w:sz w:val="24"/>
                <w:szCs w:val="24"/>
                <w:highlight w:val="none"/>
                <w:lang w:val="zh-CN"/>
              </w:rPr>
            </w:pPr>
            <w:bookmarkStart w:id="25" w:name="_Toc168"/>
            <w:r>
              <w:rPr>
                <w:rFonts w:hint="eastAsia" w:ascii="宋体" w:hAnsi="宋体" w:eastAsia="宋体" w:cs="Times New Roman"/>
                <w:color w:val="auto"/>
                <w:sz w:val="24"/>
                <w:szCs w:val="24"/>
                <w:highlight w:val="none"/>
                <w:lang w:val="zh-CN"/>
              </w:rPr>
              <w:t>主要功能配置及其技术指标正偏离</w:t>
            </w:r>
            <w:bookmarkEnd w:id="25"/>
          </w:p>
        </w:tc>
        <w:tc>
          <w:tcPr>
            <w:tcW w:w="839" w:type="dxa"/>
            <w:tcBorders>
              <w:top w:val="single" w:color="auto" w:sz="4" w:space="0"/>
              <w:left w:val="single" w:color="auto" w:sz="4" w:space="0"/>
              <w:right w:val="single" w:color="auto" w:sz="4" w:space="0"/>
            </w:tcBorders>
            <w:noWrap w:val="0"/>
            <w:vAlign w:val="center"/>
          </w:tcPr>
          <w:p w14:paraId="17AA6F7C">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rPr>
            </w:pPr>
            <w:bookmarkStart w:id="26" w:name="_Toc12970"/>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w:t>
            </w:r>
            <w:bookmarkEnd w:id="26"/>
          </w:p>
        </w:tc>
        <w:tc>
          <w:tcPr>
            <w:tcW w:w="5631" w:type="dxa"/>
            <w:tcBorders>
              <w:top w:val="single" w:color="auto" w:sz="4" w:space="0"/>
              <w:left w:val="single" w:color="auto" w:sz="4" w:space="0"/>
              <w:right w:val="single" w:color="auto" w:sz="4" w:space="0"/>
            </w:tcBorders>
            <w:noWrap w:val="0"/>
            <w:vAlign w:val="top"/>
          </w:tcPr>
          <w:p w14:paraId="04FA60A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7" w:name="_Toc2143"/>
            <w:r>
              <w:rPr>
                <w:rFonts w:hint="eastAsia" w:ascii="宋体" w:hAnsi="宋体" w:eastAsia="宋体" w:cs="Times New Roman"/>
                <w:color w:val="auto"/>
                <w:sz w:val="24"/>
                <w:szCs w:val="24"/>
                <w:highlight w:val="none"/>
              </w:rPr>
              <w:t>投标产品</w:t>
            </w:r>
            <w:r>
              <w:rPr>
                <w:rFonts w:hint="eastAsia" w:ascii="宋体" w:hAnsi="宋体" w:eastAsia="宋体" w:cs="Times New Roman"/>
                <w:color w:val="auto"/>
                <w:sz w:val="24"/>
                <w:szCs w:val="24"/>
                <w:highlight w:val="none"/>
                <w:lang w:val="zh-CN"/>
              </w:rPr>
              <w:t>主要功能配置及其技术指标</w:t>
            </w:r>
            <w:r>
              <w:rPr>
                <w:rFonts w:hint="eastAsia" w:ascii="宋体" w:hAnsi="宋体" w:eastAsia="宋体" w:cs="Times New Roman"/>
                <w:color w:val="auto"/>
                <w:sz w:val="24"/>
                <w:szCs w:val="24"/>
                <w:highlight w:val="none"/>
              </w:rPr>
              <w:t>优于招标文件</w:t>
            </w:r>
            <w:r>
              <w:rPr>
                <w:rFonts w:hint="eastAsia" w:ascii="宋体" w:hAnsi="宋体" w:eastAsia="宋体" w:cs="Times New Roman"/>
                <w:color w:val="auto"/>
                <w:sz w:val="24"/>
                <w:szCs w:val="24"/>
                <w:highlight w:val="none"/>
                <w:lang w:val="zh-CN"/>
              </w:rPr>
              <w:t>主要功能配置及其技术指标</w:t>
            </w:r>
            <w:r>
              <w:rPr>
                <w:rFonts w:hint="eastAsia" w:ascii="宋体" w:hAnsi="宋体" w:cs="Times New Roman"/>
                <w:color w:val="auto"/>
                <w:sz w:val="24"/>
                <w:szCs w:val="24"/>
                <w:highlight w:val="none"/>
                <w:lang w:val="en-US" w:eastAsia="zh-CN"/>
              </w:rPr>
              <w:t>基本</w:t>
            </w:r>
            <w:r>
              <w:rPr>
                <w:rFonts w:hint="eastAsia" w:ascii="宋体" w:hAnsi="宋体" w:eastAsia="宋体" w:cs="Times New Roman"/>
                <w:color w:val="auto"/>
                <w:sz w:val="24"/>
                <w:szCs w:val="24"/>
                <w:highlight w:val="none"/>
              </w:rPr>
              <w:t>要求情况，每正偏离一项加</w:t>
            </w:r>
            <w:r>
              <w:rPr>
                <w:rFonts w:hint="eastAsia" w:ascii="宋体" w:hAnsi="宋体" w:eastAsia="宋体" w:cs="Times New Roman"/>
                <w:color w:val="auto"/>
                <w:sz w:val="24"/>
                <w:szCs w:val="24"/>
                <w:highlight w:val="none"/>
                <w:lang w:val="en-US" w:eastAsia="zh-CN"/>
              </w:rPr>
              <w:t>2</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分，最多加</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val="en-US" w:eastAsia="zh-CN"/>
              </w:rPr>
              <w:t>。</w:t>
            </w:r>
            <w:bookmarkEnd w:id="27"/>
          </w:p>
        </w:tc>
      </w:tr>
      <w:tr w14:paraId="58E3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right w:val="single" w:color="auto" w:sz="4" w:space="0"/>
            </w:tcBorders>
            <w:noWrap w:val="0"/>
            <w:vAlign w:val="center"/>
          </w:tcPr>
          <w:p w14:paraId="639A305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4</w:t>
            </w:r>
          </w:p>
        </w:tc>
        <w:tc>
          <w:tcPr>
            <w:tcW w:w="1110" w:type="dxa"/>
            <w:vMerge w:val="restart"/>
            <w:tcBorders>
              <w:top w:val="single" w:color="auto" w:sz="4" w:space="0"/>
              <w:left w:val="single" w:color="auto" w:sz="4" w:space="0"/>
              <w:right w:val="single" w:color="auto" w:sz="4" w:space="0"/>
            </w:tcBorders>
            <w:noWrap w:val="0"/>
            <w:vAlign w:val="center"/>
          </w:tcPr>
          <w:p w14:paraId="5B4A634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服务承诺及优惠条件</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4052552">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服务承诺</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AD2F7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63C6B67E">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对投标人提供的实质性服务承诺进行综合横向评审，服务承诺</w:t>
            </w:r>
            <w:r>
              <w:rPr>
                <w:rFonts w:hint="eastAsia" w:ascii="宋体" w:hAnsi="宋体" w:cs="宋体"/>
                <w:color w:val="auto"/>
                <w:sz w:val="24"/>
                <w:szCs w:val="24"/>
                <w:highlight w:val="none"/>
                <w:lang w:eastAsia="zh-CN"/>
              </w:rPr>
              <w:t>条款清晰、内容完善具备可行性</w:t>
            </w:r>
            <w:r>
              <w:rPr>
                <w:rFonts w:hint="eastAsia" w:ascii="宋体" w:hAnsi="宋体" w:cs="宋体"/>
                <w:color w:val="auto"/>
                <w:sz w:val="24"/>
                <w:szCs w:val="24"/>
                <w:highlight w:val="none"/>
                <w:lang w:val="en-US" w:eastAsia="zh-CN"/>
              </w:rPr>
              <w:t>得5分，</w:t>
            </w:r>
            <w:r>
              <w:rPr>
                <w:rFonts w:hint="eastAsia" w:ascii="宋体" w:hAnsi="宋体" w:cs="宋体"/>
                <w:color w:val="auto"/>
                <w:sz w:val="24"/>
                <w:szCs w:val="24"/>
                <w:highlight w:val="none"/>
                <w:lang w:eastAsia="zh-CN"/>
              </w:rPr>
              <w:t>内容</w:t>
            </w:r>
            <w:r>
              <w:rPr>
                <w:rFonts w:hint="eastAsia" w:ascii="宋体" w:hAnsi="宋体" w:cs="宋体"/>
                <w:color w:val="auto"/>
                <w:sz w:val="24"/>
                <w:szCs w:val="24"/>
                <w:highlight w:val="none"/>
                <w:lang w:val="en-US" w:eastAsia="zh-CN"/>
              </w:rPr>
              <w:t>不够</w:t>
            </w:r>
            <w:r>
              <w:rPr>
                <w:rFonts w:hint="eastAsia" w:ascii="宋体" w:hAnsi="宋体" w:cs="宋体"/>
                <w:color w:val="auto"/>
                <w:sz w:val="24"/>
                <w:szCs w:val="24"/>
                <w:highlight w:val="none"/>
                <w:lang w:eastAsia="zh-CN"/>
              </w:rPr>
              <w:t>完善</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lang w:eastAsia="zh-CN"/>
              </w:rPr>
              <w:t>可行性</w:t>
            </w:r>
            <w:r>
              <w:rPr>
                <w:rFonts w:hint="eastAsia" w:ascii="宋体" w:hAnsi="宋体" w:cs="宋体"/>
                <w:color w:val="auto"/>
                <w:sz w:val="24"/>
                <w:szCs w:val="24"/>
                <w:highlight w:val="none"/>
                <w:lang w:val="en-US" w:eastAsia="zh-CN"/>
              </w:rPr>
              <w:t>不高得1分。无不得分。</w:t>
            </w:r>
          </w:p>
        </w:tc>
      </w:tr>
      <w:tr w14:paraId="5A11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67" w:type="dxa"/>
            <w:vMerge w:val="continue"/>
            <w:tcBorders>
              <w:left w:val="single" w:color="auto" w:sz="4" w:space="0"/>
              <w:bottom w:val="single" w:color="auto" w:sz="4" w:space="0"/>
              <w:right w:val="single" w:color="auto" w:sz="4" w:space="0"/>
            </w:tcBorders>
            <w:noWrap w:val="0"/>
            <w:vAlign w:val="center"/>
          </w:tcPr>
          <w:p w14:paraId="22755AD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bottom w:val="single" w:color="auto" w:sz="4" w:space="0"/>
              <w:right w:val="single" w:color="auto" w:sz="4" w:space="0"/>
            </w:tcBorders>
            <w:noWrap w:val="0"/>
            <w:vAlign w:val="center"/>
          </w:tcPr>
          <w:p w14:paraId="618E052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bCs/>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AF5A33C">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cs="宋体"/>
                <w:color w:val="auto"/>
                <w:sz w:val="24"/>
                <w:szCs w:val="24"/>
                <w:highlight w:val="none"/>
              </w:rPr>
            </w:pPr>
            <w:r>
              <w:rPr>
                <w:rFonts w:hint="eastAsia" w:ascii="宋体" w:hAnsi="宋体" w:eastAsia="宋体" w:cs="Times New Roman"/>
                <w:bCs/>
                <w:color w:val="auto"/>
                <w:sz w:val="24"/>
                <w:szCs w:val="24"/>
                <w:highlight w:val="none"/>
                <w:lang w:val="en-US" w:eastAsia="zh-CN"/>
              </w:rPr>
              <w:t>优惠条件</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2F2D9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20833E03">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both"/>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针对本项目提供实质性优惠条件每有一项得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r>
    </w:tbl>
    <w:p w14:paraId="7D2BF5EE">
      <w:pPr>
        <w:spacing w:line="24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)价格分加分：</w:t>
      </w:r>
    </w:p>
    <w:p w14:paraId="12079657">
      <w:pPr>
        <w:spacing w:line="24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highlight w:val="none"/>
        </w:rPr>
        <w:t>根据财库</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sz w:val="24"/>
          <w:highlight w:val="none"/>
          <w:lang w:val="en-US" w:eastAsia="zh-CN"/>
        </w:rPr>
        <w:t>19</w:t>
      </w:r>
      <w:r>
        <w:rPr>
          <w:rFonts w:hint="eastAsia" w:ascii="宋体" w:hAnsi="宋体" w:eastAsia="宋体" w:cs="宋体"/>
          <w:bCs/>
          <w:color w:val="auto"/>
          <w:sz w:val="24"/>
          <w:highlight w:val="none"/>
        </w:rPr>
        <w:t>号文件规定，</w:t>
      </w:r>
      <w:r>
        <w:rPr>
          <w:rFonts w:hint="eastAsia" w:ascii="宋体" w:hAnsi="宋体" w:eastAsia="宋体" w:cs="宋体"/>
          <w:color w:val="auto"/>
          <w:sz w:val="24"/>
          <w:highlight w:val="none"/>
        </w:rPr>
        <w:t>对小型和微型企业（</w:t>
      </w:r>
      <w:r>
        <w:rPr>
          <w:rFonts w:hint="eastAsia" w:ascii="宋体" w:hAnsi="宋体" w:eastAsia="宋体" w:cs="宋体"/>
          <w:color w:val="auto"/>
          <w:sz w:val="24"/>
          <w:szCs w:val="24"/>
          <w:highlight w:val="none"/>
        </w:rPr>
        <w:t>监狱企业和残疾人福利性单位视同小微企业</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%的价格扣除，</w:t>
      </w:r>
      <w:r>
        <w:rPr>
          <w:rFonts w:hint="eastAsia" w:ascii="宋体" w:hAnsi="宋体" w:eastAsia="宋体" w:cs="宋体"/>
          <w:bCs/>
          <w:color w:val="auto"/>
          <w:sz w:val="24"/>
          <w:highlight w:val="none"/>
          <w:lang w:val="zh-CN"/>
        </w:rPr>
        <w:t>并按照扣除后的价格参加排序。</w:t>
      </w:r>
    </w:p>
    <w:p w14:paraId="31298610">
      <w:pPr>
        <w:spacing w:line="240" w:lineRule="auto"/>
        <w:ind w:firstLine="470" w:firstLineChars="196"/>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）价格扣除的依据：第（1）至（4）条提供投标产品相关有效期内的认证证书复印件加盖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公章；第（5）条提供中小企业声明函（</w:t>
      </w:r>
      <w:r>
        <w:rPr>
          <w:rFonts w:hint="eastAsia" w:ascii="宋体" w:hAnsi="宋体" w:eastAsia="宋体" w:cs="宋体"/>
          <w:color w:val="auto"/>
          <w:sz w:val="24"/>
          <w:highlight w:val="none"/>
        </w:rPr>
        <w:t>监狱企业的证明文件或残疾人福利性单位声明函</w:t>
      </w:r>
      <w:r>
        <w:rPr>
          <w:rFonts w:hint="eastAsia" w:ascii="宋体" w:hAnsi="宋体" w:eastAsia="宋体" w:cs="宋体"/>
          <w:bCs/>
          <w:color w:val="auto"/>
          <w:sz w:val="24"/>
          <w:szCs w:val="24"/>
          <w:highlight w:val="none"/>
        </w:rPr>
        <w:t>）。</w:t>
      </w:r>
    </w:p>
    <w:p w14:paraId="7E82BC8A">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三、售后服务要求</w:t>
      </w:r>
    </w:p>
    <w:p w14:paraId="02C4371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14:paraId="4F8AB820">
      <w:pPr>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四、履约保证金</w:t>
      </w:r>
    </w:p>
    <w:p w14:paraId="7052442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在签署合同之前，供应商须向</w:t>
      </w:r>
      <w:r>
        <w:rPr>
          <w:rFonts w:hint="eastAsia" w:ascii="宋体" w:hAnsi="宋体" w:eastAsia="宋体" w:cs="宋体"/>
          <w:color w:val="auto"/>
          <w:sz w:val="24"/>
          <w:highlight w:val="none"/>
          <w:lang w:val="en-US" w:eastAsia="zh-CN"/>
        </w:rPr>
        <w:t>四平市中心人民医院</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中标金额</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zh-CN"/>
        </w:rPr>
        <w:t>的履约保证金，</w:t>
      </w:r>
      <w:r>
        <w:rPr>
          <w:rFonts w:hint="eastAsia" w:ascii="宋体" w:hAnsi="宋体" w:eastAsia="宋体" w:cs="宋体"/>
          <w:color w:val="auto"/>
          <w:sz w:val="24"/>
          <w:szCs w:val="24"/>
          <w:highlight w:val="none"/>
          <w:lang w:val="en-US" w:eastAsia="zh-CN"/>
        </w:rPr>
        <w:t>具体金额按合同约定</w:t>
      </w:r>
      <w:r>
        <w:rPr>
          <w:rFonts w:hint="eastAsia" w:ascii="宋体" w:hAnsi="宋体" w:eastAsia="宋体" w:cs="宋体"/>
          <w:color w:val="auto"/>
          <w:sz w:val="24"/>
          <w:szCs w:val="24"/>
          <w:highlight w:val="none"/>
          <w:lang w:val="zh-CN"/>
        </w:rPr>
        <w:t>（人民币，取整数位到百元）。履约保证金应当以支票、汇票、本票或者保函等非现金形式提交。</w:t>
      </w:r>
    </w:p>
    <w:p w14:paraId="0083144A">
      <w:pPr>
        <w:ind w:firstLine="48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履约保证金的有效期到供应商提供服务之日止，不计利息。</w:t>
      </w:r>
    </w:p>
    <w:p w14:paraId="4711BFBB">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五、付款条件、方式</w:t>
      </w:r>
    </w:p>
    <w:p w14:paraId="20C6439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5.1 </w:t>
      </w:r>
      <w:r>
        <w:rPr>
          <w:rFonts w:hint="eastAsia" w:ascii="宋体" w:hAnsi="宋体" w:eastAsia="宋体" w:cs="宋体"/>
          <w:color w:val="auto"/>
          <w:sz w:val="24"/>
          <w:szCs w:val="32"/>
          <w:highlight w:val="none"/>
          <w:lang w:val="en-US" w:eastAsia="zh-CN"/>
        </w:rPr>
        <w:t>双方协商按合同执行</w:t>
      </w:r>
      <w:r>
        <w:rPr>
          <w:rFonts w:hint="eastAsia" w:ascii="宋体" w:hAnsi="宋体" w:eastAsia="宋体" w:cs="宋体"/>
          <w:color w:val="auto"/>
          <w:sz w:val="24"/>
          <w:szCs w:val="24"/>
          <w:highlight w:val="none"/>
          <w:lang w:val="zh-CN"/>
        </w:rPr>
        <w:t>。</w:t>
      </w:r>
    </w:p>
    <w:p w14:paraId="1F9355E5">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、其他要求</w:t>
      </w:r>
    </w:p>
    <w:p w14:paraId="7DE5C8DD">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 xml:space="preserve"> 本项目开标前不接受报价变更（折扣或涨价）声明。</w:t>
      </w:r>
    </w:p>
    <w:p w14:paraId="539A1A98">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s="黑体"/>
          <w:bCs/>
          <w:color w:val="auto"/>
          <w:sz w:val="24"/>
          <w:highlight w:val="none"/>
        </w:rPr>
      </w:pPr>
      <w:r>
        <w:rPr>
          <w:rFonts w:hint="eastAsia" w:ascii="宋体" w:hAnsi="宋体" w:cs="黑体"/>
          <w:bCs/>
          <w:color w:val="auto"/>
          <w:sz w:val="24"/>
          <w:highlight w:val="none"/>
          <w:lang w:val="en-US" w:eastAsia="zh-CN"/>
        </w:rPr>
        <w:t>6.2 本项目招标代理服务费按中标价的1.5%收取，由中标人支付给招标代理机构。</w:t>
      </w:r>
    </w:p>
    <w:p w14:paraId="00E5EA69">
      <w:pPr>
        <w:jc w:val="center"/>
        <w:outlineLvl w:val="0"/>
        <w:rPr>
          <w:rFonts w:ascii="黑体" w:eastAsia="黑体"/>
          <w:b/>
          <w:bCs/>
          <w:color w:val="auto"/>
          <w:sz w:val="32"/>
          <w:szCs w:val="32"/>
          <w:highlight w:val="none"/>
          <w:lang w:val="zh-CN"/>
        </w:rPr>
      </w:pPr>
      <w:bookmarkStart w:id="28" w:name="_Toc10989"/>
      <w:bookmarkStart w:id="29" w:name="_Toc9401"/>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bookmarkEnd w:id="28"/>
      <w:bookmarkEnd w:id="29"/>
    </w:p>
    <w:p w14:paraId="14E32838">
      <w:pPr>
        <w:rPr>
          <w:rFonts w:ascii="宋体"/>
          <w:b/>
          <w:bCs/>
          <w:color w:val="auto"/>
          <w:highlight w:val="none"/>
          <w:lang w:val="zh-CN"/>
        </w:rPr>
      </w:pPr>
    </w:p>
    <w:p w14:paraId="07DF04B8">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14:paraId="4447D152">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31F720C3">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14:paraId="4C0BD647">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14:paraId="51DC0A7E">
      <w:pPr>
        <w:rPr>
          <w:color w:val="auto"/>
          <w:highlight w:val="none"/>
        </w:rPr>
      </w:pPr>
    </w:p>
    <w:p w14:paraId="1D0D7BDF">
      <w:pPr>
        <w:numPr>
          <w:ilvl w:val="0"/>
          <w:numId w:val="3"/>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14:paraId="2C07B7EF">
      <w:pPr>
        <w:rPr>
          <w:rFonts w:ascii="宋体"/>
          <w:b/>
          <w:bCs/>
          <w:color w:val="auto"/>
          <w:sz w:val="24"/>
          <w:szCs w:val="24"/>
          <w:highlight w:val="none"/>
          <w:lang w:val="zh-CN"/>
        </w:rPr>
      </w:pPr>
    </w:p>
    <w:p w14:paraId="7704C45B">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2"/>
        <w:tblW w:w="0" w:type="auto"/>
        <w:tblInd w:w="0" w:type="dxa"/>
        <w:tblLayout w:type="fixed"/>
        <w:tblCellMar>
          <w:top w:w="0" w:type="dxa"/>
          <w:left w:w="108" w:type="dxa"/>
          <w:bottom w:w="0" w:type="dxa"/>
          <w:right w:w="108" w:type="dxa"/>
        </w:tblCellMar>
      </w:tblPr>
      <w:tblGrid>
        <w:gridCol w:w="630"/>
        <w:gridCol w:w="6849"/>
        <w:gridCol w:w="1276"/>
        <w:gridCol w:w="851"/>
      </w:tblGrid>
      <w:tr w14:paraId="77F45BA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17776F1">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6D431730">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879259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56DCE78C">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34EDB8A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765E5F3">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6DFAF3B">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11D25C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5E5031">
            <w:pPr>
              <w:rPr>
                <w:rFonts w:ascii="宋体"/>
                <w:b/>
                <w:bCs/>
                <w:color w:val="auto"/>
                <w:sz w:val="24"/>
                <w:szCs w:val="24"/>
                <w:highlight w:val="none"/>
                <w:lang w:val="zh-CN"/>
              </w:rPr>
            </w:pPr>
          </w:p>
        </w:tc>
      </w:tr>
      <w:tr w14:paraId="0269E64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8311DD6">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4CB7A49">
            <w:pPr>
              <w:numPr>
                <w:ilvl w:val="0"/>
                <w:numId w:val="0"/>
              </w:numPr>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p w14:paraId="30520B7D">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00F25D95">
            <w:pPr>
              <w:rPr>
                <w:rFonts w:ascii="宋体"/>
                <w:b/>
                <w:bCs/>
                <w:color w:val="auto"/>
                <w:sz w:val="24"/>
                <w:szCs w:val="24"/>
                <w:highlight w:val="none"/>
                <w:lang w:val="zh-CN"/>
              </w:rPr>
            </w:pP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755F1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93B894">
            <w:pPr>
              <w:rPr>
                <w:rFonts w:ascii="宋体"/>
                <w:b/>
                <w:bCs/>
                <w:color w:val="auto"/>
                <w:sz w:val="24"/>
                <w:szCs w:val="24"/>
                <w:highlight w:val="none"/>
                <w:lang w:val="zh-CN"/>
              </w:rPr>
            </w:pPr>
          </w:p>
        </w:tc>
      </w:tr>
      <w:tr w14:paraId="6BB19B4A">
        <w:tblPrEx>
          <w:tblCellMar>
            <w:top w:w="0" w:type="dxa"/>
            <w:left w:w="108" w:type="dxa"/>
            <w:bottom w:w="0" w:type="dxa"/>
            <w:right w:w="108" w:type="dxa"/>
          </w:tblCellMar>
        </w:tblPrEx>
        <w:trPr>
          <w:trHeight w:val="399"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66788347">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56FA3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rPr>
              <w:t>提供制造商资格声明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0EFC036">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D532EF">
            <w:pPr>
              <w:rPr>
                <w:rFonts w:ascii="宋体"/>
                <w:b/>
                <w:bCs/>
                <w:color w:val="auto"/>
                <w:sz w:val="24"/>
                <w:szCs w:val="24"/>
                <w:highlight w:val="none"/>
                <w:lang w:val="zh-CN"/>
              </w:rPr>
            </w:pPr>
          </w:p>
        </w:tc>
      </w:tr>
      <w:tr w14:paraId="360EC158">
        <w:tblPrEx>
          <w:tblCellMar>
            <w:top w:w="0" w:type="dxa"/>
            <w:left w:w="108" w:type="dxa"/>
            <w:bottom w:w="0" w:type="dxa"/>
            <w:right w:w="108" w:type="dxa"/>
          </w:tblCellMar>
        </w:tblPrEx>
        <w:trPr>
          <w:trHeight w:val="377"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47D1D32">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4</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4DB5C0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38A11F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B654C6">
            <w:pPr>
              <w:rPr>
                <w:rFonts w:ascii="宋体"/>
                <w:b/>
                <w:bCs/>
                <w:color w:val="auto"/>
                <w:sz w:val="24"/>
                <w:szCs w:val="24"/>
                <w:highlight w:val="none"/>
                <w:lang w:val="zh-CN"/>
              </w:rPr>
            </w:pPr>
          </w:p>
        </w:tc>
      </w:tr>
      <w:tr w14:paraId="024C304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356983A">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41CD4B0">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86D985">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63F67A">
            <w:pPr>
              <w:rPr>
                <w:rFonts w:ascii="宋体"/>
                <w:b/>
                <w:bCs/>
                <w:color w:val="auto"/>
                <w:sz w:val="24"/>
                <w:szCs w:val="24"/>
                <w:highlight w:val="none"/>
                <w:lang w:val="zh-CN"/>
              </w:rPr>
            </w:pPr>
          </w:p>
        </w:tc>
      </w:tr>
      <w:tr w14:paraId="20D93A1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FCB3AC0">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C2B8A2">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D2324EE">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BE3A03">
            <w:pPr>
              <w:rPr>
                <w:rFonts w:ascii="宋体"/>
                <w:b/>
                <w:bCs/>
                <w:color w:val="auto"/>
                <w:sz w:val="24"/>
                <w:szCs w:val="24"/>
                <w:highlight w:val="none"/>
                <w:lang w:val="zh-CN"/>
              </w:rPr>
            </w:pPr>
          </w:p>
        </w:tc>
      </w:tr>
      <w:tr w14:paraId="5723734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989411">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B4E7B2E">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D5156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7C00AA">
            <w:pPr>
              <w:rPr>
                <w:rFonts w:ascii="宋体"/>
                <w:b/>
                <w:bCs/>
                <w:color w:val="auto"/>
                <w:sz w:val="24"/>
                <w:szCs w:val="24"/>
                <w:highlight w:val="none"/>
                <w:lang w:val="zh-CN"/>
              </w:rPr>
            </w:pPr>
          </w:p>
        </w:tc>
      </w:tr>
      <w:tr w14:paraId="6F69D29E">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5B88729">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1BAC626">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3F34943">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46682F">
            <w:pPr>
              <w:rPr>
                <w:rFonts w:ascii="宋体"/>
                <w:b/>
                <w:bCs/>
                <w:color w:val="auto"/>
                <w:sz w:val="24"/>
                <w:szCs w:val="24"/>
                <w:highlight w:val="none"/>
                <w:lang w:val="zh-CN"/>
              </w:rPr>
            </w:pPr>
          </w:p>
        </w:tc>
      </w:tr>
      <w:tr w14:paraId="30FC3ED7">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6115556">
            <w:pPr>
              <w:rPr>
                <w:rFonts w:hint="eastAsia" w:ascii="Times New Roman" w:hAnsi="Times New Roman" w:eastAsia="宋体"/>
                <w:b/>
                <w:bCs/>
                <w:color w:val="auto"/>
                <w:sz w:val="24"/>
                <w:szCs w:val="24"/>
                <w:highlight w:val="none"/>
                <w:lang w:eastAsia="zh-CN"/>
              </w:rPr>
            </w:pPr>
            <w:r>
              <w:rPr>
                <w:rFonts w:hint="eastAsia" w:ascii="Times New Roman" w:hAnsi="Times New Roman"/>
                <w:b/>
                <w:bCs/>
                <w:color w:val="auto"/>
                <w:sz w:val="24"/>
                <w:szCs w:val="24"/>
                <w:highlight w:val="none"/>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96D6665">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14:paraId="07C25498">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1A8BFF">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EC37892">
            <w:pPr>
              <w:rPr>
                <w:rFonts w:ascii="宋体"/>
                <w:b/>
                <w:bCs/>
                <w:color w:val="auto"/>
                <w:sz w:val="24"/>
                <w:szCs w:val="24"/>
                <w:highlight w:val="none"/>
                <w:lang w:val="zh-CN"/>
              </w:rPr>
            </w:pPr>
          </w:p>
        </w:tc>
      </w:tr>
      <w:tr w14:paraId="6156F491">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12EDE66">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10</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40FBE2B">
            <w:pPr>
              <w:rPr>
                <w:rFonts w:hint="eastAsia" w:ascii="宋体" w:eastAsia="宋体" w:cs="宋体"/>
                <w:b/>
                <w:bCs/>
                <w:color w:val="auto"/>
                <w:sz w:val="24"/>
                <w:szCs w:val="24"/>
                <w:highlight w:val="none"/>
                <w:lang w:val="zh-CN" w:eastAsia="zh-CN"/>
              </w:rPr>
            </w:pPr>
            <w:r>
              <w:rPr>
                <w:rFonts w:hint="eastAsia" w:ascii="宋体" w:hAnsi="宋体"/>
                <w:b/>
                <w:color w:val="auto"/>
                <w:sz w:val="24"/>
                <w:highlight w:val="none"/>
              </w:rPr>
              <w:t>投标人代表和项目管理主要成员（不含退休人员）个人参保证明（</w:t>
            </w:r>
            <w:r>
              <w:rPr>
                <w:rFonts w:hint="eastAsia" w:ascii="宋体" w:hAnsi="宋体"/>
                <w:color w:val="auto"/>
                <w:sz w:val="24"/>
                <w:highlight w:val="none"/>
              </w:rPr>
              <w:t>原件或复印件</w:t>
            </w:r>
            <w:r>
              <w:rPr>
                <w:rFonts w:hint="eastAsia" w:ascii="宋体" w:hAnsi="宋体"/>
                <w:b/>
                <w:color w:val="auto"/>
                <w:sz w:val="24"/>
                <w:highlight w:val="none"/>
              </w:rPr>
              <w:t>，证明上的二维码要保证移动终端可以扫描识别验证真伪），如该投标人所在的地区确实没有带二维码的证明，须提供网上查询方式</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关境外投标人不适用</w:t>
            </w:r>
            <w:r>
              <w:rPr>
                <w:rFonts w:hint="eastAsia" w:ascii="宋体" w:hAnsi="宋体"/>
                <w:b/>
                <w:color w:val="auto"/>
                <w:sz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F84A09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F05055">
            <w:pPr>
              <w:rPr>
                <w:rFonts w:ascii="宋体"/>
                <w:b/>
                <w:bCs/>
                <w:color w:val="auto"/>
                <w:sz w:val="24"/>
                <w:szCs w:val="24"/>
                <w:highlight w:val="none"/>
                <w:lang w:val="zh-CN"/>
              </w:rPr>
            </w:pPr>
          </w:p>
        </w:tc>
      </w:tr>
    </w:tbl>
    <w:p w14:paraId="055701E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23670F4C">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14:paraId="06DCCD92">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14:paraId="43AEAB34">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14:paraId="6AB38564">
      <w:pPr>
        <w:ind w:firstLine="482"/>
        <w:rPr>
          <w:rFonts w:hint="eastAsia" w:ascii="黑体" w:eastAsia="黑体" w:cs="黑体"/>
          <w:b/>
          <w:bCs/>
          <w:color w:val="auto"/>
          <w:sz w:val="24"/>
          <w:szCs w:val="24"/>
          <w:highlight w:val="none"/>
          <w:lang w:val="zh-CN"/>
        </w:rPr>
      </w:pPr>
    </w:p>
    <w:p w14:paraId="681CB49A">
      <w:pPr>
        <w:rPr>
          <w:rFonts w:ascii="宋体"/>
          <w:b/>
          <w:bCs/>
          <w:color w:val="auto"/>
          <w:sz w:val="24"/>
          <w:szCs w:val="24"/>
          <w:highlight w:val="none"/>
          <w:lang w:val="zh-CN"/>
        </w:rPr>
      </w:pPr>
    </w:p>
    <w:p w14:paraId="561EE83B">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14:paraId="65DCFE9B">
      <w:pPr>
        <w:ind w:firstLine="435"/>
        <w:rPr>
          <w:rFonts w:eastAsia="黑体"/>
          <w:color w:val="auto"/>
          <w:sz w:val="24"/>
          <w:szCs w:val="24"/>
          <w:highlight w:val="none"/>
        </w:rPr>
      </w:pPr>
    </w:p>
    <w:p w14:paraId="2F3E599A">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14:paraId="32FC5582">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14:paraId="0754D225">
      <w:pPr>
        <w:rPr>
          <w:color w:val="auto"/>
          <w:sz w:val="24"/>
          <w:szCs w:val="24"/>
          <w:highlight w:val="none"/>
        </w:rPr>
      </w:pPr>
    </w:p>
    <w:p w14:paraId="633FBC6B">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14:paraId="1DF3E2D7">
      <w:pPr>
        <w:ind w:firstLine="480"/>
        <w:rPr>
          <w:rFonts w:ascii="宋体"/>
          <w:color w:val="auto"/>
          <w:sz w:val="24"/>
          <w:szCs w:val="24"/>
          <w:highlight w:val="none"/>
          <w:lang w:val="zh-CN"/>
        </w:rPr>
      </w:pPr>
    </w:p>
    <w:p w14:paraId="5CC7FD83">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66E4EF60">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14:paraId="5BEA399C">
      <w:pPr>
        <w:ind w:firstLine="480"/>
        <w:rPr>
          <w:rFonts w:ascii="宋体"/>
          <w:color w:val="auto"/>
          <w:sz w:val="24"/>
          <w:szCs w:val="24"/>
          <w:highlight w:val="none"/>
          <w:lang w:val="zh-CN"/>
        </w:rPr>
      </w:pPr>
    </w:p>
    <w:p w14:paraId="4FDBD352">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14:paraId="11206758">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14:paraId="3659C2AA">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14:paraId="517D138B">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14:paraId="4E6BF74D">
      <w:pPr>
        <w:ind w:firstLine="495"/>
        <w:rPr>
          <w:rFonts w:ascii="黑体" w:eastAsia="黑体"/>
          <w:b/>
          <w:bCs/>
          <w:color w:val="auto"/>
          <w:sz w:val="24"/>
          <w:szCs w:val="24"/>
          <w:highlight w:val="none"/>
          <w:lang w:val="zh-CN"/>
        </w:rPr>
      </w:pPr>
    </w:p>
    <w:p w14:paraId="57036F69">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14:paraId="7669AF94">
      <w:pPr>
        <w:rPr>
          <w:rFonts w:ascii="宋体"/>
          <w:b/>
          <w:bCs/>
          <w:color w:val="auto"/>
          <w:sz w:val="24"/>
          <w:szCs w:val="24"/>
          <w:highlight w:val="none"/>
          <w:lang w:val="zh-CN"/>
        </w:rPr>
      </w:pPr>
    </w:p>
    <w:p w14:paraId="7A2FE6E2">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14:paraId="3D0CCB6C">
      <w:pPr>
        <w:rPr>
          <w:rFonts w:eastAsia="黑体"/>
          <w:b/>
          <w:bCs/>
          <w:color w:val="auto"/>
          <w:sz w:val="24"/>
          <w:szCs w:val="24"/>
          <w:highlight w:val="none"/>
        </w:rPr>
      </w:pPr>
    </w:p>
    <w:p w14:paraId="362E6C63">
      <w:pPr>
        <w:rPr>
          <w:color w:val="auto"/>
          <w:sz w:val="24"/>
          <w:szCs w:val="24"/>
          <w:highlight w:val="none"/>
        </w:rPr>
      </w:pPr>
      <w:r>
        <w:rPr>
          <w:rFonts w:hint="eastAsia" w:ascii="宋体" w:cs="宋体"/>
          <w:color w:val="auto"/>
          <w:sz w:val="24"/>
          <w:szCs w:val="24"/>
          <w:highlight w:val="none"/>
          <w:lang w:val="zh-CN"/>
        </w:rPr>
        <w:t>致吉林省智广工程项目管理有限公司 ：</w:t>
      </w:r>
    </w:p>
    <w:p w14:paraId="38CEECD7">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和贵公司发布的</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14:paraId="50EEDC53">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4A38E84F">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7F59D18F">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0985BEA4">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r>
        <w:rPr>
          <w:rFonts w:hint="eastAsia" w:ascii="宋体" w:hAnsi="宋体" w:cs="宋体"/>
          <w:color w:val="auto"/>
          <w:sz w:val="24"/>
          <w:szCs w:val="24"/>
          <w:highlight w:val="none"/>
          <w:lang w:val="zh-CN" w:eastAsia="zh-CN"/>
        </w:rPr>
        <w:t>关境外投标人不适用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w:t>
      </w:r>
    </w:p>
    <w:p w14:paraId="7667452F">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14:paraId="190D7720">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14:paraId="09FF39D9">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我公司保证上述声明的事项都是真实的，如有虚假，我公司承担相应的法律责任，并承担因此给贵公司以及本项目采购人所造成的损失。</w:t>
      </w:r>
    </w:p>
    <w:p w14:paraId="56D66C29">
      <w:pPr>
        <w:ind w:firstLine="480"/>
        <w:rPr>
          <w:color w:val="auto"/>
          <w:sz w:val="24"/>
          <w:szCs w:val="24"/>
          <w:highlight w:val="none"/>
        </w:rPr>
      </w:pPr>
      <w:r>
        <w:rPr>
          <w:rFonts w:hint="eastAsia" w:ascii="宋体" w:cs="宋体"/>
          <w:color w:val="auto"/>
          <w:sz w:val="24"/>
          <w:szCs w:val="24"/>
          <w:highlight w:val="none"/>
          <w:lang w:val="zh-CN"/>
        </w:rPr>
        <w:t>我公司已经按照贵公司招标文件的要求提交了所要求提交的能够证明上述声明事项真实性的全部文件材料，并保证随时按照贵公司的要求提供能够证明上述声明事项真实性的任何有效文件。</w:t>
      </w:r>
    </w:p>
    <w:p w14:paraId="14C00CD0">
      <w:pPr>
        <w:ind w:firstLine="480"/>
        <w:rPr>
          <w:color w:val="auto"/>
          <w:sz w:val="24"/>
          <w:szCs w:val="24"/>
          <w:highlight w:val="none"/>
        </w:rPr>
      </w:pPr>
    </w:p>
    <w:p w14:paraId="72545A32">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14:paraId="36F20E7A">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时间：</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32C6587F">
      <w:pPr>
        <w:snapToGrid w:val="0"/>
        <w:spacing w:line="300" w:lineRule="auto"/>
        <w:ind w:firstLine="480"/>
        <w:rPr>
          <w:rFonts w:hint="eastAsia" w:ascii="宋体" w:hAnsi="宋体"/>
          <w:b/>
          <w:color w:val="auto"/>
          <w:sz w:val="24"/>
          <w:szCs w:val="24"/>
          <w:highlight w:val="none"/>
        </w:rPr>
      </w:pPr>
    </w:p>
    <w:p w14:paraId="0C8964E1">
      <w:pPr>
        <w:snapToGrid w:val="0"/>
        <w:spacing w:line="300" w:lineRule="auto"/>
        <w:ind w:firstLine="480"/>
        <w:rPr>
          <w:rFonts w:hint="eastAsia" w:ascii="宋体" w:hAnsi="宋体"/>
          <w:b/>
          <w:color w:val="auto"/>
          <w:sz w:val="24"/>
          <w:highlight w:val="none"/>
        </w:rPr>
      </w:pPr>
      <w:r>
        <w:rPr>
          <w:rFonts w:hint="eastAsia" w:ascii="宋体" w:hAnsi="宋体"/>
          <w:b/>
          <w:color w:val="auto"/>
          <w:sz w:val="24"/>
          <w:szCs w:val="24"/>
          <w:highlight w:val="none"/>
        </w:rPr>
        <w:t>注:为证明企业有依法缴纳社会保障资金的良好记录，须在投标文件里提供体现开标前1个月内缴费记录结束时间合理、缴费状态正常缴费、用人单位参保缴费证明，证明上的二维码要保证移动终端可以扫描识别验证真伪，如该投标人所在的地区确实没有带二维码的证明，须提供网上查询方式，否则投标无效。</w:t>
      </w:r>
    </w:p>
    <w:p w14:paraId="19255FDC">
      <w:pPr>
        <w:rPr>
          <w:rFonts w:ascii="宋体"/>
          <w:b/>
          <w:bCs/>
          <w:color w:val="auto"/>
          <w:sz w:val="24"/>
          <w:szCs w:val="24"/>
          <w:highlight w:val="none"/>
        </w:rPr>
      </w:pPr>
    </w:p>
    <w:p w14:paraId="7054D263">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14:paraId="78D565F5">
      <w:pPr>
        <w:rPr>
          <w:rFonts w:ascii="宋体"/>
          <w:b/>
          <w:bCs/>
          <w:color w:val="auto"/>
          <w:sz w:val="24"/>
          <w:szCs w:val="24"/>
          <w:highlight w:val="none"/>
          <w:lang w:val="zh-CN"/>
        </w:rPr>
      </w:pPr>
    </w:p>
    <w:p w14:paraId="5E5F89F6">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2"/>
        <w:tblW w:w="0" w:type="auto"/>
        <w:tblInd w:w="0" w:type="dxa"/>
        <w:tblLayout w:type="fixed"/>
        <w:tblCellMar>
          <w:top w:w="0" w:type="dxa"/>
          <w:left w:w="108" w:type="dxa"/>
          <w:bottom w:w="0" w:type="dxa"/>
          <w:right w:w="108" w:type="dxa"/>
        </w:tblCellMar>
      </w:tblPr>
      <w:tblGrid>
        <w:gridCol w:w="490"/>
        <w:gridCol w:w="6706"/>
        <w:gridCol w:w="1417"/>
        <w:gridCol w:w="993"/>
      </w:tblGrid>
      <w:tr w14:paraId="16ABA17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70F4354">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4FAB22DF">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869B670">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68E68DD6">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1B252F4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1ACBFF3">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C2BBDF3">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7D9A538">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D38279C">
            <w:pPr>
              <w:rPr>
                <w:rFonts w:hint="eastAsia" w:ascii="宋体" w:cs="宋体"/>
                <w:b/>
                <w:bCs/>
                <w:color w:val="auto"/>
                <w:sz w:val="24"/>
                <w:szCs w:val="24"/>
                <w:highlight w:val="none"/>
                <w:lang w:val="zh-CN"/>
              </w:rPr>
            </w:pPr>
          </w:p>
        </w:tc>
      </w:tr>
      <w:tr w14:paraId="49F2161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537E616">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A14814D">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71706DD">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E04A6EF">
            <w:pPr>
              <w:rPr>
                <w:rFonts w:hint="eastAsia" w:ascii="宋体" w:cs="宋体"/>
                <w:b/>
                <w:bCs/>
                <w:color w:val="auto"/>
                <w:sz w:val="24"/>
                <w:szCs w:val="24"/>
                <w:highlight w:val="none"/>
                <w:lang w:val="zh-CN"/>
              </w:rPr>
            </w:pPr>
          </w:p>
        </w:tc>
      </w:tr>
      <w:tr w14:paraId="1AC67227">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2E46900">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D850666">
            <w:pPr>
              <w:rPr>
                <w:b/>
                <w:bCs/>
                <w:color w:val="auto"/>
                <w:sz w:val="24"/>
                <w:szCs w:val="24"/>
                <w:highlight w:val="none"/>
              </w:rPr>
            </w:pPr>
            <w:r>
              <w:rPr>
                <w:rFonts w:hint="eastAsia" w:ascii="宋体" w:hAnsi="宋体" w:cs="宋体"/>
                <w:b/>
                <w:bCs/>
                <w:color w:val="auto"/>
                <w:sz w:val="24"/>
                <w:szCs w:val="24"/>
                <w:highlight w:val="none"/>
                <w:lang w:val="zh-CN"/>
              </w:rPr>
              <w:t>投标报价明细表</w:t>
            </w:r>
            <w:r>
              <w:rPr>
                <w:rFonts w:hint="eastAsia" w:ascii="宋体" w:cs="宋体"/>
                <w:color w:val="auto"/>
                <w:sz w:val="24"/>
                <w:szCs w:val="24"/>
                <w:highlight w:val="none"/>
                <w:lang w:val="zh-CN"/>
              </w:rPr>
              <w:t>（</w:t>
            </w:r>
            <w:r>
              <w:rPr>
                <w:rFonts w:hint="eastAsia" w:ascii="宋体" w:hAnsi="宋体" w:eastAsia="宋体" w:cs="宋体"/>
                <w:b/>
                <w:bCs/>
                <w:color w:val="auto"/>
                <w:sz w:val="24"/>
                <w:szCs w:val="24"/>
                <w:highlight w:val="none"/>
                <w:lang w:val="zh-CN"/>
              </w:rPr>
              <w:t>按</w:t>
            </w:r>
            <w:r>
              <w:rPr>
                <w:rFonts w:hint="eastAsia" w:ascii="宋体" w:cs="宋体"/>
                <w:color w:val="auto"/>
                <w:sz w:val="24"/>
                <w:szCs w:val="24"/>
                <w:highlight w:val="none"/>
                <w:lang w:val="zh-CN"/>
              </w:rPr>
              <w:t>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2505DBD">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89E93EA">
            <w:pPr>
              <w:rPr>
                <w:b/>
                <w:bCs/>
                <w:color w:val="auto"/>
                <w:sz w:val="24"/>
                <w:szCs w:val="24"/>
                <w:highlight w:val="none"/>
              </w:rPr>
            </w:pPr>
          </w:p>
        </w:tc>
      </w:tr>
      <w:tr w14:paraId="1266526D">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42CE7914">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D4ADCEB">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A96C48F">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042CA55">
            <w:pPr>
              <w:rPr>
                <w:b/>
                <w:bCs/>
                <w:color w:val="auto"/>
                <w:sz w:val="24"/>
                <w:szCs w:val="24"/>
                <w:highlight w:val="none"/>
              </w:rPr>
            </w:pPr>
          </w:p>
        </w:tc>
      </w:tr>
      <w:tr w14:paraId="34739306">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85EFA30">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2D0E99B">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投标产品列入《节能产品政府采购品目清单》（属于国家强制采购节能产品）的证明文件（即该产品由国家确定的认证机构出具的、处于有效期内的节能产品认证证书，复印件加盖投标人公章）。</w:t>
            </w:r>
          </w:p>
          <w:p w14:paraId="757E9A0F">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备注：</w:t>
            </w:r>
            <w:r>
              <w:rPr>
                <w:rFonts w:hint="eastAsia" w:ascii="宋体" w:hAnsi="宋体" w:cs="宋体"/>
                <w:b/>
                <w:bCs w:val="0"/>
                <w:color w:val="auto"/>
                <w:sz w:val="24"/>
                <w:szCs w:val="24"/>
                <w:highlight w:val="none"/>
                <w:lang w:val="zh-CN"/>
              </w:rPr>
              <w:t>《货物需求及技术规格要求》中凡明示包含强制采购节能产品的，</w:t>
            </w:r>
            <w:r>
              <w:rPr>
                <w:rFonts w:hint="eastAsia" w:ascii="宋体" w:hAnsi="宋体" w:cs="宋体"/>
                <w:b/>
                <w:bCs/>
                <w:color w:val="auto"/>
                <w:sz w:val="24"/>
                <w:szCs w:val="24"/>
                <w:highlight w:val="none"/>
                <w:lang w:val="en-US" w:eastAsia="zh-CN"/>
              </w:rPr>
              <w:t>投标</w:t>
            </w:r>
            <w:r>
              <w:rPr>
                <w:rFonts w:hint="eastAsia" w:ascii="宋体" w:hAnsi="宋体" w:cs="宋体"/>
                <w:b/>
                <w:bCs/>
                <w:color w:val="auto"/>
                <w:sz w:val="24"/>
                <w:szCs w:val="24"/>
                <w:highlight w:val="none"/>
                <w:lang w:val="zh-CN"/>
              </w:rPr>
              <w:t>人须对已方所</w:t>
            </w:r>
            <w:r>
              <w:rPr>
                <w:rFonts w:hint="eastAsia" w:ascii="宋体" w:hAnsi="宋体" w:cs="宋体"/>
                <w:b/>
                <w:bCs/>
                <w:color w:val="auto"/>
                <w:sz w:val="24"/>
                <w:szCs w:val="24"/>
                <w:highlight w:val="none"/>
                <w:lang w:val="en-US" w:eastAsia="zh-CN"/>
              </w:rPr>
              <w:t>投标产品</w:t>
            </w:r>
            <w:r>
              <w:rPr>
                <w:rFonts w:hint="eastAsia" w:ascii="宋体" w:hAnsi="宋体" w:cs="宋体"/>
                <w:b/>
                <w:bCs/>
                <w:color w:val="auto"/>
                <w:sz w:val="24"/>
                <w:szCs w:val="24"/>
                <w:highlight w:val="none"/>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159E53D">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656B2B4">
            <w:pPr>
              <w:rPr>
                <w:rFonts w:hint="eastAsia" w:ascii="宋体" w:cs="宋体"/>
                <w:b/>
                <w:bCs/>
                <w:color w:val="auto"/>
                <w:sz w:val="24"/>
                <w:szCs w:val="24"/>
                <w:highlight w:val="none"/>
                <w:lang w:val="zh-CN"/>
              </w:rPr>
            </w:pPr>
          </w:p>
        </w:tc>
      </w:tr>
      <w:tr w14:paraId="252A580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C981644">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1C74EEA">
            <w:pPr>
              <w:rPr>
                <w:rFonts w:hint="eastAsia" w:ascii="宋体" w:cs="宋体"/>
                <w:b/>
                <w:bCs/>
                <w:color w:val="auto"/>
                <w:kern w:val="2"/>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F00F196">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D6BA529">
            <w:pPr>
              <w:rPr>
                <w:rFonts w:ascii="宋体"/>
                <w:b/>
                <w:bCs/>
                <w:color w:val="auto"/>
                <w:sz w:val="24"/>
                <w:szCs w:val="24"/>
                <w:highlight w:val="none"/>
                <w:lang w:val="zh-CN"/>
              </w:rPr>
            </w:pPr>
          </w:p>
        </w:tc>
      </w:tr>
      <w:tr w14:paraId="1D7EBCE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49A6EF4">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17B1E8B">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62F6E4B9">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567C2B">
            <w:pPr>
              <w:rPr>
                <w:rFonts w:ascii="宋体"/>
                <w:b/>
                <w:bCs/>
                <w:color w:val="auto"/>
                <w:sz w:val="24"/>
                <w:szCs w:val="24"/>
                <w:highlight w:val="none"/>
                <w:lang w:val="zh-CN"/>
              </w:rPr>
            </w:pPr>
          </w:p>
        </w:tc>
      </w:tr>
      <w:tr w14:paraId="0302A7C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6E33AC5">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11A4AEA">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6402492">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FC7066B">
            <w:pPr>
              <w:rPr>
                <w:rFonts w:ascii="宋体"/>
                <w:b/>
                <w:bCs/>
                <w:color w:val="auto"/>
                <w:sz w:val="24"/>
                <w:szCs w:val="24"/>
                <w:highlight w:val="none"/>
                <w:lang w:val="zh-CN"/>
              </w:rPr>
            </w:pPr>
          </w:p>
        </w:tc>
      </w:tr>
      <w:tr w14:paraId="0118E261">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8738CE5">
            <w:pPr>
              <w:rPr>
                <w:rFonts w:ascii="宋体" w:hAnsi="宋体"/>
                <w:b/>
                <w:bCs/>
                <w:color w:val="auto"/>
                <w:kern w:val="2"/>
                <w:sz w:val="24"/>
                <w:szCs w:val="24"/>
                <w:highlight w:val="none"/>
              </w:rPr>
            </w:pPr>
            <w:r>
              <w:rPr>
                <w:rFonts w:hint="eastAsia" w:ascii="宋体" w:hAnsi="宋体"/>
                <w:b/>
                <w:bCs/>
                <w:color w:val="auto"/>
                <w:sz w:val="24"/>
                <w:szCs w:val="24"/>
                <w:highlight w:val="none"/>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534C815">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6882DE95">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344B412">
            <w:pPr>
              <w:rPr>
                <w:rFonts w:ascii="宋体"/>
                <w:b/>
                <w:bCs/>
                <w:color w:val="auto"/>
                <w:sz w:val="24"/>
                <w:szCs w:val="24"/>
                <w:highlight w:val="none"/>
                <w:lang w:val="zh-CN"/>
              </w:rPr>
            </w:pPr>
          </w:p>
        </w:tc>
      </w:tr>
    </w:tbl>
    <w:p w14:paraId="39AA066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1AD6FA2E">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14:paraId="21B2411E">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14:paraId="4AAC15C2">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14:paraId="3566AAF7">
      <w:pPr>
        <w:rPr>
          <w:rFonts w:hint="eastAsia" w:ascii="宋体"/>
          <w:b/>
          <w:bCs/>
          <w:color w:val="auto"/>
          <w:sz w:val="24"/>
          <w:szCs w:val="24"/>
          <w:highlight w:val="none"/>
          <w:lang w:val="zh-CN"/>
        </w:rPr>
      </w:pPr>
    </w:p>
    <w:p w14:paraId="0F03DB6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14:paraId="0A6D7A3C">
      <w:pPr>
        <w:rPr>
          <w:rFonts w:ascii="宋体"/>
          <w:color w:val="auto"/>
          <w:sz w:val="24"/>
          <w:szCs w:val="24"/>
          <w:highlight w:val="none"/>
          <w:lang w:val="zh-CN"/>
        </w:rPr>
      </w:pPr>
    </w:p>
    <w:p w14:paraId="19582924">
      <w:pPr>
        <w:rPr>
          <w:rFonts w:ascii="宋体"/>
          <w:color w:val="auto"/>
          <w:sz w:val="24"/>
          <w:szCs w:val="24"/>
          <w:highlight w:val="none"/>
          <w:u w:val="single"/>
          <w:lang w:val="zh-CN"/>
        </w:rPr>
      </w:pPr>
      <w:r>
        <w:rPr>
          <w:rFonts w:hint="eastAsia" w:ascii="宋体" w:cs="宋体"/>
          <w:color w:val="auto"/>
          <w:sz w:val="24"/>
          <w:szCs w:val="24"/>
          <w:highlight w:val="none"/>
          <w:lang w:val="zh-CN" w:eastAsia="zh-CN"/>
        </w:rPr>
        <w:t>吉林省智广工程项目管理有限公司</w:t>
      </w:r>
      <w:r>
        <w:rPr>
          <w:rFonts w:hint="eastAsia" w:ascii="宋体" w:cs="宋体"/>
          <w:color w:val="auto"/>
          <w:sz w:val="24"/>
          <w:szCs w:val="24"/>
          <w:highlight w:val="none"/>
          <w:lang w:val="zh-CN"/>
        </w:rPr>
        <w:t xml:space="preserve"> ：</w:t>
      </w:r>
    </w:p>
    <w:p w14:paraId="0B71BD74">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14:paraId="6571579A">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14:paraId="62F54141">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14:paraId="1E4A6CF8">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14:paraId="2E38709B">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eastAsia="zh-CN"/>
        </w:rPr>
        <w:t>签订合同后</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eastAsia="zh-CN"/>
        </w:rPr>
        <w:t>天内完成安装</w:t>
      </w:r>
      <w:r>
        <w:rPr>
          <w:rFonts w:hint="eastAsia" w:ascii="宋体" w:cs="宋体"/>
          <w:color w:val="auto"/>
          <w:sz w:val="24"/>
          <w:szCs w:val="24"/>
          <w:highlight w:val="none"/>
          <w:lang w:val="zh-CN"/>
        </w:rPr>
        <w:t>。</w:t>
      </w:r>
    </w:p>
    <w:p w14:paraId="228EEE95">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14:paraId="1270D8A7">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14:paraId="02389799">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3AC581C8">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14:paraId="797680E9">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14:paraId="3326D63E">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14:paraId="13F65BDF">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14:paraId="1BE88D85">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14:paraId="2CB3D46A">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14:paraId="3539CAE8">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6A3AAB64">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52A631A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14:paraId="74297511">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）与其他投标人、代理机构或者采购单位人员或者其他有关人员恶意串通的；</w:t>
      </w:r>
    </w:p>
    <w:p w14:paraId="1BED6CA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）向评标委员会成员、代理机构或者采购单位人员或者其他有关人员行贿或者提供其他不正当利益的；</w:t>
      </w:r>
    </w:p>
    <w:p w14:paraId="72B0DE42">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4B61F828">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3155590B">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3723DAF0">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67A867A9">
      <w:pPr>
        <w:ind w:firstLine="480"/>
        <w:rPr>
          <w:rFonts w:ascii="宋体" w:hAnsi="宋体"/>
          <w:color w:val="auto"/>
          <w:sz w:val="24"/>
          <w:szCs w:val="24"/>
          <w:highlight w:val="none"/>
          <w:lang w:val="zh-CN"/>
        </w:rPr>
      </w:pPr>
    </w:p>
    <w:p w14:paraId="5FAA4770">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14:paraId="0A34E1F1">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14:paraId="77337F6E">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14:paraId="38A94AE0">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14:paraId="7C7A4244">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0C26D1A">
      <w:pPr>
        <w:ind w:firstLine="480"/>
        <w:rPr>
          <w:rFonts w:ascii="宋体"/>
          <w:color w:val="auto"/>
          <w:sz w:val="24"/>
          <w:szCs w:val="24"/>
          <w:highlight w:val="none"/>
          <w:lang w:val="zh-CN"/>
        </w:rPr>
      </w:pPr>
    </w:p>
    <w:p w14:paraId="078592A6">
      <w:pPr>
        <w:rPr>
          <w:rFonts w:ascii="宋体"/>
          <w:color w:val="auto"/>
          <w:sz w:val="24"/>
          <w:szCs w:val="24"/>
          <w:highlight w:val="none"/>
          <w:lang w:val="zh-CN"/>
        </w:rPr>
      </w:pPr>
    </w:p>
    <w:p w14:paraId="2231AA50">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14:paraId="50F437F8">
      <w:pPr>
        <w:rPr>
          <w:rFonts w:ascii="宋体"/>
          <w:color w:val="auto"/>
          <w:sz w:val="24"/>
          <w:szCs w:val="24"/>
          <w:highlight w:val="none"/>
          <w:lang w:val="zh-CN"/>
        </w:rPr>
      </w:pPr>
    </w:p>
    <w:p w14:paraId="604D2950">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2A45E30E">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0" w:type="dxa"/>
        <w:tblLayout w:type="fixed"/>
        <w:tblCellMar>
          <w:top w:w="0" w:type="dxa"/>
          <w:left w:w="108" w:type="dxa"/>
          <w:bottom w:w="0" w:type="dxa"/>
          <w:right w:w="108" w:type="dxa"/>
        </w:tblCellMar>
      </w:tblPr>
      <w:tblGrid>
        <w:gridCol w:w="3860"/>
        <w:gridCol w:w="3871"/>
      </w:tblGrid>
      <w:tr w14:paraId="478A5C77">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05AA4E7">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05DFC1D6">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1F2F90A0">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60F86BB">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48552D5F">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0FF898C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1E8BCEF2">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制造商名称、国籍/地区</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F0B1388">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14:paraId="58700D5B">
        <w:tblPrEx>
          <w:tblCellMar>
            <w:top w:w="0" w:type="dxa"/>
            <w:left w:w="108" w:type="dxa"/>
            <w:bottom w:w="0" w:type="dxa"/>
            <w:right w:w="108" w:type="dxa"/>
          </w:tblCellMar>
        </w:tblPrEx>
        <w:trPr>
          <w:trHeight w:val="31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5EDCC22E">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合同履行期限</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11793F4">
            <w:pPr>
              <w:jc w:val="center"/>
              <w:rPr>
                <w:rFonts w:hint="eastAsia" w:ascii="宋体" w:eastAsia="宋体"/>
                <w:b/>
                <w:bCs/>
                <w:color w:val="auto"/>
                <w:sz w:val="22"/>
                <w:szCs w:val="22"/>
                <w:highlight w:val="none"/>
                <w:lang w:val="en-US" w:eastAsia="zh-CN"/>
              </w:rPr>
            </w:pPr>
          </w:p>
        </w:tc>
      </w:tr>
      <w:tr w14:paraId="563F8164">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1EC0EFE">
            <w:pPr>
              <w:rPr>
                <w:rFonts w:hint="eastAsia"/>
                <w:b/>
                <w:bCs/>
                <w:color w:val="auto"/>
                <w:sz w:val="22"/>
                <w:szCs w:val="22"/>
                <w:highlight w:val="none"/>
                <w:lang w:val="en-US" w:eastAsia="zh-CN"/>
              </w:rPr>
            </w:pPr>
            <w:r>
              <w:rPr>
                <w:rFonts w:hint="eastAsia"/>
                <w:b/>
                <w:bCs/>
                <w:color w:val="auto"/>
                <w:sz w:val="22"/>
                <w:szCs w:val="22"/>
                <w:highlight w:val="none"/>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3362E160">
            <w:pPr>
              <w:jc w:val="center"/>
              <w:rPr>
                <w:rFonts w:hint="eastAsia" w:ascii="宋体"/>
                <w:b/>
                <w:bCs/>
                <w:color w:val="auto"/>
                <w:sz w:val="22"/>
                <w:szCs w:val="22"/>
                <w:highlight w:val="none"/>
                <w:lang w:val="en-US" w:eastAsia="zh-CN"/>
              </w:rPr>
            </w:pPr>
            <w:r>
              <w:rPr>
                <w:rFonts w:hint="eastAsia" w:ascii="宋体"/>
                <w:b/>
                <w:bCs/>
                <w:color w:val="auto"/>
                <w:sz w:val="22"/>
                <w:szCs w:val="22"/>
                <w:highlight w:val="none"/>
                <w:lang w:val="en-US" w:eastAsia="zh-CN"/>
              </w:rPr>
              <w:t>元</w:t>
            </w:r>
          </w:p>
        </w:tc>
      </w:tr>
    </w:tbl>
    <w:p w14:paraId="210CEA83">
      <w:pPr>
        <w:rPr>
          <w:rFonts w:hint="eastAsia" w:ascii="宋体" w:hAnsi="宋体" w:cs="宋体"/>
          <w:b/>
          <w:bCs/>
          <w:color w:val="auto"/>
          <w:sz w:val="24"/>
          <w:szCs w:val="24"/>
          <w:highlight w:val="none"/>
          <w:lang w:val="zh-CN"/>
        </w:rPr>
      </w:pPr>
    </w:p>
    <w:p w14:paraId="3C58DE56">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14:paraId="629B600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14:paraId="1CB5DAFF">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14:paraId="7A3F87B1">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4A12F006">
      <w:pPr>
        <w:rPr>
          <w:rFonts w:ascii="宋体"/>
          <w:b/>
          <w:bCs/>
          <w:color w:val="auto"/>
          <w:sz w:val="24"/>
          <w:szCs w:val="24"/>
          <w:highlight w:val="none"/>
          <w:lang w:val="zh-CN"/>
        </w:rPr>
      </w:pPr>
    </w:p>
    <w:p w14:paraId="32D6C865">
      <w:pPr>
        <w:pStyle w:val="5"/>
        <w:rPr>
          <w:color w:val="auto"/>
          <w:highlight w:val="none"/>
          <w:lang w:val="zh-CN"/>
        </w:rPr>
      </w:pPr>
    </w:p>
    <w:p w14:paraId="0A1B9D5D">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cs="宋体"/>
          <w:b/>
          <w:bCs/>
          <w:color w:val="auto"/>
          <w:sz w:val="24"/>
          <w:szCs w:val="24"/>
          <w:highlight w:val="none"/>
          <w:lang w:val="zh-CN"/>
        </w:rPr>
      </w:pPr>
      <w:r>
        <w:rPr>
          <w:rFonts w:hint="eastAsia" w:ascii="黑体" w:eastAsia="黑体" w:cs="黑体"/>
          <w:b/>
          <w:bCs/>
          <w:color w:val="auto"/>
          <w:sz w:val="24"/>
          <w:szCs w:val="24"/>
          <w:highlight w:val="none"/>
          <w:lang w:val="zh-CN"/>
        </w:rPr>
        <w:t>格式三、</w:t>
      </w:r>
      <w:r>
        <w:rPr>
          <w:rFonts w:hint="eastAsia" w:ascii="宋体" w:hAnsi="宋体" w:cs="宋体"/>
          <w:b/>
          <w:bCs/>
          <w:color w:val="auto"/>
          <w:sz w:val="24"/>
          <w:szCs w:val="24"/>
          <w:highlight w:val="none"/>
          <w:lang w:val="zh-CN"/>
        </w:rPr>
        <w:t>投标报价明细表</w:t>
      </w:r>
    </w:p>
    <w:p w14:paraId="78E133C9">
      <w:pPr>
        <w:ind w:firstLine="482" w:firstLineChars="200"/>
        <w:rPr>
          <w:rFonts w:hint="eastAsia" w:ascii="宋体" w:hAnsi="宋体"/>
          <w:b/>
          <w:color w:val="auto"/>
          <w:sz w:val="24"/>
          <w:szCs w:val="24"/>
          <w:highlight w:val="none"/>
        </w:rPr>
      </w:pPr>
    </w:p>
    <w:p w14:paraId="0A1B75D2">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4DFD76E0">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10359" w:type="dxa"/>
        <w:jc w:val="center"/>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1CDA7C1A">
        <w:tblPrEx>
          <w:tblCellMar>
            <w:top w:w="0" w:type="dxa"/>
            <w:left w:w="108" w:type="dxa"/>
            <w:bottom w:w="0" w:type="dxa"/>
            <w:right w:w="108" w:type="dxa"/>
          </w:tblCellMar>
        </w:tblPrEx>
        <w:trPr>
          <w:trHeight w:val="567"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center"/>
          </w:tcPr>
          <w:p w14:paraId="3AB09BC7">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52E956F0">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43153DE">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2FF8B77D">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0E6BED">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6C6D7832">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45AEA3B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505297E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2EB2E6A0">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0BB04823">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3321199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0DC28A8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14:paraId="058F8A3A">
        <w:tblPrEx>
          <w:tblCellMar>
            <w:top w:w="0" w:type="dxa"/>
            <w:left w:w="108" w:type="dxa"/>
            <w:bottom w:w="0" w:type="dxa"/>
            <w:right w:w="108" w:type="dxa"/>
          </w:tblCellMar>
        </w:tblPrEx>
        <w:trPr>
          <w:trHeight w:val="328"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5D5176B7">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605B9834">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1593F5">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33855CC">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35D143B">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64C15F9C">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0CC9FD2D">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7E1A7BB9">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45AE52E">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E90FF9D">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611877B">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23A77D73">
            <w:pPr>
              <w:rPr>
                <w:rFonts w:ascii="宋体"/>
                <w:b/>
                <w:bCs/>
                <w:color w:val="auto"/>
                <w:sz w:val="21"/>
                <w:szCs w:val="21"/>
                <w:highlight w:val="none"/>
                <w:lang w:val="zh-CN"/>
              </w:rPr>
            </w:pPr>
          </w:p>
        </w:tc>
      </w:tr>
      <w:tr w14:paraId="5D014403">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646ED17D">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555F763D">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63EADA">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2F2EBFAA">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7AB4D42B">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D757C69">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351ED4E">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4642CD3B">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3262A2C9">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2DCBCB">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D54CDDB">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F1064A1">
            <w:pPr>
              <w:rPr>
                <w:b/>
                <w:bCs/>
                <w:color w:val="auto"/>
                <w:sz w:val="21"/>
                <w:szCs w:val="21"/>
                <w:highlight w:val="none"/>
              </w:rPr>
            </w:pPr>
          </w:p>
        </w:tc>
      </w:tr>
      <w:tr w14:paraId="40CDD88B">
        <w:tblPrEx>
          <w:tblCellMar>
            <w:top w:w="0" w:type="dxa"/>
            <w:left w:w="108" w:type="dxa"/>
            <w:bottom w:w="0" w:type="dxa"/>
            <w:right w:w="108" w:type="dxa"/>
          </w:tblCellMar>
        </w:tblPrEx>
        <w:trPr>
          <w:trHeight w:val="397" w:hRule="exact"/>
          <w:jc w:val="center"/>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7A9FD61C">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FC8A323">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3EE1B911">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14:paraId="0BFDEE37">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14:paraId="4C364C72">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w:t>
      </w:r>
    </w:p>
    <w:p w14:paraId="41D6D71A">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14:paraId="240EB192">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p>
    <w:p w14:paraId="5525AE28">
      <w:pPr>
        <w:snapToGrid w:val="0"/>
        <w:spacing w:line="300" w:lineRule="auto"/>
        <w:outlineLvl w:val="0"/>
        <w:rPr>
          <w:rFonts w:hint="eastAsia" w:ascii="宋体" w:hAnsi="宋体"/>
          <w:b/>
          <w:color w:val="auto"/>
          <w:sz w:val="24"/>
          <w:highlight w:val="none"/>
        </w:rPr>
      </w:pPr>
      <w:bookmarkStart w:id="30" w:name="_Toc23224"/>
      <w:bookmarkStart w:id="31" w:name="_Toc24657"/>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bookmarkEnd w:id="30"/>
      <w:bookmarkEnd w:id="31"/>
    </w:p>
    <w:p w14:paraId="7C7F561C">
      <w:pPr>
        <w:snapToGrid w:val="0"/>
        <w:spacing w:line="300" w:lineRule="auto"/>
        <w:outlineLvl w:val="9"/>
        <w:rPr>
          <w:rFonts w:hint="eastAsia" w:ascii="宋体" w:hAnsi="宋体"/>
          <w:b/>
          <w:color w:val="auto"/>
          <w:sz w:val="24"/>
          <w:highlight w:val="none"/>
        </w:rPr>
      </w:pPr>
    </w:p>
    <w:p w14:paraId="25B9A913">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14:paraId="77E959E2">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5BC1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5D57E83E">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00B21BB4">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675F44A4">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7818CE6B">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3153FCBC">
            <w:pPr>
              <w:jc w:val="center"/>
              <w:rPr>
                <w:rFonts w:ascii="宋体"/>
                <w:color w:val="auto"/>
                <w:sz w:val="24"/>
                <w:highlight w:val="none"/>
              </w:rPr>
            </w:pPr>
            <w:r>
              <w:rPr>
                <w:rFonts w:hint="eastAsia" w:ascii="宋体" w:hAnsi="宋体"/>
                <w:color w:val="auto"/>
                <w:sz w:val="24"/>
                <w:highlight w:val="none"/>
              </w:rPr>
              <w:t>备注</w:t>
            </w:r>
          </w:p>
        </w:tc>
      </w:tr>
      <w:tr w14:paraId="26B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0983534">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5249D57">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2ECB101B">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3BAA410">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33E057A">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6642F01C">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FB43B42">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8370C31">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38516ACF">
            <w:pPr>
              <w:widowControl/>
              <w:rPr>
                <w:rFonts w:ascii="宋体"/>
                <w:color w:val="auto"/>
                <w:sz w:val="24"/>
                <w:highlight w:val="none"/>
              </w:rPr>
            </w:pPr>
          </w:p>
        </w:tc>
      </w:tr>
      <w:tr w14:paraId="6FA1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2EE17DE">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077C112">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01C2D25B">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9CCD5D3">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BC5690B">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B35B67">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1A01689">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537435A">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D51063A">
            <w:pPr>
              <w:jc w:val="center"/>
              <w:rPr>
                <w:rFonts w:ascii="宋体"/>
                <w:color w:val="auto"/>
                <w:sz w:val="24"/>
                <w:highlight w:val="none"/>
              </w:rPr>
            </w:pPr>
          </w:p>
        </w:tc>
      </w:tr>
      <w:tr w14:paraId="12DD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BF99F2B">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E4DDA40">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74B90D14">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9198B2">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32C99DFA">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E66C218">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96FA45F">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CECB5F0">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7988776">
            <w:pPr>
              <w:jc w:val="center"/>
              <w:rPr>
                <w:rFonts w:ascii="宋体"/>
                <w:color w:val="auto"/>
                <w:sz w:val="24"/>
                <w:highlight w:val="none"/>
              </w:rPr>
            </w:pPr>
          </w:p>
        </w:tc>
      </w:tr>
      <w:tr w14:paraId="1387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44724C8">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93E3366">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9BC8A85">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458AAC">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0D74254">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4DB2D91">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0B2C9C23">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375D054">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6582171A">
            <w:pPr>
              <w:jc w:val="center"/>
              <w:rPr>
                <w:rFonts w:ascii="宋体"/>
                <w:color w:val="auto"/>
                <w:sz w:val="24"/>
                <w:highlight w:val="none"/>
              </w:rPr>
            </w:pPr>
          </w:p>
        </w:tc>
      </w:tr>
    </w:tbl>
    <w:p w14:paraId="61142C6D">
      <w:pPr>
        <w:ind w:firstLine="480"/>
        <w:rPr>
          <w:rFonts w:ascii="黑体" w:eastAsia="黑体"/>
          <w:b/>
          <w:bCs/>
          <w:color w:val="auto"/>
          <w:sz w:val="24"/>
          <w:szCs w:val="24"/>
          <w:highlight w:val="none"/>
          <w:lang w:val="zh-CN"/>
        </w:rPr>
      </w:pPr>
    </w:p>
    <w:p w14:paraId="5371095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14:paraId="3400F288">
      <w:pPr>
        <w:rPr>
          <w:rFonts w:ascii="宋体"/>
          <w:color w:val="auto"/>
          <w:sz w:val="24"/>
          <w:szCs w:val="24"/>
          <w:highlight w:val="none"/>
          <w:lang w:val="zh-CN"/>
        </w:rPr>
      </w:pPr>
    </w:p>
    <w:p w14:paraId="0C66F90F">
      <w:pPr>
        <w:rPr>
          <w:rFonts w:ascii="宋体"/>
          <w:color w:val="auto"/>
          <w:sz w:val="24"/>
          <w:szCs w:val="24"/>
          <w:highlight w:val="none"/>
          <w:lang w:val="zh-CN"/>
        </w:rPr>
      </w:pPr>
      <w:r>
        <w:rPr>
          <w:rFonts w:hint="eastAsia" w:ascii="宋体" w:cs="宋体"/>
          <w:color w:val="auto"/>
          <w:sz w:val="24"/>
          <w:szCs w:val="24"/>
          <w:highlight w:val="none"/>
          <w:u w:val="single"/>
          <w:lang w:val="zh-CN"/>
        </w:rPr>
        <w:t>四平市中心人民医院</w:t>
      </w:r>
      <w:r>
        <w:rPr>
          <w:rFonts w:hint="eastAsia" w:ascii="宋体" w:cs="宋体"/>
          <w:color w:val="auto"/>
          <w:sz w:val="24"/>
          <w:szCs w:val="24"/>
          <w:highlight w:val="none"/>
          <w:lang w:val="zh-CN"/>
        </w:rPr>
        <w:t>：</w:t>
      </w:r>
    </w:p>
    <w:p w14:paraId="362206BB">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我公司自愿参加四平市政府采购</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40626D47">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14:paraId="6053623C">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14:paraId="27F1D9F3">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0D40D82E">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14:paraId="37D8B911">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14:paraId="2234AB42">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2"/>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14:paraId="2744C92E">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3F75892C">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14:paraId="078CC1DD">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14:paraId="0BD7FCE6">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51F25B68">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640DEE87">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14:paraId="1124BB32">
            <w:pPr>
              <w:rPr>
                <w:color w:val="auto"/>
                <w:sz w:val="21"/>
                <w:szCs w:val="21"/>
                <w:highlight w:val="none"/>
              </w:rPr>
            </w:pPr>
            <w:r>
              <w:rPr>
                <w:rFonts w:hint="eastAsia" w:ascii="宋体" w:cs="宋体"/>
                <w:color w:val="auto"/>
                <w:sz w:val="21"/>
                <w:szCs w:val="21"/>
                <w:highlight w:val="none"/>
                <w:lang w:val="zh-CN"/>
              </w:rPr>
              <w:t>固定电话</w:t>
            </w:r>
          </w:p>
        </w:tc>
      </w:tr>
      <w:tr w14:paraId="5DD985A9">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7C2C3E84">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54895A87">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5A4A695D">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F1B7447">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09FC513">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3D6FEA94">
            <w:pPr>
              <w:rPr>
                <w:color w:val="auto"/>
                <w:sz w:val="21"/>
                <w:szCs w:val="21"/>
                <w:highlight w:val="none"/>
              </w:rPr>
            </w:pPr>
          </w:p>
        </w:tc>
      </w:tr>
      <w:tr w14:paraId="27F58493">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5FD914FD">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7BD6ACA8">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34760EB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5313E3C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757FB3BC">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01F87CD4">
            <w:pPr>
              <w:rPr>
                <w:color w:val="auto"/>
                <w:sz w:val="21"/>
                <w:szCs w:val="21"/>
                <w:highlight w:val="none"/>
              </w:rPr>
            </w:pPr>
          </w:p>
        </w:tc>
      </w:tr>
    </w:tbl>
    <w:p w14:paraId="1CF3B4D7">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14:paraId="5F3E6A42">
      <w:pPr>
        <w:rPr>
          <w:rFonts w:ascii="宋体"/>
          <w:color w:val="auto"/>
          <w:sz w:val="24"/>
          <w:szCs w:val="24"/>
          <w:highlight w:val="none"/>
          <w:lang w:val="zh-CN"/>
        </w:rPr>
      </w:pPr>
    </w:p>
    <w:p w14:paraId="7CB1E861">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14:paraId="02EE481A">
      <w:pPr>
        <w:ind w:firstLine="720" w:firstLineChars="300"/>
        <w:rPr>
          <w:rFonts w:hint="eastAsia" w:ascii="黑体" w:eastAsia="黑体"/>
          <w:b/>
          <w:bCs/>
          <w:color w:val="auto"/>
          <w:sz w:val="24"/>
          <w:szCs w:val="24"/>
          <w:highlight w:val="none"/>
          <w:lang w:val="zh-CN"/>
        </w:rPr>
      </w:pP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C5D54D2">
      <w:pPr>
        <w:spacing w:line="440" w:lineRule="exact"/>
        <w:rPr>
          <w:rFonts w:hint="eastAsia" w:ascii="黑体" w:hAnsi="黑体" w:eastAsia="黑体"/>
          <w:b/>
          <w:color w:val="auto"/>
          <w:sz w:val="24"/>
          <w:szCs w:val="24"/>
          <w:highlight w:val="none"/>
        </w:rPr>
      </w:pPr>
    </w:p>
    <w:p w14:paraId="52017EC7">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14:paraId="3AC17A4A">
      <w:pPr>
        <w:jc w:val="center"/>
        <w:rPr>
          <w:rFonts w:ascii="宋体" w:hAnsi="宋体" w:cs="宋体"/>
          <w:color w:val="auto"/>
          <w:sz w:val="24"/>
          <w:szCs w:val="24"/>
          <w:highlight w:val="none"/>
        </w:rPr>
      </w:pPr>
    </w:p>
    <w:p w14:paraId="4F906ADC">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14:paraId="2EFE8491">
      <w:pPr>
        <w:pStyle w:val="5"/>
        <w:rPr>
          <w:color w:val="auto"/>
          <w:highlight w:val="none"/>
        </w:rPr>
      </w:pPr>
    </w:p>
    <w:p w14:paraId="33DE81C5">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4F8D933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14:paraId="17F61438">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14:paraId="53AECCF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0A95CAB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14:paraId="3A9AC467">
      <w:pPr>
        <w:ind w:left="5040" w:leftChars="1800" w:firstLine="480" w:firstLineChars="200"/>
        <w:rPr>
          <w:rFonts w:ascii="宋体" w:hAnsi="宋体" w:cs="宋体"/>
          <w:color w:val="auto"/>
          <w:sz w:val="24"/>
          <w:szCs w:val="24"/>
          <w:highlight w:val="none"/>
        </w:rPr>
      </w:pPr>
    </w:p>
    <w:p w14:paraId="57134461">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14:paraId="3D9DBF48">
      <w:pPr>
        <w:ind w:left="5040" w:leftChars="1800" w:firstLine="480" w:firstLineChars="200"/>
        <w:rPr>
          <w:rFonts w:ascii="宋体" w:hAnsi="宋体" w:cs="宋体"/>
          <w:color w:val="auto"/>
          <w:sz w:val="24"/>
          <w:szCs w:val="24"/>
          <w:highlight w:val="none"/>
        </w:rPr>
      </w:pPr>
    </w:p>
    <w:p w14:paraId="5A26CC0C">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14:paraId="5C5802B3">
      <w:pPr>
        <w:ind w:left="5040" w:leftChars="1800" w:firstLine="480" w:firstLineChars="200"/>
        <w:rPr>
          <w:rFonts w:ascii="宋体" w:hAnsi="宋体" w:cs="宋体"/>
          <w:color w:val="auto"/>
          <w:sz w:val="24"/>
          <w:szCs w:val="24"/>
          <w:highlight w:val="none"/>
        </w:rPr>
      </w:pPr>
    </w:p>
    <w:p w14:paraId="2855F7C2">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14:paraId="1CE6E47B">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14:paraId="6D2107B6">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14:paraId="7616009B">
      <w:pPr>
        <w:ind w:firstLine="420" w:firstLineChars="200"/>
        <w:rPr>
          <w:rFonts w:ascii="黑体" w:eastAsia="黑体"/>
          <w:b/>
          <w:bCs/>
          <w:color w:val="auto"/>
          <w:sz w:val="21"/>
          <w:szCs w:val="21"/>
          <w:highlight w:val="none"/>
          <w:lang w:val="zh-CN"/>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此声明函仅作为政策性优惠的依据，不作为废标的依据。</w:t>
      </w:r>
    </w:p>
    <w:p w14:paraId="5DEF2A4D">
      <w:pPr>
        <w:rPr>
          <w:rFonts w:ascii="黑体" w:eastAsia="黑体"/>
          <w:b/>
          <w:bCs/>
          <w:color w:val="auto"/>
          <w:sz w:val="24"/>
          <w:szCs w:val="24"/>
          <w:highlight w:val="none"/>
          <w:lang w:val="zh-CN"/>
        </w:rPr>
      </w:pPr>
    </w:p>
    <w:p w14:paraId="4834E5CF">
      <w:pPr>
        <w:ind w:firstLine="480"/>
        <w:jc w:val="center"/>
        <w:rPr>
          <w:rFonts w:hint="eastAsia" w:ascii="宋体" w:eastAsia="宋体" w:cs="宋体"/>
          <w:b/>
          <w:bCs/>
          <w:color w:val="auto"/>
          <w:sz w:val="28"/>
          <w:szCs w:val="28"/>
          <w:highlight w:val="none"/>
          <w:lang w:val="en-US" w:eastAsia="zh-CN"/>
        </w:rPr>
      </w:pPr>
    </w:p>
    <w:p w14:paraId="0E2C3DFB">
      <w:pPr>
        <w:ind w:firstLine="480"/>
        <w:jc w:val="center"/>
        <w:rPr>
          <w:rFonts w:hint="eastAsia" w:ascii="宋体" w:eastAsia="宋体" w:cs="宋体"/>
          <w:b/>
          <w:bCs/>
          <w:color w:val="auto"/>
          <w:sz w:val="28"/>
          <w:szCs w:val="28"/>
          <w:highlight w:val="none"/>
          <w:lang w:val="en-US" w:eastAsia="zh-CN"/>
        </w:rPr>
      </w:pPr>
    </w:p>
    <w:p w14:paraId="1323E7AD">
      <w:pPr>
        <w:ind w:firstLine="480"/>
        <w:jc w:val="center"/>
        <w:rPr>
          <w:rFonts w:hint="eastAsia" w:ascii="宋体" w:eastAsia="宋体" w:cs="宋体"/>
          <w:b/>
          <w:bCs/>
          <w:color w:val="auto"/>
          <w:sz w:val="28"/>
          <w:szCs w:val="28"/>
          <w:highlight w:val="none"/>
          <w:lang w:val="en-US" w:eastAsia="zh-CN"/>
        </w:rPr>
      </w:pPr>
    </w:p>
    <w:p w14:paraId="3C28EF30">
      <w:pPr>
        <w:ind w:firstLine="480"/>
        <w:jc w:val="center"/>
        <w:rPr>
          <w:rFonts w:hint="eastAsia" w:ascii="宋体" w:eastAsia="宋体" w:cs="宋体"/>
          <w:b/>
          <w:bCs/>
          <w:color w:val="auto"/>
          <w:sz w:val="28"/>
          <w:szCs w:val="28"/>
          <w:highlight w:val="none"/>
          <w:lang w:val="en-US" w:eastAsia="zh-CN"/>
        </w:rPr>
      </w:pPr>
    </w:p>
    <w:p w14:paraId="4E851F53">
      <w:pPr>
        <w:ind w:firstLine="480"/>
        <w:jc w:val="center"/>
        <w:rPr>
          <w:rFonts w:hint="eastAsia" w:ascii="宋体" w:eastAsia="宋体" w:cs="宋体"/>
          <w:b/>
          <w:bCs/>
          <w:color w:val="auto"/>
          <w:sz w:val="28"/>
          <w:szCs w:val="28"/>
          <w:highlight w:val="none"/>
          <w:lang w:val="en-US" w:eastAsia="zh-CN"/>
        </w:rPr>
      </w:pPr>
    </w:p>
    <w:p w14:paraId="4D3971AC">
      <w:pPr>
        <w:ind w:firstLine="480"/>
        <w:jc w:val="center"/>
        <w:rPr>
          <w:rFonts w:hint="eastAsia" w:ascii="宋体" w:eastAsia="宋体" w:cs="宋体"/>
          <w:b/>
          <w:bCs/>
          <w:color w:val="auto"/>
          <w:sz w:val="28"/>
          <w:szCs w:val="28"/>
          <w:highlight w:val="none"/>
          <w:lang w:val="en-US" w:eastAsia="zh-CN"/>
        </w:rPr>
      </w:pPr>
    </w:p>
    <w:p w14:paraId="2E7BA483">
      <w:pPr>
        <w:ind w:firstLine="480"/>
        <w:jc w:val="center"/>
        <w:rPr>
          <w:rFonts w:hint="eastAsia" w:ascii="宋体" w:eastAsia="宋体" w:cs="宋体"/>
          <w:b/>
          <w:bCs/>
          <w:color w:val="auto"/>
          <w:sz w:val="28"/>
          <w:szCs w:val="28"/>
          <w:highlight w:val="none"/>
          <w:lang w:val="en-US" w:eastAsia="zh-CN"/>
        </w:rPr>
      </w:pPr>
    </w:p>
    <w:p w14:paraId="30250E23">
      <w:pPr>
        <w:ind w:firstLine="480"/>
        <w:jc w:val="center"/>
        <w:rPr>
          <w:rFonts w:hint="eastAsia" w:ascii="宋体" w:eastAsia="宋体" w:cs="宋体"/>
          <w:b/>
          <w:bCs/>
          <w:color w:val="auto"/>
          <w:sz w:val="28"/>
          <w:szCs w:val="28"/>
          <w:highlight w:val="none"/>
          <w:lang w:val="en-US" w:eastAsia="zh-CN"/>
        </w:rPr>
      </w:pPr>
    </w:p>
    <w:p w14:paraId="384CD70A">
      <w:pPr>
        <w:ind w:firstLine="480"/>
        <w:jc w:val="center"/>
        <w:rPr>
          <w:rFonts w:hint="eastAsia" w:ascii="宋体" w:eastAsia="宋体" w:cs="宋体"/>
          <w:b/>
          <w:bCs/>
          <w:color w:val="auto"/>
          <w:sz w:val="28"/>
          <w:szCs w:val="28"/>
          <w:highlight w:val="none"/>
          <w:lang w:val="en-US" w:eastAsia="zh-CN"/>
        </w:rPr>
      </w:pPr>
    </w:p>
    <w:p w14:paraId="18C4D779">
      <w:pPr>
        <w:ind w:firstLine="480"/>
        <w:jc w:val="center"/>
        <w:rPr>
          <w:rFonts w:hint="eastAsia" w:ascii="宋体" w:eastAsia="宋体" w:cs="宋体"/>
          <w:b/>
          <w:bCs/>
          <w:color w:val="auto"/>
          <w:sz w:val="28"/>
          <w:szCs w:val="28"/>
          <w:highlight w:val="none"/>
          <w:lang w:val="en-US" w:eastAsia="zh-CN"/>
        </w:rPr>
      </w:pPr>
    </w:p>
    <w:p w14:paraId="13405C51">
      <w:pPr>
        <w:ind w:firstLine="480"/>
        <w:jc w:val="center"/>
        <w:rPr>
          <w:rFonts w:hint="eastAsia" w:ascii="宋体" w:eastAsia="宋体" w:cs="宋体"/>
          <w:b/>
          <w:bCs/>
          <w:color w:val="auto"/>
          <w:sz w:val="28"/>
          <w:szCs w:val="28"/>
          <w:highlight w:val="none"/>
          <w:lang w:val="en-US" w:eastAsia="zh-CN"/>
        </w:rPr>
      </w:pPr>
    </w:p>
    <w:p w14:paraId="157951E0">
      <w:pPr>
        <w:ind w:firstLine="480"/>
        <w:jc w:val="center"/>
        <w:rPr>
          <w:rFonts w:hint="eastAsia" w:ascii="宋体" w:eastAsia="宋体" w:cs="宋体"/>
          <w:color w:val="auto"/>
          <w:sz w:val="24"/>
          <w:szCs w:val="24"/>
          <w:highlight w:val="none"/>
          <w:lang w:val="en-US" w:eastAsia="zh-CN"/>
        </w:rPr>
      </w:pPr>
      <w:r>
        <w:rPr>
          <w:rFonts w:hint="eastAsia" w:ascii="宋体" w:eastAsia="宋体" w:cs="宋体"/>
          <w:b/>
          <w:bCs/>
          <w:color w:val="auto"/>
          <w:sz w:val="28"/>
          <w:szCs w:val="28"/>
          <w:highlight w:val="none"/>
          <w:lang w:val="en-US" w:eastAsia="zh-CN"/>
        </w:rPr>
        <w:t>中小企业划型标准规定（工信部联企业〔2011〕300号）</w:t>
      </w:r>
    </w:p>
    <w:p w14:paraId="073B198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一、根据《中华人民共和国中小企业促进法》和《国务院关于进一步促进中小企业发展的若干意见》(国发〔2009〕36号)，制定本规定。</w:t>
      </w:r>
    </w:p>
    <w:p w14:paraId="1F29ADE5">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二、中小企业划分为中型、小型、微型三种类型，具体标准根据企业从业人员、营业收入、资产总额等指标，结合行业特点制定。</w:t>
      </w:r>
    </w:p>
    <w:p w14:paraId="17ADE9B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CE03E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四、各行业划型标准为：</w:t>
      </w:r>
    </w:p>
    <w:p w14:paraId="73BD655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62A3BBB6">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6BA01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7D9DE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33EBC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DAA92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78D41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B0222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D753A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960F1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6A8894">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D6AAE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C8241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D5A1A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CA6CCB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28C9B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76A8F9D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五、企业类型的划分以统计部门的统计数据为依据。</w:t>
      </w:r>
    </w:p>
    <w:p w14:paraId="33670C6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2EBBFC3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7F1799">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八、本规定由工业和信息化部、国家统计局会同有关部门根据《国民经济行业分类》修订情况和企业发展变化情况适时修订。</w:t>
      </w:r>
    </w:p>
    <w:p w14:paraId="27644EF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九、本规定由工业和信息化部、国家统计局会同有关部门负责解释。</w:t>
      </w:r>
    </w:p>
    <w:p w14:paraId="3925B4AC">
      <w:pPr>
        <w:ind w:firstLine="480"/>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en-US" w:eastAsia="zh-CN"/>
        </w:rPr>
        <w:t>十、本规定自发布之日起执行，原国家经贸委、原国家计委、财政部和国家统计局2003年颁布的《中小企业标准暂行规定》同时废止。</w:t>
      </w:r>
    </w:p>
    <w:p w14:paraId="059A5B3F">
      <w:pPr>
        <w:ind w:left="1081" w:leftChars="386" w:firstLine="2249" w:firstLineChars="700"/>
        <w:rPr>
          <w:rFonts w:hint="eastAsia" w:ascii="黑体" w:eastAsia="黑体" w:cs="黑体"/>
          <w:b/>
          <w:bCs/>
          <w:color w:val="auto"/>
          <w:sz w:val="32"/>
          <w:szCs w:val="32"/>
          <w:highlight w:val="none"/>
          <w:lang w:val="zh-CN"/>
        </w:rPr>
      </w:pPr>
    </w:p>
    <w:p w14:paraId="6BCCBB57">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14:paraId="16247424">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14:paraId="42AF16BB">
      <w:pPr>
        <w:rPr>
          <w:rFonts w:eastAsia="黑体"/>
          <w:b/>
          <w:bCs/>
          <w:color w:val="auto"/>
          <w:sz w:val="24"/>
          <w:szCs w:val="24"/>
          <w:highlight w:val="none"/>
        </w:rPr>
      </w:pPr>
    </w:p>
    <w:p w14:paraId="514F2A63">
      <w:pPr>
        <w:outlineLvl w:val="0"/>
        <w:rPr>
          <w:rFonts w:ascii="黑体" w:eastAsia="黑体"/>
          <w:b/>
          <w:bCs/>
          <w:color w:val="auto"/>
          <w:sz w:val="24"/>
          <w:szCs w:val="24"/>
          <w:highlight w:val="none"/>
          <w:lang w:val="zh-CN"/>
        </w:rPr>
      </w:pPr>
      <w:bookmarkStart w:id="32" w:name="_Toc26682"/>
      <w:bookmarkStart w:id="33" w:name="_Toc22973"/>
      <w:r>
        <w:rPr>
          <w:rFonts w:hint="eastAsia" w:ascii="黑体" w:eastAsia="黑体" w:cs="黑体"/>
          <w:b/>
          <w:bCs/>
          <w:color w:val="auto"/>
          <w:sz w:val="24"/>
          <w:szCs w:val="24"/>
          <w:highlight w:val="none"/>
          <w:lang w:val="zh-CN"/>
        </w:rPr>
        <w:t>投标人应提交的作为评分依据的其它文件材料清单：</w:t>
      </w:r>
      <w:bookmarkEnd w:id="32"/>
      <w:bookmarkEnd w:id="33"/>
    </w:p>
    <w:tbl>
      <w:tblPr>
        <w:tblStyle w:val="12"/>
        <w:tblW w:w="0" w:type="auto"/>
        <w:tblInd w:w="0" w:type="dxa"/>
        <w:tblLayout w:type="fixed"/>
        <w:tblCellMar>
          <w:top w:w="0" w:type="dxa"/>
          <w:left w:w="108" w:type="dxa"/>
          <w:bottom w:w="0" w:type="dxa"/>
          <w:right w:w="108" w:type="dxa"/>
        </w:tblCellMar>
      </w:tblPr>
      <w:tblGrid>
        <w:gridCol w:w="647"/>
        <w:gridCol w:w="6265"/>
        <w:gridCol w:w="1276"/>
        <w:gridCol w:w="1276"/>
      </w:tblGrid>
      <w:tr w14:paraId="29EFE53E">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67558E74">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17F13463">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A12C58A">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B82CBD4">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14:paraId="75283F70">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7C155D9B">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7CC1B767">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6ED545">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3C5C80B">
            <w:pPr>
              <w:rPr>
                <w:rFonts w:ascii="宋体" w:hAnsi="宋体"/>
                <w:b/>
                <w:bCs/>
                <w:color w:val="auto"/>
                <w:sz w:val="24"/>
                <w:szCs w:val="24"/>
                <w:highlight w:val="none"/>
              </w:rPr>
            </w:pPr>
          </w:p>
        </w:tc>
      </w:tr>
      <w:tr w14:paraId="6D84F86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11D4FF6">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56387253">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3C89B84">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B54BCB0">
            <w:pPr>
              <w:rPr>
                <w:rFonts w:ascii="宋体" w:hAnsi="宋体"/>
                <w:b/>
                <w:bCs/>
                <w:color w:val="auto"/>
                <w:sz w:val="24"/>
                <w:szCs w:val="24"/>
                <w:highlight w:val="none"/>
              </w:rPr>
            </w:pPr>
          </w:p>
        </w:tc>
      </w:tr>
    </w:tbl>
    <w:p w14:paraId="4DA71019">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14:paraId="68727072">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262C93FD">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14:paraId="38B2DC70">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14:paraId="2E693292">
      <w:pPr>
        <w:rPr>
          <w:rFonts w:hint="eastAsia" w:ascii="黑体" w:eastAsia="黑体"/>
          <w:b/>
          <w:bCs/>
          <w:color w:val="auto"/>
          <w:sz w:val="24"/>
          <w:szCs w:val="24"/>
          <w:highlight w:val="none"/>
          <w:lang w:val="zh-CN"/>
        </w:rPr>
      </w:pPr>
    </w:p>
    <w:p w14:paraId="698C8482">
      <w:pPr>
        <w:outlineLvl w:val="0"/>
        <w:rPr>
          <w:color w:val="auto"/>
          <w:highlight w:val="none"/>
        </w:rPr>
      </w:pPr>
      <w:bookmarkStart w:id="34" w:name="_Toc20256"/>
      <w:r>
        <w:rPr>
          <w:rFonts w:hint="eastAsia" w:ascii="黑体" w:eastAsia="黑体" w:cs="黑体"/>
          <w:b/>
          <w:bCs/>
          <w:color w:val="auto"/>
          <w:sz w:val="24"/>
          <w:szCs w:val="24"/>
          <w:highlight w:val="none"/>
          <w:lang w:val="zh-CN"/>
        </w:rPr>
        <w:t>附件</w:t>
      </w:r>
      <w:r>
        <w:rPr>
          <w:rFonts w:hint="eastAsia" w:ascii="黑体" w:eastAsia="黑体" w:cs="黑体"/>
          <w:b/>
          <w:bCs/>
          <w:color w:val="auto"/>
          <w:sz w:val="24"/>
          <w:szCs w:val="24"/>
          <w:highlight w:val="none"/>
          <w:lang w:val="en-US" w:eastAsia="zh-CN"/>
        </w:rPr>
        <w:t>二</w:t>
      </w:r>
      <w:r>
        <w:rPr>
          <w:rFonts w:hint="eastAsia" w:ascii="黑体" w:eastAsia="黑体" w:cs="黑体"/>
          <w:b/>
          <w:bCs/>
          <w:color w:val="auto"/>
          <w:sz w:val="24"/>
          <w:szCs w:val="24"/>
          <w:highlight w:val="none"/>
          <w:lang w:val="zh-CN"/>
        </w:rPr>
        <w:t>：</w:t>
      </w:r>
      <w:r>
        <w:rPr>
          <w:rFonts w:hint="eastAsia" w:ascii="黑体" w:eastAsia="黑体" w:cs="黑体"/>
          <w:b/>
          <w:bCs/>
          <w:color w:val="auto"/>
          <w:sz w:val="24"/>
          <w:szCs w:val="24"/>
          <w:highlight w:val="none"/>
          <w:lang w:val="en-US" w:eastAsia="zh-CN"/>
        </w:rPr>
        <w:t>投标保证金缴纳凭证</w:t>
      </w:r>
      <w:bookmarkEnd w:id="34"/>
    </w:p>
    <w:p w14:paraId="1FB5B1BD">
      <w:pPr>
        <w:rPr>
          <w:color w:val="auto"/>
          <w:highlight w:val="none"/>
        </w:rPr>
      </w:pPr>
      <w:r>
        <w:rPr>
          <w:rFonts w:hint="eastAsia" w:ascii="宋体" w:hAnsi="宋体" w:cs="黑体"/>
          <w:b/>
          <w:color w:val="auto"/>
          <w:sz w:val="24"/>
          <w:szCs w:val="24"/>
          <w:highlight w:val="none"/>
          <w:lang w:val="zh-CN"/>
        </w:rPr>
        <w:t>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14:paraId="0FB6F960">
      <w:pPr>
        <w:rPr>
          <w:color w:val="auto"/>
          <w:highlight w:val="none"/>
        </w:rPr>
      </w:pPr>
    </w:p>
    <w:sectPr>
      <w:headerReference r:id="rId5" w:type="default"/>
      <w:footerReference r:id="rId6" w:type="default"/>
      <w:footerReference r:id="rId7" w:type="even"/>
      <w:pgSz w:w="11906" w:h="16838"/>
      <w:pgMar w:top="1440" w:right="1417" w:bottom="1440" w:left="1417"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Helvetica">
    <w:altName w:val="Arial"/>
    <w:panose1 w:val="020B0504020202030204"/>
    <w:charset w:val="00"/>
    <w:family w:val="swiss"/>
    <w:pitch w:val="default"/>
    <w:sig w:usb0="00000000" w:usb1="00000000" w:usb2="00000000" w:usb3="00000000" w:csb0="00000093"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7C67">
    <w:pPr>
      <w:pStyle w:val="8"/>
      <w:framePr w:wrap="around" w:vAnchor="text" w:hAnchor="margin" w:xAlign="center" w:y="2"/>
      <w:rPr>
        <w:rStyle w:val="14"/>
      </w:rPr>
    </w:pPr>
    <w:r>
      <w:fldChar w:fldCharType="begin"/>
    </w:r>
    <w:r>
      <w:rPr>
        <w:rStyle w:val="14"/>
      </w:rPr>
      <w:instrText xml:space="preserve">PAGE  </w:instrText>
    </w:r>
    <w:r>
      <w:fldChar w:fldCharType="separate"/>
    </w:r>
    <w:r>
      <w:fldChar w:fldCharType="end"/>
    </w:r>
  </w:p>
  <w:p w14:paraId="203A7E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2682">
    <w:pPr>
      <w:pStyle w:val="8"/>
      <w:framePr w:wrap="around" w:vAnchor="text" w:hAnchor="margin" w:xAlign="center" w:y="2"/>
      <w:rPr>
        <w:rStyle w:val="14"/>
      </w:rPr>
    </w:pPr>
    <w:r>
      <w:fldChar w:fldCharType="begin"/>
    </w:r>
    <w:r>
      <w:rPr>
        <w:rStyle w:val="14"/>
      </w:rPr>
      <w:instrText xml:space="preserve">PAGE  </w:instrText>
    </w:r>
    <w:r>
      <w:fldChar w:fldCharType="separate"/>
    </w:r>
    <w:r>
      <w:rPr>
        <w:rStyle w:val="14"/>
      </w:rPr>
      <w:t>21</w:t>
    </w:r>
    <w:r>
      <w:fldChar w:fldCharType="end"/>
    </w:r>
  </w:p>
  <w:p w14:paraId="504E15A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8874">
    <w:pPr>
      <w:pStyle w:val="8"/>
      <w:framePr w:wrap="around" w:vAnchor="text" w:hAnchor="margin" w:xAlign="center" w:y="2"/>
      <w:rPr>
        <w:rStyle w:val="14"/>
      </w:rPr>
    </w:pPr>
    <w:r>
      <w:fldChar w:fldCharType="begin"/>
    </w:r>
    <w:r>
      <w:rPr>
        <w:rStyle w:val="14"/>
      </w:rPr>
      <w:instrText xml:space="preserve">PAGE  </w:instrText>
    </w:r>
    <w:r>
      <w:fldChar w:fldCharType="separate"/>
    </w:r>
    <w:r>
      <w:fldChar w:fldCharType="end"/>
    </w:r>
  </w:p>
  <w:p w14:paraId="252F316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AFD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DFC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zM0ZjhjMjdhZDYwZmU0OTgwZDg0NTAxOTZhNjkifQ=="/>
  </w:docVars>
  <w:rsids>
    <w:rsidRoot w:val="5BD333CF"/>
    <w:rsid w:val="00FE7B94"/>
    <w:rsid w:val="032627BE"/>
    <w:rsid w:val="04C224CB"/>
    <w:rsid w:val="065B7836"/>
    <w:rsid w:val="092D370C"/>
    <w:rsid w:val="0AEB0E04"/>
    <w:rsid w:val="0E71409B"/>
    <w:rsid w:val="0FFA7E58"/>
    <w:rsid w:val="100D3FFB"/>
    <w:rsid w:val="155902AC"/>
    <w:rsid w:val="15882402"/>
    <w:rsid w:val="187D33E1"/>
    <w:rsid w:val="199B43C1"/>
    <w:rsid w:val="1AE74D45"/>
    <w:rsid w:val="1D550530"/>
    <w:rsid w:val="1E504E6B"/>
    <w:rsid w:val="20C238B6"/>
    <w:rsid w:val="227E2C73"/>
    <w:rsid w:val="228C2915"/>
    <w:rsid w:val="23340833"/>
    <w:rsid w:val="251D249E"/>
    <w:rsid w:val="2747585C"/>
    <w:rsid w:val="28E5535A"/>
    <w:rsid w:val="2A2302AE"/>
    <w:rsid w:val="2CB833F1"/>
    <w:rsid w:val="2E160B93"/>
    <w:rsid w:val="32891103"/>
    <w:rsid w:val="33695EE2"/>
    <w:rsid w:val="345E759A"/>
    <w:rsid w:val="36723F05"/>
    <w:rsid w:val="37CE5981"/>
    <w:rsid w:val="37EE5C1A"/>
    <w:rsid w:val="3A6416F9"/>
    <w:rsid w:val="3AC21656"/>
    <w:rsid w:val="3C5D38FA"/>
    <w:rsid w:val="442A4BFC"/>
    <w:rsid w:val="45014CD4"/>
    <w:rsid w:val="453637F5"/>
    <w:rsid w:val="45522CC7"/>
    <w:rsid w:val="4ACC79EA"/>
    <w:rsid w:val="4B2C6B87"/>
    <w:rsid w:val="4D2E09ED"/>
    <w:rsid w:val="51C675E0"/>
    <w:rsid w:val="53223B50"/>
    <w:rsid w:val="53B515B1"/>
    <w:rsid w:val="56E51769"/>
    <w:rsid w:val="57267B87"/>
    <w:rsid w:val="579351D7"/>
    <w:rsid w:val="5AFE6A67"/>
    <w:rsid w:val="5B282044"/>
    <w:rsid w:val="5B500161"/>
    <w:rsid w:val="5BC80E65"/>
    <w:rsid w:val="5BD333CF"/>
    <w:rsid w:val="5E070ED0"/>
    <w:rsid w:val="5EA57578"/>
    <w:rsid w:val="5EBD517B"/>
    <w:rsid w:val="5F013C4C"/>
    <w:rsid w:val="6000459B"/>
    <w:rsid w:val="615B6503"/>
    <w:rsid w:val="6252263F"/>
    <w:rsid w:val="64C04568"/>
    <w:rsid w:val="664F0039"/>
    <w:rsid w:val="66BE49BE"/>
    <w:rsid w:val="6B192617"/>
    <w:rsid w:val="6C3A69EF"/>
    <w:rsid w:val="6C787517"/>
    <w:rsid w:val="6FE12CA7"/>
    <w:rsid w:val="700417EE"/>
    <w:rsid w:val="712C40BF"/>
    <w:rsid w:val="716C4240"/>
    <w:rsid w:val="71C206A3"/>
    <w:rsid w:val="734F316C"/>
    <w:rsid w:val="737A6CB7"/>
    <w:rsid w:val="74DC112D"/>
    <w:rsid w:val="75064782"/>
    <w:rsid w:val="759E4985"/>
    <w:rsid w:val="75A21764"/>
    <w:rsid w:val="75BC67AA"/>
    <w:rsid w:val="7AAE7180"/>
    <w:rsid w:val="7D5C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5">
    <w:name w:val="Body Text"/>
    <w:basedOn w:val="1"/>
    <w:autoRedefine/>
    <w:unhideWhenUsed/>
    <w:qFormat/>
    <w:uiPriority w:val="99"/>
    <w:pPr>
      <w:spacing w:after="120" w:afterLines="0"/>
    </w:pPr>
  </w:style>
  <w:style w:type="paragraph" w:styleId="6">
    <w:name w:val="Body Text Indent"/>
    <w:basedOn w:val="1"/>
    <w:autoRedefine/>
    <w:qFormat/>
    <w:uiPriority w:val="0"/>
    <w:pPr>
      <w:spacing w:after="120" w:afterLines="0" w:afterAutospacing="0"/>
      <w:ind w:left="420" w:leftChars="200"/>
    </w:pPr>
  </w:style>
  <w:style w:type="paragraph" w:styleId="7">
    <w:name w:val="Plain Text"/>
    <w:basedOn w:val="1"/>
    <w:autoRedefine/>
    <w:unhideWhenUsed/>
    <w:qFormat/>
    <w:uiPriority w:val="99"/>
    <w:pPr>
      <w:jc w:val="both"/>
    </w:pPr>
    <w:rPr>
      <w:rFonts w:ascii="宋体" w:eastAsia="宋体"/>
      <w:sz w:val="21"/>
      <w:szCs w:val="21"/>
      <w:lang w:val="en-US" w:eastAsia="zh-CN" w:bidi="ar-SA"/>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1">
    <w:name w:val="Body Text First Indent 2"/>
    <w:basedOn w:val="6"/>
    <w:autoRedefine/>
    <w:qFormat/>
    <w:uiPriority w:val="0"/>
    <w:pPr>
      <w:ind w:firstLine="420" w:firstLineChars="200"/>
    </w:pPr>
  </w:style>
  <w:style w:type="character" w:styleId="14">
    <w:name w:val="page number"/>
    <w:basedOn w:val="13"/>
    <w:autoRedefine/>
    <w:unhideWhenUsed/>
    <w:qFormat/>
    <w:uiPriority w:val="99"/>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styleId="16">
    <w:name w:val="List Paragraph"/>
    <w:basedOn w:val="1"/>
    <w:autoRedefine/>
    <w:qFormat/>
    <w:uiPriority w:val="34"/>
    <w:pPr>
      <w:autoSpaceDE/>
      <w:autoSpaceDN/>
      <w:adjustRightInd/>
      <w:ind w:firstLine="420" w:firstLineChars="200"/>
      <w:jc w:val="both"/>
    </w:pPr>
    <w:rPr>
      <w:rFonts w:ascii="Times New Roman" w:hAnsi="Times New Roman"/>
      <w:kern w:val="2"/>
      <w:sz w:val="21"/>
      <w:szCs w:val="21"/>
    </w:rPr>
  </w:style>
  <w:style w:type="paragraph" w:customStyle="1" w:styleId="17">
    <w:name w:val="正文缩进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22650</Words>
  <Characters>23841</Characters>
  <Lines>0</Lines>
  <Paragraphs>0</Paragraphs>
  <TotalTime>73</TotalTime>
  <ScaleCrop>false</ScaleCrop>
  <LinksUpToDate>false</LinksUpToDate>
  <CharactersWithSpaces>24564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2024-04-23T07:19:00Z</dcterms:created>
  <dc:creator>Administrator</dc:creator>
  <cp:lastModifiedBy>Administrator</cp:lastModifiedBy>
  <dcterms:modified xsi:type="dcterms:W3CDTF">2025-01-10T06:14:36Z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507B779159D14F4CBE8EC6D92F84FE45_13</vt:lpwstr>
  </property>
  <property fmtid="{D5CDD505-2E9C-101B-9397-08002B2CF9AE}" pid="4" name="KSOTemplateDocerSaveRecord">
    <vt:lpwstr>eyJoZGlkIjoiNTQxNzM0ZjhjMjdhZDYwZmU0OTgwZDg0NTAxOTZhNjkiLCJ1c2VySWQiOiI0MjA5NTM5MTUifQ==</vt:lpwstr>
  </property>
</Properties>
</file>